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ink/ink1.xml" ContentType="application/inkml+xml"/>
  <Override PartName="/word/ink/ink2.xml" ContentType="application/inkml+xml"/>
  <Override PartName="/word/ink/ink3.xml" ContentType="application/inkml+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52282086" w:displacedByCustomXml="next"/>
    <w:bookmarkEnd w:id="0" w:displacedByCustomXml="next"/>
    <w:sdt>
      <w:sdtPr>
        <w:id w:val="2136826353"/>
        <w:docPartObj>
          <w:docPartGallery w:val="Cover Pages"/>
          <w:docPartUnique/>
        </w:docPartObj>
      </w:sdtPr>
      <w:sdtEndPr>
        <w:rPr>
          <w:b/>
          <w:noProof/>
        </w:rPr>
      </w:sdtEndPr>
      <w:sdtContent>
        <w:p w14:paraId="7AAF5838" w14:textId="18B2178A" w:rsidR="004029B6" w:rsidRPr="00BA2632" w:rsidRDefault="00750B93" w:rsidP="0018540E">
          <w:r>
            <w:rPr>
              <w:noProof/>
              <w:lang w:val="en-GB"/>
            </w:rPr>
            <w:drawing>
              <wp:anchor distT="0" distB="0" distL="114300" distR="114300" simplePos="0" relativeHeight="251658242" behindDoc="0" locked="0" layoutInCell="1" allowOverlap="1" wp14:anchorId="033DC6F4" wp14:editId="02C6C5BC">
                <wp:simplePos x="0" y="0"/>
                <wp:positionH relativeFrom="margin">
                  <wp:align>right</wp:align>
                </wp:positionH>
                <wp:positionV relativeFrom="paragraph">
                  <wp:posOffset>8890</wp:posOffset>
                </wp:positionV>
                <wp:extent cx="2405635" cy="115252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a:ext>
                          </a:extLst>
                        </a:blip>
                        <a:stretch>
                          <a:fillRect/>
                        </a:stretch>
                      </pic:blipFill>
                      <pic:spPr>
                        <a:xfrm>
                          <a:off x="0" y="0"/>
                          <a:ext cx="2405635" cy="1152525"/>
                        </a:xfrm>
                        <a:prstGeom prst="rect">
                          <a:avLst/>
                        </a:prstGeom>
                      </pic:spPr>
                    </pic:pic>
                  </a:graphicData>
                </a:graphic>
                <wp14:sizeRelH relativeFrom="margin">
                  <wp14:pctWidth>0</wp14:pctWidth>
                </wp14:sizeRelH>
                <wp14:sizeRelV relativeFrom="margin">
                  <wp14:pctHeight>0</wp14:pctHeight>
                </wp14:sizeRelV>
              </wp:anchor>
            </w:drawing>
          </w:r>
          <w:r w:rsidR="004029B6" w:rsidRPr="00BA2632">
            <w:rPr>
              <w:noProof/>
              <w:lang w:val="en-GB"/>
            </w:rPr>
            <mc:AlternateContent>
              <mc:Choice Requires="wps">
                <w:drawing>
                  <wp:anchor distT="0" distB="0" distL="114300" distR="114300" simplePos="0" relativeHeight="251658241" behindDoc="1" locked="0" layoutInCell="1" allowOverlap="1" wp14:anchorId="0321846B" wp14:editId="7F683D98">
                    <wp:simplePos x="0" y="0"/>
                    <wp:positionH relativeFrom="page">
                      <wp:posOffset>-82550</wp:posOffset>
                    </wp:positionH>
                    <wp:positionV relativeFrom="page">
                      <wp:posOffset>-82550</wp:posOffset>
                    </wp:positionV>
                    <wp:extent cx="7740000" cy="10800000"/>
                    <wp:effectExtent l="0" t="0" r="13970" b="20955"/>
                    <wp:wrapNone/>
                    <wp:docPr id="7" name="Rectangle 7"/>
                    <wp:cNvGraphicFramePr/>
                    <a:graphic xmlns:a="http://schemas.openxmlformats.org/drawingml/2006/main">
                      <a:graphicData uri="http://schemas.microsoft.com/office/word/2010/wordprocessingShape">
                        <wps:wsp>
                          <wps:cNvSpPr/>
                          <wps:spPr>
                            <a:xfrm>
                              <a:off x="0" y="0"/>
                              <a:ext cx="7740000" cy="10800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DBC11" id="Rectangle 7" o:spid="_x0000_s1026" style="position:absolute;margin-left:-6.5pt;margin-top:-6.5pt;width:609.45pt;height:850.4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" fillcolor="#094183 [3204]" strokecolor="#042041 [1604]" strokeweight="1pt">
                    <w10:wrap anchorx="page" anchory="page"/>
                  </v:rect>
                </w:pict>
              </mc:Fallback>
            </mc:AlternateContent>
          </w:r>
          <w:r w:rsidR="004029B6" w:rsidRPr="00BA2632">
            <w:rPr>
              <w:noProof/>
              <w:lang w:val="en-GB"/>
            </w:rPr>
            <w:drawing>
              <wp:inline distT="0" distB="0" distL="0" distR="0" wp14:anchorId="6881D4A4" wp14:editId="5E6E427A">
                <wp:extent cx="1257300" cy="1257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1078" t="11078"/>
                        <a:stretch/>
                      </pic:blipFill>
                      <pic:spPr bwMode="auto">
                        <a:xfrm>
                          <a:off x="0" y="0"/>
                          <a:ext cx="1257300" cy="1257300"/>
                        </a:xfrm>
                        <a:prstGeom prst="rect">
                          <a:avLst/>
                        </a:prstGeom>
                        <a:noFill/>
                        <a:ln>
                          <a:noFill/>
                        </a:ln>
                      </pic:spPr>
                    </pic:pic>
                  </a:graphicData>
                </a:graphic>
              </wp:inline>
            </w:drawing>
          </w:r>
        </w:p>
        <w:p w14:paraId="33D86337" w14:textId="77777777" w:rsidR="004029B6" w:rsidRPr="00BA2632" w:rsidRDefault="004029B6" w:rsidP="0018540E">
          <w:pPr>
            <w:pStyle w:val="IdentifierDash-White"/>
          </w:pPr>
          <w:r w:rsidRPr="00BA2632">
            <w:t>—</w:t>
          </w:r>
        </w:p>
        <w:p w14:paraId="0F630D06" w14:textId="0F65A9D9" w:rsidR="004029B6" w:rsidRPr="00BA2632" w:rsidRDefault="006A5894" w:rsidP="00E61A93">
          <w:pPr>
            <w:pStyle w:val="Identifier"/>
            <w:rPr>
              <w:b/>
              <w:bCs/>
              <w:color w:val="FFFFFF" w:themeColor="background1"/>
            </w:rPr>
          </w:pPr>
          <w:r>
            <w:rPr>
              <w:b/>
              <w:bCs/>
              <w:color w:val="FFFFFF" w:themeColor="background1"/>
            </w:rPr>
            <w:t>Commonwealth Environmental Water Office</w:t>
          </w:r>
        </w:p>
        <w:p w14:paraId="65F76310" w14:textId="6E86392F" w:rsidR="004029B6" w:rsidRPr="00BA2632" w:rsidRDefault="00A901A4" w:rsidP="00E61A93">
          <w:pPr>
            <w:pStyle w:val="Identifier"/>
            <w:rPr>
              <w:color w:val="FFFFFF" w:themeColor="background1"/>
            </w:rPr>
          </w:pPr>
          <w:r w:rsidRPr="00A901A4">
            <w:rPr>
              <w:color w:val="FFFFFF" w:themeColor="background1"/>
            </w:rPr>
            <w:t>Monitoring, Evaluation and Research Project</w:t>
          </w:r>
        </w:p>
        <w:p w14:paraId="5EA04C61" w14:textId="77777777" w:rsidR="004029B6" w:rsidRPr="00BA2632" w:rsidRDefault="004029B6" w:rsidP="00E61A93">
          <w:pPr>
            <w:rPr>
              <w:color w:val="FFFFFF" w:themeColor="background1"/>
            </w:rPr>
          </w:pPr>
        </w:p>
        <w:p w14:paraId="3C63D1D7" w14:textId="77777777" w:rsidR="000A12E2" w:rsidRDefault="006A5894" w:rsidP="000A12E2">
          <w:pPr>
            <w:pStyle w:val="Title-White"/>
            <w:framePr w:wrap="around"/>
            <w:jc w:val="left"/>
          </w:pPr>
          <w:r>
            <w:t xml:space="preserve">Goulburn </w:t>
          </w:r>
          <w:r w:rsidR="000A12E2">
            <w:t>River Selected Area Scientific Report</w:t>
          </w:r>
        </w:p>
        <w:p w14:paraId="469F10D6" w14:textId="0A8F740D" w:rsidR="004029B6" w:rsidRPr="00BA2632" w:rsidRDefault="000A12E2" w:rsidP="000A12E2">
          <w:pPr>
            <w:pStyle w:val="Title-White"/>
            <w:framePr w:wrap="around"/>
            <w:jc w:val="left"/>
          </w:pPr>
          <w:r>
            <w:t>2020-21</w:t>
          </w:r>
        </w:p>
        <w:p w14:paraId="2BEB1033" w14:textId="77777777" w:rsidR="000A12E2" w:rsidRDefault="00F52DBE" w:rsidP="000A12E2">
          <w:pPr>
            <w:pStyle w:val="Subtitle"/>
            <w:framePr w:wrap="around"/>
            <w:jc w:val="left"/>
            <w:rPr>
              <w:color w:val="FFFFFF" w:themeColor="background1"/>
              <w:sz w:val="24"/>
              <w:szCs w:val="24"/>
            </w:rPr>
          </w:pPr>
          <w:r>
            <w:rPr>
              <w:color w:val="FFFFFF" w:themeColor="background1"/>
              <w:sz w:val="24"/>
              <w:szCs w:val="24"/>
            </w:rPr>
            <w:t xml:space="preserve">Angus Webb, </w:t>
          </w:r>
          <w:proofErr w:type="spellStart"/>
          <w:r>
            <w:rPr>
              <w:color w:val="FFFFFF" w:themeColor="background1"/>
              <w:sz w:val="24"/>
              <w:szCs w:val="24"/>
            </w:rPr>
            <w:t>Xue</w:t>
          </w:r>
          <w:proofErr w:type="spellEnd"/>
          <w:r>
            <w:rPr>
              <w:color w:val="FFFFFF" w:themeColor="background1"/>
              <w:sz w:val="24"/>
              <w:szCs w:val="24"/>
            </w:rPr>
            <w:t xml:space="preserve"> Hou, Simon Treadwell, </w:t>
          </w:r>
          <w:proofErr w:type="spellStart"/>
          <w:r>
            <w:rPr>
              <w:color w:val="FFFFFF" w:themeColor="background1"/>
              <w:sz w:val="24"/>
              <w:szCs w:val="24"/>
            </w:rPr>
            <w:t>Parya</w:t>
          </w:r>
          <w:proofErr w:type="spellEnd"/>
          <w:r>
            <w:rPr>
              <w:color w:val="FFFFFF" w:themeColor="background1"/>
              <w:sz w:val="24"/>
              <w:szCs w:val="24"/>
            </w:rPr>
            <w:t xml:space="preserve"> </w:t>
          </w:r>
          <w:proofErr w:type="spellStart"/>
          <w:r>
            <w:rPr>
              <w:color w:val="FFFFFF" w:themeColor="background1"/>
              <w:sz w:val="24"/>
              <w:szCs w:val="24"/>
            </w:rPr>
            <w:t>Baghbanorandi</w:t>
          </w:r>
          <w:proofErr w:type="spellEnd"/>
          <w:r>
            <w:rPr>
              <w:color w:val="FFFFFF" w:themeColor="background1"/>
              <w:sz w:val="24"/>
              <w:szCs w:val="24"/>
            </w:rPr>
            <w:t xml:space="preserve">, Ben Baker, Wim </w:t>
          </w:r>
          <w:proofErr w:type="spellStart"/>
          <w:r>
            <w:rPr>
              <w:color w:val="FFFFFF" w:themeColor="background1"/>
              <w:sz w:val="24"/>
              <w:szCs w:val="24"/>
            </w:rPr>
            <w:t>Bovill</w:t>
          </w:r>
          <w:proofErr w:type="spellEnd"/>
          <w:r>
            <w:rPr>
              <w:color w:val="FFFFFF" w:themeColor="background1"/>
              <w:sz w:val="24"/>
              <w:szCs w:val="24"/>
            </w:rPr>
            <w:t xml:space="preserve">, Simon </w:t>
          </w:r>
          <w:proofErr w:type="spellStart"/>
          <w:r>
            <w:rPr>
              <w:color w:val="FFFFFF" w:themeColor="background1"/>
              <w:sz w:val="24"/>
              <w:szCs w:val="24"/>
            </w:rPr>
            <w:t>Casanelia</w:t>
          </w:r>
          <w:proofErr w:type="spellEnd"/>
          <w:r>
            <w:rPr>
              <w:color w:val="FFFFFF" w:themeColor="background1"/>
              <w:sz w:val="24"/>
              <w:szCs w:val="24"/>
            </w:rPr>
            <w:t xml:space="preserve">, Nikita Christopher, Michael Grace, Joe Greet, Claudette </w:t>
          </w:r>
          <w:proofErr w:type="spellStart"/>
          <w:r>
            <w:rPr>
              <w:color w:val="FFFFFF" w:themeColor="background1"/>
              <w:sz w:val="24"/>
              <w:szCs w:val="24"/>
            </w:rPr>
            <w:t>Kellar</w:t>
          </w:r>
          <w:proofErr w:type="spellEnd"/>
          <w:r>
            <w:rPr>
              <w:color w:val="FFFFFF" w:themeColor="background1"/>
              <w:sz w:val="24"/>
              <w:szCs w:val="24"/>
            </w:rPr>
            <w:t xml:space="preserve">, Wayne </w:t>
          </w:r>
          <w:proofErr w:type="spellStart"/>
          <w:r>
            <w:rPr>
              <w:color w:val="FFFFFF" w:themeColor="background1"/>
              <w:sz w:val="24"/>
              <w:szCs w:val="24"/>
            </w:rPr>
            <w:t>Koster</w:t>
          </w:r>
          <w:proofErr w:type="spellEnd"/>
          <w:r>
            <w:rPr>
              <w:color w:val="FFFFFF" w:themeColor="background1"/>
              <w:sz w:val="24"/>
              <w:szCs w:val="24"/>
            </w:rPr>
            <w:t xml:space="preserve">, Daniel Lovell, </w:t>
          </w:r>
          <w:r w:rsidRPr="00606B1B">
            <w:rPr>
              <w:color w:val="FFFFFF" w:themeColor="background1"/>
              <w:sz w:val="24"/>
              <w:szCs w:val="24"/>
            </w:rPr>
            <w:t xml:space="preserve">Daniel McMahon, Kay Morris, Vin </w:t>
          </w:r>
          <w:proofErr w:type="spellStart"/>
          <w:r w:rsidRPr="00606B1B">
            <w:rPr>
              <w:color w:val="FFFFFF" w:themeColor="background1"/>
              <w:sz w:val="24"/>
              <w:szCs w:val="24"/>
            </w:rPr>
            <w:t>Pettigrove</w:t>
          </w:r>
          <w:proofErr w:type="spellEnd"/>
          <w:r w:rsidRPr="00606B1B">
            <w:rPr>
              <w:color w:val="FFFFFF" w:themeColor="background1"/>
              <w:sz w:val="24"/>
              <w:szCs w:val="24"/>
            </w:rPr>
            <w:t xml:space="preserve">, </w:t>
          </w:r>
          <w:r w:rsidR="00E86BB5">
            <w:rPr>
              <w:color w:val="FFFFFF" w:themeColor="background1"/>
              <w:sz w:val="24"/>
              <w:szCs w:val="24"/>
            </w:rPr>
            <w:t xml:space="preserve">Luke Russell, </w:t>
          </w:r>
          <w:r w:rsidRPr="00606B1B">
            <w:rPr>
              <w:color w:val="FFFFFF" w:themeColor="background1"/>
              <w:sz w:val="24"/>
              <w:szCs w:val="24"/>
            </w:rPr>
            <w:t xml:space="preserve">Neil Sutton, Geoff </w:t>
          </w:r>
          <w:proofErr w:type="spellStart"/>
          <w:r w:rsidRPr="00606B1B">
            <w:rPr>
              <w:color w:val="FFFFFF" w:themeColor="background1"/>
              <w:sz w:val="24"/>
              <w:szCs w:val="24"/>
            </w:rPr>
            <w:t>Vietz</w:t>
          </w:r>
          <w:proofErr w:type="spellEnd"/>
        </w:p>
        <w:p w14:paraId="5F55B549" w14:textId="442DCBAA" w:rsidR="004029B6" w:rsidRPr="000A12E2" w:rsidRDefault="000A12E2" w:rsidP="000A12E2">
          <w:pPr>
            <w:pStyle w:val="Subtitle"/>
            <w:framePr w:wrap="around"/>
            <w:jc w:val="left"/>
            <w:rPr>
              <w:color w:val="FFFFFF" w:themeColor="background1"/>
              <w:szCs w:val="32"/>
            </w:rPr>
          </w:pPr>
          <w:r w:rsidRPr="000A12E2">
            <w:rPr>
              <w:color w:val="FFFFFF" w:themeColor="background1"/>
              <w:szCs w:val="32"/>
            </w:rPr>
            <w:t>December 2021</w:t>
          </w:r>
        </w:p>
        <w:p w14:paraId="58F957AE" w14:textId="7E4AC365" w:rsidR="000A12E2" w:rsidRPr="000A12E2" w:rsidRDefault="000A12E2" w:rsidP="000A12E2">
          <w:pPr>
            <w:rPr>
              <w:sz w:val="32"/>
              <w:szCs w:val="32"/>
            </w:rPr>
          </w:pPr>
        </w:p>
        <w:p w14:paraId="29B2170C" w14:textId="77777777" w:rsidR="004029B6" w:rsidRPr="00BA2632" w:rsidRDefault="004029B6" w:rsidP="00E61A93">
          <w:pPr>
            <w:pStyle w:val="Cornergraphic"/>
            <w:framePr w:wrap="around"/>
            <w:rPr>
              <w:color w:val="FFFFFF" w:themeColor="background1"/>
            </w:rPr>
          </w:pPr>
        </w:p>
        <w:p w14:paraId="302AFC8E" w14:textId="77777777" w:rsidR="004029B6" w:rsidRPr="00BA2632" w:rsidRDefault="004029B6" w:rsidP="00E61A93">
          <w:pPr>
            <w:pStyle w:val="Cornergraphic"/>
            <w:framePr w:wrap="around"/>
          </w:pPr>
          <w:r w:rsidRPr="00BA2632">
            <w:rPr>
              <w:noProof/>
              <w:lang w:val="en-GB"/>
            </w:rPr>
            <mc:AlternateContent>
              <mc:Choice Requires="wps">
                <w:drawing>
                  <wp:inline distT="0" distB="0" distL="0" distR="0" wp14:anchorId="1DE8D2E9" wp14:editId="60DC1D95">
                    <wp:extent cx="5094000" cy="5094000"/>
                    <wp:effectExtent l="0" t="0" r="0" b="0"/>
                    <wp:docPr id="8" name="Freeform: Shape 8"/>
                    <wp:cNvGraphicFramePr/>
                    <a:graphic xmlns:a="http://schemas.openxmlformats.org/drawingml/2006/main">
                      <a:graphicData uri="http://schemas.microsoft.com/office/word/2010/wordprocessingShape">
                        <wps:wsp>
                          <wps:cNvSpPr/>
                          <wps:spPr>
                            <a:xfrm>
                              <a:off x="0" y="0"/>
                              <a:ext cx="5094000" cy="5094000"/>
                            </a:xfrm>
                            <a:custGeom>
                              <a:avLst/>
                              <a:gdLst>
                                <a:gd name="connsiteX0" fmla="*/ 5939790 w 5939790"/>
                                <a:gd name="connsiteY0" fmla="*/ 0 h 5759450"/>
                                <a:gd name="connsiteX1" fmla="*/ 5939790 w 5939790"/>
                                <a:gd name="connsiteY1" fmla="*/ 5759450 h 5759450"/>
                                <a:gd name="connsiteX2" fmla="*/ 1124064 w 5939790"/>
                                <a:gd name="connsiteY2" fmla="*/ 5759450 h 5759450"/>
                                <a:gd name="connsiteX3" fmla="*/ 0 w 5939790"/>
                                <a:gd name="connsiteY3" fmla="*/ 1570052 h 5759450"/>
                              </a:gdLst>
                              <a:ahLst/>
                              <a:cxnLst>
                                <a:cxn ang="0">
                                  <a:pos x="connsiteX0" y="connsiteY0"/>
                                </a:cxn>
                                <a:cxn ang="0">
                                  <a:pos x="connsiteX1" y="connsiteY1"/>
                                </a:cxn>
                                <a:cxn ang="0">
                                  <a:pos x="connsiteX2" y="connsiteY2"/>
                                </a:cxn>
                                <a:cxn ang="0">
                                  <a:pos x="connsiteX3" y="connsiteY3"/>
                                </a:cxn>
                              </a:cxnLst>
                              <a:rect l="l" t="t" r="r" b="b"/>
                              <a:pathLst>
                                <a:path w="5939790" h="5759450">
                                  <a:moveTo>
                                    <a:pt x="5939790" y="0"/>
                                  </a:moveTo>
                                  <a:lnTo>
                                    <a:pt x="5939790" y="5759450"/>
                                  </a:lnTo>
                                  <a:lnTo>
                                    <a:pt x="1124064" y="5759450"/>
                                  </a:lnTo>
                                  <a:lnTo>
                                    <a:pt x="0" y="1570052"/>
                                  </a:lnTo>
                                  <a:close/>
                                </a:path>
                              </a:pathLst>
                            </a:custGeom>
                            <a:blipFill dpi="0" rotWithShape="1">
                              <a:blip r:embed="rId13" cstate="email">
                                <a:extLst>
                                  <a:ext uri="{28A0092B-C50C-407E-A947-70E740481C1C}">
                                    <a14:useLocalDpi xmlns:a14="http://schemas.microsoft.com/office/drawing/2010/main"/>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716CD85" id="Freeform: Shape 8" o:spid="_x0000_s1026" style="width:401.1pt;height:401.1pt;visibility:visible;mso-wrap-style:square;mso-left-percent:-10001;mso-top-percent:-10001;mso-position-horizontal:absolute;mso-position-horizontal-relative:char;mso-position-vertical:absolute;mso-position-vertical-relative:line;mso-left-percent:-10001;mso-top-percent:-10001;v-text-anchor:middle" coordsize="5939790,57594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" path="m5939790,r,5759450l1124064,5759450,,1570052,5939790,xe" stroked="f" strokeweight="1pt">
                    <v:fill r:id="rId14" o:title="" recolor="t" rotate="t" type="frame"/>
                    <v:stroke joinstyle="miter"/>
                    <v:path arrowok="t" o:connecttype="custom" o:connectlocs="5094000,0;5094000,5094000;964004,5094000;0,1388647" o:connectangles="0,0,0,0"/>
                    <w10:anchorlock/>
                  </v:shape>
                </w:pict>
              </mc:Fallback>
            </mc:AlternateContent>
          </w:r>
        </w:p>
        <w:p w14:paraId="7C279B37" w14:textId="77777777" w:rsidR="004029B6" w:rsidRPr="00BA2632" w:rsidRDefault="004029B6"/>
        <w:p w14:paraId="167A7FB3" w14:textId="77777777" w:rsidR="004029B6" w:rsidRPr="00BA2632" w:rsidRDefault="004029B6">
          <w:pPr>
            <w:spacing w:after="160" w:line="259" w:lineRule="auto"/>
            <w:rPr>
              <w:noProof/>
            </w:rPr>
          </w:pPr>
          <w:r w:rsidRPr="00BA2632">
            <w:rPr>
              <w:b/>
              <w:noProof/>
            </w:rPr>
            <w:br w:type="page"/>
          </w:r>
        </w:p>
      </w:sdtContent>
    </w:sdt>
    <w:sdt>
      <w:sdtPr>
        <w:rPr>
          <w:rFonts w:asciiTheme="minorHAnsi" w:eastAsiaTheme="minorEastAsia" w:hAnsiTheme="minorHAnsi" w:cstheme="minorBidi"/>
          <w:b w:val="0"/>
          <w:color w:val="auto"/>
          <w:sz w:val="20"/>
          <w:szCs w:val="22"/>
          <w:lang w:eastAsia="zh-CN"/>
        </w:rPr>
        <w:id w:val="-1464420886"/>
        <w:docPartObj>
          <w:docPartGallery w:val="Table of Contents"/>
          <w:docPartUnique/>
        </w:docPartObj>
      </w:sdtPr>
      <w:sdtEndPr>
        <w:rPr>
          <w:bCs/>
          <w:noProof/>
        </w:rPr>
      </w:sdtEndPr>
      <w:sdtContent>
        <w:p w14:paraId="0B98AA0E" w14:textId="0E830B78" w:rsidR="00AC34E7" w:rsidRDefault="00AC34E7" w:rsidP="00AC34E7">
          <w:pPr>
            <w:pStyle w:val="TOCHeading"/>
            <w:numPr>
              <w:ilvl w:val="0"/>
              <w:numId w:val="0"/>
            </w:numPr>
          </w:pPr>
          <w:r>
            <w:t>Table of Contents</w:t>
          </w:r>
        </w:p>
        <w:p w14:paraId="198C0C2A" w14:textId="57788F8C" w:rsidR="00B82B5A" w:rsidRDefault="00B82B5A">
          <w:pPr>
            <w:pStyle w:val="TOC1"/>
            <w:rPr>
              <w:b w:val="0"/>
              <w:noProof/>
              <w:color w:val="auto"/>
              <w:sz w:val="22"/>
            </w:rPr>
          </w:pPr>
          <w:r w:rsidRPr="00946134">
            <w:rPr>
              <w:noProof/>
            </w:rPr>
            <w:t>List of Figures</w:t>
          </w:r>
          <w:r>
            <w:rPr>
              <w:noProof/>
              <w:webHidden/>
            </w:rPr>
            <w:tab/>
          </w:r>
          <w:r w:rsidR="001A7A58">
            <w:rPr>
              <w:noProof/>
              <w:webHidden/>
            </w:rPr>
            <w:t>iv</w:t>
          </w:r>
        </w:p>
        <w:p w14:paraId="2CBB764F" w14:textId="4F2782DE" w:rsidR="00B82B5A" w:rsidRDefault="00B82B5A">
          <w:pPr>
            <w:pStyle w:val="TOC1"/>
            <w:rPr>
              <w:b w:val="0"/>
              <w:noProof/>
              <w:color w:val="auto"/>
              <w:sz w:val="22"/>
            </w:rPr>
          </w:pPr>
          <w:r w:rsidRPr="00946134">
            <w:rPr>
              <w:noProof/>
            </w:rPr>
            <w:t>List of Tables</w:t>
          </w:r>
          <w:r>
            <w:rPr>
              <w:noProof/>
              <w:webHidden/>
            </w:rPr>
            <w:tab/>
          </w:r>
          <w:r w:rsidR="001A7A58">
            <w:rPr>
              <w:noProof/>
              <w:webHidden/>
            </w:rPr>
            <w:t>xi</w:t>
          </w:r>
        </w:p>
        <w:p w14:paraId="2EB68061" w14:textId="32976789" w:rsidR="00B82B5A" w:rsidRDefault="00B82B5A">
          <w:pPr>
            <w:pStyle w:val="TOC1"/>
            <w:rPr>
              <w:b w:val="0"/>
              <w:noProof/>
              <w:color w:val="auto"/>
              <w:sz w:val="22"/>
            </w:rPr>
          </w:pPr>
          <w:r w:rsidRPr="00946134">
            <w:rPr>
              <w:noProof/>
            </w:rPr>
            <w:t>1.</w:t>
          </w:r>
          <w:r>
            <w:rPr>
              <w:b w:val="0"/>
              <w:noProof/>
              <w:color w:val="auto"/>
              <w:sz w:val="22"/>
            </w:rPr>
            <w:tab/>
          </w:r>
          <w:r w:rsidRPr="00946134">
            <w:rPr>
              <w:noProof/>
            </w:rPr>
            <w:t>Preamble</w:t>
          </w:r>
          <w:r>
            <w:rPr>
              <w:noProof/>
              <w:webHidden/>
            </w:rPr>
            <w:tab/>
          </w:r>
          <w:r w:rsidR="001A7A58">
            <w:rPr>
              <w:noProof/>
              <w:webHidden/>
            </w:rPr>
            <w:t>1</w:t>
          </w:r>
        </w:p>
        <w:p w14:paraId="2A67CE40" w14:textId="17CF79D9" w:rsidR="00B82B5A" w:rsidRDefault="00B82B5A">
          <w:pPr>
            <w:pStyle w:val="TOC1"/>
            <w:rPr>
              <w:b w:val="0"/>
              <w:noProof/>
              <w:color w:val="auto"/>
              <w:sz w:val="22"/>
            </w:rPr>
          </w:pPr>
          <w:r w:rsidRPr="00946134">
            <w:rPr>
              <w:noProof/>
            </w:rPr>
            <w:t>2.</w:t>
          </w:r>
          <w:r>
            <w:rPr>
              <w:b w:val="0"/>
              <w:noProof/>
              <w:color w:val="auto"/>
              <w:sz w:val="22"/>
            </w:rPr>
            <w:tab/>
          </w:r>
          <w:r w:rsidRPr="00946134">
            <w:rPr>
              <w:noProof/>
            </w:rPr>
            <w:t>Lower Goulburn River Selected Area Description and Monitoring Locations</w:t>
          </w:r>
          <w:r>
            <w:rPr>
              <w:noProof/>
              <w:webHidden/>
            </w:rPr>
            <w:tab/>
          </w:r>
          <w:r w:rsidR="001A7A58">
            <w:rPr>
              <w:noProof/>
              <w:webHidden/>
            </w:rPr>
            <w:t>2</w:t>
          </w:r>
        </w:p>
        <w:p w14:paraId="6B602BE3" w14:textId="6291807F" w:rsidR="00B82B5A" w:rsidRDefault="00B82B5A">
          <w:pPr>
            <w:pStyle w:val="TOC2"/>
            <w:rPr>
              <w:noProof/>
              <w:color w:val="auto"/>
              <w:sz w:val="22"/>
            </w:rPr>
          </w:pPr>
          <w:r w:rsidRPr="00946134">
            <w:rPr>
              <w:noProof/>
            </w:rPr>
            <w:t>2.1.</w:t>
          </w:r>
          <w:r>
            <w:rPr>
              <w:noProof/>
              <w:color w:val="auto"/>
              <w:sz w:val="22"/>
            </w:rPr>
            <w:tab/>
          </w:r>
          <w:r w:rsidRPr="00946134">
            <w:rPr>
              <w:noProof/>
            </w:rPr>
            <w:t>Description</w:t>
          </w:r>
          <w:r>
            <w:rPr>
              <w:noProof/>
              <w:webHidden/>
            </w:rPr>
            <w:tab/>
          </w:r>
          <w:r w:rsidR="001A7A58">
            <w:rPr>
              <w:noProof/>
              <w:webHidden/>
            </w:rPr>
            <w:t>2</w:t>
          </w:r>
        </w:p>
        <w:p w14:paraId="63809DF9" w14:textId="52333152" w:rsidR="00B82B5A" w:rsidRDefault="00B82B5A">
          <w:pPr>
            <w:pStyle w:val="TOC2"/>
            <w:rPr>
              <w:noProof/>
              <w:color w:val="auto"/>
              <w:sz w:val="22"/>
            </w:rPr>
          </w:pPr>
          <w:r w:rsidRPr="00946134">
            <w:rPr>
              <w:noProof/>
            </w:rPr>
            <w:t>2.2.</w:t>
          </w:r>
          <w:r>
            <w:rPr>
              <w:noProof/>
              <w:color w:val="auto"/>
              <w:sz w:val="22"/>
            </w:rPr>
            <w:tab/>
          </w:r>
          <w:r w:rsidRPr="00946134">
            <w:rPr>
              <w:noProof/>
            </w:rPr>
            <w:t>Monitoring sites and 2020-21 monitoring</w:t>
          </w:r>
          <w:r>
            <w:rPr>
              <w:noProof/>
              <w:webHidden/>
            </w:rPr>
            <w:tab/>
          </w:r>
          <w:r w:rsidR="001A7A58">
            <w:rPr>
              <w:noProof/>
              <w:webHidden/>
            </w:rPr>
            <w:t>2</w:t>
          </w:r>
        </w:p>
        <w:p w14:paraId="583932B2" w14:textId="14D8B4E9" w:rsidR="00B82B5A" w:rsidRDefault="00B82B5A">
          <w:pPr>
            <w:pStyle w:val="TOC1"/>
            <w:rPr>
              <w:b w:val="0"/>
              <w:noProof/>
              <w:color w:val="auto"/>
              <w:sz w:val="22"/>
            </w:rPr>
          </w:pPr>
          <w:r w:rsidRPr="00946134">
            <w:rPr>
              <w:noProof/>
            </w:rPr>
            <w:t>3.</w:t>
          </w:r>
          <w:r>
            <w:rPr>
              <w:b w:val="0"/>
              <w:noProof/>
              <w:color w:val="auto"/>
              <w:sz w:val="22"/>
            </w:rPr>
            <w:tab/>
          </w:r>
          <w:r w:rsidRPr="00946134">
            <w:rPr>
              <w:noProof/>
            </w:rPr>
            <w:t>Commonwealth Environmental Watering</w:t>
          </w:r>
          <w:r>
            <w:rPr>
              <w:noProof/>
              <w:webHidden/>
            </w:rPr>
            <w:tab/>
          </w:r>
          <w:r w:rsidR="001A7A58">
            <w:rPr>
              <w:noProof/>
              <w:webHidden/>
            </w:rPr>
            <w:t>6</w:t>
          </w:r>
        </w:p>
        <w:p w14:paraId="255ABD51" w14:textId="4C52ACF8" w:rsidR="00B82B5A" w:rsidRDefault="00B82B5A">
          <w:pPr>
            <w:pStyle w:val="TOC2"/>
            <w:rPr>
              <w:noProof/>
              <w:color w:val="auto"/>
              <w:sz w:val="22"/>
            </w:rPr>
          </w:pPr>
          <w:r w:rsidRPr="00946134">
            <w:rPr>
              <w:noProof/>
            </w:rPr>
            <w:t>3.1.</w:t>
          </w:r>
          <w:r>
            <w:rPr>
              <w:noProof/>
              <w:color w:val="auto"/>
              <w:sz w:val="22"/>
            </w:rPr>
            <w:tab/>
          </w:r>
          <w:r w:rsidRPr="00946134">
            <w:rPr>
              <w:noProof/>
            </w:rPr>
            <w:t>Overview of Commonwealth environmental watering</w:t>
          </w:r>
          <w:r>
            <w:rPr>
              <w:noProof/>
              <w:webHidden/>
            </w:rPr>
            <w:tab/>
          </w:r>
          <w:r w:rsidR="001A7A58">
            <w:rPr>
              <w:noProof/>
              <w:webHidden/>
            </w:rPr>
            <w:t>6</w:t>
          </w:r>
        </w:p>
        <w:p w14:paraId="251DA06C" w14:textId="0080D5E9" w:rsidR="00B82B5A" w:rsidRDefault="00B82B5A">
          <w:pPr>
            <w:pStyle w:val="TOC2"/>
            <w:rPr>
              <w:noProof/>
              <w:color w:val="auto"/>
              <w:sz w:val="22"/>
            </w:rPr>
          </w:pPr>
          <w:r w:rsidRPr="00946134">
            <w:rPr>
              <w:noProof/>
            </w:rPr>
            <w:t>3.2.</w:t>
          </w:r>
          <w:r>
            <w:rPr>
              <w:noProof/>
              <w:color w:val="auto"/>
              <w:sz w:val="22"/>
            </w:rPr>
            <w:tab/>
          </w:r>
          <w:r w:rsidRPr="00946134">
            <w:rPr>
              <w:noProof/>
            </w:rPr>
            <w:t>Environmental water delivered in 2020-21</w:t>
          </w:r>
          <w:r>
            <w:rPr>
              <w:noProof/>
              <w:webHidden/>
            </w:rPr>
            <w:tab/>
          </w:r>
          <w:r w:rsidR="001A7A58">
            <w:rPr>
              <w:noProof/>
              <w:webHidden/>
            </w:rPr>
            <w:t>6</w:t>
          </w:r>
        </w:p>
        <w:p w14:paraId="7CA01A76" w14:textId="2EA5E190" w:rsidR="00B82B5A" w:rsidRDefault="00B82B5A">
          <w:pPr>
            <w:pStyle w:val="TOC1"/>
            <w:rPr>
              <w:b w:val="0"/>
              <w:noProof/>
              <w:color w:val="auto"/>
              <w:sz w:val="22"/>
            </w:rPr>
          </w:pPr>
          <w:r w:rsidRPr="00946134">
            <w:rPr>
              <w:noProof/>
            </w:rPr>
            <w:t>4.</w:t>
          </w:r>
          <w:r>
            <w:rPr>
              <w:b w:val="0"/>
              <w:noProof/>
              <w:color w:val="auto"/>
              <w:sz w:val="22"/>
            </w:rPr>
            <w:tab/>
          </w:r>
          <w:r w:rsidRPr="00946134">
            <w:rPr>
              <w:noProof/>
            </w:rPr>
            <w:t>Physical Habitat</w:t>
          </w:r>
          <w:r>
            <w:rPr>
              <w:noProof/>
              <w:webHidden/>
            </w:rPr>
            <w:tab/>
          </w:r>
          <w:r w:rsidR="001A7A58">
            <w:rPr>
              <w:noProof/>
              <w:webHidden/>
            </w:rPr>
            <w:t>10</w:t>
          </w:r>
        </w:p>
        <w:p w14:paraId="252408CB" w14:textId="15A41263" w:rsidR="00B82B5A" w:rsidRDefault="00B82B5A">
          <w:pPr>
            <w:pStyle w:val="TOC2"/>
            <w:rPr>
              <w:noProof/>
              <w:color w:val="auto"/>
              <w:sz w:val="22"/>
            </w:rPr>
          </w:pPr>
          <w:r w:rsidRPr="00946134">
            <w:rPr>
              <w:noProof/>
            </w:rPr>
            <w:t>4.1.</w:t>
          </w:r>
          <w:r>
            <w:rPr>
              <w:noProof/>
              <w:color w:val="auto"/>
              <w:sz w:val="22"/>
            </w:rPr>
            <w:tab/>
          </w:r>
          <w:r w:rsidRPr="00946134">
            <w:rPr>
              <w:noProof/>
            </w:rPr>
            <w:t>Introduction</w:t>
          </w:r>
          <w:r>
            <w:rPr>
              <w:noProof/>
              <w:webHidden/>
            </w:rPr>
            <w:tab/>
          </w:r>
          <w:r w:rsidR="001A7A58">
            <w:rPr>
              <w:noProof/>
              <w:webHidden/>
            </w:rPr>
            <w:t>10</w:t>
          </w:r>
        </w:p>
        <w:p w14:paraId="72722B2F" w14:textId="4C116BCB" w:rsidR="00B82B5A" w:rsidRPr="007A7C48" w:rsidRDefault="00B82B5A">
          <w:pPr>
            <w:pStyle w:val="TOC2"/>
            <w:rPr>
              <w:noProof/>
              <w:color w:val="auto"/>
              <w:sz w:val="22"/>
              <w:lang w:val="en-GB"/>
            </w:rPr>
          </w:pPr>
          <w:r w:rsidRPr="00946134">
            <w:rPr>
              <w:noProof/>
            </w:rPr>
            <w:t>4.2.</w:t>
          </w:r>
          <w:r>
            <w:rPr>
              <w:noProof/>
              <w:color w:val="auto"/>
              <w:sz w:val="22"/>
            </w:rPr>
            <w:tab/>
          </w:r>
          <w:r w:rsidRPr="00946134">
            <w:rPr>
              <w:noProof/>
            </w:rPr>
            <w:t>Area specific evaluation questions</w:t>
          </w:r>
          <w:r>
            <w:rPr>
              <w:noProof/>
              <w:webHidden/>
            </w:rPr>
            <w:tab/>
          </w:r>
          <w:r w:rsidR="001A7A58">
            <w:rPr>
              <w:noProof/>
              <w:webHidden/>
            </w:rPr>
            <w:t>10</w:t>
          </w:r>
        </w:p>
        <w:p w14:paraId="20EFA94E" w14:textId="140463DB" w:rsidR="00B82B5A" w:rsidRDefault="00B82B5A">
          <w:pPr>
            <w:pStyle w:val="TOC2"/>
            <w:rPr>
              <w:noProof/>
              <w:color w:val="auto"/>
              <w:sz w:val="22"/>
            </w:rPr>
          </w:pPr>
          <w:r w:rsidRPr="00946134">
            <w:rPr>
              <w:noProof/>
            </w:rPr>
            <w:t>4.3.</w:t>
          </w:r>
          <w:r>
            <w:rPr>
              <w:noProof/>
              <w:color w:val="auto"/>
              <w:sz w:val="22"/>
            </w:rPr>
            <w:tab/>
          </w:r>
          <w:r w:rsidRPr="00946134">
            <w:rPr>
              <w:noProof/>
            </w:rPr>
            <w:t>Main findings from monitoring program</w:t>
          </w:r>
          <w:r>
            <w:rPr>
              <w:noProof/>
              <w:webHidden/>
            </w:rPr>
            <w:tab/>
          </w:r>
          <w:r w:rsidR="001A7A58">
            <w:rPr>
              <w:noProof/>
              <w:webHidden/>
            </w:rPr>
            <w:t>11</w:t>
          </w:r>
        </w:p>
        <w:p w14:paraId="253ED94C" w14:textId="1F4E013E" w:rsidR="00B82B5A" w:rsidRDefault="00B82B5A">
          <w:pPr>
            <w:pStyle w:val="TOC2"/>
            <w:rPr>
              <w:noProof/>
              <w:color w:val="auto"/>
              <w:sz w:val="22"/>
            </w:rPr>
          </w:pPr>
          <w:r w:rsidRPr="00946134">
            <w:rPr>
              <w:noProof/>
            </w:rPr>
            <w:t>4.4.</w:t>
          </w:r>
          <w:r>
            <w:rPr>
              <w:noProof/>
              <w:color w:val="auto"/>
              <w:sz w:val="22"/>
            </w:rPr>
            <w:tab/>
          </w:r>
          <w:r w:rsidRPr="00946134">
            <w:rPr>
              <w:noProof/>
            </w:rPr>
            <w:t>Monitoring methods and analytical techniques</w:t>
          </w:r>
          <w:r>
            <w:rPr>
              <w:noProof/>
              <w:webHidden/>
            </w:rPr>
            <w:tab/>
          </w:r>
          <w:r w:rsidR="001A7A58">
            <w:rPr>
              <w:noProof/>
              <w:webHidden/>
            </w:rPr>
            <w:t>14</w:t>
          </w:r>
        </w:p>
        <w:p w14:paraId="772308C8" w14:textId="5C179941" w:rsidR="00B82B5A" w:rsidRDefault="00B82B5A">
          <w:pPr>
            <w:pStyle w:val="TOC2"/>
            <w:rPr>
              <w:noProof/>
              <w:color w:val="auto"/>
              <w:sz w:val="22"/>
            </w:rPr>
          </w:pPr>
          <w:r w:rsidRPr="00946134">
            <w:rPr>
              <w:noProof/>
            </w:rPr>
            <w:t>4.5.</w:t>
          </w:r>
          <w:r>
            <w:rPr>
              <w:noProof/>
              <w:color w:val="auto"/>
              <w:sz w:val="22"/>
            </w:rPr>
            <w:tab/>
          </w:r>
          <w:r w:rsidRPr="00946134">
            <w:rPr>
              <w:noProof/>
            </w:rPr>
            <w:t>Results</w:t>
          </w:r>
          <w:r>
            <w:rPr>
              <w:noProof/>
              <w:webHidden/>
            </w:rPr>
            <w:tab/>
          </w:r>
          <w:r w:rsidR="001A7A58">
            <w:rPr>
              <w:noProof/>
              <w:webHidden/>
            </w:rPr>
            <w:t>17</w:t>
          </w:r>
        </w:p>
        <w:p w14:paraId="1614C823" w14:textId="02CF890C" w:rsidR="00B82B5A" w:rsidRDefault="00B82B5A">
          <w:pPr>
            <w:pStyle w:val="TOC2"/>
            <w:rPr>
              <w:noProof/>
              <w:color w:val="auto"/>
              <w:sz w:val="22"/>
            </w:rPr>
          </w:pPr>
          <w:r w:rsidRPr="00946134">
            <w:rPr>
              <w:noProof/>
            </w:rPr>
            <w:t>4.6.</w:t>
          </w:r>
          <w:r>
            <w:rPr>
              <w:noProof/>
              <w:color w:val="auto"/>
              <w:sz w:val="22"/>
            </w:rPr>
            <w:tab/>
          </w:r>
          <w:r w:rsidRPr="00946134">
            <w:rPr>
              <w:noProof/>
            </w:rPr>
            <w:t>Discussion</w:t>
          </w:r>
          <w:r>
            <w:rPr>
              <w:noProof/>
              <w:webHidden/>
            </w:rPr>
            <w:tab/>
          </w:r>
          <w:r w:rsidR="001A7A58">
            <w:rPr>
              <w:noProof/>
              <w:webHidden/>
            </w:rPr>
            <w:t>25</w:t>
          </w:r>
        </w:p>
        <w:p w14:paraId="364E9459" w14:textId="5392A17C" w:rsidR="00B82B5A" w:rsidRDefault="00B82B5A">
          <w:pPr>
            <w:pStyle w:val="TOC1"/>
            <w:rPr>
              <w:b w:val="0"/>
              <w:noProof/>
              <w:color w:val="auto"/>
              <w:sz w:val="22"/>
            </w:rPr>
          </w:pPr>
          <w:r w:rsidRPr="00946134">
            <w:rPr>
              <w:noProof/>
            </w:rPr>
            <w:t>5.</w:t>
          </w:r>
          <w:r>
            <w:rPr>
              <w:b w:val="0"/>
              <w:noProof/>
              <w:color w:val="auto"/>
              <w:sz w:val="22"/>
            </w:rPr>
            <w:tab/>
          </w:r>
          <w:r w:rsidRPr="00946134">
            <w:rPr>
              <w:noProof/>
            </w:rPr>
            <w:t>Metabolism</w:t>
          </w:r>
          <w:r>
            <w:rPr>
              <w:noProof/>
              <w:webHidden/>
            </w:rPr>
            <w:tab/>
          </w:r>
          <w:r w:rsidR="001A7A58">
            <w:rPr>
              <w:noProof/>
              <w:webHidden/>
            </w:rPr>
            <w:t>31</w:t>
          </w:r>
        </w:p>
        <w:p w14:paraId="7F9DE58E" w14:textId="649101B0" w:rsidR="00B82B5A" w:rsidRDefault="00B82B5A">
          <w:pPr>
            <w:pStyle w:val="TOC2"/>
            <w:rPr>
              <w:noProof/>
              <w:color w:val="auto"/>
              <w:sz w:val="22"/>
            </w:rPr>
          </w:pPr>
          <w:r w:rsidRPr="00946134">
            <w:rPr>
              <w:noProof/>
            </w:rPr>
            <w:t>5.1.</w:t>
          </w:r>
          <w:r>
            <w:rPr>
              <w:noProof/>
              <w:color w:val="auto"/>
              <w:sz w:val="22"/>
            </w:rPr>
            <w:tab/>
          </w:r>
          <w:r w:rsidRPr="00946134">
            <w:rPr>
              <w:noProof/>
            </w:rPr>
            <w:t>Introduction</w:t>
          </w:r>
          <w:r>
            <w:rPr>
              <w:noProof/>
              <w:webHidden/>
            </w:rPr>
            <w:tab/>
          </w:r>
          <w:r w:rsidR="001A7A58">
            <w:rPr>
              <w:noProof/>
              <w:webHidden/>
            </w:rPr>
            <w:t>31</w:t>
          </w:r>
        </w:p>
        <w:p w14:paraId="677C86DF" w14:textId="3C02EA2C" w:rsidR="00B82B5A" w:rsidRDefault="00B82B5A">
          <w:pPr>
            <w:pStyle w:val="TOC2"/>
            <w:rPr>
              <w:noProof/>
              <w:color w:val="auto"/>
              <w:sz w:val="22"/>
            </w:rPr>
          </w:pPr>
          <w:r w:rsidRPr="00946134">
            <w:rPr>
              <w:noProof/>
            </w:rPr>
            <w:t>5.2.</w:t>
          </w:r>
          <w:r>
            <w:rPr>
              <w:noProof/>
              <w:color w:val="auto"/>
              <w:sz w:val="22"/>
            </w:rPr>
            <w:tab/>
          </w:r>
          <w:r w:rsidRPr="00946134">
            <w:rPr>
              <w:noProof/>
            </w:rPr>
            <w:t>Area specific evaluation questions</w:t>
          </w:r>
          <w:r>
            <w:rPr>
              <w:noProof/>
              <w:webHidden/>
            </w:rPr>
            <w:tab/>
          </w:r>
          <w:r w:rsidR="001A7A58">
            <w:rPr>
              <w:noProof/>
              <w:webHidden/>
            </w:rPr>
            <w:t>32</w:t>
          </w:r>
        </w:p>
        <w:p w14:paraId="2F4F16D1" w14:textId="7B7F29A6" w:rsidR="00B82B5A" w:rsidRDefault="00B82B5A">
          <w:pPr>
            <w:pStyle w:val="TOC2"/>
            <w:rPr>
              <w:noProof/>
              <w:color w:val="auto"/>
              <w:sz w:val="22"/>
            </w:rPr>
          </w:pPr>
          <w:r w:rsidRPr="00946134">
            <w:rPr>
              <w:noProof/>
            </w:rPr>
            <w:t>5.3.</w:t>
          </w:r>
          <w:r>
            <w:rPr>
              <w:noProof/>
              <w:color w:val="auto"/>
              <w:sz w:val="22"/>
            </w:rPr>
            <w:tab/>
          </w:r>
          <w:r w:rsidRPr="00946134">
            <w:rPr>
              <w:noProof/>
            </w:rPr>
            <w:t>Main findings from monitoring program</w:t>
          </w:r>
          <w:r>
            <w:rPr>
              <w:noProof/>
              <w:webHidden/>
            </w:rPr>
            <w:tab/>
          </w:r>
          <w:r w:rsidR="001A7A58">
            <w:rPr>
              <w:noProof/>
              <w:webHidden/>
            </w:rPr>
            <w:t>32</w:t>
          </w:r>
        </w:p>
        <w:p w14:paraId="082B28CB" w14:textId="11F31B8C" w:rsidR="00B82B5A" w:rsidRDefault="00B82B5A">
          <w:pPr>
            <w:pStyle w:val="TOC2"/>
            <w:rPr>
              <w:noProof/>
              <w:color w:val="auto"/>
              <w:sz w:val="22"/>
            </w:rPr>
          </w:pPr>
          <w:r w:rsidRPr="00946134">
            <w:rPr>
              <w:noProof/>
            </w:rPr>
            <w:t>5.4.</w:t>
          </w:r>
          <w:r>
            <w:rPr>
              <w:noProof/>
              <w:color w:val="auto"/>
              <w:sz w:val="22"/>
            </w:rPr>
            <w:tab/>
          </w:r>
          <w:r w:rsidRPr="00946134">
            <w:rPr>
              <w:noProof/>
            </w:rPr>
            <w:t>Monitoring methods and analytical techniques</w:t>
          </w:r>
          <w:r>
            <w:rPr>
              <w:noProof/>
              <w:webHidden/>
            </w:rPr>
            <w:tab/>
          </w:r>
          <w:r w:rsidR="001A7A58">
            <w:rPr>
              <w:noProof/>
              <w:webHidden/>
            </w:rPr>
            <w:t>35</w:t>
          </w:r>
        </w:p>
        <w:p w14:paraId="7AC8B78E" w14:textId="470DF1BE" w:rsidR="00B82B5A" w:rsidRDefault="00B82B5A">
          <w:pPr>
            <w:pStyle w:val="TOC2"/>
            <w:rPr>
              <w:noProof/>
              <w:color w:val="auto"/>
              <w:sz w:val="22"/>
            </w:rPr>
          </w:pPr>
          <w:r w:rsidRPr="00946134">
            <w:rPr>
              <w:noProof/>
            </w:rPr>
            <w:t>5.5.</w:t>
          </w:r>
          <w:r>
            <w:rPr>
              <w:noProof/>
              <w:color w:val="auto"/>
              <w:sz w:val="22"/>
            </w:rPr>
            <w:tab/>
          </w:r>
          <w:r w:rsidRPr="00946134">
            <w:rPr>
              <w:noProof/>
            </w:rPr>
            <w:t>Results</w:t>
          </w:r>
          <w:r>
            <w:rPr>
              <w:noProof/>
              <w:webHidden/>
            </w:rPr>
            <w:tab/>
          </w:r>
          <w:r w:rsidR="001A7A58">
            <w:rPr>
              <w:noProof/>
              <w:webHidden/>
            </w:rPr>
            <w:t>38</w:t>
          </w:r>
        </w:p>
        <w:p w14:paraId="0136AB31" w14:textId="45632434" w:rsidR="00B82B5A" w:rsidRDefault="00B82B5A">
          <w:pPr>
            <w:pStyle w:val="TOC2"/>
            <w:rPr>
              <w:noProof/>
              <w:color w:val="auto"/>
              <w:sz w:val="22"/>
            </w:rPr>
          </w:pPr>
          <w:r w:rsidRPr="00946134">
            <w:rPr>
              <w:noProof/>
            </w:rPr>
            <w:t>5.6.</w:t>
          </w:r>
          <w:r>
            <w:rPr>
              <w:noProof/>
              <w:color w:val="auto"/>
              <w:sz w:val="22"/>
            </w:rPr>
            <w:tab/>
          </w:r>
          <w:r w:rsidRPr="00946134">
            <w:rPr>
              <w:noProof/>
            </w:rPr>
            <w:t>Discussion</w:t>
          </w:r>
          <w:r>
            <w:rPr>
              <w:noProof/>
              <w:webHidden/>
            </w:rPr>
            <w:tab/>
          </w:r>
          <w:r w:rsidR="001A7A58">
            <w:rPr>
              <w:noProof/>
              <w:webHidden/>
            </w:rPr>
            <w:t>70</w:t>
          </w:r>
        </w:p>
        <w:p w14:paraId="295219CB" w14:textId="766F9CA5" w:rsidR="00B82B5A" w:rsidRDefault="00B82B5A">
          <w:pPr>
            <w:pStyle w:val="TOC1"/>
            <w:rPr>
              <w:b w:val="0"/>
              <w:noProof/>
              <w:color w:val="auto"/>
              <w:sz w:val="22"/>
            </w:rPr>
          </w:pPr>
          <w:r w:rsidRPr="00946134">
            <w:rPr>
              <w:noProof/>
            </w:rPr>
            <w:t>6.</w:t>
          </w:r>
          <w:r>
            <w:rPr>
              <w:b w:val="0"/>
              <w:noProof/>
              <w:color w:val="auto"/>
              <w:sz w:val="22"/>
            </w:rPr>
            <w:tab/>
          </w:r>
          <w:r w:rsidRPr="00946134">
            <w:rPr>
              <w:noProof/>
            </w:rPr>
            <w:t>Macroinvertebrates</w:t>
          </w:r>
          <w:r>
            <w:rPr>
              <w:noProof/>
              <w:webHidden/>
            </w:rPr>
            <w:tab/>
          </w:r>
          <w:r w:rsidR="001A7A58">
            <w:rPr>
              <w:noProof/>
              <w:webHidden/>
            </w:rPr>
            <w:t>71</w:t>
          </w:r>
        </w:p>
        <w:p w14:paraId="4DB453EB" w14:textId="2575E650" w:rsidR="00B82B5A" w:rsidRDefault="00B82B5A">
          <w:pPr>
            <w:pStyle w:val="TOC2"/>
            <w:rPr>
              <w:noProof/>
              <w:color w:val="auto"/>
              <w:sz w:val="22"/>
            </w:rPr>
          </w:pPr>
          <w:r w:rsidRPr="00946134">
            <w:rPr>
              <w:noProof/>
            </w:rPr>
            <w:t>6.1.</w:t>
          </w:r>
          <w:r>
            <w:rPr>
              <w:noProof/>
              <w:color w:val="auto"/>
              <w:sz w:val="22"/>
            </w:rPr>
            <w:tab/>
          </w:r>
          <w:r w:rsidRPr="00946134">
            <w:rPr>
              <w:noProof/>
            </w:rPr>
            <w:t>Introduction</w:t>
          </w:r>
          <w:r>
            <w:rPr>
              <w:noProof/>
              <w:webHidden/>
            </w:rPr>
            <w:tab/>
          </w:r>
          <w:r w:rsidR="001A7A58">
            <w:rPr>
              <w:noProof/>
              <w:webHidden/>
            </w:rPr>
            <w:t>71</w:t>
          </w:r>
        </w:p>
        <w:p w14:paraId="1A04352E" w14:textId="3FFCDDC1" w:rsidR="00B82B5A" w:rsidRDefault="00B82B5A">
          <w:pPr>
            <w:pStyle w:val="TOC2"/>
            <w:rPr>
              <w:noProof/>
              <w:color w:val="auto"/>
              <w:sz w:val="22"/>
            </w:rPr>
          </w:pPr>
          <w:r w:rsidRPr="00946134">
            <w:rPr>
              <w:noProof/>
            </w:rPr>
            <w:t>6.2.</w:t>
          </w:r>
          <w:r>
            <w:rPr>
              <w:noProof/>
              <w:color w:val="auto"/>
              <w:sz w:val="22"/>
            </w:rPr>
            <w:tab/>
          </w:r>
          <w:r w:rsidRPr="00946134">
            <w:rPr>
              <w:noProof/>
            </w:rPr>
            <w:t>Area specific evaluation questions</w:t>
          </w:r>
          <w:r>
            <w:rPr>
              <w:noProof/>
              <w:webHidden/>
            </w:rPr>
            <w:tab/>
          </w:r>
          <w:r w:rsidR="001A7A58">
            <w:rPr>
              <w:noProof/>
              <w:webHidden/>
            </w:rPr>
            <w:t>71</w:t>
          </w:r>
        </w:p>
        <w:p w14:paraId="2E78D691" w14:textId="15967970" w:rsidR="00B82B5A" w:rsidRDefault="00B82B5A">
          <w:pPr>
            <w:pStyle w:val="TOC2"/>
            <w:rPr>
              <w:noProof/>
              <w:color w:val="auto"/>
              <w:sz w:val="22"/>
            </w:rPr>
          </w:pPr>
          <w:r w:rsidRPr="00946134">
            <w:rPr>
              <w:noProof/>
            </w:rPr>
            <w:t>6.3.</w:t>
          </w:r>
          <w:r>
            <w:rPr>
              <w:noProof/>
              <w:color w:val="auto"/>
              <w:sz w:val="22"/>
            </w:rPr>
            <w:tab/>
          </w:r>
          <w:r w:rsidRPr="00946134">
            <w:rPr>
              <w:noProof/>
            </w:rPr>
            <w:t>Main findings from monitoring program</w:t>
          </w:r>
          <w:r>
            <w:rPr>
              <w:noProof/>
              <w:webHidden/>
            </w:rPr>
            <w:tab/>
          </w:r>
          <w:r w:rsidR="001A7A58">
            <w:rPr>
              <w:noProof/>
              <w:webHidden/>
            </w:rPr>
            <w:t>72</w:t>
          </w:r>
        </w:p>
        <w:p w14:paraId="6CCC3CA2" w14:textId="69903BF0" w:rsidR="00B82B5A" w:rsidRDefault="00B82B5A">
          <w:pPr>
            <w:pStyle w:val="TOC2"/>
            <w:rPr>
              <w:noProof/>
              <w:color w:val="auto"/>
              <w:sz w:val="22"/>
            </w:rPr>
          </w:pPr>
          <w:r w:rsidRPr="00946134">
            <w:rPr>
              <w:noProof/>
            </w:rPr>
            <w:t>6.4.</w:t>
          </w:r>
          <w:r>
            <w:rPr>
              <w:noProof/>
              <w:color w:val="auto"/>
              <w:sz w:val="22"/>
            </w:rPr>
            <w:tab/>
          </w:r>
          <w:r w:rsidRPr="00946134">
            <w:rPr>
              <w:noProof/>
            </w:rPr>
            <w:t>Monitoring methods and analytical techniques</w:t>
          </w:r>
          <w:r>
            <w:rPr>
              <w:noProof/>
              <w:webHidden/>
            </w:rPr>
            <w:tab/>
          </w:r>
          <w:r w:rsidR="001A7A58">
            <w:rPr>
              <w:noProof/>
              <w:webHidden/>
            </w:rPr>
            <w:t>73</w:t>
          </w:r>
        </w:p>
        <w:p w14:paraId="723F0963" w14:textId="0270F531" w:rsidR="00B82B5A" w:rsidRDefault="00B82B5A">
          <w:pPr>
            <w:pStyle w:val="TOC2"/>
            <w:rPr>
              <w:noProof/>
              <w:color w:val="auto"/>
              <w:sz w:val="22"/>
            </w:rPr>
          </w:pPr>
          <w:r w:rsidRPr="00946134">
            <w:rPr>
              <w:noProof/>
            </w:rPr>
            <w:t>6.5.</w:t>
          </w:r>
          <w:r>
            <w:rPr>
              <w:noProof/>
              <w:color w:val="auto"/>
              <w:sz w:val="22"/>
            </w:rPr>
            <w:tab/>
          </w:r>
          <w:r w:rsidRPr="00946134">
            <w:rPr>
              <w:noProof/>
            </w:rPr>
            <w:t>Results</w:t>
          </w:r>
          <w:r>
            <w:rPr>
              <w:noProof/>
              <w:webHidden/>
            </w:rPr>
            <w:tab/>
          </w:r>
          <w:r w:rsidR="001A7A58">
            <w:rPr>
              <w:noProof/>
              <w:webHidden/>
            </w:rPr>
            <w:t>75</w:t>
          </w:r>
        </w:p>
        <w:p w14:paraId="77580296" w14:textId="741F37F4" w:rsidR="00B82B5A" w:rsidRDefault="00B82B5A">
          <w:pPr>
            <w:pStyle w:val="TOC2"/>
            <w:rPr>
              <w:noProof/>
              <w:color w:val="auto"/>
              <w:sz w:val="22"/>
            </w:rPr>
          </w:pPr>
          <w:r w:rsidRPr="00946134">
            <w:rPr>
              <w:noProof/>
            </w:rPr>
            <w:t>6.6.</w:t>
          </w:r>
          <w:r>
            <w:rPr>
              <w:noProof/>
              <w:color w:val="auto"/>
              <w:sz w:val="22"/>
            </w:rPr>
            <w:tab/>
          </w:r>
          <w:r w:rsidRPr="00946134">
            <w:rPr>
              <w:noProof/>
            </w:rPr>
            <w:t>Discussion</w:t>
          </w:r>
          <w:r>
            <w:rPr>
              <w:noProof/>
              <w:webHidden/>
            </w:rPr>
            <w:tab/>
          </w:r>
          <w:r w:rsidR="001A7A58">
            <w:rPr>
              <w:noProof/>
              <w:webHidden/>
            </w:rPr>
            <w:t>85</w:t>
          </w:r>
        </w:p>
        <w:p w14:paraId="06683CCA" w14:textId="066D34FF" w:rsidR="00B82B5A" w:rsidRDefault="00B82B5A">
          <w:pPr>
            <w:pStyle w:val="TOC1"/>
            <w:rPr>
              <w:b w:val="0"/>
              <w:noProof/>
              <w:color w:val="auto"/>
              <w:sz w:val="22"/>
            </w:rPr>
          </w:pPr>
          <w:r w:rsidRPr="00946134">
            <w:rPr>
              <w:noProof/>
            </w:rPr>
            <w:t>7.</w:t>
          </w:r>
          <w:r>
            <w:rPr>
              <w:b w:val="0"/>
              <w:noProof/>
              <w:color w:val="auto"/>
              <w:sz w:val="22"/>
            </w:rPr>
            <w:tab/>
          </w:r>
          <w:r w:rsidRPr="00946134">
            <w:rPr>
              <w:noProof/>
            </w:rPr>
            <w:t>Vegetation</w:t>
          </w:r>
          <w:r>
            <w:rPr>
              <w:noProof/>
              <w:webHidden/>
            </w:rPr>
            <w:tab/>
          </w:r>
          <w:r w:rsidR="001A7A58">
            <w:rPr>
              <w:noProof/>
              <w:webHidden/>
            </w:rPr>
            <w:t>86</w:t>
          </w:r>
        </w:p>
        <w:p w14:paraId="67F0D471" w14:textId="49626535" w:rsidR="00B82B5A" w:rsidRDefault="00B82B5A">
          <w:pPr>
            <w:pStyle w:val="TOC2"/>
            <w:rPr>
              <w:noProof/>
              <w:color w:val="auto"/>
              <w:sz w:val="22"/>
            </w:rPr>
          </w:pPr>
          <w:r w:rsidRPr="00946134">
            <w:rPr>
              <w:noProof/>
            </w:rPr>
            <w:t>7.1.</w:t>
          </w:r>
          <w:r>
            <w:rPr>
              <w:noProof/>
              <w:color w:val="auto"/>
              <w:sz w:val="22"/>
            </w:rPr>
            <w:tab/>
          </w:r>
          <w:r w:rsidRPr="00946134">
            <w:rPr>
              <w:noProof/>
            </w:rPr>
            <w:t>Introduction</w:t>
          </w:r>
          <w:r>
            <w:rPr>
              <w:noProof/>
              <w:webHidden/>
            </w:rPr>
            <w:tab/>
          </w:r>
          <w:r w:rsidR="001A7A58">
            <w:rPr>
              <w:noProof/>
              <w:webHidden/>
            </w:rPr>
            <w:t>86</w:t>
          </w:r>
        </w:p>
        <w:p w14:paraId="1D12E2B2" w14:textId="2C5D84C9" w:rsidR="00B82B5A" w:rsidRDefault="00B82B5A">
          <w:pPr>
            <w:pStyle w:val="TOC2"/>
            <w:rPr>
              <w:noProof/>
              <w:color w:val="auto"/>
              <w:sz w:val="22"/>
            </w:rPr>
          </w:pPr>
          <w:r w:rsidRPr="00946134">
            <w:rPr>
              <w:noProof/>
            </w:rPr>
            <w:lastRenderedPageBreak/>
            <w:t>7.2.</w:t>
          </w:r>
          <w:r>
            <w:rPr>
              <w:noProof/>
              <w:color w:val="auto"/>
              <w:sz w:val="22"/>
            </w:rPr>
            <w:tab/>
          </w:r>
          <w:r w:rsidRPr="00946134">
            <w:rPr>
              <w:noProof/>
            </w:rPr>
            <w:t>Area specific evaluation questions</w:t>
          </w:r>
          <w:r>
            <w:rPr>
              <w:noProof/>
              <w:webHidden/>
            </w:rPr>
            <w:tab/>
          </w:r>
          <w:r w:rsidR="001A7A58">
            <w:rPr>
              <w:noProof/>
              <w:webHidden/>
            </w:rPr>
            <w:t>86</w:t>
          </w:r>
        </w:p>
        <w:p w14:paraId="788F92DD" w14:textId="7FC9BC19" w:rsidR="00B82B5A" w:rsidRDefault="00B82B5A">
          <w:pPr>
            <w:pStyle w:val="TOC2"/>
            <w:rPr>
              <w:noProof/>
              <w:color w:val="auto"/>
              <w:sz w:val="22"/>
            </w:rPr>
          </w:pPr>
          <w:r w:rsidRPr="00946134">
            <w:rPr>
              <w:noProof/>
            </w:rPr>
            <w:t>7.3.</w:t>
          </w:r>
          <w:r>
            <w:rPr>
              <w:noProof/>
              <w:color w:val="auto"/>
              <w:sz w:val="22"/>
            </w:rPr>
            <w:tab/>
          </w:r>
          <w:r w:rsidRPr="00946134">
            <w:rPr>
              <w:noProof/>
            </w:rPr>
            <w:t>Main findings from the vegetation monitoring program</w:t>
          </w:r>
          <w:r>
            <w:rPr>
              <w:noProof/>
              <w:webHidden/>
            </w:rPr>
            <w:tab/>
          </w:r>
          <w:r w:rsidR="001A7A58">
            <w:rPr>
              <w:noProof/>
              <w:webHidden/>
            </w:rPr>
            <w:t>87</w:t>
          </w:r>
        </w:p>
        <w:p w14:paraId="37021E13" w14:textId="2666DDF6" w:rsidR="00B82B5A" w:rsidRDefault="00B82B5A">
          <w:pPr>
            <w:pStyle w:val="TOC2"/>
            <w:rPr>
              <w:noProof/>
              <w:color w:val="auto"/>
              <w:sz w:val="22"/>
            </w:rPr>
          </w:pPr>
          <w:r w:rsidRPr="00946134">
            <w:rPr>
              <w:noProof/>
            </w:rPr>
            <w:t>7.4.</w:t>
          </w:r>
          <w:r>
            <w:rPr>
              <w:noProof/>
              <w:color w:val="auto"/>
              <w:sz w:val="22"/>
            </w:rPr>
            <w:tab/>
          </w:r>
          <w:r w:rsidRPr="00946134">
            <w:rPr>
              <w:noProof/>
            </w:rPr>
            <w:t>Monitoring methods and analytical techniques</w:t>
          </w:r>
          <w:r>
            <w:rPr>
              <w:noProof/>
              <w:webHidden/>
            </w:rPr>
            <w:tab/>
          </w:r>
          <w:r w:rsidR="001A7A58">
            <w:rPr>
              <w:noProof/>
              <w:webHidden/>
            </w:rPr>
            <w:t>91</w:t>
          </w:r>
        </w:p>
        <w:p w14:paraId="6748870E" w14:textId="76A11809" w:rsidR="00B82B5A" w:rsidRDefault="00B82B5A">
          <w:pPr>
            <w:pStyle w:val="TOC2"/>
            <w:rPr>
              <w:noProof/>
              <w:color w:val="auto"/>
              <w:sz w:val="22"/>
            </w:rPr>
          </w:pPr>
          <w:r w:rsidRPr="00946134">
            <w:rPr>
              <w:noProof/>
            </w:rPr>
            <w:t>7.5.</w:t>
          </w:r>
          <w:r>
            <w:rPr>
              <w:noProof/>
              <w:color w:val="auto"/>
              <w:sz w:val="22"/>
            </w:rPr>
            <w:tab/>
          </w:r>
          <w:r w:rsidRPr="00946134">
            <w:rPr>
              <w:noProof/>
            </w:rPr>
            <w:t>Results</w:t>
          </w:r>
          <w:r>
            <w:rPr>
              <w:noProof/>
              <w:webHidden/>
            </w:rPr>
            <w:tab/>
          </w:r>
          <w:r w:rsidR="001A7A58">
            <w:rPr>
              <w:noProof/>
              <w:webHidden/>
            </w:rPr>
            <w:t>92</w:t>
          </w:r>
        </w:p>
        <w:p w14:paraId="64722137" w14:textId="738E1880" w:rsidR="00B82B5A" w:rsidRDefault="00B82B5A">
          <w:pPr>
            <w:pStyle w:val="TOC2"/>
            <w:rPr>
              <w:noProof/>
              <w:color w:val="auto"/>
              <w:sz w:val="22"/>
            </w:rPr>
          </w:pPr>
          <w:r w:rsidRPr="00946134">
            <w:rPr>
              <w:noProof/>
            </w:rPr>
            <w:t>7.6.</w:t>
          </w:r>
          <w:r>
            <w:rPr>
              <w:noProof/>
              <w:color w:val="auto"/>
              <w:sz w:val="22"/>
            </w:rPr>
            <w:tab/>
          </w:r>
          <w:r w:rsidRPr="00946134">
            <w:rPr>
              <w:noProof/>
            </w:rPr>
            <w:t>Discussion</w:t>
          </w:r>
          <w:r>
            <w:rPr>
              <w:noProof/>
              <w:webHidden/>
            </w:rPr>
            <w:tab/>
          </w:r>
          <w:r w:rsidR="001A7A58">
            <w:rPr>
              <w:noProof/>
              <w:webHidden/>
            </w:rPr>
            <w:t>99</w:t>
          </w:r>
        </w:p>
        <w:p w14:paraId="097121DC" w14:textId="4CF87F20" w:rsidR="00B82B5A" w:rsidRDefault="00B82B5A">
          <w:pPr>
            <w:pStyle w:val="TOC1"/>
            <w:rPr>
              <w:b w:val="0"/>
              <w:noProof/>
              <w:color w:val="auto"/>
              <w:sz w:val="22"/>
            </w:rPr>
          </w:pPr>
          <w:r w:rsidRPr="00946134">
            <w:rPr>
              <w:noProof/>
            </w:rPr>
            <w:t>8.</w:t>
          </w:r>
          <w:r>
            <w:rPr>
              <w:b w:val="0"/>
              <w:noProof/>
              <w:color w:val="auto"/>
              <w:sz w:val="22"/>
            </w:rPr>
            <w:tab/>
          </w:r>
          <w:r w:rsidRPr="00946134">
            <w:rPr>
              <w:noProof/>
            </w:rPr>
            <w:t>Fish</w:t>
          </w:r>
          <w:r>
            <w:rPr>
              <w:noProof/>
              <w:webHidden/>
            </w:rPr>
            <w:tab/>
          </w:r>
          <w:r w:rsidR="001A7A58">
            <w:rPr>
              <w:noProof/>
              <w:webHidden/>
            </w:rPr>
            <w:t>102</w:t>
          </w:r>
        </w:p>
        <w:p w14:paraId="542CB775" w14:textId="674125AA" w:rsidR="00B82B5A" w:rsidRDefault="00B82B5A">
          <w:pPr>
            <w:pStyle w:val="TOC2"/>
            <w:rPr>
              <w:noProof/>
              <w:color w:val="auto"/>
              <w:sz w:val="22"/>
            </w:rPr>
          </w:pPr>
          <w:r w:rsidRPr="00946134">
            <w:rPr>
              <w:noProof/>
            </w:rPr>
            <w:t>8.1.</w:t>
          </w:r>
          <w:r>
            <w:rPr>
              <w:noProof/>
              <w:color w:val="auto"/>
              <w:sz w:val="22"/>
            </w:rPr>
            <w:tab/>
          </w:r>
          <w:r w:rsidRPr="00946134">
            <w:rPr>
              <w:noProof/>
            </w:rPr>
            <w:t>Introduction</w:t>
          </w:r>
          <w:r>
            <w:rPr>
              <w:noProof/>
              <w:webHidden/>
            </w:rPr>
            <w:tab/>
          </w:r>
          <w:r w:rsidR="001A7A58">
            <w:rPr>
              <w:noProof/>
              <w:webHidden/>
            </w:rPr>
            <w:t>102</w:t>
          </w:r>
        </w:p>
        <w:p w14:paraId="5286E8BB" w14:textId="4EA6A1F1" w:rsidR="00B82B5A" w:rsidRDefault="00B82B5A">
          <w:pPr>
            <w:pStyle w:val="TOC2"/>
            <w:rPr>
              <w:noProof/>
              <w:color w:val="auto"/>
              <w:sz w:val="22"/>
            </w:rPr>
          </w:pPr>
          <w:r w:rsidRPr="00946134">
            <w:rPr>
              <w:noProof/>
            </w:rPr>
            <w:t>8.2.</w:t>
          </w:r>
          <w:r>
            <w:rPr>
              <w:noProof/>
              <w:color w:val="auto"/>
              <w:sz w:val="22"/>
            </w:rPr>
            <w:tab/>
          </w:r>
          <w:r w:rsidRPr="00946134">
            <w:rPr>
              <w:noProof/>
            </w:rPr>
            <w:t>Basin and area specific evaluation questions</w:t>
          </w:r>
          <w:r>
            <w:rPr>
              <w:noProof/>
              <w:webHidden/>
            </w:rPr>
            <w:tab/>
          </w:r>
          <w:r w:rsidR="001A7A58">
            <w:rPr>
              <w:noProof/>
              <w:webHidden/>
            </w:rPr>
            <w:t>102</w:t>
          </w:r>
        </w:p>
        <w:p w14:paraId="1C9B36FC" w14:textId="77B269F4" w:rsidR="00B82B5A" w:rsidRDefault="00B82B5A">
          <w:pPr>
            <w:pStyle w:val="TOC2"/>
            <w:rPr>
              <w:noProof/>
              <w:color w:val="auto"/>
              <w:sz w:val="22"/>
            </w:rPr>
          </w:pPr>
          <w:r w:rsidRPr="00946134">
            <w:rPr>
              <w:noProof/>
            </w:rPr>
            <w:t>8.3.</w:t>
          </w:r>
          <w:r>
            <w:rPr>
              <w:noProof/>
              <w:color w:val="auto"/>
              <w:sz w:val="22"/>
            </w:rPr>
            <w:tab/>
          </w:r>
          <w:r w:rsidRPr="00946134">
            <w:rPr>
              <w:noProof/>
            </w:rPr>
            <w:t>Main findings from monitoring program</w:t>
          </w:r>
          <w:r>
            <w:rPr>
              <w:noProof/>
              <w:webHidden/>
            </w:rPr>
            <w:tab/>
          </w:r>
          <w:r w:rsidR="001A7A58">
            <w:rPr>
              <w:noProof/>
              <w:webHidden/>
            </w:rPr>
            <w:t>103</w:t>
          </w:r>
        </w:p>
        <w:p w14:paraId="09992E5A" w14:textId="0EDD971C" w:rsidR="00B82B5A" w:rsidRDefault="00B82B5A">
          <w:pPr>
            <w:pStyle w:val="TOC2"/>
            <w:rPr>
              <w:noProof/>
              <w:color w:val="auto"/>
              <w:sz w:val="22"/>
            </w:rPr>
          </w:pPr>
          <w:r w:rsidRPr="00946134">
            <w:rPr>
              <w:noProof/>
            </w:rPr>
            <w:t>8.4.</w:t>
          </w:r>
          <w:r>
            <w:rPr>
              <w:noProof/>
              <w:color w:val="auto"/>
              <w:sz w:val="22"/>
            </w:rPr>
            <w:tab/>
          </w:r>
          <w:r w:rsidRPr="00946134">
            <w:rPr>
              <w:noProof/>
            </w:rPr>
            <w:t>Monitoring methods and analytical techniques</w:t>
          </w:r>
          <w:r>
            <w:rPr>
              <w:noProof/>
              <w:webHidden/>
            </w:rPr>
            <w:tab/>
          </w:r>
          <w:r w:rsidR="001A7A58">
            <w:rPr>
              <w:noProof/>
              <w:webHidden/>
            </w:rPr>
            <w:t>106</w:t>
          </w:r>
        </w:p>
        <w:p w14:paraId="5493ED23" w14:textId="6F455D52" w:rsidR="00B82B5A" w:rsidRDefault="00B82B5A">
          <w:pPr>
            <w:pStyle w:val="TOC2"/>
            <w:rPr>
              <w:noProof/>
              <w:color w:val="auto"/>
              <w:sz w:val="22"/>
            </w:rPr>
          </w:pPr>
          <w:r w:rsidRPr="00946134">
            <w:rPr>
              <w:noProof/>
            </w:rPr>
            <w:t>8.5.</w:t>
          </w:r>
          <w:r>
            <w:rPr>
              <w:noProof/>
              <w:color w:val="auto"/>
              <w:sz w:val="22"/>
            </w:rPr>
            <w:tab/>
          </w:r>
          <w:r w:rsidRPr="00946134">
            <w:rPr>
              <w:noProof/>
            </w:rPr>
            <w:t>Results</w:t>
          </w:r>
          <w:r>
            <w:rPr>
              <w:noProof/>
              <w:webHidden/>
            </w:rPr>
            <w:tab/>
          </w:r>
          <w:r w:rsidR="001A7A58">
            <w:rPr>
              <w:noProof/>
              <w:webHidden/>
            </w:rPr>
            <w:t>107</w:t>
          </w:r>
        </w:p>
        <w:p w14:paraId="49FD4BA1" w14:textId="18BA91FC" w:rsidR="00B82B5A" w:rsidRDefault="00B82B5A">
          <w:pPr>
            <w:pStyle w:val="TOC2"/>
            <w:rPr>
              <w:noProof/>
              <w:color w:val="auto"/>
              <w:sz w:val="22"/>
            </w:rPr>
          </w:pPr>
          <w:r w:rsidRPr="00946134">
            <w:rPr>
              <w:noProof/>
            </w:rPr>
            <w:t>8.6.</w:t>
          </w:r>
          <w:r>
            <w:rPr>
              <w:noProof/>
              <w:color w:val="auto"/>
              <w:sz w:val="22"/>
            </w:rPr>
            <w:tab/>
          </w:r>
          <w:r w:rsidRPr="00946134">
            <w:rPr>
              <w:noProof/>
            </w:rPr>
            <w:t>Discussion</w:t>
          </w:r>
          <w:r>
            <w:rPr>
              <w:noProof/>
              <w:webHidden/>
            </w:rPr>
            <w:tab/>
          </w:r>
          <w:r w:rsidR="001A7A58">
            <w:rPr>
              <w:noProof/>
              <w:webHidden/>
            </w:rPr>
            <w:t>113</w:t>
          </w:r>
        </w:p>
        <w:p w14:paraId="154B3941" w14:textId="7CB2D087" w:rsidR="00B82B5A" w:rsidRDefault="00B82B5A">
          <w:pPr>
            <w:pStyle w:val="TOC1"/>
            <w:rPr>
              <w:b w:val="0"/>
              <w:noProof/>
              <w:color w:val="auto"/>
              <w:sz w:val="22"/>
            </w:rPr>
          </w:pPr>
          <w:r w:rsidRPr="00946134">
            <w:rPr>
              <w:noProof/>
            </w:rPr>
            <w:t>9.</w:t>
          </w:r>
          <w:r>
            <w:rPr>
              <w:b w:val="0"/>
              <w:noProof/>
              <w:color w:val="auto"/>
              <w:sz w:val="22"/>
            </w:rPr>
            <w:tab/>
          </w:r>
          <w:r w:rsidRPr="00946134">
            <w:rPr>
              <w:noProof/>
            </w:rPr>
            <w:t>Contingency Monitoring – Turf Mats</w:t>
          </w:r>
          <w:r>
            <w:rPr>
              <w:noProof/>
              <w:webHidden/>
            </w:rPr>
            <w:tab/>
          </w:r>
          <w:r w:rsidR="001A7A58">
            <w:rPr>
              <w:noProof/>
              <w:webHidden/>
            </w:rPr>
            <w:t>115</w:t>
          </w:r>
        </w:p>
        <w:p w14:paraId="01E03D52" w14:textId="02EBB35C" w:rsidR="00B82B5A" w:rsidRDefault="00B82B5A">
          <w:pPr>
            <w:pStyle w:val="TOC2"/>
            <w:rPr>
              <w:noProof/>
              <w:color w:val="auto"/>
              <w:sz w:val="22"/>
            </w:rPr>
          </w:pPr>
          <w:r w:rsidRPr="00946134">
            <w:rPr>
              <w:noProof/>
            </w:rPr>
            <w:t>9.1.</w:t>
          </w:r>
          <w:r>
            <w:rPr>
              <w:noProof/>
              <w:color w:val="auto"/>
              <w:sz w:val="22"/>
            </w:rPr>
            <w:tab/>
          </w:r>
          <w:r w:rsidRPr="00946134">
            <w:rPr>
              <w:noProof/>
            </w:rPr>
            <w:t>Introduction</w:t>
          </w:r>
          <w:r>
            <w:rPr>
              <w:noProof/>
              <w:webHidden/>
            </w:rPr>
            <w:tab/>
          </w:r>
          <w:r w:rsidR="001A7A58">
            <w:rPr>
              <w:noProof/>
              <w:webHidden/>
            </w:rPr>
            <w:t>115</w:t>
          </w:r>
        </w:p>
        <w:p w14:paraId="129D29F0" w14:textId="39E6E957" w:rsidR="00B82B5A" w:rsidRDefault="00B82B5A">
          <w:pPr>
            <w:pStyle w:val="TOC2"/>
            <w:rPr>
              <w:noProof/>
              <w:color w:val="auto"/>
              <w:sz w:val="22"/>
            </w:rPr>
          </w:pPr>
          <w:r w:rsidRPr="00946134">
            <w:rPr>
              <w:noProof/>
            </w:rPr>
            <w:t>9.2.</w:t>
          </w:r>
          <w:r>
            <w:rPr>
              <w:noProof/>
              <w:color w:val="auto"/>
              <w:sz w:val="22"/>
            </w:rPr>
            <w:tab/>
          </w:r>
          <w:r w:rsidRPr="00946134">
            <w:rPr>
              <w:noProof/>
            </w:rPr>
            <w:t>Main findings from monitoring program</w:t>
          </w:r>
          <w:r>
            <w:rPr>
              <w:noProof/>
              <w:webHidden/>
            </w:rPr>
            <w:tab/>
          </w:r>
          <w:r w:rsidR="001A7A58">
            <w:rPr>
              <w:noProof/>
              <w:webHidden/>
            </w:rPr>
            <w:t>115</w:t>
          </w:r>
        </w:p>
        <w:p w14:paraId="325EAA0B" w14:textId="17711645" w:rsidR="00B82B5A" w:rsidRDefault="00B82B5A">
          <w:pPr>
            <w:pStyle w:val="TOC2"/>
            <w:rPr>
              <w:noProof/>
              <w:color w:val="auto"/>
              <w:sz w:val="22"/>
            </w:rPr>
          </w:pPr>
          <w:r w:rsidRPr="00946134">
            <w:rPr>
              <w:noProof/>
            </w:rPr>
            <w:t>9.3.</w:t>
          </w:r>
          <w:r>
            <w:rPr>
              <w:noProof/>
              <w:color w:val="auto"/>
              <w:sz w:val="22"/>
            </w:rPr>
            <w:tab/>
          </w:r>
          <w:r w:rsidRPr="00946134">
            <w:rPr>
              <w:noProof/>
            </w:rPr>
            <w:t>Methods</w:t>
          </w:r>
          <w:r>
            <w:rPr>
              <w:noProof/>
              <w:webHidden/>
            </w:rPr>
            <w:tab/>
          </w:r>
          <w:r w:rsidR="001A7A58">
            <w:rPr>
              <w:noProof/>
              <w:webHidden/>
            </w:rPr>
            <w:t>116</w:t>
          </w:r>
        </w:p>
        <w:p w14:paraId="74AE27E8" w14:textId="09F32C44" w:rsidR="00B82B5A" w:rsidRDefault="00B82B5A">
          <w:pPr>
            <w:pStyle w:val="TOC2"/>
            <w:rPr>
              <w:noProof/>
              <w:color w:val="auto"/>
              <w:sz w:val="22"/>
            </w:rPr>
          </w:pPr>
          <w:r w:rsidRPr="00946134">
            <w:rPr>
              <w:noProof/>
            </w:rPr>
            <w:t>9.4.</w:t>
          </w:r>
          <w:r>
            <w:rPr>
              <w:noProof/>
              <w:color w:val="auto"/>
              <w:sz w:val="22"/>
            </w:rPr>
            <w:tab/>
          </w:r>
          <w:r w:rsidRPr="00946134">
            <w:rPr>
              <w:noProof/>
            </w:rPr>
            <w:t>Sites and sample dates</w:t>
          </w:r>
          <w:r>
            <w:rPr>
              <w:noProof/>
              <w:webHidden/>
            </w:rPr>
            <w:tab/>
          </w:r>
          <w:r w:rsidR="001A7A58">
            <w:rPr>
              <w:noProof/>
              <w:webHidden/>
            </w:rPr>
            <w:t>118</w:t>
          </w:r>
        </w:p>
        <w:p w14:paraId="583DED29" w14:textId="5C790110" w:rsidR="00B82B5A" w:rsidRDefault="00B82B5A">
          <w:pPr>
            <w:pStyle w:val="TOC2"/>
            <w:rPr>
              <w:noProof/>
              <w:color w:val="auto"/>
              <w:sz w:val="22"/>
            </w:rPr>
          </w:pPr>
          <w:r w:rsidRPr="00946134">
            <w:rPr>
              <w:noProof/>
            </w:rPr>
            <w:t>9.5.</w:t>
          </w:r>
          <w:r>
            <w:rPr>
              <w:noProof/>
              <w:color w:val="auto"/>
              <w:sz w:val="22"/>
            </w:rPr>
            <w:tab/>
          </w:r>
          <w:r w:rsidRPr="00946134">
            <w:rPr>
              <w:noProof/>
            </w:rPr>
            <w:t>Results and discussion</w:t>
          </w:r>
          <w:r>
            <w:rPr>
              <w:noProof/>
              <w:webHidden/>
            </w:rPr>
            <w:tab/>
          </w:r>
          <w:r w:rsidR="001A7A58">
            <w:rPr>
              <w:noProof/>
              <w:webHidden/>
            </w:rPr>
            <w:t>119</w:t>
          </w:r>
        </w:p>
        <w:p w14:paraId="5AC01DBA" w14:textId="6A219C0A" w:rsidR="00B82B5A" w:rsidRDefault="00B82B5A">
          <w:pPr>
            <w:pStyle w:val="TOC1"/>
            <w:rPr>
              <w:b w:val="0"/>
              <w:noProof/>
              <w:color w:val="auto"/>
              <w:sz w:val="22"/>
            </w:rPr>
          </w:pPr>
          <w:r w:rsidRPr="00946134">
            <w:rPr>
              <w:noProof/>
            </w:rPr>
            <w:t>10.</w:t>
          </w:r>
          <w:r>
            <w:rPr>
              <w:b w:val="0"/>
              <w:noProof/>
              <w:color w:val="auto"/>
              <w:sz w:val="22"/>
            </w:rPr>
            <w:tab/>
          </w:r>
          <w:r w:rsidRPr="00946134">
            <w:rPr>
              <w:noProof/>
            </w:rPr>
            <w:t>Contingency Monitoring – Pelagic Metabolism</w:t>
          </w:r>
          <w:r>
            <w:rPr>
              <w:noProof/>
              <w:webHidden/>
            </w:rPr>
            <w:tab/>
          </w:r>
          <w:r w:rsidR="001A7A58">
            <w:rPr>
              <w:noProof/>
              <w:webHidden/>
            </w:rPr>
            <w:t>127</w:t>
          </w:r>
        </w:p>
        <w:p w14:paraId="17414EA0" w14:textId="694C242F" w:rsidR="00B82B5A" w:rsidRDefault="00B82B5A">
          <w:pPr>
            <w:pStyle w:val="TOC2"/>
            <w:rPr>
              <w:noProof/>
              <w:color w:val="auto"/>
              <w:sz w:val="22"/>
            </w:rPr>
          </w:pPr>
          <w:r w:rsidRPr="00946134">
            <w:rPr>
              <w:noProof/>
            </w:rPr>
            <w:t>10.1.</w:t>
          </w:r>
          <w:r>
            <w:rPr>
              <w:noProof/>
              <w:color w:val="auto"/>
              <w:sz w:val="22"/>
            </w:rPr>
            <w:tab/>
          </w:r>
          <w:r w:rsidRPr="00946134">
            <w:rPr>
              <w:noProof/>
            </w:rPr>
            <w:t>Introduction</w:t>
          </w:r>
          <w:r>
            <w:rPr>
              <w:noProof/>
              <w:webHidden/>
            </w:rPr>
            <w:tab/>
          </w:r>
          <w:r w:rsidR="001A7A58">
            <w:rPr>
              <w:noProof/>
              <w:webHidden/>
            </w:rPr>
            <w:t>127</w:t>
          </w:r>
        </w:p>
        <w:p w14:paraId="3F7212BD" w14:textId="507F6E1C" w:rsidR="00B82B5A" w:rsidRDefault="00B82B5A">
          <w:pPr>
            <w:pStyle w:val="TOC2"/>
            <w:rPr>
              <w:noProof/>
              <w:color w:val="auto"/>
              <w:sz w:val="22"/>
            </w:rPr>
          </w:pPr>
          <w:r w:rsidRPr="00946134">
            <w:rPr>
              <w:noProof/>
            </w:rPr>
            <w:t>10.2.</w:t>
          </w:r>
          <w:r>
            <w:rPr>
              <w:noProof/>
              <w:color w:val="auto"/>
              <w:sz w:val="22"/>
            </w:rPr>
            <w:tab/>
          </w:r>
          <w:r w:rsidRPr="00946134">
            <w:rPr>
              <w:noProof/>
            </w:rPr>
            <w:t>Main findings from monitoring program</w:t>
          </w:r>
          <w:r>
            <w:rPr>
              <w:noProof/>
              <w:webHidden/>
            </w:rPr>
            <w:tab/>
          </w:r>
          <w:r w:rsidR="001A7A58">
            <w:rPr>
              <w:noProof/>
              <w:webHidden/>
            </w:rPr>
            <w:t>127</w:t>
          </w:r>
        </w:p>
        <w:p w14:paraId="1645A27F" w14:textId="012A9E67" w:rsidR="00B82B5A" w:rsidRDefault="00B82B5A">
          <w:pPr>
            <w:pStyle w:val="TOC2"/>
            <w:rPr>
              <w:noProof/>
              <w:color w:val="auto"/>
              <w:sz w:val="22"/>
            </w:rPr>
          </w:pPr>
          <w:r w:rsidRPr="00946134">
            <w:rPr>
              <w:noProof/>
            </w:rPr>
            <w:t>10.3.</w:t>
          </w:r>
          <w:r>
            <w:rPr>
              <w:noProof/>
              <w:color w:val="auto"/>
              <w:sz w:val="22"/>
            </w:rPr>
            <w:tab/>
          </w:r>
          <w:r w:rsidRPr="00946134">
            <w:rPr>
              <w:noProof/>
            </w:rPr>
            <w:t>Methods</w:t>
          </w:r>
          <w:r>
            <w:rPr>
              <w:noProof/>
              <w:webHidden/>
            </w:rPr>
            <w:tab/>
          </w:r>
          <w:r w:rsidR="001A7A58">
            <w:rPr>
              <w:noProof/>
              <w:webHidden/>
            </w:rPr>
            <w:t>128</w:t>
          </w:r>
        </w:p>
        <w:p w14:paraId="0877A0B5" w14:textId="33B82607" w:rsidR="00B82B5A" w:rsidRDefault="00B82B5A">
          <w:pPr>
            <w:pStyle w:val="TOC2"/>
            <w:rPr>
              <w:noProof/>
              <w:color w:val="auto"/>
              <w:sz w:val="22"/>
            </w:rPr>
          </w:pPr>
          <w:r w:rsidRPr="00946134">
            <w:rPr>
              <w:noProof/>
            </w:rPr>
            <w:t>10.4.</w:t>
          </w:r>
          <w:r>
            <w:rPr>
              <w:noProof/>
              <w:color w:val="auto"/>
              <w:sz w:val="22"/>
            </w:rPr>
            <w:tab/>
          </w:r>
          <w:r w:rsidRPr="00946134">
            <w:rPr>
              <w:noProof/>
            </w:rPr>
            <w:t>Sites and sample dates</w:t>
          </w:r>
          <w:r>
            <w:rPr>
              <w:noProof/>
              <w:webHidden/>
            </w:rPr>
            <w:tab/>
          </w:r>
          <w:r w:rsidR="001A7A58">
            <w:rPr>
              <w:noProof/>
              <w:webHidden/>
            </w:rPr>
            <w:t>129</w:t>
          </w:r>
        </w:p>
        <w:p w14:paraId="705CE690" w14:textId="45EFD8ED" w:rsidR="00B82B5A" w:rsidRDefault="00B82B5A">
          <w:pPr>
            <w:pStyle w:val="TOC2"/>
            <w:rPr>
              <w:noProof/>
              <w:color w:val="auto"/>
              <w:sz w:val="22"/>
            </w:rPr>
          </w:pPr>
          <w:r w:rsidRPr="00946134">
            <w:rPr>
              <w:noProof/>
            </w:rPr>
            <w:t>10.5.</w:t>
          </w:r>
          <w:r>
            <w:rPr>
              <w:noProof/>
              <w:color w:val="auto"/>
              <w:sz w:val="22"/>
            </w:rPr>
            <w:tab/>
          </w:r>
          <w:r w:rsidRPr="00946134">
            <w:rPr>
              <w:noProof/>
            </w:rPr>
            <w:t>Data analysis</w:t>
          </w:r>
          <w:r>
            <w:rPr>
              <w:noProof/>
              <w:webHidden/>
            </w:rPr>
            <w:tab/>
          </w:r>
          <w:r w:rsidR="001A7A58">
            <w:rPr>
              <w:noProof/>
              <w:webHidden/>
            </w:rPr>
            <w:t>129</w:t>
          </w:r>
        </w:p>
        <w:p w14:paraId="370625F6" w14:textId="675D645F" w:rsidR="00B82B5A" w:rsidRDefault="00B82B5A">
          <w:pPr>
            <w:pStyle w:val="TOC2"/>
            <w:rPr>
              <w:noProof/>
              <w:color w:val="auto"/>
              <w:sz w:val="22"/>
            </w:rPr>
          </w:pPr>
          <w:r w:rsidRPr="00946134">
            <w:rPr>
              <w:noProof/>
            </w:rPr>
            <w:t>10.6.</w:t>
          </w:r>
          <w:r>
            <w:rPr>
              <w:noProof/>
              <w:color w:val="auto"/>
              <w:sz w:val="22"/>
            </w:rPr>
            <w:tab/>
          </w:r>
          <w:r w:rsidRPr="00946134">
            <w:rPr>
              <w:noProof/>
            </w:rPr>
            <w:t>Results</w:t>
          </w:r>
          <w:r>
            <w:rPr>
              <w:noProof/>
              <w:webHidden/>
            </w:rPr>
            <w:tab/>
          </w:r>
          <w:r w:rsidR="001A7A58">
            <w:rPr>
              <w:noProof/>
              <w:webHidden/>
            </w:rPr>
            <w:t>129</w:t>
          </w:r>
        </w:p>
        <w:p w14:paraId="01EB2DC1" w14:textId="316218C4" w:rsidR="00B82B5A" w:rsidRDefault="00B82B5A">
          <w:pPr>
            <w:pStyle w:val="TOC2"/>
            <w:rPr>
              <w:noProof/>
              <w:color w:val="auto"/>
              <w:sz w:val="22"/>
            </w:rPr>
          </w:pPr>
          <w:r w:rsidRPr="00946134">
            <w:rPr>
              <w:noProof/>
            </w:rPr>
            <w:t>10.7.</w:t>
          </w:r>
          <w:r>
            <w:rPr>
              <w:noProof/>
              <w:color w:val="auto"/>
              <w:sz w:val="22"/>
            </w:rPr>
            <w:tab/>
          </w:r>
          <w:r w:rsidRPr="00946134">
            <w:rPr>
              <w:noProof/>
            </w:rPr>
            <w:t>Discussion</w:t>
          </w:r>
          <w:r>
            <w:rPr>
              <w:noProof/>
              <w:webHidden/>
            </w:rPr>
            <w:tab/>
          </w:r>
          <w:r w:rsidR="001A7A58">
            <w:rPr>
              <w:noProof/>
              <w:webHidden/>
            </w:rPr>
            <w:t>131</w:t>
          </w:r>
        </w:p>
        <w:p w14:paraId="3647015B" w14:textId="7E16AEB1" w:rsidR="00B82B5A" w:rsidRDefault="00B82B5A">
          <w:pPr>
            <w:pStyle w:val="TOC1"/>
            <w:rPr>
              <w:b w:val="0"/>
              <w:noProof/>
              <w:color w:val="auto"/>
              <w:sz w:val="22"/>
            </w:rPr>
          </w:pPr>
          <w:r w:rsidRPr="00946134">
            <w:rPr>
              <w:noProof/>
            </w:rPr>
            <w:t>11.</w:t>
          </w:r>
          <w:r>
            <w:rPr>
              <w:b w:val="0"/>
              <w:noProof/>
              <w:color w:val="auto"/>
              <w:sz w:val="22"/>
            </w:rPr>
            <w:tab/>
          </w:r>
          <w:r w:rsidRPr="00946134">
            <w:rPr>
              <w:noProof/>
            </w:rPr>
            <w:t>Contingency Monitoring – Murray Fish Larvae</w:t>
          </w:r>
          <w:r>
            <w:rPr>
              <w:noProof/>
              <w:webHidden/>
            </w:rPr>
            <w:tab/>
          </w:r>
          <w:r w:rsidR="001A7A58">
            <w:rPr>
              <w:noProof/>
              <w:webHidden/>
            </w:rPr>
            <w:t>133</w:t>
          </w:r>
        </w:p>
        <w:p w14:paraId="5D0BDB66" w14:textId="3266A71C" w:rsidR="00B82B5A" w:rsidRDefault="00B82B5A">
          <w:pPr>
            <w:pStyle w:val="TOC2"/>
            <w:rPr>
              <w:noProof/>
              <w:color w:val="auto"/>
              <w:sz w:val="22"/>
            </w:rPr>
          </w:pPr>
          <w:r w:rsidRPr="00946134">
            <w:rPr>
              <w:noProof/>
            </w:rPr>
            <w:t>11.1.</w:t>
          </w:r>
          <w:r>
            <w:rPr>
              <w:noProof/>
              <w:color w:val="auto"/>
              <w:sz w:val="22"/>
            </w:rPr>
            <w:tab/>
          </w:r>
          <w:r w:rsidRPr="00946134">
            <w:rPr>
              <w:noProof/>
            </w:rPr>
            <w:t>Introduction</w:t>
          </w:r>
          <w:r>
            <w:rPr>
              <w:noProof/>
              <w:webHidden/>
            </w:rPr>
            <w:tab/>
          </w:r>
          <w:r w:rsidR="001A7A58">
            <w:rPr>
              <w:noProof/>
              <w:webHidden/>
            </w:rPr>
            <w:t>133</w:t>
          </w:r>
        </w:p>
        <w:p w14:paraId="2AECB2A5" w14:textId="4B080AD9" w:rsidR="00B82B5A" w:rsidRDefault="00B82B5A">
          <w:pPr>
            <w:pStyle w:val="TOC2"/>
            <w:rPr>
              <w:noProof/>
              <w:color w:val="auto"/>
              <w:sz w:val="22"/>
            </w:rPr>
          </w:pPr>
          <w:r w:rsidRPr="00946134">
            <w:rPr>
              <w:noProof/>
            </w:rPr>
            <w:t>11.2.</w:t>
          </w:r>
          <w:r>
            <w:rPr>
              <w:noProof/>
              <w:color w:val="auto"/>
              <w:sz w:val="22"/>
            </w:rPr>
            <w:tab/>
          </w:r>
          <w:r w:rsidRPr="00946134">
            <w:rPr>
              <w:noProof/>
            </w:rPr>
            <w:t>Main findings from monitoring program</w:t>
          </w:r>
          <w:r>
            <w:rPr>
              <w:noProof/>
              <w:webHidden/>
            </w:rPr>
            <w:tab/>
          </w:r>
          <w:r w:rsidR="001A7A58">
            <w:rPr>
              <w:noProof/>
              <w:webHidden/>
            </w:rPr>
            <w:t>133</w:t>
          </w:r>
        </w:p>
        <w:p w14:paraId="558E2E92" w14:textId="08DBE996" w:rsidR="00B82B5A" w:rsidRDefault="00B82B5A">
          <w:pPr>
            <w:pStyle w:val="TOC2"/>
            <w:rPr>
              <w:noProof/>
              <w:color w:val="auto"/>
              <w:sz w:val="22"/>
            </w:rPr>
          </w:pPr>
          <w:r w:rsidRPr="00946134">
            <w:rPr>
              <w:noProof/>
            </w:rPr>
            <w:t>11.3.</w:t>
          </w:r>
          <w:r>
            <w:rPr>
              <w:noProof/>
              <w:color w:val="auto"/>
              <w:sz w:val="22"/>
            </w:rPr>
            <w:tab/>
          </w:r>
          <w:r w:rsidRPr="00946134">
            <w:rPr>
              <w:noProof/>
            </w:rPr>
            <w:t>Methods</w:t>
          </w:r>
          <w:r>
            <w:rPr>
              <w:noProof/>
              <w:webHidden/>
            </w:rPr>
            <w:tab/>
          </w:r>
          <w:r w:rsidR="001A7A58">
            <w:rPr>
              <w:noProof/>
              <w:webHidden/>
            </w:rPr>
            <w:t>133</w:t>
          </w:r>
        </w:p>
        <w:p w14:paraId="4A9D6D95" w14:textId="6060F554" w:rsidR="00B82B5A" w:rsidRDefault="00B82B5A">
          <w:pPr>
            <w:pStyle w:val="TOC2"/>
            <w:rPr>
              <w:noProof/>
              <w:color w:val="auto"/>
              <w:sz w:val="22"/>
            </w:rPr>
          </w:pPr>
          <w:r w:rsidRPr="00946134">
            <w:rPr>
              <w:noProof/>
            </w:rPr>
            <w:t>11.4.</w:t>
          </w:r>
          <w:r>
            <w:rPr>
              <w:noProof/>
              <w:color w:val="auto"/>
              <w:sz w:val="22"/>
            </w:rPr>
            <w:tab/>
          </w:r>
          <w:r w:rsidRPr="00946134">
            <w:rPr>
              <w:noProof/>
            </w:rPr>
            <w:t>Results and discussion</w:t>
          </w:r>
          <w:r>
            <w:rPr>
              <w:noProof/>
              <w:webHidden/>
            </w:rPr>
            <w:tab/>
          </w:r>
          <w:r w:rsidR="001A7A58">
            <w:rPr>
              <w:noProof/>
              <w:webHidden/>
            </w:rPr>
            <w:t>133</w:t>
          </w:r>
        </w:p>
        <w:p w14:paraId="1481BF1A" w14:textId="7C17E932" w:rsidR="00B82B5A" w:rsidRDefault="00B82B5A">
          <w:pPr>
            <w:pStyle w:val="TOC1"/>
            <w:rPr>
              <w:b w:val="0"/>
              <w:noProof/>
              <w:color w:val="auto"/>
              <w:sz w:val="22"/>
            </w:rPr>
          </w:pPr>
          <w:r w:rsidRPr="00946134">
            <w:rPr>
              <w:noProof/>
            </w:rPr>
            <w:t>12.</w:t>
          </w:r>
          <w:r>
            <w:rPr>
              <w:b w:val="0"/>
              <w:noProof/>
              <w:color w:val="auto"/>
              <w:sz w:val="22"/>
            </w:rPr>
            <w:tab/>
          </w:r>
          <w:r w:rsidRPr="00946134">
            <w:rPr>
              <w:noProof/>
            </w:rPr>
            <w:t>Research Activities - Collaborative research project</w:t>
          </w:r>
          <w:r>
            <w:rPr>
              <w:noProof/>
              <w:webHidden/>
            </w:rPr>
            <w:tab/>
          </w:r>
          <w:r w:rsidR="001A7A58">
            <w:rPr>
              <w:noProof/>
              <w:webHidden/>
            </w:rPr>
            <w:t>135</w:t>
          </w:r>
        </w:p>
        <w:p w14:paraId="508D1758" w14:textId="09D64013" w:rsidR="00B82B5A" w:rsidRDefault="00B82B5A">
          <w:pPr>
            <w:pStyle w:val="TOC2"/>
            <w:rPr>
              <w:noProof/>
              <w:color w:val="auto"/>
              <w:sz w:val="22"/>
            </w:rPr>
          </w:pPr>
          <w:r w:rsidRPr="00946134">
            <w:rPr>
              <w:noProof/>
            </w:rPr>
            <w:t>12.1.</w:t>
          </w:r>
          <w:r>
            <w:rPr>
              <w:noProof/>
              <w:color w:val="auto"/>
              <w:sz w:val="22"/>
            </w:rPr>
            <w:tab/>
          </w:r>
          <w:r w:rsidRPr="00946134">
            <w:rPr>
              <w:noProof/>
            </w:rPr>
            <w:t>Introduction</w:t>
          </w:r>
          <w:r>
            <w:rPr>
              <w:noProof/>
              <w:webHidden/>
            </w:rPr>
            <w:tab/>
          </w:r>
          <w:r w:rsidR="001A7A58">
            <w:rPr>
              <w:noProof/>
              <w:webHidden/>
            </w:rPr>
            <w:t>135</w:t>
          </w:r>
        </w:p>
        <w:p w14:paraId="4FC56F13" w14:textId="064C340D" w:rsidR="00B82B5A" w:rsidRDefault="00B82B5A">
          <w:pPr>
            <w:pStyle w:val="TOC2"/>
            <w:rPr>
              <w:noProof/>
              <w:color w:val="auto"/>
              <w:sz w:val="22"/>
            </w:rPr>
          </w:pPr>
          <w:r w:rsidRPr="00946134">
            <w:rPr>
              <w:noProof/>
            </w:rPr>
            <w:t>12.2.</w:t>
          </w:r>
          <w:r>
            <w:rPr>
              <w:noProof/>
              <w:color w:val="auto"/>
              <w:sz w:val="22"/>
            </w:rPr>
            <w:tab/>
          </w:r>
          <w:r w:rsidRPr="00946134">
            <w:rPr>
              <w:noProof/>
            </w:rPr>
            <w:t>Project overview</w:t>
          </w:r>
          <w:r>
            <w:rPr>
              <w:noProof/>
              <w:webHidden/>
            </w:rPr>
            <w:tab/>
          </w:r>
          <w:r w:rsidR="001A7A58">
            <w:rPr>
              <w:noProof/>
              <w:webHidden/>
            </w:rPr>
            <w:t>135</w:t>
          </w:r>
        </w:p>
        <w:p w14:paraId="6442F927" w14:textId="5E8C86BD" w:rsidR="00B82B5A" w:rsidRDefault="00B82B5A">
          <w:pPr>
            <w:pStyle w:val="TOC2"/>
            <w:rPr>
              <w:noProof/>
              <w:color w:val="auto"/>
              <w:sz w:val="22"/>
            </w:rPr>
          </w:pPr>
          <w:r w:rsidRPr="00946134">
            <w:rPr>
              <w:noProof/>
            </w:rPr>
            <w:t>12.3.</w:t>
          </w:r>
          <w:r>
            <w:rPr>
              <w:noProof/>
              <w:color w:val="auto"/>
              <w:sz w:val="22"/>
            </w:rPr>
            <w:tab/>
          </w:r>
          <w:r w:rsidRPr="00946134">
            <w:rPr>
              <w:noProof/>
            </w:rPr>
            <w:t>Research activities: 2020-2021</w:t>
          </w:r>
          <w:r>
            <w:rPr>
              <w:noProof/>
              <w:webHidden/>
            </w:rPr>
            <w:tab/>
          </w:r>
          <w:r w:rsidR="001A7A58">
            <w:rPr>
              <w:noProof/>
              <w:webHidden/>
            </w:rPr>
            <w:t>136</w:t>
          </w:r>
        </w:p>
        <w:p w14:paraId="785D316B" w14:textId="454B4567" w:rsidR="00B82B5A" w:rsidRDefault="00B82B5A">
          <w:pPr>
            <w:pStyle w:val="TOC2"/>
            <w:rPr>
              <w:noProof/>
              <w:color w:val="auto"/>
              <w:sz w:val="22"/>
            </w:rPr>
          </w:pPr>
          <w:r w:rsidRPr="00946134">
            <w:rPr>
              <w:noProof/>
            </w:rPr>
            <w:lastRenderedPageBreak/>
            <w:t>12.4.</w:t>
          </w:r>
          <w:r>
            <w:rPr>
              <w:noProof/>
              <w:color w:val="auto"/>
              <w:sz w:val="22"/>
            </w:rPr>
            <w:tab/>
          </w:r>
          <w:r w:rsidRPr="00946134">
            <w:rPr>
              <w:noProof/>
            </w:rPr>
            <w:t>Sites</w:t>
          </w:r>
          <w:r>
            <w:rPr>
              <w:noProof/>
              <w:webHidden/>
            </w:rPr>
            <w:tab/>
          </w:r>
          <w:r w:rsidR="001A7A58">
            <w:rPr>
              <w:noProof/>
              <w:webHidden/>
            </w:rPr>
            <w:t>136</w:t>
          </w:r>
        </w:p>
        <w:p w14:paraId="2A3DD76C" w14:textId="4CE996E4" w:rsidR="00B82B5A" w:rsidRDefault="00B82B5A">
          <w:pPr>
            <w:pStyle w:val="TOC2"/>
            <w:rPr>
              <w:noProof/>
              <w:color w:val="auto"/>
              <w:sz w:val="22"/>
            </w:rPr>
          </w:pPr>
          <w:r w:rsidRPr="00946134">
            <w:rPr>
              <w:noProof/>
            </w:rPr>
            <w:t>12.5.</w:t>
          </w:r>
          <w:r>
            <w:rPr>
              <w:noProof/>
              <w:color w:val="auto"/>
              <w:sz w:val="22"/>
            </w:rPr>
            <w:tab/>
          </w:r>
          <w:r w:rsidRPr="00946134">
            <w:rPr>
              <w:noProof/>
            </w:rPr>
            <w:t>Mapping habitats</w:t>
          </w:r>
          <w:r>
            <w:rPr>
              <w:noProof/>
              <w:webHidden/>
            </w:rPr>
            <w:tab/>
          </w:r>
          <w:r w:rsidR="001A7A58">
            <w:rPr>
              <w:noProof/>
              <w:webHidden/>
            </w:rPr>
            <w:t>137</w:t>
          </w:r>
        </w:p>
        <w:p w14:paraId="217E2653" w14:textId="09E629B5" w:rsidR="00B82B5A" w:rsidRDefault="00B82B5A">
          <w:pPr>
            <w:pStyle w:val="TOC2"/>
            <w:rPr>
              <w:noProof/>
              <w:color w:val="auto"/>
              <w:sz w:val="22"/>
            </w:rPr>
          </w:pPr>
          <w:r w:rsidRPr="00946134">
            <w:rPr>
              <w:noProof/>
            </w:rPr>
            <w:t>12.6.</w:t>
          </w:r>
          <w:r>
            <w:rPr>
              <w:noProof/>
              <w:color w:val="auto"/>
              <w:sz w:val="22"/>
            </w:rPr>
            <w:tab/>
          </w:r>
          <w:r w:rsidRPr="00946134">
            <w:rPr>
              <w:noProof/>
            </w:rPr>
            <w:t>Wide vs Narrow slackwaters</w:t>
          </w:r>
          <w:r>
            <w:rPr>
              <w:noProof/>
              <w:webHidden/>
            </w:rPr>
            <w:tab/>
          </w:r>
          <w:r w:rsidR="001A7A58">
            <w:rPr>
              <w:noProof/>
              <w:webHidden/>
            </w:rPr>
            <w:t>138</w:t>
          </w:r>
        </w:p>
        <w:p w14:paraId="7F90FAB1" w14:textId="073041F6" w:rsidR="00B82B5A" w:rsidRDefault="00B82B5A">
          <w:pPr>
            <w:pStyle w:val="TOC2"/>
            <w:rPr>
              <w:noProof/>
              <w:color w:val="auto"/>
              <w:sz w:val="22"/>
            </w:rPr>
          </w:pPr>
          <w:r w:rsidRPr="00946134">
            <w:rPr>
              <w:noProof/>
            </w:rPr>
            <w:t>12.7.</w:t>
          </w:r>
          <w:r>
            <w:rPr>
              <w:noProof/>
              <w:color w:val="auto"/>
              <w:sz w:val="22"/>
            </w:rPr>
            <w:tab/>
          </w:r>
          <w:r w:rsidRPr="00946134">
            <w:rPr>
              <w:noProof/>
            </w:rPr>
            <w:t>Field surveys</w:t>
          </w:r>
          <w:r>
            <w:rPr>
              <w:noProof/>
              <w:webHidden/>
            </w:rPr>
            <w:tab/>
          </w:r>
          <w:r w:rsidR="001A7A58">
            <w:rPr>
              <w:noProof/>
              <w:webHidden/>
            </w:rPr>
            <w:t>139</w:t>
          </w:r>
        </w:p>
        <w:p w14:paraId="77EE4F82" w14:textId="6BD0F4CC" w:rsidR="00B82B5A" w:rsidRDefault="00B82B5A">
          <w:pPr>
            <w:pStyle w:val="TOC2"/>
            <w:rPr>
              <w:noProof/>
              <w:color w:val="auto"/>
              <w:sz w:val="22"/>
            </w:rPr>
          </w:pPr>
          <w:r w:rsidRPr="00946134">
            <w:rPr>
              <w:noProof/>
            </w:rPr>
            <w:t>12.8.</w:t>
          </w:r>
          <w:r>
            <w:rPr>
              <w:noProof/>
              <w:color w:val="auto"/>
              <w:sz w:val="22"/>
            </w:rPr>
            <w:tab/>
          </w:r>
          <w:r w:rsidRPr="00946134">
            <w:rPr>
              <w:noProof/>
            </w:rPr>
            <w:t>Field experiment</w:t>
          </w:r>
          <w:r>
            <w:rPr>
              <w:noProof/>
              <w:webHidden/>
            </w:rPr>
            <w:tab/>
          </w:r>
          <w:r w:rsidR="001A7A58">
            <w:rPr>
              <w:noProof/>
              <w:webHidden/>
            </w:rPr>
            <w:t>141</w:t>
          </w:r>
        </w:p>
        <w:p w14:paraId="0C6D2E22" w14:textId="0A1615DB" w:rsidR="00B82B5A" w:rsidRDefault="00B82B5A">
          <w:pPr>
            <w:pStyle w:val="TOC1"/>
            <w:rPr>
              <w:b w:val="0"/>
              <w:noProof/>
              <w:color w:val="auto"/>
              <w:sz w:val="22"/>
            </w:rPr>
          </w:pPr>
          <w:r w:rsidRPr="00946134">
            <w:rPr>
              <w:noProof/>
            </w:rPr>
            <w:t>13.</w:t>
          </w:r>
          <w:r>
            <w:rPr>
              <w:b w:val="0"/>
              <w:noProof/>
              <w:color w:val="auto"/>
              <w:sz w:val="22"/>
            </w:rPr>
            <w:tab/>
          </w:r>
          <w:r w:rsidRPr="00946134">
            <w:rPr>
              <w:noProof/>
            </w:rPr>
            <w:t>Engagement and Communication</w:t>
          </w:r>
          <w:r>
            <w:rPr>
              <w:noProof/>
              <w:webHidden/>
            </w:rPr>
            <w:tab/>
          </w:r>
          <w:r w:rsidR="001A7A58">
            <w:rPr>
              <w:noProof/>
              <w:webHidden/>
            </w:rPr>
            <w:t>144</w:t>
          </w:r>
        </w:p>
        <w:p w14:paraId="538F8439" w14:textId="66CC3C7E" w:rsidR="00B82B5A" w:rsidRDefault="00B82B5A">
          <w:pPr>
            <w:pStyle w:val="TOC2"/>
            <w:rPr>
              <w:noProof/>
              <w:color w:val="auto"/>
              <w:sz w:val="22"/>
            </w:rPr>
          </w:pPr>
          <w:r w:rsidRPr="00946134">
            <w:rPr>
              <w:noProof/>
            </w:rPr>
            <w:t>13.1.</w:t>
          </w:r>
          <w:r>
            <w:rPr>
              <w:noProof/>
              <w:color w:val="auto"/>
              <w:sz w:val="22"/>
            </w:rPr>
            <w:tab/>
          </w:r>
          <w:r w:rsidRPr="00946134">
            <w:rPr>
              <w:noProof/>
            </w:rPr>
            <w:t>Engagement</w:t>
          </w:r>
          <w:r>
            <w:rPr>
              <w:noProof/>
              <w:webHidden/>
            </w:rPr>
            <w:tab/>
          </w:r>
          <w:r w:rsidR="001A7A58">
            <w:rPr>
              <w:noProof/>
              <w:webHidden/>
            </w:rPr>
            <w:t>144</w:t>
          </w:r>
        </w:p>
        <w:p w14:paraId="43D06F8D" w14:textId="2AEAE9A6" w:rsidR="00B82B5A" w:rsidRDefault="00B82B5A">
          <w:pPr>
            <w:pStyle w:val="TOC2"/>
            <w:rPr>
              <w:noProof/>
              <w:color w:val="auto"/>
              <w:sz w:val="22"/>
            </w:rPr>
          </w:pPr>
          <w:r w:rsidRPr="00946134">
            <w:rPr>
              <w:noProof/>
            </w:rPr>
            <w:t>13.2.</w:t>
          </w:r>
          <w:r>
            <w:rPr>
              <w:noProof/>
              <w:color w:val="auto"/>
              <w:sz w:val="22"/>
            </w:rPr>
            <w:tab/>
          </w:r>
          <w:r w:rsidRPr="00946134">
            <w:rPr>
              <w:noProof/>
            </w:rPr>
            <w:t>Communication</w:t>
          </w:r>
          <w:r>
            <w:rPr>
              <w:noProof/>
              <w:webHidden/>
            </w:rPr>
            <w:tab/>
          </w:r>
          <w:r w:rsidR="001A7A58">
            <w:rPr>
              <w:noProof/>
              <w:webHidden/>
            </w:rPr>
            <w:t>144</w:t>
          </w:r>
        </w:p>
        <w:p w14:paraId="2E543CD4" w14:textId="1DF338E0" w:rsidR="00B82B5A" w:rsidRDefault="00B82B5A">
          <w:pPr>
            <w:pStyle w:val="TOC1"/>
            <w:rPr>
              <w:b w:val="0"/>
              <w:noProof/>
              <w:color w:val="auto"/>
              <w:sz w:val="22"/>
            </w:rPr>
          </w:pPr>
          <w:r w:rsidRPr="00946134">
            <w:rPr>
              <w:noProof/>
            </w:rPr>
            <w:t>14.</w:t>
          </w:r>
          <w:r>
            <w:rPr>
              <w:b w:val="0"/>
              <w:noProof/>
              <w:color w:val="auto"/>
              <w:sz w:val="22"/>
            </w:rPr>
            <w:tab/>
          </w:r>
          <w:r w:rsidRPr="00946134">
            <w:rPr>
              <w:noProof/>
            </w:rPr>
            <w:t>References</w:t>
          </w:r>
          <w:r>
            <w:rPr>
              <w:noProof/>
              <w:webHidden/>
            </w:rPr>
            <w:tab/>
          </w:r>
          <w:r w:rsidR="001A7A58">
            <w:rPr>
              <w:noProof/>
              <w:webHidden/>
            </w:rPr>
            <w:t>147</w:t>
          </w:r>
        </w:p>
        <w:p w14:paraId="7AC0875E" w14:textId="2DC7724C" w:rsidR="00AC34E7" w:rsidRDefault="004D2D53"/>
      </w:sdtContent>
    </w:sdt>
    <w:p w14:paraId="667B9620" w14:textId="77777777" w:rsidR="00AC34E7" w:rsidRPr="00AC34E7" w:rsidRDefault="0035612F" w:rsidP="00AC34E7">
      <w:pPr>
        <w:pStyle w:val="Para0"/>
        <w:rPr>
          <w:lang w:val="en-GB"/>
        </w:rPr>
      </w:pPr>
      <w:r>
        <w:t xml:space="preserve"> </w:t>
      </w:r>
    </w:p>
    <w:p w14:paraId="2FDA663D" w14:textId="69A0BC86" w:rsidR="00AC34E7" w:rsidRDefault="00AC34E7" w:rsidP="00AC34E7">
      <w:pPr>
        <w:pStyle w:val="TOCHeading"/>
        <w:numPr>
          <w:ilvl w:val="0"/>
          <w:numId w:val="0"/>
        </w:numPr>
        <w:ind w:left="432" w:hanging="432"/>
      </w:pPr>
    </w:p>
    <w:p w14:paraId="34355396" w14:textId="0C850774" w:rsidR="00AC34E7" w:rsidRPr="00AC34E7" w:rsidRDefault="00AC34E7" w:rsidP="00AC34E7">
      <w:pPr>
        <w:pStyle w:val="Para0"/>
        <w:rPr>
          <w:lang w:val="en-GB"/>
        </w:rPr>
      </w:pPr>
    </w:p>
    <w:p w14:paraId="5EABDFED" w14:textId="7DEACFDD" w:rsidR="001D0D30" w:rsidRPr="00AC34E7" w:rsidRDefault="001D0D30" w:rsidP="00AC34E7">
      <w:pPr>
        <w:pStyle w:val="Para0"/>
        <w:rPr>
          <w:lang w:val="en-GB"/>
        </w:rPr>
      </w:pPr>
    </w:p>
    <w:p w14:paraId="02BA5D32" w14:textId="59E77116" w:rsidR="00484CE1" w:rsidRPr="00BA2632" w:rsidRDefault="00484CE1">
      <w:r w:rsidRPr="00BA2632">
        <w:br w:type="page"/>
      </w:r>
    </w:p>
    <w:p w14:paraId="1EEA3AED" w14:textId="3E510250" w:rsidR="001D0D30" w:rsidRDefault="00905733" w:rsidP="00C47A44">
      <w:pPr>
        <w:pStyle w:val="Heading1"/>
        <w:numPr>
          <w:ilvl w:val="0"/>
          <w:numId w:val="0"/>
        </w:numPr>
      </w:pPr>
      <w:bookmarkStart w:id="1" w:name="_Toc84416071"/>
      <w:bookmarkStart w:id="2" w:name="_Toc84417311"/>
      <w:bookmarkStart w:id="3" w:name="_Toc84475659"/>
      <w:r w:rsidRPr="00905733">
        <w:lastRenderedPageBreak/>
        <w:t>List of Figures</w:t>
      </w:r>
      <w:bookmarkEnd w:id="1"/>
      <w:bookmarkEnd w:id="2"/>
      <w:bookmarkEnd w:id="3"/>
    </w:p>
    <w:p w14:paraId="500563BA" w14:textId="60A35494" w:rsidR="00A22A68" w:rsidRDefault="00A22A68">
      <w:pPr>
        <w:pStyle w:val="TableofFigures"/>
        <w:rPr>
          <w:color w:val="auto"/>
          <w:sz w:val="22"/>
        </w:rPr>
      </w:pPr>
      <w:r w:rsidRPr="00946134">
        <w:t>Figure 2</w:t>
      </w:r>
      <w:r w:rsidRPr="00946134">
        <w:noBreakHyphen/>
        <w:t>1 Map of the lower Goulburn River, with all core monitoring sites marked, along with flow gauges used to generate flow data to be used in the MER Program. Some sites extend into the Broken River. Colours denote different monitoring activities, with some sites being used for multiple activities. Sites are indicated with site numbers, with the key providing the site name. Monitoring Zone 1 runs from Goulburn Weir to the confluence of the Broken River near Shepparton, with Zone 2 downstream from this point to the confluence with the Murray River.</w:t>
      </w:r>
      <w:r>
        <w:rPr>
          <w:webHidden/>
        </w:rPr>
        <w:tab/>
      </w:r>
      <w:r w:rsidR="001A7A58">
        <w:rPr>
          <w:webHidden/>
        </w:rPr>
        <w:t>3</w:t>
      </w:r>
    </w:p>
    <w:p w14:paraId="79CFB8F3" w14:textId="2A302A02" w:rsidR="00A22A68" w:rsidRDefault="00A22A68">
      <w:pPr>
        <w:pStyle w:val="TableofFigures"/>
        <w:rPr>
          <w:color w:val="auto"/>
          <w:sz w:val="22"/>
        </w:rPr>
      </w:pPr>
      <w:r w:rsidRPr="00946134">
        <w:t>Figure 3</w:t>
      </w:r>
      <w:r w:rsidRPr="00946134">
        <w:noBreakHyphen/>
        <w:t>1 Relative sources of water contributing to total Goulburn River flows in 2020-21 at McCoy’s Bridge (https://fchMcCoy’s.hydronet.com/).</w:t>
      </w:r>
      <w:r>
        <w:rPr>
          <w:webHidden/>
        </w:rPr>
        <w:tab/>
      </w:r>
      <w:r w:rsidR="001A7A58">
        <w:rPr>
          <w:webHidden/>
        </w:rPr>
        <w:t>7</w:t>
      </w:r>
    </w:p>
    <w:p w14:paraId="30F72F13" w14:textId="7880D2AD" w:rsidR="00A22A68" w:rsidRDefault="00A22A68">
      <w:pPr>
        <w:pStyle w:val="TableofFigures"/>
        <w:rPr>
          <w:color w:val="auto"/>
          <w:sz w:val="22"/>
        </w:rPr>
      </w:pPr>
      <w:r w:rsidRPr="00946134">
        <w:t>Figure 4</w:t>
      </w:r>
      <w:r w:rsidRPr="00946134">
        <w:noBreakHyphen/>
        <w:t>1 Location of Banks of Interest at Darcy’s Track – Goulburn River.</w:t>
      </w:r>
      <w:r>
        <w:rPr>
          <w:webHidden/>
        </w:rPr>
        <w:tab/>
      </w:r>
      <w:r w:rsidR="001A7A58">
        <w:rPr>
          <w:webHidden/>
        </w:rPr>
        <w:t>14</w:t>
      </w:r>
    </w:p>
    <w:p w14:paraId="15D5BBDB" w14:textId="6B07A5E3" w:rsidR="00A22A68" w:rsidRDefault="00A22A68">
      <w:pPr>
        <w:pStyle w:val="TableofFigures"/>
        <w:rPr>
          <w:color w:val="auto"/>
          <w:sz w:val="22"/>
        </w:rPr>
      </w:pPr>
      <w:r w:rsidRPr="00946134">
        <w:t>Figure 4</w:t>
      </w:r>
      <w:r w:rsidRPr="00946134">
        <w:noBreakHyphen/>
        <w:t>2 Location of Bank of Interest at Loch Garry – Goulburn River.</w:t>
      </w:r>
      <w:r>
        <w:rPr>
          <w:webHidden/>
        </w:rPr>
        <w:tab/>
      </w:r>
      <w:r w:rsidR="001A7A58">
        <w:rPr>
          <w:webHidden/>
        </w:rPr>
        <w:t>15</w:t>
      </w:r>
    </w:p>
    <w:p w14:paraId="43946CC4" w14:textId="61D12115" w:rsidR="00A22A68" w:rsidRDefault="00A22A68">
      <w:pPr>
        <w:pStyle w:val="TableofFigures"/>
        <w:rPr>
          <w:color w:val="auto"/>
          <w:sz w:val="22"/>
        </w:rPr>
      </w:pPr>
      <w:r w:rsidRPr="00946134">
        <w:t>Figure 4</w:t>
      </w:r>
      <w:r w:rsidRPr="00946134">
        <w:noBreakHyphen/>
        <w:t>3 Location of Banks of Interest at McCoy’s Bridge – Goulburn River.</w:t>
      </w:r>
      <w:r>
        <w:rPr>
          <w:webHidden/>
        </w:rPr>
        <w:tab/>
      </w:r>
      <w:r w:rsidR="001A7A58">
        <w:rPr>
          <w:webHidden/>
        </w:rPr>
        <w:t>15</w:t>
      </w:r>
    </w:p>
    <w:p w14:paraId="301D7B7D" w14:textId="4F6ED86C" w:rsidR="00A22A68" w:rsidRDefault="00A22A68">
      <w:pPr>
        <w:pStyle w:val="TableofFigures"/>
        <w:rPr>
          <w:color w:val="auto"/>
          <w:sz w:val="22"/>
        </w:rPr>
      </w:pPr>
      <w:r w:rsidRPr="00946134">
        <w:t>Figure 4</w:t>
      </w:r>
      <w:r w:rsidRPr="00946134">
        <w:noBreakHyphen/>
        <w:t>4 Infographic providing an over-view of the methodology applied to bank and vegetation condition analysis using UAV technology (Streamology &amp; Arthur Rylah Institute 2020).</w:t>
      </w:r>
      <w:r>
        <w:rPr>
          <w:webHidden/>
        </w:rPr>
        <w:tab/>
      </w:r>
      <w:r w:rsidR="001A7A58">
        <w:rPr>
          <w:webHidden/>
        </w:rPr>
        <w:t>16</w:t>
      </w:r>
    </w:p>
    <w:p w14:paraId="76172D8B" w14:textId="43C3D746" w:rsidR="00A22A68" w:rsidRDefault="00A22A68">
      <w:pPr>
        <w:pStyle w:val="TableofFigures"/>
        <w:rPr>
          <w:color w:val="auto"/>
          <w:sz w:val="22"/>
        </w:rPr>
      </w:pPr>
      <w:r w:rsidRPr="00946134">
        <w:t>Figure 4</w:t>
      </w:r>
      <w:r w:rsidRPr="00946134">
        <w:noBreakHyphen/>
        <w:t>5 Bank survey visits during the monitoring period in relation to daily mean discharge at McCoy’s Bridge (405232).</w:t>
      </w:r>
      <w:r>
        <w:rPr>
          <w:webHidden/>
        </w:rPr>
        <w:tab/>
      </w:r>
      <w:r w:rsidR="001A7A58">
        <w:rPr>
          <w:webHidden/>
        </w:rPr>
        <w:t>17</w:t>
      </w:r>
    </w:p>
    <w:p w14:paraId="723B241B" w14:textId="20C61ED8" w:rsidR="00A22A68" w:rsidRDefault="00A22A68">
      <w:pPr>
        <w:pStyle w:val="TableofFigures"/>
        <w:rPr>
          <w:color w:val="auto"/>
          <w:sz w:val="22"/>
        </w:rPr>
      </w:pPr>
      <w:r w:rsidRPr="00946134">
        <w:t>Figure 4</w:t>
      </w:r>
      <w:r w:rsidRPr="00946134">
        <w:noBreakHyphen/>
        <w:t>6 Histograms of flow duration for the three different flow delivery periods. Note the different vertical axis scales.</w:t>
      </w:r>
      <w:r>
        <w:rPr>
          <w:webHidden/>
        </w:rPr>
        <w:tab/>
      </w:r>
      <w:r w:rsidR="001A7A58">
        <w:rPr>
          <w:webHidden/>
        </w:rPr>
        <w:t>18</w:t>
      </w:r>
    </w:p>
    <w:p w14:paraId="61E50E53" w14:textId="0DBF9C61" w:rsidR="00A22A68" w:rsidRDefault="00A22A68">
      <w:pPr>
        <w:pStyle w:val="TableofFigures"/>
        <w:rPr>
          <w:color w:val="auto"/>
          <w:sz w:val="22"/>
        </w:rPr>
      </w:pPr>
      <w:r w:rsidRPr="00946134">
        <w:t>Figure 4</w:t>
      </w:r>
      <w:r w:rsidRPr="00946134">
        <w:noBreakHyphen/>
        <w:t>7 Site inundation effects on the probability of erosion. (a) significant erosion: &gt; 30 mm; (b) erosion: &gt; 5 mm; (c) deposition: &gt; 5 mm. For each erosion level, results are shown for three sites (Darcy’s Track, Loch Garry, and McCoy’s Bridge). Note that the results for deposition (c) have been ‘inverted’ relative to model output. Deposition data are recorded as negative numbers in the data set, and so an increase in deposition associated with an increase in inundation is manifested as a negative parameter estimate. By inverting the result, the output is more intuitive (i.e. more inundation leads to more deposition).</w:t>
      </w:r>
      <w:r>
        <w:rPr>
          <w:webHidden/>
        </w:rPr>
        <w:tab/>
      </w:r>
      <w:r w:rsidR="001A7A58">
        <w:rPr>
          <w:webHidden/>
        </w:rPr>
        <w:t>20</w:t>
      </w:r>
    </w:p>
    <w:p w14:paraId="2B63835C" w14:textId="48DA3BD2" w:rsidR="00A22A68" w:rsidRDefault="00A22A68">
      <w:pPr>
        <w:pStyle w:val="TableofFigures"/>
        <w:rPr>
          <w:color w:val="auto"/>
          <w:sz w:val="22"/>
        </w:rPr>
      </w:pPr>
      <w:r w:rsidRPr="00946134">
        <w:t>Figure 4</w:t>
      </w:r>
      <w:r w:rsidRPr="00946134">
        <w:noBreakHyphen/>
        <w:t>8 Site inundation effects on the probability of notching. (a) significant erosion: &gt; 30 mm; (b) erosion: &gt; 5 mm; (c) deposition: &lt; 5 mm. For each erosion level, results are shown for three sites (Darcy’s Track, Loch Garry, and McCoy’s Bridge). As with Figure 1c, panel (c) is inverted relative to analysis output.</w:t>
      </w:r>
      <w:r>
        <w:rPr>
          <w:webHidden/>
        </w:rPr>
        <w:tab/>
      </w:r>
      <w:r w:rsidR="001A7A58">
        <w:rPr>
          <w:webHidden/>
        </w:rPr>
        <w:t>21</w:t>
      </w:r>
    </w:p>
    <w:p w14:paraId="23B327E8" w14:textId="327477E2" w:rsidR="00A22A68" w:rsidRDefault="00A22A68">
      <w:pPr>
        <w:pStyle w:val="TableofFigures"/>
        <w:rPr>
          <w:color w:val="auto"/>
          <w:sz w:val="22"/>
        </w:rPr>
      </w:pPr>
      <w:r w:rsidRPr="00946134">
        <w:t>Figure 4</w:t>
      </w:r>
      <w:r w:rsidRPr="00946134">
        <w:noBreakHyphen/>
        <w:t>9 Histogram showing prevalence and magnitude of change at Darcy's Track Bank D for the three flow periods.</w:t>
      </w:r>
      <w:r>
        <w:rPr>
          <w:webHidden/>
        </w:rPr>
        <w:tab/>
      </w:r>
      <w:r w:rsidR="001A7A58">
        <w:rPr>
          <w:webHidden/>
        </w:rPr>
        <w:t>24</w:t>
      </w:r>
    </w:p>
    <w:p w14:paraId="2B0EADB3" w14:textId="288A3EC2" w:rsidR="00A22A68" w:rsidRDefault="00A22A68">
      <w:pPr>
        <w:pStyle w:val="TableofFigures"/>
        <w:rPr>
          <w:color w:val="auto"/>
          <w:sz w:val="22"/>
        </w:rPr>
      </w:pPr>
      <w:r w:rsidRPr="00946134">
        <w:t>Figure 4</w:t>
      </w:r>
      <w:r w:rsidRPr="00946134">
        <w:noBreakHyphen/>
        <w:t>10 Histogram showing prevalence and magnitude of change at Loch Garry Bank C for the three flow periods.</w:t>
      </w:r>
      <w:r>
        <w:rPr>
          <w:webHidden/>
        </w:rPr>
        <w:tab/>
      </w:r>
      <w:r w:rsidR="001A7A58">
        <w:rPr>
          <w:webHidden/>
        </w:rPr>
        <w:t>25</w:t>
      </w:r>
    </w:p>
    <w:p w14:paraId="6D2A6B44" w14:textId="10DC9B8A" w:rsidR="00A22A68" w:rsidRDefault="00A22A68">
      <w:pPr>
        <w:pStyle w:val="TableofFigures"/>
        <w:rPr>
          <w:color w:val="auto"/>
          <w:sz w:val="22"/>
        </w:rPr>
      </w:pPr>
      <w:r w:rsidRPr="00946134">
        <w:t>Figure 4</w:t>
      </w:r>
      <w:r w:rsidRPr="00946134">
        <w:noBreakHyphen/>
        <w:t>11 Histogram showing prevalence and magnitude of change at McCoy’s Bridge Bank E for the three flow periods.</w:t>
      </w:r>
      <w:r>
        <w:rPr>
          <w:webHidden/>
        </w:rPr>
        <w:tab/>
      </w:r>
      <w:r w:rsidR="001A7A58">
        <w:rPr>
          <w:webHidden/>
        </w:rPr>
        <w:t>25</w:t>
      </w:r>
    </w:p>
    <w:p w14:paraId="0F61F53C" w14:textId="7A1B063A" w:rsidR="00A22A68" w:rsidRDefault="00A22A68">
      <w:pPr>
        <w:pStyle w:val="TableofFigures"/>
        <w:rPr>
          <w:color w:val="auto"/>
          <w:sz w:val="22"/>
        </w:rPr>
      </w:pPr>
      <w:r w:rsidRPr="00946134">
        <w:t>Figure 4</w:t>
      </w:r>
      <w:r w:rsidRPr="00946134">
        <w:noBreakHyphen/>
        <w:t>12 Three step process of notching resulting from sustained inundation period with limited variability.</w:t>
      </w:r>
      <w:r>
        <w:rPr>
          <w:webHidden/>
        </w:rPr>
        <w:tab/>
      </w:r>
      <w:r w:rsidR="001A7A58">
        <w:rPr>
          <w:webHidden/>
        </w:rPr>
        <w:t>30</w:t>
      </w:r>
    </w:p>
    <w:p w14:paraId="3C09B712" w14:textId="25A8282A" w:rsidR="00A22A68" w:rsidRDefault="00A22A68">
      <w:pPr>
        <w:pStyle w:val="TableofFigures"/>
        <w:rPr>
          <w:color w:val="auto"/>
          <w:sz w:val="22"/>
        </w:rPr>
      </w:pPr>
      <w:r w:rsidRPr="00946134">
        <w:t>Figure 5</w:t>
      </w:r>
      <w:r w:rsidRPr="00946134">
        <w:noBreakHyphen/>
        <w:t>1 Relationships between photosynthesis, respiration, organic matter, dissolved gases and nutrients.</w:t>
      </w:r>
      <w:r>
        <w:rPr>
          <w:webHidden/>
        </w:rPr>
        <w:tab/>
      </w:r>
      <w:r w:rsidR="001A7A58">
        <w:rPr>
          <w:webHidden/>
        </w:rPr>
        <w:t>31</w:t>
      </w:r>
    </w:p>
    <w:p w14:paraId="5BC0F0D3" w14:textId="7D1D69FD" w:rsidR="00A22A68" w:rsidRDefault="00A22A68">
      <w:pPr>
        <w:pStyle w:val="TableofFigures"/>
        <w:rPr>
          <w:color w:val="auto"/>
          <w:sz w:val="22"/>
        </w:rPr>
      </w:pPr>
      <w:r w:rsidRPr="00946134">
        <w:t>Figure 5</w:t>
      </w:r>
      <w:r w:rsidRPr="00946134">
        <w:noBreakHyphen/>
        <w:t>2 Flow stages according to Stewardson &amp; Guarino (2018).</w:t>
      </w:r>
      <w:r>
        <w:rPr>
          <w:webHidden/>
        </w:rPr>
        <w:tab/>
      </w:r>
      <w:r w:rsidR="001A7A58">
        <w:rPr>
          <w:webHidden/>
        </w:rPr>
        <w:t>37</w:t>
      </w:r>
    </w:p>
    <w:p w14:paraId="13E3ACD7" w14:textId="7C7671D3" w:rsidR="00A22A68" w:rsidRDefault="00A22A68">
      <w:pPr>
        <w:pStyle w:val="TableofFigures"/>
        <w:rPr>
          <w:color w:val="auto"/>
          <w:sz w:val="22"/>
        </w:rPr>
      </w:pPr>
      <w:r w:rsidRPr="00946134">
        <w:lastRenderedPageBreak/>
        <w:t>Figure 5</w:t>
      </w:r>
      <w:r w:rsidRPr="00946134">
        <w:noBreakHyphen/>
        <w:t>3 Mean Daily Water Temperature and Dissolved Oxygen Concentration for the five study sites 2020-21. A sixth data set, from the outflow from Goulburn Weir, was added to help determine the origin of the anomalies.</w:t>
      </w:r>
      <w:r>
        <w:rPr>
          <w:webHidden/>
        </w:rPr>
        <w:tab/>
      </w:r>
      <w:r w:rsidR="001A7A58">
        <w:rPr>
          <w:webHidden/>
        </w:rPr>
        <w:t>40</w:t>
      </w:r>
    </w:p>
    <w:p w14:paraId="206A73F2" w14:textId="3B32B252" w:rsidR="00A22A68" w:rsidRDefault="00A22A68">
      <w:pPr>
        <w:pStyle w:val="TableofFigures"/>
        <w:rPr>
          <w:color w:val="auto"/>
          <w:sz w:val="22"/>
        </w:rPr>
      </w:pPr>
      <w:r w:rsidRPr="00946134">
        <w:t>Figure 5</w:t>
      </w:r>
      <w:r w:rsidRPr="00946134">
        <w:noBreakHyphen/>
        <w:t>4 a) Stream Metabolism-Flow Relationships for McCoy’s Bridge (Zone 2) from May 2019 to April 2020: Gross Primary Production and Ecosystem Respiration; b) Magnified view of September-November 2020.</w:t>
      </w:r>
      <w:r>
        <w:rPr>
          <w:webHidden/>
        </w:rPr>
        <w:tab/>
      </w:r>
      <w:r w:rsidR="001A7A58">
        <w:rPr>
          <w:webHidden/>
        </w:rPr>
        <w:t>44</w:t>
      </w:r>
    </w:p>
    <w:p w14:paraId="2EEEDB77" w14:textId="72F25D1D" w:rsidR="00A22A68" w:rsidRDefault="00A22A68">
      <w:pPr>
        <w:pStyle w:val="TableofFigures"/>
        <w:rPr>
          <w:color w:val="auto"/>
          <w:sz w:val="22"/>
        </w:rPr>
      </w:pPr>
      <w:r w:rsidRPr="00946134">
        <w:t>Figure 5</w:t>
      </w:r>
      <w:r w:rsidRPr="00946134">
        <w:noBreakHyphen/>
        <w:t>5 Annual variation in GPP stratified by season at the McCoy’s Bridge site, 2014-21.</w:t>
      </w:r>
      <w:r>
        <w:rPr>
          <w:webHidden/>
        </w:rPr>
        <w:tab/>
      </w:r>
      <w:r w:rsidR="001A7A58">
        <w:rPr>
          <w:webHidden/>
        </w:rPr>
        <w:t>46</w:t>
      </w:r>
    </w:p>
    <w:p w14:paraId="1C6621D3" w14:textId="160678FE" w:rsidR="00A22A68" w:rsidRDefault="00A22A68">
      <w:pPr>
        <w:pStyle w:val="TableofFigures"/>
        <w:rPr>
          <w:color w:val="auto"/>
          <w:sz w:val="22"/>
        </w:rPr>
      </w:pPr>
      <w:r w:rsidRPr="00946134">
        <w:t>Figure 5</w:t>
      </w:r>
      <w:r w:rsidRPr="00946134">
        <w:noBreakHyphen/>
        <w:t>6 Annual variation in ER stratified by season at the McCoy’s Bridge site, 2014-21.</w:t>
      </w:r>
      <w:r>
        <w:rPr>
          <w:webHidden/>
        </w:rPr>
        <w:tab/>
      </w:r>
      <w:r w:rsidR="001A7A58">
        <w:rPr>
          <w:webHidden/>
        </w:rPr>
        <w:t>47</w:t>
      </w:r>
    </w:p>
    <w:p w14:paraId="152C5AF8" w14:textId="0367F7D9" w:rsidR="00A22A68" w:rsidRDefault="00A22A68">
      <w:pPr>
        <w:pStyle w:val="TableofFigures"/>
        <w:rPr>
          <w:color w:val="auto"/>
          <w:sz w:val="22"/>
        </w:rPr>
      </w:pPr>
      <w:r w:rsidRPr="00946134">
        <w:t>Figure 5</w:t>
      </w:r>
      <w:r w:rsidRPr="00946134">
        <w:noBreakHyphen/>
        <w:t>7 Seasonal dependence of GPP, ER, P/R and NEP for all sites combined, with data from 2014-21.</w:t>
      </w:r>
      <w:r>
        <w:rPr>
          <w:webHidden/>
        </w:rPr>
        <w:tab/>
      </w:r>
      <w:r w:rsidR="001A7A58">
        <w:rPr>
          <w:webHidden/>
        </w:rPr>
        <w:t>49</w:t>
      </w:r>
    </w:p>
    <w:p w14:paraId="61AAA23A" w14:textId="5975D358" w:rsidR="00A22A68" w:rsidRDefault="00A22A68">
      <w:pPr>
        <w:pStyle w:val="TableofFigures"/>
        <w:rPr>
          <w:color w:val="auto"/>
          <w:sz w:val="22"/>
        </w:rPr>
      </w:pPr>
      <w:r w:rsidRPr="00946134">
        <w:t>Figure 5</w:t>
      </w:r>
      <w:r w:rsidRPr="00946134">
        <w:noBreakHyphen/>
        <w:t>8 Seasonal dependence of the metabolic fingerprint at McCoy’s Bridge for the Year 2 MER data set.</w:t>
      </w:r>
      <w:r>
        <w:rPr>
          <w:webHidden/>
        </w:rPr>
        <w:tab/>
      </w:r>
      <w:r w:rsidR="001A7A58">
        <w:rPr>
          <w:webHidden/>
        </w:rPr>
        <w:t>51</w:t>
      </w:r>
    </w:p>
    <w:p w14:paraId="6A1E6582" w14:textId="20396C97" w:rsidR="00A22A68" w:rsidRDefault="00A22A68">
      <w:pPr>
        <w:pStyle w:val="TableofFigures"/>
        <w:rPr>
          <w:color w:val="auto"/>
          <w:sz w:val="22"/>
        </w:rPr>
      </w:pPr>
      <w:r w:rsidRPr="00946134">
        <w:t>Figure 5</w:t>
      </w:r>
      <w:r w:rsidRPr="00946134">
        <w:noBreakHyphen/>
        <w:t>9 Variation in NOx concentrations in the Goulburn River, May 2019 – Apr 2021. Data combined from all 5 sites and taken from Table 5-13.</w:t>
      </w:r>
      <w:r>
        <w:rPr>
          <w:webHidden/>
        </w:rPr>
        <w:tab/>
      </w:r>
      <w:r w:rsidR="001A7A58">
        <w:rPr>
          <w:webHidden/>
        </w:rPr>
        <w:t>55</w:t>
      </w:r>
    </w:p>
    <w:p w14:paraId="2B290F49" w14:textId="47C13FDD" w:rsidR="00A22A68" w:rsidRDefault="00A22A68">
      <w:pPr>
        <w:pStyle w:val="TableofFigures"/>
        <w:rPr>
          <w:color w:val="auto"/>
          <w:sz w:val="22"/>
        </w:rPr>
      </w:pPr>
      <w:r w:rsidRPr="00946134">
        <w:t>Figure 5</w:t>
      </w:r>
      <w:r w:rsidRPr="00946134">
        <w:noBreakHyphen/>
        <w:t>10 Variation in Turbidity (NTU) in the Goulburn River, May 2019 – Apr 2020. Data combined from all 5 sites and taken from Table 5</w:t>
      </w:r>
      <w:r w:rsidRPr="00946134">
        <w:noBreakHyphen/>
        <w:t>13. Daily Flow data over this period is from McCoy’s Bridge.</w:t>
      </w:r>
      <w:r>
        <w:rPr>
          <w:webHidden/>
        </w:rPr>
        <w:tab/>
      </w:r>
      <w:r w:rsidR="001A7A58">
        <w:rPr>
          <w:webHidden/>
        </w:rPr>
        <w:t>57</w:t>
      </w:r>
    </w:p>
    <w:p w14:paraId="613C1BF0" w14:textId="60EB7839" w:rsidR="00A22A68" w:rsidRDefault="00A22A68">
      <w:pPr>
        <w:pStyle w:val="TableofFigures"/>
        <w:rPr>
          <w:color w:val="auto"/>
          <w:sz w:val="22"/>
        </w:rPr>
      </w:pPr>
      <w:r w:rsidRPr="00946134">
        <w:t>Figure 5</w:t>
      </w:r>
      <w:r w:rsidRPr="00946134">
        <w:noBreakHyphen/>
        <w:t>11 Effects of Environmental Flows (including watering actions) on rates of GPP and ER, using discharge (log(Q)) as the flow predictor. Y-axes show the differences in corresponding rates between with and without the environmental water delivered in 2019-20.</w:t>
      </w:r>
      <w:r>
        <w:rPr>
          <w:webHidden/>
        </w:rPr>
        <w:tab/>
      </w:r>
      <w:r w:rsidR="001A7A58">
        <w:rPr>
          <w:webHidden/>
        </w:rPr>
        <w:t>60</w:t>
      </w:r>
    </w:p>
    <w:p w14:paraId="5A08BDC6" w14:textId="2806BE09" w:rsidR="00A22A68" w:rsidRDefault="00A22A68">
      <w:pPr>
        <w:pStyle w:val="TableofFigures"/>
        <w:rPr>
          <w:color w:val="auto"/>
          <w:sz w:val="22"/>
        </w:rPr>
      </w:pPr>
      <w:r w:rsidRPr="00946134">
        <w:t>Figure 5</w:t>
      </w:r>
      <w:r w:rsidRPr="00946134">
        <w:noBreakHyphen/>
        <w:t>12 Effects of Environmental Flows (including watering actions) on rates of GPP and ER, using delta discharge (diffQ) as the flow predictor. Y-axes show the differences in corresponding rates between with and without environmental water, which are presented</w:t>
      </w:r>
      <w:r>
        <w:rPr>
          <w:webHidden/>
        </w:rPr>
        <w:tab/>
      </w:r>
      <w:r w:rsidR="001A7A58">
        <w:rPr>
          <w:webHidden/>
        </w:rPr>
        <w:t>61</w:t>
      </w:r>
    </w:p>
    <w:p w14:paraId="1C652AE0" w14:textId="0041795D" w:rsidR="00A22A68" w:rsidRDefault="00A22A68">
      <w:pPr>
        <w:pStyle w:val="TableofFigures"/>
        <w:rPr>
          <w:color w:val="auto"/>
          <w:sz w:val="22"/>
        </w:rPr>
      </w:pPr>
      <w:r w:rsidRPr="00946134">
        <w:t>Figure 5</w:t>
      </w:r>
      <w:r w:rsidRPr="00946134">
        <w:noBreakHyphen/>
        <w:t>13 Box plot showing the Daily Organic Carbon Load (Tonnes/Day) created by GPP for the combined 7-year LTIM-MER data set, stratified by season and flow category: Very Low Flow, Moderately Low Flow, Low Fresh Flow and Medium Fresh Flow. Summary statistics are presented in Table 5</w:t>
      </w:r>
      <w:r w:rsidRPr="00946134">
        <w:noBreakHyphen/>
        <w:t>17. Note the log scale for the Y-axis.</w:t>
      </w:r>
      <w:r>
        <w:rPr>
          <w:webHidden/>
        </w:rPr>
        <w:tab/>
      </w:r>
      <w:r w:rsidR="001A7A58">
        <w:rPr>
          <w:webHidden/>
        </w:rPr>
        <w:t>64</w:t>
      </w:r>
    </w:p>
    <w:p w14:paraId="702A93F6" w14:textId="708ABE29" w:rsidR="00A22A68" w:rsidRDefault="00A22A68">
      <w:pPr>
        <w:pStyle w:val="TableofFigures"/>
        <w:rPr>
          <w:color w:val="auto"/>
          <w:sz w:val="22"/>
        </w:rPr>
      </w:pPr>
      <w:r w:rsidRPr="00946134">
        <w:t>Figure 5</w:t>
      </w:r>
      <w:r w:rsidRPr="00946134">
        <w:noBreakHyphen/>
        <w:t>14 Box plot showing the Daily Organic Carbon Load (Tonnes/Day) consumed by ER for the combined 7-year LTIM-MER data set, stratified by season and flow category: Very Low Flow, Moderately Low Flow, Low Fresh Flow and Medium Fresh Flow. Summary statistics are presented in Table 5</w:t>
      </w:r>
      <w:r w:rsidRPr="00946134">
        <w:noBreakHyphen/>
        <w:t>18. Note the log scale for the Y-axis.</w:t>
      </w:r>
      <w:r>
        <w:rPr>
          <w:webHidden/>
        </w:rPr>
        <w:tab/>
      </w:r>
      <w:r w:rsidR="001A7A58">
        <w:rPr>
          <w:webHidden/>
        </w:rPr>
        <w:t>65</w:t>
      </w:r>
    </w:p>
    <w:p w14:paraId="2C7B343D" w14:textId="5D38BB02" w:rsidR="00A22A68" w:rsidRDefault="00A22A68">
      <w:pPr>
        <w:pStyle w:val="TableofFigures"/>
        <w:rPr>
          <w:color w:val="auto"/>
          <w:sz w:val="22"/>
        </w:rPr>
      </w:pPr>
      <w:r w:rsidRPr="00946134">
        <w:t>Figure 5</w:t>
      </w:r>
      <w:r w:rsidRPr="00946134">
        <w:noBreakHyphen/>
        <w:t>15 Estimated daily loads of organic carbon created by GPP at McCoy’s Bridge showing the total load and the load without the contribution of CEW. The visible orange section of each bar represents the contribution of CEW. This plot estimates loads for every day over the MER period of record (May 2019 to April 2021).</w:t>
      </w:r>
      <w:r>
        <w:rPr>
          <w:webHidden/>
        </w:rPr>
        <w:tab/>
      </w:r>
      <w:r w:rsidR="001A7A58">
        <w:rPr>
          <w:webHidden/>
        </w:rPr>
        <w:t>67</w:t>
      </w:r>
    </w:p>
    <w:p w14:paraId="0D8FC2FB" w14:textId="7344E158" w:rsidR="00A22A68" w:rsidRDefault="00A22A68">
      <w:pPr>
        <w:pStyle w:val="TableofFigures"/>
        <w:rPr>
          <w:color w:val="auto"/>
          <w:sz w:val="22"/>
        </w:rPr>
      </w:pPr>
      <w:r w:rsidRPr="00946134">
        <w:t>Figure 5</w:t>
      </w:r>
      <w:r w:rsidRPr="00946134">
        <w:noBreakHyphen/>
        <w:t>16 Estimated mean daily loads of organic carbon created by GPP, stratified by season and flow category. Data from 2014-20, pooled across the Moss/Rd/Day Rd/Murchison, Darcy’s Track/Arcadia Downs and McCoy’s Bridge sites.</w:t>
      </w:r>
      <w:r>
        <w:rPr>
          <w:webHidden/>
        </w:rPr>
        <w:tab/>
      </w:r>
      <w:r w:rsidR="001A7A58">
        <w:rPr>
          <w:webHidden/>
        </w:rPr>
        <w:t>69</w:t>
      </w:r>
    </w:p>
    <w:p w14:paraId="5F37E136" w14:textId="339433AE" w:rsidR="00A22A68" w:rsidRDefault="00A22A68">
      <w:pPr>
        <w:pStyle w:val="TableofFigures"/>
        <w:rPr>
          <w:color w:val="auto"/>
          <w:sz w:val="22"/>
        </w:rPr>
      </w:pPr>
      <w:r w:rsidRPr="00946134">
        <w:t>Figure 6</w:t>
      </w:r>
      <w:r w:rsidRPr="00946134">
        <w:noBreakHyphen/>
        <w:t>1 Macroinvertebrate sampling in 2020-2021 pre and post Commonwealth Environmental Water delivery and other flow events.</w:t>
      </w:r>
      <w:r>
        <w:rPr>
          <w:webHidden/>
        </w:rPr>
        <w:tab/>
      </w:r>
      <w:r w:rsidR="001A7A58">
        <w:rPr>
          <w:webHidden/>
        </w:rPr>
        <w:t>74</w:t>
      </w:r>
    </w:p>
    <w:p w14:paraId="7DC7C023" w14:textId="6DC4B9C6" w:rsidR="00A22A68" w:rsidRDefault="00A22A68">
      <w:pPr>
        <w:pStyle w:val="TableofFigures"/>
        <w:rPr>
          <w:color w:val="auto"/>
          <w:sz w:val="22"/>
        </w:rPr>
      </w:pPr>
      <w:r w:rsidRPr="00946134">
        <w:lastRenderedPageBreak/>
        <w:t>Figure 6</w:t>
      </w:r>
      <w:r w:rsidRPr="00946134">
        <w:noBreakHyphen/>
        <w:t>2 RBA macroinvertebrate sampling a) mean (</w:t>
      </w:r>
      <w:r w:rsidRPr="00946134">
        <w:rPr>
          <w:rFonts w:cstheme="minorHAnsi"/>
        </w:rPr>
        <w:t>±</w:t>
      </w:r>
      <w:r w:rsidRPr="00946134">
        <w:t xml:space="preserve"> standard deviation) total abundance of all taxa caught per sample in different months. Orange colour: before spring fresh 2019; Pale orange: before 2</w:t>
      </w:r>
      <w:r w:rsidRPr="00946134">
        <w:rPr>
          <w:vertAlign w:val="superscript"/>
        </w:rPr>
        <w:t>nd</w:t>
      </w:r>
      <w:r w:rsidRPr="00946134">
        <w:t xml:space="preserve"> small spring fresh 2020; blue colour: after spring fresh. b) abundance (</w:t>
      </w:r>
      <w:r w:rsidRPr="00946134">
        <w:rPr>
          <w:rFonts w:cstheme="minorHAnsi"/>
        </w:rPr>
        <w:t>±</w:t>
      </w:r>
      <w:r w:rsidRPr="00946134">
        <w:t xml:space="preserve"> standard deviation) of all taxa for all sites in different months.</w:t>
      </w:r>
      <w:r>
        <w:rPr>
          <w:webHidden/>
        </w:rPr>
        <w:tab/>
      </w:r>
      <w:r w:rsidR="001A7A58">
        <w:rPr>
          <w:webHidden/>
        </w:rPr>
        <w:t>76</w:t>
      </w:r>
    </w:p>
    <w:p w14:paraId="7322F1A7" w14:textId="7689B4AB" w:rsidR="00A22A68" w:rsidRDefault="00A22A68">
      <w:pPr>
        <w:pStyle w:val="TableofFigures"/>
        <w:rPr>
          <w:color w:val="auto"/>
          <w:sz w:val="22"/>
        </w:rPr>
      </w:pPr>
      <w:r w:rsidRPr="00946134">
        <w:t>Figure 6</w:t>
      </w:r>
      <w:r w:rsidRPr="00946134">
        <w:noBreakHyphen/>
        <w:t xml:space="preserve">3 RBA crustacean sampling a) mean (± standard deviation) abundance of the shrimp </w:t>
      </w:r>
      <w:r w:rsidRPr="00946134">
        <w:rPr>
          <w:i/>
        </w:rPr>
        <w:t>Paratya australiensis</w:t>
      </w:r>
      <w:r w:rsidRPr="00946134">
        <w:t xml:space="preserve"> per sample in different months. Orange colour: before spring fresh; light orange: before 2</w:t>
      </w:r>
      <w:r w:rsidRPr="00946134">
        <w:rPr>
          <w:vertAlign w:val="superscript"/>
        </w:rPr>
        <w:t>nd</w:t>
      </w:r>
      <w:r w:rsidRPr="00946134">
        <w:t xml:space="preserve"> small spring fresh blue colour: after spring fresh. b) abundance of the shrimp </w:t>
      </w:r>
      <w:r w:rsidRPr="00946134">
        <w:rPr>
          <w:i/>
        </w:rPr>
        <w:t>Paratya australiensis</w:t>
      </w:r>
      <w:r w:rsidRPr="00946134">
        <w:t xml:space="preserve"> for all sites in different months. c) mean (± standard deviation) abundance of the prawn, </w:t>
      </w:r>
      <w:r w:rsidRPr="00946134">
        <w:rPr>
          <w:i/>
        </w:rPr>
        <w:t>Macrobrachium australiense</w:t>
      </w:r>
      <w:r w:rsidRPr="00946134">
        <w:t xml:space="preserve"> per sample in different months. Orange colour: before spring fresh; light orange: before 2</w:t>
      </w:r>
      <w:r w:rsidRPr="00946134">
        <w:rPr>
          <w:vertAlign w:val="superscript"/>
        </w:rPr>
        <w:t>nd</w:t>
      </w:r>
      <w:r w:rsidRPr="00946134">
        <w:t xml:space="preserve"> small spring fresh blue colour: after spring fresh. d) abundance of the prawn, </w:t>
      </w:r>
      <w:r w:rsidRPr="00946134">
        <w:rPr>
          <w:i/>
        </w:rPr>
        <w:t>Macrobrachium australiense</w:t>
      </w:r>
      <w:r w:rsidRPr="00946134">
        <w:t xml:space="preserve"> for all sites in different months.</w:t>
      </w:r>
      <w:r>
        <w:rPr>
          <w:webHidden/>
        </w:rPr>
        <w:tab/>
      </w:r>
      <w:r w:rsidR="001A7A58">
        <w:rPr>
          <w:webHidden/>
        </w:rPr>
        <w:t>78</w:t>
      </w:r>
    </w:p>
    <w:p w14:paraId="1E9D8616" w14:textId="2CE4E8FD" w:rsidR="00A22A68" w:rsidRDefault="00A22A68">
      <w:pPr>
        <w:pStyle w:val="TableofFigures"/>
        <w:rPr>
          <w:color w:val="auto"/>
          <w:sz w:val="22"/>
        </w:rPr>
      </w:pPr>
      <w:r w:rsidRPr="00946134">
        <w:t>Figure 6</w:t>
      </w:r>
      <w:r w:rsidRPr="00946134">
        <w:noBreakHyphen/>
        <w:t xml:space="preserve">4 RBA crustacean sampling a) mean (± standard deviation) biomass (g/m3) of the shrimp </w:t>
      </w:r>
      <w:r w:rsidRPr="00946134">
        <w:rPr>
          <w:i/>
        </w:rPr>
        <w:t>Paratya australiensis</w:t>
      </w:r>
      <w:r w:rsidRPr="00946134">
        <w:t xml:space="preserve"> per sample in different months. Orange colour: before spring fresh; light orange: before 2</w:t>
      </w:r>
      <w:r w:rsidRPr="00946134">
        <w:rPr>
          <w:vertAlign w:val="superscript"/>
        </w:rPr>
        <w:t>nd</w:t>
      </w:r>
      <w:r w:rsidRPr="00946134">
        <w:t xml:space="preserve"> small spring fresh blue colour: after spring fresh. b) biomass (g/m</w:t>
      </w:r>
      <w:r w:rsidRPr="00946134">
        <w:rPr>
          <w:vertAlign w:val="superscript"/>
        </w:rPr>
        <w:t>3</w:t>
      </w:r>
      <w:r w:rsidRPr="00946134">
        <w:t xml:space="preserve">) of the shrimp </w:t>
      </w:r>
      <w:r w:rsidRPr="00946134">
        <w:rPr>
          <w:i/>
        </w:rPr>
        <w:t>Paratya australiensis</w:t>
      </w:r>
      <w:r w:rsidRPr="00946134">
        <w:t xml:space="preserve"> for all sites in different months. c) mean (</w:t>
      </w:r>
      <w:r w:rsidRPr="00946134">
        <w:rPr>
          <w:rFonts w:cstheme="minorHAnsi"/>
        </w:rPr>
        <w:t>±</w:t>
      </w:r>
      <w:r w:rsidRPr="00946134">
        <w:t xml:space="preserve"> standard deviation) biomass (g/m</w:t>
      </w:r>
      <w:r w:rsidRPr="00946134">
        <w:rPr>
          <w:vertAlign w:val="superscript"/>
        </w:rPr>
        <w:t>3</w:t>
      </w:r>
      <w:r w:rsidRPr="00946134">
        <w:t xml:space="preserve">) of the prawn, </w:t>
      </w:r>
      <w:r w:rsidRPr="00946134">
        <w:rPr>
          <w:i/>
        </w:rPr>
        <w:t>Macrobrachium australiense</w:t>
      </w:r>
      <w:r w:rsidRPr="00946134">
        <w:t xml:space="preserve"> per sample in different months.</w:t>
      </w:r>
      <w:r>
        <w:rPr>
          <w:webHidden/>
        </w:rPr>
        <w:tab/>
      </w:r>
      <w:r w:rsidR="001A7A58">
        <w:rPr>
          <w:webHidden/>
        </w:rPr>
        <w:t>79</w:t>
      </w:r>
    </w:p>
    <w:p w14:paraId="1C2DBB8F" w14:textId="533E8EA6" w:rsidR="00A22A68" w:rsidRDefault="00A22A68">
      <w:pPr>
        <w:pStyle w:val="TableofFigures"/>
        <w:rPr>
          <w:color w:val="auto"/>
          <w:sz w:val="22"/>
        </w:rPr>
      </w:pPr>
      <w:r w:rsidRPr="00946134">
        <w:t>Figure 6</w:t>
      </w:r>
      <w:r w:rsidRPr="00946134">
        <w:noBreakHyphen/>
        <w:t>5 RBA crustacean sampling a) mean (± standard deviation) abundance of immature crustaceans per sample in different months. Orange colour: before spring fresh; light orange: before 2</w:t>
      </w:r>
      <w:r w:rsidRPr="00946134">
        <w:rPr>
          <w:vertAlign w:val="superscript"/>
        </w:rPr>
        <w:t>nd</w:t>
      </w:r>
      <w:r w:rsidRPr="00946134">
        <w:t xml:space="preserve"> small spring fresh; green colour: after spring fresh. b) abundance of immature crustaceans for all sites in different months.</w:t>
      </w:r>
      <w:r>
        <w:rPr>
          <w:webHidden/>
        </w:rPr>
        <w:tab/>
      </w:r>
      <w:r w:rsidR="001A7A58">
        <w:rPr>
          <w:webHidden/>
        </w:rPr>
        <w:t>80</w:t>
      </w:r>
    </w:p>
    <w:p w14:paraId="21810DF4" w14:textId="3A66589C" w:rsidR="00A22A68" w:rsidRDefault="00A22A68">
      <w:pPr>
        <w:pStyle w:val="TableofFigures"/>
        <w:rPr>
          <w:color w:val="auto"/>
          <w:sz w:val="22"/>
        </w:rPr>
      </w:pPr>
      <w:r w:rsidRPr="00946134">
        <w:t>Figure 6</w:t>
      </w:r>
      <w:r w:rsidRPr="00946134">
        <w:noBreakHyphen/>
        <w:t>6 Crustacean Bait Trap sampling a) mean (± standard deviation) total abundance of shrimps (</w:t>
      </w:r>
      <w:r w:rsidRPr="00946134">
        <w:rPr>
          <w:i/>
        </w:rPr>
        <w:t>Parataya australiensis</w:t>
      </w:r>
      <w:r w:rsidRPr="00946134">
        <w:t>) caught per sample in different months. Orange colour: before spring fresh; light orange: before 2</w:t>
      </w:r>
      <w:r w:rsidRPr="00946134">
        <w:rPr>
          <w:vertAlign w:val="superscript"/>
        </w:rPr>
        <w:t>nd</w:t>
      </w:r>
      <w:r w:rsidRPr="00946134">
        <w:t xml:space="preserve"> small spring fresh; blue colour: after spring fresh. b) abundance of all shrimps for all sites in different months. c) mean (± standard deviation) total abundance of prawns (</w:t>
      </w:r>
      <w:r w:rsidRPr="00946134">
        <w:rPr>
          <w:i/>
        </w:rPr>
        <w:t>Macrobrachium australiense</w:t>
      </w:r>
      <w:r w:rsidRPr="00946134">
        <w:t>) caught per sample in different months. Orange colour: before spring fresh; light orange: before 2</w:t>
      </w:r>
      <w:r w:rsidRPr="00946134">
        <w:rPr>
          <w:vertAlign w:val="superscript"/>
        </w:rPr>
        <w:t>nd</w:t>
      </w:r>
      <w:r w:rsidRPr="00946134">
        <w:t xml:space="preserve"> small spring fresh; gold colour: after spring fresh. d) abundance of all prawns for all sites in different months.</w:t>
      </w:r>
      <w:r>
        <w:rPr>
          <w:webHidden/>
        </w:rPr>
        <w:tab/>
      </w:r>
      <w:r w:rsidR="001A7A58">
        <w:rPr>
          <w:webHidden/>
        </w:rPr>
        <w:t>82</w:t>
      </w:r>
    </w:p>
    <w:p w14:paraId="6F011B89" w14:textId="357B4A39" w:rsidR="00A22A68" w:rsidRDefault="00A22A68">
      <w:pPr>
        <w:pStyle w:val="TableofFigures"/>
        <w:rPr>
          <w:color w:val="auto"/>
          <w:sz w:val="22"/>
        </w:rPr>
      </w:pPr>
      <w:r w:rsidRPr="00946134">
        <w:t>Figure 6</w:t>
      </w:r>
      <w:r w:rsidRPr="00946134">
        <w:noBreakHyphen/>
        <w:t>7 Crustacean Bait Trap sampling a) mean (± standard deviation) total biomass of shrimps (</w:t>
      </w:r>
      <w:r w:rsidRPr="00946134">
        <w:rPr>
          <w:i/>
        </w:rPr>
        <w:t>Parataya australiensis</w:t>
      </w:r>
      <w:r w:rsidRPr="00946134">
        <w:t>) caught per sample in different months. Orange colour: before spring fresh; light orange: before 2</w:t>
      </w:r>
      <w:r w:rsidRPr="00946134">
        <w:rPr>
          <w:vertAlign w:val="superscript"/>
        </w:rPr>
        <w:t>nd</w:t>
      </w:r>
      <w:r w:rsidRPr="00946134">
        <w:t xml:space="preserve"> small spring fresh; blue colour: after spring fresh. b) Biomass of all shrimps for all sites in different months. c) mean (± standard deviation) total biomass of prawns (</w:t>
      </w:r>
      <w:r w:rsidRPr="00946134">
        <w:rPr>
          <w:i/>
        </w:rPr>
        <w:t>Macrobrachium australiense</w:t>
      </w:r>
      <w:r w:rsidRPr="00946134">
        <w:t>) caught per sample in different months. Orange colour: before spring fresh; light orange: before 2</w:t>
      </w:r>
      <w:r w:rsidRPr="00946134">
        <w:rPr>
          <w:vertAlign w:val="superscript"/>
        </w:rPr>
        <w:t>nd</w:t>
      </w:r>
      <w:r w:rsidRPr="00946134">
        <w:t xml:space="preserve"> small spring fresh; gold colour: after spring fresh. d) Biomass of all prawns for all sites in different months.</w:t>
      </w:r>
      <w:r>
        <w:rPr>
          <w:webHidden/>
        </w:rPr>
        <w:tab/>
      </w:r>
      <w:r w:rsidR="001A7A58">
        <w:rPr>
          <w:webHidden/>
        </w:rPr>
        <w:t>83</w:t>
      </w:r>
    </w:p>
    <w:p w14:paraId="188A4511" w14:textId="1B6E860F" w:rsidR="00A22A68" w:rsidRDefault="00A22A68">
      <w:pPr>
        <w:pStyle w:val="TableofFigures"/>
        <w:rPr>
          <w:color w:val="auto"/>
          <w:sz w:val="22"/>
        </w:rPr>
      </w:pPr>
      <w:r w:rsidRPr="00946134">
        <w:t>Figure 6</w:t>
      </w:r>
      <w:r w:rsidRPr="00946134">
        <w:noBreakHyphen/>
        <w:t>8 Crustacean Bait Trap sampling a) shrimp abundance vs percentage of complex habitat. b) shrimp abundance vs percentage of snag cover. c) shrimp abundance vs percentage of macrophyte cover. d) prawn abundance vs percentage of complex habitat. e) prawn abundance vs percentage of snag cover.</w:t>
      </w:r>
      <w:r>
        <w:rPr>
          <w:webHidden/>
        </w:rPr>
        <w:tab/>
      </w:r>
      <w:r w:rsidR="001A7A58">
        <w:rPr>
          <w:webHidden/>
        </w:rPr>
        <w:t>84</w:t>
      </w:r>
    </w:p>
    <w:p w14:paraId="0B885F0B" w14:textId="4EA8B8CB" w:rsidR="00A22A68" w:rsidRDefault="00A22A68">
      <w:pPr>
        <w:pStyle w:val="TableofFigures"/>
        <w:rPr>
          <w:color w:val="auto"/>
          <w:sz w:val="22"/>
        </w:rPr>
      </w:pPr>
      <w:r w:rsidRPr="00946134">
        <w:t>Figure 7</w:t>
      </w:r>
      <w:r w:rsidRPr="00946134">
        <w:noBreakHyphen/>
        <w:t xml:space="preserve">1 Mean (+/- 95% CI) foliage projected cover (FPC) of ground layer vegetation at McCoy’s Bridge and Loch Garry at each survey averaged across all zones(a), Zone 4 (b) Zone 3 (c) </w:t>
      </w:r>
      <w:r w:rsidRPr="00946134">
        <w:lastRenderedPageBreak/>
        <w:t>Zone 2 (d) Zone 1a (e), and Zone 1a (f). Trend lines (dotted) are also shown for each site.</w:t>
      </w:r>
      <w:r>
        <w:rPr>
          <w:webHidden/>
        </w:rPr>
        <w:tab/>
      </w:r>
      <w:r w:rsidR="001A7A58">
        <w:rPr>
          <w:webHidden/>
        </w:rPr>
        <w:t>94</w:t>
      </w:r>
    </w:p>
    <w:p w14:paraId="09B2CF83" w14:textId="6DBF52E6" w:rsidR="00A22A68" w:rsidRDefault="00A22A68">
      <w:pPr>
        <w:pStyle w:val="TableofFigures"/>
        <w:rPr>
          <w:color w:val="auto"/>
          <w:sz w:val="22"/>
        </w:rPr>
      </w:pPr>
      <w:r w:rsidRPr="00946134">
        <w:t>Figure 7</w:t>
      </w:r>
      <w:r w:rsidRPr="00946134">
        <w:noBreakHyphen/>
        <w:t>2 Patch of plants re-establishing along the river fringe at McCoys Bridge in March 2021.</w:t>
      </w:r>
      <w:r>
        <w:rPr>
          <w:webHidden/>
        </w:rPr>
        <w:tab/>
      </w:r>
      <w:r w:rsidR="001A7A58">
        <w:rPr>
          <w:webHidden/>
        </w:rPr>
        <w:t>95</w:t>
      </w:r>
    </w:p>
    <w:p w14:paraId="2BCF9601" w14:textId="099BB4C7" w:rsidR="00A22A68" w:rsidRDefault="00A22A68">
      <w:pPr>
        <w:pStyle w:val="TableofFigures"/>
        <w:rPr>
          <w:color w:val="auto"/>
          <w:sz w:val="22"/>
        </w:rPr>
      </w:pPr>
      <w:r w:rsidRPr="00946134">
        <w:t>Figure 7</w:t>
      </w:r>
      <w:r w:rsidRPr="00946134">
        <w:noBreakHyphen/>
        <w:t>3 Modelled probability of occurrence for groups and species in response to number of days inundated at &gt;25 cm in the previous year.</w:t>
      </w:r>
      <w:r>
        <w:rPr>
          <w:webHidden/>
        </w:rPr>
        <w:tab/>
      </w:r>
      <w:r w:rsidR="001A7A58">
        <w:rPr>
          <w:webHidden/>
        </w:rPr>
        <w:t>97</w:t>
      </w:r>
    </w:p>
    <w:p w14:paraId="55BA6DCB" w14:textId="3CC553F5" w:rsidR="00A22A68" w:rsidRDefault="00A22A68">
      <w:pPr>
        <w:pStyle w:val="TableofFigures"/>
        <w:rPr>
          <w:color w:val="auto"/>
          <w:sz w:val="22"/>
        </w:rPr>
      </w:pPr>
      <w:r w:rsidRPr="00946134">
        <w:t>Figure 7</w:t>
      </w:r>
      <w:r w:rsidRPr="00946134">
        <w:noBreakHyphen/>
        <w:t>4 Modelled probability of occurrence for groups and species in response to number of days inundation &gt;25cm in the previous IVT season.</w:t>
      </w:r>
      <w:r>
        <w:rPr>
          <w:webHidden/>
        </w:rPr>
        <w:tab/>
      </w:r>
      <w:r w:rsidR="001A7A58">
        <w:rPr>
          <w:webHidden/>
        </w:rPr>
        <w:t>98</w:t>
      </w:r>
    </w:p>
    <w:p w14:paraId="6C12DEE2" w14:textId="3D549AF2" w:rsidR="00A22A68" w:rsidRDefault="00A22A68">
      <w:pPr>
        <w:pStyle w:val="TableofFigures"/>
        <w:rPr>
          <w:color w:val="auto"/>
          <w:sz w:val="22"/>
        </w:rPr>
      </w:pPr>
      <w:r w:rsidRPr="00946134">
        <w:t>Figure 7</w:t>
      </w:r>
      <w:r w:rsidRPr="00946134">
        <w:noBreakHyphen/>
        <w:t>5 Modelled foliage projected cover (FPC %) for groups and species in response to number of days inundated &gt;25 cm in the previous year.</w:t>
      </w:r>
      <w:r>
        <w:rPr>
          <w:webHidden/>
        </w:rPr>
        <w:tab/>
      </w:r>
      <w:r w:rsidR="001A7A58">
        <w:rPr>
          <w:webHidden/>
        </w:rPr>
        <w:t>99</w:t>
      </w:r>
    </w:p>
    <w:p w14:paraId="2AFD71A6" w14:textId="31FCBF73" w:rsidR="00A22A68" w:rsidRDefault="00A22A68">
      <w:pPr>
        <w:pStyle w:val="TableofFigures"/>
        <w:rPr>
          <w:color w:val="auto"/>
          <w:sz w:val="22"/>
        </w:rPr>
      </w:pPr>
      <w:r w:rsidRPr="00946134">
        <w:t>Figure 8</w:t>
      </w:r>
      <w:r w:rsidRPr="00946134">
        <w:noBreakHyphen/>
        <w:t>1 Electrofishing and netting surveys on the Goulburn River.</w:t>
      </w:r>
      <w:r>
        <w:rPr>
          <w:webHidden/>
        </w:rPr>
        <w:tab/>
      </w:r>
      <w:r w:rsidR="001A7A58">
        <w:rPr>
          <w:webHidden/>
        </w:rPr>
        <w:t>106</w:t>
      </w:r>
    </w:p>
    <w:p w14:paraId="57FDB65C" w14:textId="6B68B97B" w:rsidR="00A22A68" w:rsidRDefault="00A22A68">
      <w:pPr>
        <w:pStyle w:val="TableofFigures"/>
        <w:rPr>
          <w:color w:val="auto"/>
          <w:sz w:val="22"/>
        </w:rPr>
      </w:pPr>
      <w:r w:rsidRPr="00946134">
        <w:t>Figure 8</w:t>
      </w:r>
      <w:r w:rsidRPr="00946134">
        <w:noBreakHyphen/>
        <w:t>2 Golden perch eggs collected in drift netting surveys on the Goulburn River.</w:t>
      </w:r>
      <w:r>
        <w:rPr>
          <w:webHidden/>
        </w:rPr>
        <w:tab/>
      </w:r>
      <w:r w:rsidR="001A7A58">
        <w:rPr>
          <w:webHidden/>
        </w:rPr>
        <w:t>106</w:t>
      </w:r>
    </w:p>
    <w:p w14:paraId="3B49C515" w14:textId="5C6F279D" w:rsidR="00A22A68" w:rsidRDefault="00A22A68">
      <w:pPr>
        <w:pStyle w:val="TableofFigures"/>
        <w:rPr>
          <w:color w:val="auto"/>
          <w:sz w:val="22"/>
        </w:rPr>
      </w:pPr>
      <w:r w:rsidRPr="00946134">
        <w:t>Figure 8</w:t>
      </w:r>
      <w:r w:rsidRPr="00946134">
        <w:noBreakHyphen/>
        <w:t>3 Mean number (±se) per site of fish species collected during electrofishing surveys 2015 to 2021. * denotes exotic species.</w:t>
      </w:r>
      <w:r>
        <w:rPr>
          <w:webHidden/>
        </w:rPr>
        <w:tab/>
      </w:r>
      <w:r w:rsidR="001A7A58">
        <w:rPr>
          <w:webHidden/>
        </w:rPr>
        <w:t>108</w:t>
      </w:r>
    </w:p>
    <w:p w14:paraId="181A926B" w14:textId="620761A3" w:rsidR="00A22A68" w:rsidRDefault="00A22A68">
      <w:pPr>
        <w:pStyle w:val="TableofFigures"/>
        <w:rPr>
          <w:color w:val="auto"/>
          <w:sz w:val="22"/>
        </w:rPr>
      </w:pPr>
      <w:r w:rsidRPr="00946134">
        <w:t>Figure 8</w:t>
      </w:r>
      <w:r w:rsidRPr="00946134">
        <w:noBreakHyphen/>
        <w:t>4 Mean number (±se) per site of fish species collected during fyke netting surveys 2015 to 2021. * denotes exotic species.</w:t>
      </w:r>
      <w:r>
        <w:rPr>
          <w:webHidden/>
        </w:rPr>
        <w:tab/>
      </w:r>
      <w:r w:rsidR="001A7A58">
        <w:rPr>
          <w:webHidden/>
        </w:rPr>
        <w:t>109</w:t>
      </w:r>
    </w:p>
    <w:p w14:paraId="4E6FD9E7" w14:textId="7BE628CD" w:rsidR="00A22A68" w:rsidRDefault="00A22A68">
      <w:pPr>
        <w:pStyle w:val="TableofFigures"/>
        <w:rPr>
          <w:color w:val="auto"/>
          <w:sz w:val="22"/>
        </w:rPr>
      </w:pPr>
      <w:r w:rsidRPr="00946134">
        <w:t>Figure 8</w:t>
      </w:r>
      <w:r w:rsidRPr="00946134">
        <w:noBreakHyphen/>
        <w:t>5 Length frequency of golden perch, Murray cod, silver perch and trout cod collected in the Goulburn River 2015-2020.</w:t>
      </w:r>
      <w:r>
        <w:rPr>
          <w:webHidden/>
        </w:rPr>
        <w:tab/>
      </w:r>
      <w:r w:rsidR="001A7A58">
        <w:rPr>
          <w:webHidden/>
        </w:rPr>
        <w:t>110</w:t>
      </w:r>
    </w:p>
    <w:p w14:paraId="34075440" w14:textId="2C85325F" w:rsidR="00A22A68" w:rsidRDefault="00A22A68">
      <w:pPr>
        <w:pStyle w:val="TableofFigures"/>
        <w:rPr>
          <w:color w:val="auto"/>
          <w:sz w:val="22"/>
        </w:rPr>
      </w:pPr>
      <w:r w:rsidRPr="00946134">
        <w:t>Figure 8</w:t>
      </w:r>
      <w:r w:rsidRPr="00946134">
        <w:noBreakHyphen/>
        <w:t>6 Mean (±se) number of golden perch (left panel) and silver perch (right panel) eggs/larvae per drift net collected in the Goulburn River in 2020. Mean daily discharge (blue line) and water temperature (broken red line) of the Goulburn River at McCoy Bridge. Triangles denote sampling trips.</w:t>
      </w:r>
      <w:r>
        <w:rPr>
          <w:webHidden/>
        </w:rPr>
        <w:tab/>
      </w:r>
      <w:r w:rsidR="001A7A58">
        <w:rPr>
          <w:webHidden/>
        </w:rPr>
        <w:t>111</w:t>
      </w:r>
    </w:p>
    <w:p w14:paraId="1837F338" w14:textId="4FF37F21" w:rsidR="00A22A68" w:rsidRDefault="00A22A68">
      <w:pPr>
        <w:pStyle w:val="TableofFigures"/>
        <w:rPr>
          <w:color w:val="auto"/>
          <w:sz w:val="22"/>
        </w:rPr>
      </w:pPr>
      <w:r w:rsidRPr="00946134">
        <w:t>Figure 8</w:t>
      </w:r>
      <w:r w:rsidRPr="00946134">
        <w:noBreakHyphen/>
        <w:t>7 Relationship between the probability of spawning (y-axis, 0-1) and discharge (x-axis, ML/day) when temperature is 17 °C. Rows correspond to prior 5-week flows at 500, 1000, 2000, 4000 and 8000 ML/d. Results are based on the occurrence model that uses flow discharge as the main predictor.</w:t>
      </w:r>
      <w:r>
        <w:rPr>
          <w:webHidden/>
        </w:rPr>
        <w:tab/>
      </w:r>
      <w:r w:rsidR="001A7A58">
        <w:rPr>
          <w:webHidden/>
        </w:rPr>
        <w:t>112</w:t>
      </w:r>
    </w:p>
    <w:p w14:paraId="357A6843" w14:textId="201C14EC" w:rsidR="00A22A68" w:rsidRDefault="00A22A68">
      <w:pPr>
        <w:pStyle w:val="TableofFigures"/>
        <w:rPr>
          <w:color w:val="auto"/>
          <w:sz w:val="22"/>
        </w:rPr>
      </w:pPr>
      <w:r w:rsidRPr="00946134">
        <w:t>Figure 8</w:t>
      </w:r>
      <w:r w:rsidRPr="00946134">
        <w:noBreakHyphen/>
        <w:t xml:space="preserve">8 Flow effect in four sites, based on the model of occurrence of spawning with 5-week antecedent flow effect, using </w:t>
      </w:r>
      <w:r w:rsidRPr="00946134">
        <w:rPr>
          <w:lang w:val="en-GB"/>
        </w:rPr>
        <w:t>discharge</w:t>
      </w:r>
      <w:r w:rsidRPr="00946134">
        <w:t xml:space="preserve"> as the main predictor. Plots above the 0 line indicate that spawning is more likely to occur in response to a high flow event when there have been higher average flows over the 5-weeks prior to the spawning survey.</w:t>
      </w:r>
      <w:r>
        <w:rPr>
          <w:webHidden/>
        </w:rPr>
        <w:tab/>
      </w:r>
      <w:r w:rsidR="001A7A58">
        <w:rPr>
          <w:webHidden/>
        </w:rPr>
        <w:t>113</w:t>
      </w:r>
    </w:p>
    <w:p w14:paraId="33FE9FAB" w14:textId="21C3116B" w:rsidR="00A22A68" w:rsidRDefault="00A22A68">
      <w:pPr>
        <w:pStyle w:val="TableofFigures"/>
        <w:rPr>
          <w:color w:val="auto"/>
          <w:sz w:val="22"/>
        </w:rPr>
      </w:pPr>
      <w:r w:rsidRPr="00946134">
        <w:t>Figure 9</w:t>
      </w:r>
      <w:r w:rsidRPr="00946134">
        <w:noBreakHyphen/>
        <w:t>1 a) Sediment mats on low-level bars prior to inundation, b) mat collection following inundation, c) seedling growth in the nursery following collection, and d) sediment analysis.</w:t>
      </w:r>
      <w:r>
        <w:rPr>
          <w:webHidden/>
        </w:rPr>
        <w:tab/>
      </w:r>
      <w:r w:rsidR="001A7A58">
        <w:rPr>
          <w:webHidden/>
        </w:rPr>
        <w:t>117</w:t>
      </w:r>
    </w:p>
    <w:p w14:paraId="4A4027FB" w14:textId="6576FB8F" w:rsidR="00A22A68" w:rsidRDefault="00A22A68">
      <w:pPr>
        <w:pStyle w:val="TableofFigures"/>
        <w:rPr>
          <w:color w:val="auto"/>
          <w:sz w:val="22"/>
        </w:rPr>
      </w:pPr>
      <w:r w:rsidRPr="00946134">
        <w:t>Figure 9</w:t>
      </w:r>
      <w:r w:rsidRPr="00946134">
        <w:noBreakHyphen/>
        <w:t>2 Hydrograph of flows in the Goulburn River at McCoy’s Bridge with dates of mat deployment (yellow circle) and retrieval/deployment (red circles) indicated. Date range 2019-20.</w:t>
      </w:r>
      <w:r>
        <w:rPr>
          <w:webHidden/>
        </w:rPr>
        <w:tab/>
      </w:r>
      <w:r w:rsidR="001A7A58">
        <w:rPr>
          <w:webHidden/>
        </w:rPr>
        <w:t>118</w:t>
      </w:r>
    </w:p>
    <w:p w14:paraId="1A4A9F41" w14:textId="794D94E4" w:rsidR="00A22A68" w:rsidRDefault="00A22A68">
      <w:pPr>
        <w:pStyle w:val="TableofFigures"/>
        <w:rPr>
          <w:color w:val="auto"/>
          <w:sz w:val="22"/>
        </w:rPr>
      </w:pPr>
      <w:r w:rsidRPr="00946134">
        <w:t>Figure 9</w:t>
      </w:r>
      <w:r w:rsidRPr="00946134">
        <w:noBreakHyphen/>
        <w:t>3 Hydrograph of flows in the Goulburn River at McCoy’s Bridge with dates of mat deployment (yellow circle) and retrieval/deployment (green circle) indicated. Date range 2020-21.</w:t>
      </w:r>
      <w:r>
        <w:rPr>
          <w:webHidden/>
        </w:rPr>
        <w:tab/>
      </w:r>
      <w:r w:rsidR="001A7A58">
        <w:rPr>
          <w:webHidden/>
        </w:rPr>
        <w:t>119</w:t>
      </w:r>
    </w:p>
    <w:p w14:paraId="3BCC36A3" w14:textId="402B47EA" w:rsidR="00A22A68" w:rsidRDefault="00A22A68">
      <w:pPr>
        <w:pStyle w:val="TableofFigures"/>
        <w:rPr>
          <w:color w:val="auto"/>
          <w:sz w:val="22"/>
        </w:rPr>
      </w:pPr>
      <w:r w:rsidRPr="00946134">
        <w:lastRenderedPageBreak/>
        <w:t>Figure 9</w:t>
      </w:r>
      <w:r w:rsidRPr="00946134">
        <w:noBreakHyphen/>
        <w:t>4 Mats redeployed on the bench (left) and bank (right) at Darcy’s Track after the winter fresh that were not present for retrieval after the spring fresh. Note these features were largely devoid of vegetation at the time of mat collection.</w:t>
      </w:r>
      <w:r>
        <w:rPr>
          <w:webHidden/>
        </w:rPr>
        <w:tab/>
      </w:r>
      <w:r w:rsidR="001A7A58">
        <w:rPr>
          <w:webHidden/>
        </w:rPr>
        <w:t>119</w:t>
      </w:r>
    </w:p>
    <w:p w14:paraId="2458E3A2" w14:textId="228CEE89" w:rsidR="00A22A68" w:rsidRDefault="00A22A68">
      <w:pPr>
        <w:pStyle w:val="TableofFigures"/>
        <w:rPr>
          <w:color w:val="auto"/>
          <w:sz w:val="22"/>
        </w:rPr>
      </w:pPr>
      <w:r w:rsidRPr="00946134">
        <w:t>Figure 9</w:t>
      </w:r>
      <w:r w:rsidRPr="00946134">
        <w:noBreakHyphen/>
        <w:t>5 Simulated median total seed abundance against peak height over sampling point, by feature (bank, bar, bench and ledge, in rows) and different retrieval events (with different levels of tributary contribution as labelled, in columns).</w:t>
      </w:r>
      <w:r>
        <w:rPr>
          <w:webHidden/>
        </w:rPr>
        <w:tab/>
      </w:r>
      <w:r w:rsidR="001A7A58">
        <w:rPr>
          <w:webHidden/>
        </w:rPr>
        <w:t>120</w:t>
      </w:r>
    </w:p>
    <w:p w14:paraId="01217E38" w14:textId="1DB0B130" w:rsidR="00A22A68" w:rsidRDefault="00A22A68">
      <w:pPr>
        <w:pStyle w:val="TableofFigures"/>
        <w:rPr>
          <w:color w:val="auto"/>
          <w:sz w:val="22"/>
        </w:rPr>
      </w:pPr>
      <w:r w:rsidRPr="00946134">
        <w:t>Figure 9</w:t>
      </w:r>
      <w:r w:rsidRPr="00946134">
        <w:noBreakHyphen/>
        <w:t>6 Simulated median total seed abundance against number of days inundated, by bank condition (bank, bar, bench and ledge, in rows) and different retrieval events (with different levels of tributary contribution as labelled, in columns).</w:t>
      </w:r>
      <w:r>
        <w:rPr>
          <w:webHidden/>
        </w:rPr>
        <w:tab/>
      </w:r>
      <w:r w:rsidR="001A7A58">
        <w:rPr>
          <w:webHidden/>
        </w:rPr>
        <w:t>121</w:t>
      </w:r>
    </w:p>
    <w:p w14:paraId="7CF3DEF1" w14:textId="3C911AEC" w:rsidR="00A22A68" w:rsidRDefault="00A22A68">
      <w:pPr>
        <w:pStyle w:val="TableofFigures"/>
        <w:rPr>
          <w:color w:val="auto"/>
          <w:sz w:val="22"/>
        </w:rPr>
      </w:pPr>
      <w:r w:rsidRPr="00946134">
        <w:t>Figure 9</w:t>
      </w:r>
      <w:r w:rsidRPr="00946134">
        <w:noBreakHyphen/>
        <w:t>7 Effect of flows on sediment mass in different sites, with peak inundation height as indicator.</w:t>
      </w:r>
      <w:r>
        <w:rPr>
          <w:webHidden/>
        </w:rPr>
        <w:tab/>
      </w:r>
      <w:r w:rsidR="001A7A58">
        <w:rPr>
          <w:webHidden/>
        </w:rPr>
        <w:t>122</w:t>
      </w:r>
    </w:p>
    <w:p w14:paraId="32BCB106" w14:textId="0E4C376C" w:rsidR="00A22A68" w:rsidRDefault="00A22A68">
      <w:pPr>
        <w:pStyle w:val="TableofFigures"/>
        <w:rPr>
          <w:color w:val="auto"/>
          <w:sz w:val="22"/>
        </w:rPr>
      </w:pPr>
      <w:r w:rsidRPr="00946134">
        <w:t>Figure 9</w:t>
      </w:r>
      <w:r w:rsidRPr="00946134">
        <w:noBreakHyphen/>
        <w:t>8 Effect of flows on sediment mass in different sites, with number of days inundated as indicator.</w:t>
      </w:r>
      <w:r>
        <w:rPr>
          <w:webHidden/>
        </w:rPr>
        <w:tab/>
      </w:r>
      <w:r w:rsidR="001A7A58">
        <w:rPr>
          <w:webHidden/>
        </w:rPr>
        <w:t>122</w:t>
      </w:r>
    </w:p>
    <w:p w14:paraId="0BE000BC" w14:textId="4A5E50FD" w:rsidR="00A22A68" w:rsidRDefault="00A22A68">
      <w:pPr>
        <w:pStyle w:val="TableofFigures"/>
        <w:rPr>
          <w:color w:val="auto"/>
          <w:sz w:val="22"/>
        </w:rPr>
      </w:pPr>
      <w:r w:rsidRPr="00946134">
        <w:t>Figure 9</w:t>
      </w:r>
      <w:r w:rsidRPr="00946134">
        <w:noBreakHyphen/>
        <w:t>9 Seed abundance of material deposited on turf mats across different geomorphic features (Bar, Bench, Ledge, Bank, Air) at three sites, DT</w:t>
      </w:r>
      <w:r w:rsidRPr="00946134">
        <w:rPr>
          <w:rFonts w:cstheme="minorHAnsi"/>
        </w:rPr>
        <w:t>—</w:t>
      </w:r>
      <w:r w:rsidRPr="00946134">
        <w:t>Darcy’s Track, LG</w:t>
      </w:r>
      <w:r w:rsidRPr="00946134">
        <w:rPr>
          <w:rFonts w:cstheme="minorHAnsi"/>
        </w:rPr>
        <w:t>—</w:t>
      </w:r>
      <w:r w:rsidRPr="00946134">
        <w:t>Loch Garry and MC</w:t>
      </w:r>
      <w:r w:rsidRPr="00946134">
        <w:rPr>
          <w:rFonts w:cstheme="minorHAnsi"/>
        </w:rPr>
        <w:t>—</w:t>
      </w:r>
      <w:r w:rsidRPr="00946134">
        <w:t>McCoy’s Bridge for retrievals following a winter and spring fresh in 2019 (R5 and R6) and a spring fresh in 2020 (R7). Mats were stolen and thus no samples were collected for some features at Darcy’s Track following R6 and R7.</w:t>
      </w:r>
      <w:r>
        <w:rPr>
          <w:webHidden/>
        </w:rPr>
        <w:tab/>
      </w:r>
      <w:r w:rsidR="001A7A58">
        <w:rPr>
          <w:webHidden/>
        </w:rPr>
        <w:t>123</w:t>
      </w:r>
    </w:p>
    <w:p w14:paraId="2B88DFB3" w14:textId="36FD4B3D" w:rsidR="00A22A68" w:rsidRDefault="00A22A68">
      <w:pPr>
        <w:pStyle w:val="TableofFigures"/>
        <w:rPr>
          <w:color w:val="auto"/>
          <w:sz w:val="22"/>
        </w:rPr>
      </w:pPr>
      <w:r w:rsidRPr="00946134">
        <w:t>Figure 9</w:t>
      </w:r>
      <w:r w:rsidRPr="00946134">
        <w:noBreakHyphen/>
        <w:t>10 Taxa richness of material deposited on turf mats across different geomorphic features (Bar, Bench, Ledge, Bank, Air) at three sites, Darcy’s Track, Loch Garry and McCoy’s Bridge for retrievals following a winter and spring fresh in 2019 (R5 and R6, respectively) and a spring fresh in 2020 (R7). Mats were stolen and thus no samples were collected for some features at Darcy’s Track for R6 and R7.</w:t>
      </w:r>
      <w:r>
        <w:rPr>
          <w:webHidden/>
        </w:rPr>
        <w:tab/>
      </w:r>
      <w:r w:rsidR="001A7A58">
        <w:rPr>
          <w:webHidden/>
        </w:rPr>
        <w:t>124</w:t>
      </w:r>
    </w:p>
    <w:p w14:paraId="3CFAA0BB" w14:textId="6A5FB0B4" w:rsidR="00A22A68" w:rsidRDefault="00A22A68">
      <w:pPr>
        <w:pStyle w:val="TableofFigures"/>
        <w:rPr>
          <w:color w:val="auto"/>
          <w:sz w:val="22"/>
        </w:rPr>
      </w:pPr>
      <w:r w:rsidRPr="00946134">
        <w:t>Figure 9</w:t>
      </w:r>
      <w:r w:rsidRPr="00946134">
        <w:noBreakHyphen/>
        <w:t>11 Relationship between inundation duration and abundance of seeds deposited on mats across different geomorphic features (Bar, Bench, Ledge, Bank, Air) pooling across all three sites and events.</w:t>
      </w:r>
      <w:r>
        <w:rPr>
          <w:webHidden/>
        </w:rPr>
        <w:tab/>
      </w:r>
      <w:r w:rsidR="001A7A58">
        <w:rPr>
          <w:webHidden/>
        </w:rPr>
        <w:t>124</w:t>
      </w:r>
    </w:p>
    <w:p w14:paraId="75F50371" w14:textId="68740B1B" w:rsidR="00A22A68" w:rsidRDefault="00A22A68">
      <w:pPr>
        <w:pStyle w:val="TableofFigures"/>
        <w:rPr>
          <w:color w:val="auto"/>
          <w:sz w:val="22"/>
        </w:rPr>
      </w:pPr>
      <w:r w:rsidRPr="00946134">
        <w:t>Figure 9</w:t>
      </w:r>
      <w:r w:rsidRPr="00946134">
        <w:noBreakHyphen/>
        <w:t>12 Relationship between inundation duration and taxa richness of seeds deposited on mats across different geomorphic features (Bar, Bench, Ledge, Bank, Air) pooling across all three sites and events.</w:t>
      </w:r>
      <w:r>
        <w:rPr>
          <w:webHidden/>
        </w:rPr>
        <w:tab/>
      </w:r>
      <w:r w:rsidR="001A7A58">
        <w:rPr>
          <w:webHidden/>
        </w:rPr>
        <w:t>125</w:t>
      </w:r>
    </w:p>
    <w:p w14:paraId="5391FA44" w14:textId="46872452" w:rsidR="00A22A68" w:rsidRDefault="00A22A68">
      <w:pPr>
        <w:pStyle w:val="TableofFigures"/>
        <w:rPr>
          <w:color w:val="auto"/>
          <w:sz w:val="22"/>
        </w:rPr>
      </w:pPr>
      <w:r w:rsidRPr="00946134">
        <w:t>Figure 9</w:t>
      </w:r>
      <w:r w:rsidRPr="00946134">
        <w:noBreakHyphen/>
        <w:t>13 Sediment (g/day), seed abundance (seeds/day) and taxa richness of material deposited on turf mats across different geomorphic features (Bar, Bench, Ledge, Bank) across all three sites, for the three events reported on here (R5</w:t>
      </w:r>
      <w:r w:rsidRPr="00946134">
        <w:rPr>
          <w:rFonts w:cstheme="minorHAnsi"/>
        </w:rPr>
        <w:t>–</w:t>
      </w:r>
      <w:r w:rsidRPr="00946134">
        <w:t>7). N.B. R8 and R9 propagules samples have yet to be fully processed.</w:t>
      </w:r>
      <w:r>
        <w:rPr>
          <w:webHidden/>
        </w:rPr>
        <w:tab/>
      </w:r>
      <w:r w:rsidR="001A7A58">
        <w:rPr>
          <w:webHidden/>
        </w:rPr>
        <w:t>125</w:t>
      </w:r>
    </w:p>
    <w:p w14:paraId="223AD20E" w14:textId="547CEA9D" w:rsidR="00A22A68" w:rsidRDefault="00A22A68">
      <w:pPr>
        <w:pStyle w:val="TableofFigures"/>
        <w:rPr>
          <w:color w:val="auto"/>
          <w:sz w:val="22"/>
        </w:rPr>
      </w:pPr>
      <w:r w:rsidRPr="00946134">
        <w:t>Figure 9</w:t>
      </w:r>
      <w:r w:rsidRPr="00946134">
        <w:noBreakHyphen/>
        <w:t>14 Relationship between sediment deposition and, A) seed abundance, or B) taxa richness of material deposited on turf mats across different geomorphic features (Bar, Bench, Ledge, Bank) across all three sites, for the three events reported on here (R5</w:t>
      </w:r>
      <w:r w:rsidRPr="00946134">
        <w:rPr>
          <w:rFonts w:cstheme="minorHAnsi"/>
        </w:rPr>
        <w:t>–</w:t>
      </w:r>
      <w:r w:rsidRPr="00946134">
        <w:t>7).</w:t>
      </w:r>
      <w:r>
        <w:rPr>
          <w:webHidden/>
        </w:rPr>
        <w:tab/>
      </w:r>
      <w:r w:rsidR="001A7A58">
        <w:rPr>
          <w:webHidden/>
        </w:rPr>
        <w:t>126</w:t>
      </w:r>
    </w:p>
    <w:p w14:paraId="45992446" w14:textId="19506937" w:rsidR="00A22A68" w:rsidRDefault="00A22A68">
      <w:pPr>
        <w:pStyle w:val="TableofFigures"/>
        <w:rPr>
          <w:color w:val="auto"/>
          <w:sz w:val="22"/>
        </w:rPr>
      </w:pPr>
      <w:r w:rsidRPr="00946134">
        <w:t>Figure 10</w:t>
      </w:r>
      <w:r w:rsidRPr="00946134">
        <w:noBreakHyphen/>
        <w:t>1 Schematic diagram of the light-dark bottle setup in the river.</w:t>
      </w:r>
      <w:r>
        <w:rPr>
          <w:webHidden/>
        </w:rPr>
        <w:tab/>
      </w:r>
      <w:r w:rsidR="001A7A58">
        <w:rPr>
          <w:webHidden/>
        </w:rPr>
        <w:t>128</w:t>
      </w:r>
    </w:p>
    <w:p w14:paraId="1F116C52" w14:textId="200FB3EF" w:rsidR="00A22A68" w:rsidRDefault="00A22A68">
      <w:pPr>
        <w:pStyle w:val="TableofFigures"/>
        <w:rPr>
          <w:color w:val="auto"/>
          <w:sz w:val="22"/>
        </w:rPr>
      </w:pPr>
      <w:r w:rsidRPr="00946134">
        <w:t>Figure 10</w:t>
      </w:r>
      <w:r w:rsidRPr="00946134">
        <w:noBreakHyphen/>
        <w:t>2 Depth-averaged GPP versus light availability with data from all sites and sampling trips pooled together.</w:t>
      </w:r>
      <w:r>
        <w:rPr>
          <w:webHidden/>
        </w:rPr>
        <w:tab/>
      </w:r>
      <w:r w:rsidR="001A7A58">
        <w:rPr>
          <w:webHidden/>
        </w:rPr>
        <w:t>130</w:t>
      </w:r>
    </w:p>
    <w:p w14:paraId="7A7545ED" w14:textId="35ED2540" w:rsidR="00A22A68" w:rsidRDefault="00A22A68">
      <w:pPr>
        <w:pStyle w:val="TableofFigures"/>
        <w:rPr>
          <w:color w:val="auto"/>
          <w:sz w:val="22"/>
        </w:rPr>
      </w:pPr>
      <w:r w:rsidRPr="00946134">
        <w:t>Figure 10</w:t>
      </w:r>
      <w:r w:rsidRPr="00946134">
        <w:noBreakHyphen/>
        <w:t>3 Whole-stream primary production versus % pelagic primary production.</w:t>
      </w:r>
      <w:r>
        <w:rPr>
          <w:webHidden/>
        </w:rPr>
        <w:tab/>
      </w:r>
      <w:r w:rsidR="001A7A58">
        <w:rPr>
          <w:webHidden/>
        </w:rPr>
        <w:t>131</w:t>
      </w:r>
    </w:p>
    <w:p w14:paraId="00088186" w14:textId="7BE32F0D" w:rsidR="00A22A68" w:rsidRDefault="00A22A68">
      <w:pPr>
        <w:pStyle w:val="TableofFigures"/>
        <w:rPr>
          <w:color w:val="auto"/>
          <w:sz w:val="22"/>
        </w:rPr>
      </w:pPr>
      <w:r w:rsidRPr="00946134">
        <w:lastRenderedPageBreak/>
        <w:t>Figure 11</w:t>
      </w:r>
      <w:r w:rsidRPr="00946134">
        <w:noBreakHyphen/>
        <w:t>1 Mean (±se) number of golden perch (top panel) and silver perch (lower panel) eggs/larvae collected in the lower Goulburn (green), and Murray upstream (red) and downstream (blue) of junction.</w:t>
      </w:r>
      <w:r>
        <w:rPr>
          <w:webHidden/>
        </w:rPr>
        <w:tab/>
      </w:r>
      <w:r w:rsidR="001A7A58">
        <w:rPr>
          <w:webHidden/>
        </w:rPr>
        <w:t>134</w:t>
      </w:r>
    </w:p>
    <w:p w14:paraId="615D9EDC" w14:textId="6DC3489E" w:rsidR="00A22A68" w:rsidRDefault="00A22A68">
      <w:pPr>
        <w:pStyle w:val="TableofFigures"/>
        <w:rPr>
          <w:color w:val="auto"/>
          <w:sz w:val="22"/>
        </w:rPr>
      </w:pPr>
      <w:r w:rsidRPr="00946134">
        <w:t>Figure 12</w:t>
      </w:r>
      <w:r w:rsidRPr="00946134">
        <w:noBreakHyphen/>
        <w:t xml:space="preserve">1 </w:t>
      </w:r>
      <w:r w:rsidRPr="00946134">
        <w:rPr>
          <w:rFonts w:hint="eastAsia"/>
        </w:rPr>
        <w:t>Example of 2D modelling output for site McCoy</w:t>
      </w:r>
      <w:r w:rsidRPr="00946134">
        <w:rPr>
          <w:rFonts w:hint="eastAsia"/>
        </w:rPr>
        <w:t>’</w:t>
      </w:r>
      <w:r w:rsidRPr="00946134">
        <w:rPr>
          <w:rFonts w:hint="eastAsia"/>
        </w:rPr>
        <w:t xml:space="preserve">s Bridge, showing slackwater areas (pink and red shading, </w:t>
      </w:r>
      <w:r w:rsidRPr="00946134">
        <w:rPr>
          <w:rFonts w:hint="eastAsia"/>
        </w:rPr>
        <w:t>≤</w:t>
      </w:r>
      <w:r w:rsidRPr="00946134">
        <w:rPr>
          <w:rFonts w:hint="eastAsia"/>
        </w:rPr>
        <w:t xml:space="preserve"> 0.05 m/s) at a discharge of 2000 ML / day. Water velocity (m/s) is modelled for areas that are </w:t>
      </w:r>
      <w:r w:rsidRPr="00946134">
        <w:rPr>
          <w:rFonts w:hint="eastAsia"/>
        </w:rPr>
        <w:t>≤</w:t>
      </w:r>
      <w:r w:rsidRPr="00946134">
        <w:rPr>
          <w:rFonts w:hint="eastAsia"/>
        </w:rPr>
        <w:t xml:space="preserve"> 0.5 m deep.</w:t>
      </w:r>
      <w:r>
        <w:rPr>
          <w:webHidden/>
        </w:rPr>
        <w:tab/>
      </w:r>
      <w:r w:rsidR="001A7A58">
        <w:rPr>
          <w:webHidden/>
        </w:rPr>
        <w:t>137</w:t>
      </w:r>
    </w:p>
    <w:p w14:paraId="5FA44C11" w14:textId="6085F260" w:rsidR="00A22A68" w:rsidRDefault="00A22A68">
      <w:pPr>
        <w:pStyle w:val="TableofFigures"/>
        <w:rPr>
          <w:color w:val="auto"/>
          <w:sz w:val="22"/>
        </w:rPr>
      </w:pPr>
      <w:r w:rsidRPr="00946134">
        <w:t>Figure 12</w:t>
      </w:r>
      <w:r w:rsidRPr="00946134">
        <w:noBreakHyphen/>
        <w:t>2</w:t>
      </w:r>
      <w:r w:rsidRPr="00946134">
        <w:rPr>
          <w:rFonts w:hint="eastAsia"/>
        </w:rPr>
        <w:t xml:space="preserve"> Example of 2D modelling output showing predicted slackwater areas (water depth </w:t>
      </w:r>
      <w:r w:rsidRPr="00946134">
        <w:rPr>
          <w:rFonts w:hint="eastAsia"/>
        </w:rPr>
        <w:t>≤</w:t>
      </w:r>
      <w:r w:rsidRPr="00946134">
        <w:rPr>
          <w:rFonts w:hint="eastAsia"/>
        </w:rPr>
        <w:t xml:space="preserve"> 0.5 m; water velocity </w:t>
      </w:r>
      <w:r w:rsidRPr="00946134">
        <w:rPr>
          <w:rFonts w:hint="eastAsia"/>
        </w:rPr>
        <w:t>≤</w:t>
      </w:r>
      <w:r w:rsidRPr="00946134">
        <w:rPr>
          <w:rFonts w:hint="eastAsia"/>
        </w:rPr>
        <w:t xml:space="preserve"> 0.05 m/s) at relevant summer discharges of </w:t>
      </w:r>
      <w:r w:rsidRPr="00946134">
        <w:t>1,000 (baseflow), 2,000 and 3,000 ML/day. Site: McCoy’s Bridge, Kotupna.</w:t>
      </w:r>
      <w:r>
        <w:rPr>
          <w:webHidden/>
        </w:rPr>
        <w:tab/>
      </w:r>
      <w:r w:rsidR="001A7A58">
        <w:rPr>
          <w:webHidden/>
        </w:rPr>
        <w:t>138</w:t>
      </w:r>
    </w:p>
    <w:p w14:paraId="3D07101A" w14:textId="6D637E47" w:rsidR="00A22A68" w:rsidRDefault="00A22A68">
      <w:pPr>
        <w:pStyle w:val="TableofFigures"/>
        <w:rPr>
          <w:color w:val="auto"/>
          <w:sz w:val="22"/>
        </w:rPr>
      </w:pPr>
      <w:r w:rsidRPr="00946134">
        <w:t>Figure 12</w:t>
      </w:r>
      <w:r w:rsidRPr="00946134">
        <w:noBreakHyphen/>
        <w:t>3 Line graphs showing measured depth and velocity boundaries for three slackwaters. Note that slackwaters may be bounded by depth (a), velocity (b), or a combination of both (c).</w:t>
      </w:r>
      <w:r>
        <w:rPr>
          <w:webHidden/>
        </w:rPr>
        <w:tab/>
      </w:r>
      <w:r w:rsidR="001A7A58">
        <w:rPr>
          <w:webHidden/>
        </w:rPr>
        <w:t>139</w:t>
      </w:r>
    </w:p>
    <w:p w14:paraId="53018CD0" w14:textId="4739ABD3" w:rsidR="00A22A68" w:rsidRDefault="00A22A68">
      <w:pPr>
        <w:pStyle w:val="TableofFigures"/>
        <w:rPr>
          <w:color w:val="auto"/>
          <w:sz w:val="22"/>
        </w:rPr>
      </w:pPr>
      <w:r w:rsidRPr="00946134">
        <w:t>Figure 12</w:t>
      </w:r>
      <w:r w:rsidRPr="00946134">
        <w:noBreakHyphen/>
        <w:t>4 Example of cross sectional transects (dotted lines) encompassing parts of the dry and wet channel.</w:t>
      </w:r>
      <w:r>
        <w:rPr>
          <w:webHidden/>
        </w:rPr>
        <w:tab/>
      </w:r>
      <w:r w:rsidR="001A7A58">
        <w:rPr>
          <w:webHidden/>
        </w:rPr>
        <w:t>140</w:t>
      </w:r>
    </w:p>
    <w:p w14:paraId="7D83D975" w14:textId="288C97D3" w:rsidR="00A22A68" w:rsidRDefault="00A22A68">
      <w:pPr>
        <w:pStyle w:val="TableofFigures"/>
        <w:rPr>
          <w:color w:val="auto"/>
          <w:sz w:val="22"/>
        </w:rPr>
      </w:pPr>
      <w:r w:rsidRPr="00946134">
        <w:t>Figure 12</w:t>
      </w:r>
      <w:r w:rsidRPr="00946134">
        <w:noBreakHyphen/>
        <w:t xml:space="preserve">5 Layout of experimental units within each slackwater. Experimental units were evenly spaced to maximise independence. Treatment (Stakes, Control) was allocated at random to the first experimental unit and alternated thereafter. Each unit was established around with 1,000 ML/day water level, with an area 1 m </w:t>
      </w:r>
      <w:r w:rsidRPr="00946134">
        <w:rPr>
          <w:rFonts w:cstheme="minorHAnsi"/>
        </w:rPr>
        <w:t>×</w:t>
      </w:r>
      <w:r w:rsidRPr="00946134">
        <w:t xml:space="preserve"> 4 m located above the 1,000 ML/day waterline and with an area 1.5 m </w:t>
      </w:r>
      <w:r w:rsidRPr="00946134">
        <w:rPr>
          <w:rFonts w:cstheme="minorHAnsi"/>
        </w:rPr>
        <w:t>×</w:t>
      </w:r>
      <w:r w:rsidRPr="00946134">
        <w:t xml:space="preserve"> 4 m located below the 1,000 ML/day waterline.</w:t>
      </w:r>
      <w:r>
        <w:rPr>
          <w:webHidden/>
        </w:rPr>
        <w:tab/>
      </w:r>
      <w:r w:rsidR="001A7A58">
        <w:rPr>
          <w:webHidden/>
        </w:rPr>
        <w:t>141</w:t>
      </w:r>
    </w:p>
    <w:p w14:paraId="52EE0D89" w14:textId="2C0F43A8" w:rsidR="00A22A68" w:rsidRDefault="00A22A68" w:rsidP="00A22A68">
      <w:pPr>
        <w:pStyle w:val="TableofFigures"/>
      </w:pPr>
      <w:r w:rsidRPr="00946134">
        <w:t>Figure 12</w:t>
      </w:r>
      <w:r w:rsidRPr="00946134">
        <w:noBreakHyphen/>
        <w:t>6 Top: Backyard mock-up of an experimental unit during Covid lockdown. Beer bottles were arranged in different densities and configurations to determine the optimal number and arrangement of stakes. Bottom: examples of experimental units established in Narrow and Wide slackwaters at the McCoy’s Bridge site. A second experimental unit is visible in the background of each photograph. Note the steep slope of the Narrow slackwater, where some stakes are fully submerged.</w:t>
      </w:r>
      <w:r>
        <w:rPr>
          <w:webHidden/>
        </w:rPr>
        <w:tab/>
      </w:r>
      <w:r w:rsidR="001A7A58">
        <w:rPr>
          <w:webHidden/>
        </w:rPr>
        <w:t>143</w:t>
      </w:r>
      <w:bookmarkStart w:id="4" w:name="_Toc84416072"/>
      <w:bookmarkEnd w:id="4"/>
    </w:p>
    <w:p w14:paraId="118A1D89" w14:textId="3891CAC2" w:rsidR="00A22A68" w:rsidRDefault="00A22A68">
      <w:pPr>
        <w:pStyle w:val="TableofFigures"/>
        <w:rPr>
          <w:color w:val="auto"/>
          <w:sz w:val="22"/>
        </w:rPr>
      </w:pPr>
      <w:r w:rsidRPr="00946134">
        <w:t>Figure B</w:t>
      </w:r>
      <w:r w:rsidRPr="00946134">
        <w:noBreakHyphen/>
        <w:t>1 DEMOD illustrating change in response to Spring Fresh event at Darcy’s Track bank D.</w:t>
      </w:r>
      <w:r>
        <w:rPr>
          <w:webHidden/>
        </w:rPr>
        <w:tab/>
        <w:t>156</w:t>
      </w:r>
    </w:p>
    <w:p w14:paraId="7A9BBF4C" w14:textId="3C64B7BA" w:rsidR="00A22A68" w:rsidRDefault="00A22A68">
      <w:pPr>
        <w:pStyle w:val="TableofFigures"/>
        <w:rPr>
          <w:color w:val="auto"/>
          <w:sz w:val="22"/>
        </w:rPr>
      </w:pPr>
      <w:r w:rsidRPr="00946134">
        <w:t>Figure B</w:t>
      </w:r>
      <w:r w:rsidRPr="00946134">
        <w:noBreakHyphen/>
        <w:t>2 DEMOD illustrating change in response to Spring Fresh event at Loch Garry bank C.</w:t>
      </w:r>
      <w:r>
        <w:rPr>
          <w:webHidden/>
        </w:rPr>
        <w:tab/>
        <w:t>157</w:t>
      </w:r>
    </w:p>
    <w:p w14:paraId="4406BF18" w14:textId="7BA92F49" w:rsidR="00A22A68" w:rsidRDefault="00A22A68">
      <w:pPr>
        <w:pStyle w:val="TableofFigures"/>
        <w:rPr>
          <w:color w:val="auto"/>
          <w:sz w:val="22"/>
        </w:rPr>
      </w:pPr>
      <w:r w:rsidRPr="00946134">
        <w:t>Figure B</w:t>
      </w:r>
      <w:r w:rsidRPr="00946134">
        <w:noBreakHyphen/>
        <w:t>3 DEMOD illustrating change in response to Spring Fresh event at McCoy’s Bridge bank E.</w:t>
      </w:r>
      <w:r>
        <w:rPr>
          <w:webHidden/>
        </w:rPr>
        <w:tab/>
        <w:t>158</w:t>
      </w:r>
    </w:p>
    <w:p w14:paraId="51DDD88E" w14:textId="669513C1" w:rsidR="00A22A68" w:rsidRDefault="00A22A68">
      <w:pPr>
        <w:pStyle w:val="TableofFigures"/>
        <w:rPr>
          <w:color w:val="auto"/>
          <w:sz w:val="22"/>
        </w:rPr>
      </w:pPr>
      <w:r w:rsidRPr="00946134">
        <w:t>Figure B</w:t>
      </w:r>
      <w:r w:rsidRPr="00946134">
        <w:noBreakHyphen/>
        <w:t>4 DEMOD illustrating change in response to IVT period at Darcy’s Track bank D. Note the wider colour scale (-0.2m to 0.2m) to capture the large magnitude changes.</w:t>
      </w:r>
      <w:r>
        <w:rPr>
          <w:webHidden/>
        </w:rPr>
        <w:tab/>
        <w:t>159</w:t>
      </w:r>
    </w:p>
    <w:p w14:paraId="46C99B73" w14:textId="09D1FD02" w:rsidR="00A22A68" w:rsidRDefault="00A22A68">
      <w:pPr>
        <w:pStyle w:val="TableofFigures"/>
        <w:rPr>
          <w:color w:val="auto"/>
          <w:sz w:val="22"/>
        </w:rPr>
      </w:pPr>
      <w:r w:rsidRPr="00946134">
        <w:t>Figure B</w:t>
      </w:r>
      <w:r w:rsidRPr="00946134">
        <w:noBreakHyphen/>
        <w:t>5 DEMOD illustrating change in response to IVT period at Loch Garry bank C.</w:t>
      </w:r>
      <w:r>
        <w:rPr>
          <w:webHidden/>
        </w:rPr>
        <w:tab/>
        <w:t>160</w:t>
      </w:r>
    </w:p>
    <w:p w14:paraId="3F5D58C7" w14:textId="374EF5C6" w:rsidR="00A22A68" w:rsidRDefault="00A22A68">
      <w:pPr>
        <w:pStyle w:val="TableofFigures"/>
        <w:rPr>
          <w:color w:val="auto"/>
          <w:sz w:val="22"/>
        </w:rPr>
      </w:pPr>
      <w:r w:rsidRPr="00946134">
        <w:t>Figure B</w:t>
      </w:r>
      <w:r w:rsidRPr="00946134">
        <w:noBreakHyphen/>
        <w:t>6 DEMOD illustrating change in response to IVT period at McCoy’s Bridge bank C.</w:t>
      </w:r>
      <w:r>
        <w:rPr>
          <w:webHidden/>
        </w:rPr>
        <w:tab/>
        <w:t>161</w:t>
      </w:r>
    </w:p>
    <w:p w14:paraId="7B23A780" w14:textId="43396205" w:rsidR="00A22A68" w:rsidRDefault="00A22A68">
      <w:pPr>
        <w:pStyle w:val="TableofFigures"/>
        <w:rPr>
          <w:color w:val="auto"/>
          <w:sz w:val="22"/>
        </w:rPr>
      </w:pPr>
      <w:r w:rsidRPr="00946134">
        <w:t>Figure B</w:t>
      </w:r>
      <w:r w:rsidRPr="00946134">
        <w:noBreakHyphen/>
        <w:t>7 DEMOD illustrating change in response to IVT period at McCoy’s Bridge bank D.</w:t>
      </w:r>
      <w:r>
        <w:rPr>
          <w:webHidden/>
        </w:rPr>
        <w:tab/>
        <w:t>162</w:t>
      </w:r>
    </w:p>
    <w:p w14:paraId="21DDD835" w14:textId="115187BB" w:rsidR="00A22A68" w:rsidRDefault="00A22A68">
      <w:pPr>
        <w:pStyle w:val="TableofFigures"/>
        <w:rPr>
          <w:color w:val="auto"/>
          <w:sz w:val="22"/>
        </w:rPr>
      </w:pPr>
      <w:r w:rsidRPr="00946134">
        <w:t>Figure B</w:t>
      </w:r>
      <w:r w:rsidRPr="00946134">
        <w:noBreakHyphen/>
        <w:t>8 DEMOD illustrating change in response to IVT period at McCoy’s Bridge bank E.</w:t>
      </w:r>
      <w:r>
        <w:rPr>
          <w:webHidden/>
        </w:rPr>
        <w:tab/>
        <w:t>163</w:t>
      </w:r>
    </w:p>
    <w:p w14:paraId="56BC22B9" w14:textId="2BE316CF" w:rsidR="00A22A68" w:rsidRDefault="00A22A68">
      <w:pPr>
        <w:pStyle w:val="TableofFigures"/>
        <w:rPr>
          <w:color w:val="auto"/>
          <w:sz w:val="22"/>
        </w:rPr>
      </w:pPr>
      <w:r w:rsidRPr="00946134">
        <w:t>Figure B</w:t>
      </w:r>
      <w:r w:rsidRPr="00946134">
        <w:noBreakHyphen/>
        <w:t>9 DEMOD illustrating change in response to Autumn Fresh event at Darcy’s Track bank B.</w:t>
      </w:r>
      <w:r>
        <w:rPr>
          <w:webHidden/>
        </w:rPr>
        <w:tab/>
        <w:t>164</w:t>
      </w:r>
    </w:p>
    <w:p w14:paraId="0A8CF943" w14:textId="23B8C33B" w:rsidR="00A22A68" w:rsidRDefault="00A22A68">
      <w:pPr>
        <w:pStyle w:val="TableofFigures"/>
        <w:rPr>
          <w:color w:val="auto"/>
          <w:sz w:val="22"/>
        </w:rPr>
      </w:pPr>
      <w:r w:rsidRPr="00946134">
        <w:t>Figure B</w:t>
      </w:r>
      <w:r w:rsidRPr="00946134">
        <w:noBreakHyphen/>
        <w:t>10 DEMOD illustrating change in response to Autumn Fresh event at Darcy’s Track bank D.</w:t>
      </w:r>
      <w:r>
        <w:rPr>
          <w:webHidden/>
        </w:rPr>
        <w:tab/>
        <w:t>165</w:t>
      </w:r>
    </w:p>
    <w:p w14:paraId="5D4341F3" w14:textId="7F2CD1DE" w:rsidR="00A22A68" w:rsidRDefault="00A22A68">
      <w:pPr>
        <w:pStyle w:val="TableofFigures"/>
        <w:rPr>
          <w:color w:val="auto"/>
          <w:sz w:val="22"/>
        </w:rPr>
      </w:pPr>
      <w:r w:rsidRPr="00946134">
        <w:lastRenderedPageBreak/>
        <w:t>Figure B</w:t>
      </w:r>
      <w:r w:rsidRPr="00946134">
        <w:noBreakHyphen/>
        <w:t>11 DEMOD illustrating change in response to Autumn Fresh event at Loch Garry bank C.</w:t>
      </w:r>
      <w:r>
        <w:rPr>
          <w:webHidden/>
        </w:rPr>
        <w:tab/>
        <w:t>166</w:t>
      </w:r>
    </w:p>
    <w:p w14:paraId="7845F378" w14:textId="13E75753" w:rsidR="00A22A68" w:rsidRDefault="00A22A68">
      <w:pPr>
        <w:pStyle w:val="TableofFigures"/>
        <w:rPr>
          <w:color w:val="auto"/>
          <w:sz w:val="22"/>
        </w:rPr>
      </w:pPr>
      <w:r w:rsidRPr="00946134">
        <w:t>Figure B</w:t>
      </w:r>
      <w:r w:rsidRPr="00946134">
        <w:noBreakHyphen/>
        <w:t>12 DEMOD illustrating change in response to Autumn Fresh event at McCoy’s Bridge Bank C.</w:t>
      </w:r>
      <w:r>
        <w:rPr>
          <w:webHidden/>
        </w:rPr>
        <w:tab/>
        <w:t>167</w:t>
      </w:r>
    </w:p>
    <w:p w14:paraId="2E9A4DE3" w14:textId="521E5AD1" w:rsidR="00A22A68" w:rsidRDefault="00A22A68">
      <w:pPr>
        <w:pStyle w:val="TableofFigures"/>
        <w:rPr>
          <w:color w:val="auto"/>
          <w:sz w:val="22"/>
        </w:rPr>
      </w:pPr>
      <w:r w:rsidRPr="00946134">
        <w:t>Figure B</w:t>
      </w:r>
      <w:r w:rsidRPr="00946134">
        <w:noBreakHyphen/>
        <w:t>13 DEMOD illustrating change in response to Autumn Fresh event at McCoy’s Bridge Bank D.</w:t>
      </w:r>
      <w:r>
        <w:rPr>
          <w:webHidden/>
        </w:rPr>
        <w:tab/>
        <w:t>168</w:t>
      </w:r>
    </w:p>
    <w:p w14:paraId="70AACAB7" w14:textId="5903A00B" w:rsidR="00A22A68" w:rsidRDefault="00A22A68">
      <w:pPr>
        <w:pStyle w:val="TableofFigures"/>
        <w:rPr>
          <w:color w:val="auto"/>
          <w:sz w:val="22"/>
        </w:rPr>
      </w:pPr>
      <w:r w:rsidRPr="00946134">
        <w:t>Figure B</w:t>
      </w:r>
      <w:r w:rsidRPr="00946134">
        <w:noBreakHyphen/>
        <w:t>14 DEMOD illustrating change in response to Autumn Fresh event at McCoy’s Bridge Bank E.</w:t>
      </w:r>
      <w:r>
        <w:rPr>
          <w:webHidden/>
        </w:rPr>
        <w:tab/>
        <w:t>169</w:t>
      </w:r>
    </w:p>
    <w:p w14:paraId="632FB2BC" w14:textId="5DF9AD7A" w:rsidR="00A22A68" w:rsidRDefault="00A22A68">
      <w:pPr>
        <w:pStyle w:val="TableofFigures"/>
        <w:rPr>
          <w:color w:val="auto"/>
          <w:sz w:val="22"/>
        </w:rPr>
      </w:pPr>
      <w:r w:rsidRPr="00946134">
        <w:t>Figure C</w:t>
      </w:r>
      <w:r w:rsidRPr="00946134">
        <w:noBreakHyphen/>
        <w:t>1 Relationship between inundation period and simulated probability of erosion. (a) significant erosion: &gt; 30 mm; (b) erosion: &gt; 5 mm; (c) deposition: &gt; 5 mm. For each erosion level, results are shown for three sites (Darcy’s Track, Loch Garry, and McCoy’s Bridge) in individual panels. The solid line is the median probability of erosion with the dotted lines encompassing the 95% credible interval for the estimate.</w:t>
      </w:r>
      <w:r>
        <w:rPr>
          <w:webHidden/>
        </w:rPr>
        <w:tab/>
        <w:t>171</w:t>
      </w:r>
    </w:p>
    <w:p w14:paraId="37E8B1A3" w14:textId="1756E396" w:rsidR="00A22A68" w:rsidRDefault="00A22A68">
      <w:pPr>
        <w:pStyle w:val="TableofFigures"/>
        <w:rPr>
          <w:color w:val="auto"/>
          <w:sz w:val="22"/>
        </w:rPr>
      </w:pPr>
      <w:r w:rsidRPr="00946134">
        <w:t>Figure C</w:t>
      </w:r>
      <w:r w:rsidRPr="00946134">
        <w:noBreakHyphen/>
        <w:t>2 Effect of the environmental flow component on the probability of erosion, relative to bank elevation (m). (a) significant erosion: &gt; 30 mm; (b) erosion: &gt; 5 mm; (c) deposition: &gt; 5 mm.  y axis shows the difference between erosion probabilities WITH and WITHOUT environmental flows. A positive difference implies greater erosion or deposition when environmental flows are being delivered.</w:t>
      </w:r>
      <w:r>
        <w:rPr>
          <w:webHidden/>
        </w:rPr>
        <w:tab/>
        <w:t>172</w:t>
      </w:r>
    </w:p>
    <w:p w14:paraId="74F37DCC" w14:textId="2C0484C9" w:rsidR="00A22A68" w:rsidRDefault="00A22A68">
      <w:pPr>
        <w:pStyle w:val="TableofFigures"/>
        <w:rPr>
          <w:color w:val="auto"/>
          <w:sz w:val="22"/>
        </w:rPr>
      </w:pPr>
      <w:r w:rsidRPr="00946134">
        <w:t>Figure C</w:t>
      </w:r>
      <w:r w:rsidRPr="00946134">
        <w:noBreakHyphen/>
        <w:t>3 Relationship between inundation period and simulated probability of notching. (a) significant erosion: &gt; 30 mm; (b) erosion: &gt; 5 mm; (c) deposition: &gt; 5 mm. For each erosion level, results are shown for three sites (Darcy’s Track, Loch Garry, and McCoy’s Bridge) in individual panels. The solid line is the median probability of notching with the dotted lines encompassing the 95% credible interval for the estimate.</w:t>
      </w:r>
      <w:r>
        <w:rPr>
          <w:webHidden/>
        </w:rPr>
        <w:tab/>
        <w:t>173</w:t>
      </w:r>
    </w:p>
    <w:p w14:paraId="3C2DF52B" w14:textId="3E623F0C" w:rsidR="00A22A68" w:rsidRDefault="00A22A68">
      <w:pPr>
        <w:pStyle w:val="TableofFigures"/>
        <w:rPr>
          <w:color w:val="auto"/>
          <w:sz w:val="22"/>
        </w:rPr>
      </w:pPr>
      <w:r w:rsidRPr="00946134">
        <w:t>Figure C</w:t>
      </w:r>
      <w:r w:rsidRPr="00946134">
        <w:noBreakHyphen/>
        <w:t>4 Effect of the environmental flow component on the probability of notching, relative to bank elevation (m). (a) significant erosion: &gt; 30 mm; (b) erosion: &gt; 5 mm; (c) deposition: &gt; 5 mm.  y axis shows the difference between erosion probabilities WITH and WITHOUT environmental flows.</w:t>
      </w:r>
      <w:r>
        <w:rPr>
          <w:webHidden/>
        </w:rPr>
        <w:tab/>
        <w:t>174</w:t>
      </w:r>
    </w:p>
    <w:p w14:paraId="4A23486A" w14:textId="13C1CD72" w:rsidR="00A22A68" w:rsidRDefault="00A22A68">
      <w:pPr>
        <w:pStyle w:val="TableofFigures"/>
        <w:rPr>
          <w:color w:val="auto"/>
          <w:sz w:val="22"/>
        </w:rPr>
      </w:pPr>
      <w:r w:rsidRPr="00946134">
        <w:t>Figure F</w:t>
      </w:r>
      <w:r w:rsidRPr="00946134">
        <w:noBreakHyphen/>
        <w:t>1 RBA macroinvertebrate sampling a) mean (± standard deviation) abundance Baetidae caught per sample in different months. Orange colour: before spring fresh 2019; Pale orange: before 2nd small spring fresh 2020; blue colour: after spring fresh. b) abundance (</w:t>
      </w:r>
      <w:r w:rsidRPr="00946134">
        <w:rPr>
          <w:rFonts w:cstheme="minorHAnsi"/>
        </w:rPr>
        <w:t>±</w:t>
      </w:r>
      <w:r w:rsidRPr="00946134">
        <w:t xml:space="preserve"> standard deviation) of Baetidae for all sites in different months. c) mean (</w:t>
      </w:r>
      <w:r w:rsidRPr="00946134">
        <w:rPr>
          <w:rFonts w:cstheme="minorHAnsi"/>
        </w:rPr>
        <w:t>±</w:t>
      </w:r>
      <w:r w:rsidRPr="00946134">
        <w:t xml:space="preserve"> standard deviation) abundance of Gomphidae caught per sample in different months. Orange colour: before spring fresh 2019; Pale orange: before 2</w:t>
      </w:r>
      <w:r w:rsidRPr="00946134">
        <w:rPr>
          <w:vertAlign w:val="superscript"/>
        </w:rPr>
        <w:t>nd</w:t>
      </w:r>
      <w:r w:rsidRPr="00946134">
        <w:t xml:space="preserve"> small spring fresh 2020; blue colour: after spring fresh. d) abundance (</w:t>
      </w:r>
      <w:r w:rsidRPr="00946134">
        <w:rPr>
          <w:rFonts w:cstheme="minorHAnsi"/>
        </w:rPr>
        <w:t>±</w:t>
      </w:r>
      <w:r w:rsidRPr="00946134">
        <w:t xml:space="preserve"> standard deviation) of Gomphidae for all sites in different months. e) mean (</w:t>
      </w:r>
      <w:r w:rsidRPr="00946134">
        <w:rPr>
          <w:rFonts w:cstheme="minorHAnsi"/>
        </w:rPr>
        <w:t>±</w:t>
      </w:r>
      <w:r w:rsidRPr="00946134">
        <w:t xml:space="preserve"> standard deviation) abundance of Chironominae caught per sample in different months. Orange colour: before spring fresh 2019; Pale orange: before 2</w:t>
      </w:r>
      <w:r w:rsidRPr="00946134">
        <w:rPr>
          <w:vertAlign w:val="superscript"/>
        </w:rPr>
        <w:t>nd</w:t>
      </w:r>
      <w:r w:rsidRPr="00946134">
        <w:t xml:space="preserve"> small spring fresh 2020; blue colour: after spring fresh. f) abundance (</w:t>
      </w:r>
      <w:r w:rsidRPr="00946134">
        <w:rPr>
          <w:rFonts w:cstheme="minorHAnsi"/>
        </w:rPr>
        <w:t>±</w:t>
      </w:r>
      <w:r w:rsidRPr="00946134">
        <w:t xml:space="preserve"> standard deviation) of Chironominae for all sites in different months. g) mean (</w:t>
      </w:r>
      <w:r w:rsidRPr="00946134">
        <w:rPr>
          <w:rFonts w:cstheme="minorHAnsi"/>
        </w:rPr>
        <w:t>±</w:t>
      </w:r>
      <w:r w:rsidRPr="00946134">
        <w:t xml:space="preserve"> standard deviation) abundance of Orthocladiinae caught per sample in different months. Orange colour: before spring fresh 2019; Pale orange: before 2</w:t>
      </w:r>
      <w:r w:rsidRPr="00946134">
        <w:rPr>
          <w:vertAlign w:val="superscript"/>
        </w:rPr>
        <w:t>nd</w:t>
      </w:r>
      <w:r w:rsidRPr="00946134">
        <w:t xml:space="preserve"> small spring fresh 2020; blue colour: after spring fresh. h) abundance (</w:t>
      </w:r>
      <w:r w:rsidRPr="00946134">
        <w:rPr>
          <w:rFonts w:cstheme="minorHAnsi"/>
        </w:rPr>
        <w:t>±</w:t>
      </w:r>
      <w:r w:rsidRPr="00946134">
        <w:t xml:space="preserve"> standard deviation) of Orthocladiinae for all sites in different months. i) mean (</w:t>
      </w:r>
      <w:r w:rsidRPr="00946134">
        <w:rPr>
          <w:rFonts w:cstheme="minorHAnsi"/>
        </w:rPr>
        <w:t>±</w:t>
      </w:r>
      <w:r w:rsidRPr="00946134">
        <w:t xml:space="preserve"> standard deviation) abundance of Tanypodinae caught per sample in different months. Orange colour: before spring fresh 2019; Pale orange: before 2</w:t>
      </w:r>
      <w:r w:rsidRPr="00946134">
        <w:rPr>
          <w:vertAlign w:val="superscript"/>
        </w:rPr>
        <w:t>nd</w:t>
      </w:r>
      <w:r w:rsidRPr="00946134">
        <w:t xml:space="preserve"> small spring fresh 2020; blue colour: after spring fresh. j) abundance (</w:t>
      </w:r>
      <w:r w:rsidRPr="00946134">
        <w:rPr>
          <w:rFonts w:cstheme="minorHAnsi"/>
        </w:rPr>
        <w:t>±</w:t>
      </w:r>
      <w:r w:rsidRPr="00946134">
        <w:t xml:space="preserve"> standard deviation) of Tanypodinae </w:t>
      </w:r>
      <w:r w:rsidRPr="00946134">
        <w:lastRenderedPageBreak/>
        <w:t>for all sites in different months. k) mean (</w:t>
      </w:r>
      <w:r w:rsidRPr="00946134">
        <w:rPr>
          <w:rFonts w:cstheme="minorHAnsi"/>
        </w:rPr>
        <w:t>±</w:t>
      </w:r>
      <w:r w:rsidRPr="00946134">
        <w:t xml:space="preserve"> standard deviation) abundance of Leptoceridae caught per sample in different months. Orange colour: before spring fresh 2019; Pale orange: before 2</w:t>
      </w:r>
      <w:r w:rsidRPr="00946134">
        <w:rPr>
          <w:vertAlign w:val="superscript"/>
        </w:rPr>
        <w:t>nd</w:t>
      </w:r>
      <w:r w:rsidRPr="00946134">
        <w:t xml:space="preserve"> small spring fresh 2020; blue colour: after spring fresh. l) abundance (</w:t>
      </w:r>
      <w:r w:rsidRPr="00946134">
        <w:rPr>
          <w:rFonts w:cstheme="minorHAnsi"/>
        </w:rPr>
        <w:t>±</w:t>
      </w:r>
      <w:r w:rsidRPr="00946134">
        <w:t xml:space="preserve"> standard deviation) of Leptoceridae for all sites in different months. m) mean (</w:t>
      </w:r>
      <w:r w:rsidRPr="00946134">
        <w:rPr>
          <w:rFonts w:cstheme="minorHAnsi"/>
        </w:rPr>
        <w:t>±</w:t>
      </w:r>
      <w:r w:rsidRPr="00946134">
        <w:t xml:space="preserve"> standard deviation) abundance of Micronectidae caught per sample in different months. Orange colour: before spring fresh 2019; Pale orange: before 2</w:t>
      </w:r>
      <w:r w:rsidRPr="00946134">
        <w:rPr>
          <w:vertAlign w:val="superscript"/>
        </w:rPr>
        <w:t>nd</w:t>
      </w:r>
      <w:r w:rsidRPr="00946134">
        <w:t xml:space="preserve"> small spring fresh 2020; blue colour: after spring fresh. n) abundance (</w:t>
      </w:r>
      <w:r w:rsidRPr="00946134">
        <w:rPr>
          <w:rFonts w:cstheme="minorHAnsi"/>
        </w:rPr>
        <w:t>±</w:t>
      </w:r>
      <w:r w:rsidRPr="00946134">
        <w:t xml:space="preserve"> standard deviation) of Micronectidae for all sites in different months. o) mean (</w:t>
      </w:r>
      <w:r w:rsidRPr="00946134">
        <w:rPr>
          <w:rFonts w:cstheme="minorHAnsi"/>
        </w:rPr>
        <w:t>±</w:t>
      </w:r>
      <w:r w:rsidRPr="00946134">
        <w:t xml:space="preserve"> standard deviation) abundance of Notonectidae caught per sample in different months. Orange colour: before spring fresh 2019; Pale orange: before 2</w:t>
      </w:r>
      <w:r w:rsidRPr="00946134">
        <w:rPr>
          <w:vertAlign w:val="superscript"/>
        </w:rPr>
        <w:t>nd</w:t>
      </w:r>
      <w:r w:rsidRPr="00946134">
        <w:t xml:space="preserve"> small spring fresh 2020; blue colour: after spring fresh. p) abundance (</w:t>
      </w:r>
      <w:r w:rsidRPr="00946134">
        <w:rPr>
          <w:rFonts w:cstheme="minorHAnsi"/>
        </w:rPr>
        <w:t>±</w:t>
      </w:r>
      <w:r w:rsidRPr="00946134">
        <w:t xml:space="preserve"> standard deviation) of Notonectidae for all sites in different months.</w:t>
      </w:r>
      <w:r>
        <w:rPr>
          <w:webHidden/>
        </w:rPr>
        <w:tab/>
        <w:t>181</w:t>
      </w:r>
    </w:p>
    <w:p w14:paraId="469DE386" w14:textId="6D8A630C" w:rsidR="00A22A68" w:rsidRDefault="00A22A68">
      <w:pPr>
        <w:pStyle w:val="TableofFigures"/>
        <w:rPr>
          <w:color w:val="auto"/>
          <w:sz w:val="22"/>
        </w:rPr>
      </w:pPr>
      <w:r w:rsidRPr="00946134">
        <w:t>Figure G</w:t>
      </w:r>
      <w:r w:rsidRPr="00946134">
        <w:noBreakHyphen/>
        <w:t>1 Average foliage projected cover index of summed cover of ground layer vegetation in each bank zone across surveys for all plants (a,b) and water dependant species (c,d) at McCoy’s Bridge (a,c) and Loch Garry (b,d).</w:t>
      </w:r>
      <w:r>
        <w:rPr>
          <w:webHidden/>
        </w:rPr>
        <w:tab/>
        <w:t>183</w:t>
      </w:r>
    </w:p>
    <w:p w14:paraId="322E5D6D" w14:textId="0B9DC274" w:rsidR="00A22A68" w:rsidRDefault="00A22A68">
      <w:pPr>
        <w:pStyle w:val="TableofFigures"/>
        <w:rPr>
          <w:color w:val="auto"/>
          <w:sz w:val="22"/>
        </w:rPr>
      </w:pPr>
      <w:r w:rsidRPr="00946134">
        <w:t>Figure G</w:t>
      </w:r>
      <w:r w:rsidRPr="00946134">
        <w:noBreakHyphen/>
        <w:t>2 Average foliage projected cover index of summed cover of ground layer vegetation in each bank zone at McCoy’s Bridge across surveys for (a) grasses and (b) herbs and (c) sedges (d) rushes.</w:t>
      </w:r>
      <w:r>
        <w:rPr>
          <w:webHidden/>
        </w:rPr>
        <w:tab/>
        <w:t>184</w:t>
      </w:r>
    </w:p>
    <w:p w14:paraId="37C2FEF5" w14:textId="01D14826" w:rsidR="00A22A68" w:rsidRDefault="00A22A68">
      <w:pPr>
        <w:pStyle w:val="TableofFigures"/>
        <w:rPr>
          <w:color w:val="auto"/>
          <w:sz w:val="22"/>
        </w:rPr>
      </w:pPr>
      <w:r w:rsidRPr="00946134">
        <w:t>Figure G</w:t>
      </w:r>
      <w:r w:rsidRPr="00946134">
        <w:noBreakHyphen/>
        <w:t>3 Average foliage projected cover index (a) Common tussock grass (</w:t>
      </w:r>
      <w:r w:rsidRPr="00946134">
        <w:rPr>
          <w:i/>
        </w:rPr>
        <w:t>Poa labillardierei</w:t>
      </w:r>
      <w:r w:rsidRPr="00946134">
        <w:t>) and creeping knotweed (Persicaria prostrata) in each bank zone across surveys at McCoys Bridge.</w:t>
      </w:r>
      <w:r>
        <w:rPr>
          <w:webHidden/>
        </w:rPr>
        <w:tab/>
        <w:t>185</w:t>
      </w:r>
    </w:p>
    <w:p w14:paraId="0E092571" w14:textId="4C1C43D3" w:rsidR="0033229F" w:rsidRDefault="0033229F" w:rsidP="00C47A44">
      <w:pPr>
        <w:pStyle w:val="Para0"/>
      </w:pPr>
    </w:p>
    <w:p w14:paraId="70C144AC" w14:textId="6D82E424" w:rsidR="001A7A58" w:rsidRDefault="001218EA" w:rsidP="00C47A44">
      <w:pPr>
        <w:pStyle w:val="Heading1"/>
        <w:numPr>
          <w:ilvl w:val="0"/>
          <w:numId w:val="0"/>
        </w:numPr>
        <w:rPr>
          <w:noProof/>
        </w:rPr>
      </w:pPr>
      <w:bookmarkStart w:id="5" w:name="_Toc84416073"/>
      <w:bookmarkStart w:id="6" w:name="_Toc84417312"/>
      <w:bookmarkStart w:id="7" w:name="_Toc84475660"/>
      <w:r w:rsidRPr="00905733">
        <w:t>List of Tables</w:t>
      </w:r>
      <w:bookmarkEnd w:id="5"/>
      <w:bookmarkEnd w:id="6"/>
      <w:bookmarkEnd w:id="7"/>
    </w:p>
    <w:p w14:paraId="2829D696" w14:textId="45323A12" w:rsidR="001A7A58" w:rsidRDefault="001A7A58">
      <w:pPr>
        <w:pStyle w:val="TableofFigures"/>
        <w:rPr>
          <w:color w:val="auto"/>
          <w:sz w:val="22"/>
          <w:lang w:val="en-US" w:eastAsia="en-US"/>
        </w:rPr>
      </w:pPr>
      <w:r w:rsidRPr="00946134">
        <w:rPr>
          <w:rStyle w:val="Hyperlink"/>
        </w:rPr>
        <w:t>Table 2</w:t>
      </w:r>
      <w:r w:rsidRPr="00946134">
        <w:rPr>
          <w:rStyle w:val="Hyperlink"/>
        </w:rPr>
        <w:noBreakHyphen/>
        <w:t>1 Goulburn MER monitoring sites in each zone and the monitoring activities undertaken at each site.</w:t>
      </w:r>
      <w:r>
        <w:rPr>
          <w:webHidden/>
        </w:rPr>
        <w:tab/>
        <w:t>4</w:t>
      </w:r>
    </w:p>
    <w:p w14:paraId="681A01C5" w14:textId="3761258E" w:rsidR="001A7A58" w:rsidRDefault="001A7A58">
      <w:pPr>
        <w:pStyle w:val="TableofFigures"/>
        <w:rPr>
          <w:color w:val="auto"/>
          <w:sz w:val="22"/>
          <w:lang w:val="en-US" w:eastAsia="en-US"/>
        </w:rPr>
      </w:pPr>
      <w:r w:rsidRPr="00946134">
        <w:rPr>
          <w:rStyle w:val="Hyperlink"/>
        </w:rPr>
        <w:t>Table 2</w:t>
      </w:r>
      <w:r w:rsidRPr="00946134">
        <w:rPr>
          <w:rStyle w:val="Hyperlink"/>
        </w:rPr>
        <w:noBreakHyphen/>
        <w:t>2 Schedule of planned and actual monitoring activities by month for 2020-21.</w:t>
      </w:r>
      <w:r>
        <w:rPr>
          <w:webHidden/>
        </w:rPr>
        <w:tab/>
        <w:t>5</w:t>
      </w:r>
    </w:p>
    <w:p w14:paraId="48C2D522" w14:textId="5F78F257" w:rsidR="001A7A58" w:rsidRDefault="001A7A58">
      <w:pPr>
        <w:pStyle w:val="TableofFigures"/>
        <w:rPr>
          <w:color w:val="auto"/>
          <w:sz w:val="22"/>
          <w:lang w:val="en-US" w:eastAsia="en-US"/>
        </w:rPr>
      </w:pPr>
      <w:r w:rsidRPr="00946134">
        <w:rPr>
          <w:rStyle w:val="Hyperlink"/>
        </w:rPr>
        <w:t>Table 3</w:t>
      </w:r>
      <w:r w:rsidRPr="00946134">
        <w:rPr>
          <w:rStyle w:val="Hyperlink"/>
        </w:rPr>
        <w:noBreakHyphen/>
        <w:t>1 Commonwealth environmental water entitlements as of 31 August 2021.</w:t>
      </w:r>
      <w:r>
        <w:rPr>
          <w:webHidden/>
        </w:rPr>
        <w:tab/>
        <w:t>6</w:t>
      </w:r>
    </w:p>
    <w:p w14:paraId="757748C6" w14:textId="1974A604" w:rsidR="001A7A58" w:rsidRDefault="001A7A58">
      <w:pPr>
        <w:pStyle w:val="TableofFigures"/>
        <w:rPr>
          <w:color w:val="auto"/>
          <w:sz w:val="22"/>
          <w:lang w:val="en-US" w:eastAsia="en-US"/>
        </w:rPr>
      </w:pPr>
      <w:r w:rsidRPr="00946134">
        <w:rPr>
          <w:rStyle w:val="Hyperlink"/>
        </w:rPr>
        <w:t>Table 3</w:t>
      </w:r>
      <w:r w:rsidRPr="00946134">
        <w:rPr>
          <w:rStyle w:val="Hyperlink"/>
        </w:rPr>
        <w:noBreakHyphen/>
        <w:t>2 Summary of planned and actual environmental flows for the lower Goulburn River 2020–21. Information on planned delivery and expected outcomes from (CEWO 2020a) and (GBCMA 2021). Information on actual delivery provided by CEWO (2020b).  More details on specific volumes delivered from various sources is provided in Appendix A.</w:t>
      </w:r>
      <w:r>
        <w:rPr>
          <w:webHidden/>
        </w:rPr>
        <w:tab/>
        <w:t>8</w:t>
      </w:r>
    </w:p>
    <w:p w14:paraId="7C2FC272" w14:textId="180A8685" w:rsidR="001A7A58" w:rsidRDefault="001A7A58">
      <w:pPr>
        <w:pStyle w:val="TableofFigures"/>
        <w:rPr>
          <w:color w:val="auto"/>
          <w:sz w:val="22"/>
          <w:lang w:val="en-US" w:eastAsia="en-US"/>
        </w:rPr>
      </w:pPr>
      <w:r w:rsidRPr="00946134">
        <w:rPr>
          <w:rStyle w:val="Hyperlink"/>
        </w:rPr>
        <w:t>Table 4</w:t>
      </w:r>
      <w:r w:rsidRPr="00946134">
        <w:rPr>
          <w:rStyle w:val="Hyperlink"/>
        </w:rPr>
        <w:noBreakHyphen/>
        <w:t xml:space="preserve">1 </w:t>
      </w:r>
      <w:r w:rsidRPr="00946134">
        <w:rPr>
          <w:rStyle w:val="Hyperlink"/>
          <w:rFonts w:cstheme="minorHAnsi"/>
        </w:rPr>
        <w:t>Physical habitat key evaluation questions for the Goulburn selected area and associated indicators and evaluation approaches.</w:t>
      </w:r>
      <w:r>
        <w:rPr>
          <w:webHidden/>
        </w:rPr>
        <w:tab/>
        <w:t>10</w:t>
      </w:r>
    </w:p>
    <w:p w14:paraId="4F438C9E" w14:textId="2DDAA676" w:rsidR="001A7A58" w:rsidRDefault="001A7A58">
      <w:pPr>
        <w:pStyle w:val="TableofFigures"/>
        <w:rPr>
          <w:color w:val="auto"/>
          <w:sz w:val="22"/>
          <w:lang w:val="en-US" w:eastAsia="en-US"/>
        </w:rPr>
      </w:pPr>
      <w:r w:rsidRPr="00946134">
        <w:rPr>
          <w:rStyle w:val="Hyperlink"/>
        </w:rPr>
        <w:t>Table 4</w:t>
      </w:r>
      <w:r w:rsidRPr="00946134">
        <w:rPr>
          <w:rStyle w:val="Hyperlink"/>
        </w:rPr>
        <w:noBreakHyphen/>
        <w:t>2 Summary of physical habitat findings relevant to evaluation questions.</w:t>
      </w:r>
      <w:r>
        <w:rPr>
          <w:webHidden/>
        </w:rPr>
        <w:tab/>
        <w:t>13</w:t>
      </w:r>
    </w:p>
    <w:p w14:paraId="6D767751" w14:textId="47C4B8E3" w:rsidR="001A7A58" w:rsidRDefault="001A7A58">
      <w:pPr>
        <w:pStyle w:val="TableofFigures"/>
        <w:rPr>
          <w:color w:val="auto"/>
          <w:sz w:val="22"/>
          <w:lang w:val="en-US" w:eastAsia="en-US"/>
        </w:rPr>
      </w:pPr>
      <w:r w:rsidRPr="00946134">
        <w:rPr>
          <w:rStyle w:val="Hyperlink"/>
        </w:rPr>
        <w:t>Table 4</w:t>
      </w:r>
      <w:r w:rsidRPr="00946134">
        <w:rPr>
          <w:rStyle w:val="Hyperlink"/>
        </w:rPr>
        <w:noBreakHyphen/>
        <w:t>3 Percentage of the total flow contributed by the tributary flow by site on the Goulburn River for each flow period.</w:t>
      </w:r>
      <w:r>
        <w:rPr>
          <w:webHidden/>
        </w:rPr>
        <w:tab/>
        <w:t>18</w:t>
      </w:r>
    </w:p>
    <w:p w14:paraId="74CC4A2B" w14:textId="6E52CE44" w:rsidR="001A7A58" w:rsidRDefault="001A7A58">
      <w:pPr>
        <w:pStyle w:val="TableofFigures"/>
        <w:rPr>
          <w:color w:val="auto"/>
          <w:sz w:val="22"/>
          <w:lang w:val="en-US" w:eastAsia="en-US"/>
        </w:rPr>
      </w:pPr>
      <w:r w:rsidRPr="00946134">
        <w:rPr>
          <w:rStyle w:val="Hyperlink"/>
        </w:rPr>
        <w:t>Table 4</w:t>
      </w:r>
      <w:r w:rsidRPr="00946134">
        <w:rPr>
          <w:rStyle w:val="Hyperlink"/>
        </w:rPr>
        <w:noBreakHyphen/>
        <w:t>4 Hypotheses relating to hydrology summarised.</w:t>
      </w:r>
      <w:r>
        <w:rPr>
          <w:webHidden/>
        </w:rPr>
        <w:tab/>
        <w:t>19</w:t>
      </w:r>
    </w:p>
    <w:p w14:paraId="5C465B9D" w14:textId="1081D50D" w:rsidR="001A7A58" w:rsidRDefault="001A7A58">
      <w:pPr>
        <w:pStyle w:val="TableofFigures"/>
        <w:rPr>
          <w:color w:val="auto"/>
          <w:sz w:val="22"/>
          <w:lang w:val="en-US" w:eastAsia="en-US"/>
        </w:rPr>
      </w:pPr>
      <w:r w:rsidRPr="00946134">
        <w:rPr>
          <w:rStyle w:val="Hyperlink"/>
        </w:rPr>
        <w:t>Table 4</w:t>
      </w:r>
      <w:r w:rsidRPr="00946134">
        <w:rPr>
          <w:rStyle w:val="Hyperlink"/>
        </w:rPr>
        <w:noBreakHyphen/>
        <w:t>5 Summary of results from DEMODs.</w:t>
      </w:r>
      <w:r>
        <w:rPr>
          <w:webHidden/>
        </w:rPr>
        <w:tab/>
        <w:t>22</w:t>
      </w:r>
    </w:p>
    <w:p w14:paraId="123589F4" w14:textId="05432BA8" w:rsidR="001A7A58" w:rsidRDefault="001A7A58">
      <w:pPr>
        <w:pStyle w:val="TableofFigures"/>
        <w:rPr>
          <w:color w:val="auto"/>
          <w:sz w:val="22"/>
          <w:lang w:val="en-US" w:eastAsia="en-US"/>
        </w:rPr>
      </w:pPr>
      <w:r w:rsidRPr="00946134">
        <w:rPr>
          <w:rStyle w:val="Hyperlink"/>
        </w:rPr>
        <w:t>Table 4</w:t>
      </w:r>
      <w:r w:rsidRPr="00946134">
        <w:rPr>
          <w:rStyle w:val="Hyperlink"/>
        </w:rPr>
        <w:noBreakHyphen/>
        <w:t>6 Response to initial hypotheses.</w:t>
      </w:r>
      <w:r>
        <w:rPr>
          <w:webHidden/>
        </w:rPr>
        <w:tab/>
        <w:t>26</w:t>
      </w:r>
    </w:p>
    <w:p w14:paraId="2AFA090B" w14:textId="5D0AF282" w:rsidR="001A7A58" w:rsidRDefault="001A7A58">
      <w:pPr>
        <w:pStyle w:val="TableofFigures"/>
        <w:rPr>
          <w:color w:val="auto"/>
          <w:sz w:val="22"/>
          <w:lang w:val="en-US" w:eastAsia="en-US"/>
        </w:rPr>
      </w:pPr>
      <w:r w:rsidRPr="00946134">
        <w:rPr>
          <w:rStyle w:val="Hyperlink"/>
        </w:rPr>
        <w:t>Table 5</w:t>
      </w:r>
      <w:r w:rsidRPr="00946134">
        <w:rPr>
          <w:rStyle w:val="Hyperlink"/>
        </w:rPr>
        <w:noBreakHyphen/>
        <w:t xml:space="preserve">1 </w:t>
      </w:r>
      <w:r w:rsidRPr="00946134">
        <w:rPr>
          <w:rStyle w:val="Hyperlink"/>
          <w:rFonts w:cstheme="minorHAnsi"/>
        </w:rPr>
        <w:t>Metabolism key evaluation questions for the Goulburn selected area and associated indicators and evaluation approaches.</w:t>
      </w:r>
      <w:r>
        <w:rPr>
          <w:webHidden/>
        </w:rPr>
        <w:tab/>
        <w:t>32</w:t>
      </w:r>
    </w:p>
    <w:p w14:paraId="5539B5B3" w14:textId="41D3FF66" w:rsidR="001A7A58" w:rsidRDefault="001A7A58">
      <w:pPr>
        <w:pStyle w:val="TableofFigures"/>
        <w:rPr>
          <w:color w:val="auto"/>
          <w:sz w:val="22"/>
          <w:lang w:val="en-US" w:eastAsia="en-US"/>
        </w:rPr>
      </w:pPr>
      <w:r w:rsidRPr="00946134">
        <w:rPr>
          <w:rStyle w:val="Hyperlink"/>
        </w:rPr>
        <w:lastRenderedPageBreak/>
        <w:t>Table 5</w:t>
      </w:r>
      <w:r w:rsidRPr="00946134">
        <w:rPr>
          <w:rStyle w:val="Hyperlink"/>
        </w:rPr>
        <w:noBreakHyphen/>
        <w:t>2 Summary of Metabolism findings relevant to evaluation questions.</w:t>
      </w:r>
      <w:r>
        <w:rPr>
          <w:webHidden/>
        </w:rPr>
        <w:tab/>
        <w:t>34</w:t>
      </w:r>
    </w:p>
    <w:p w14:paraId="21FC718A" w14:textId="40B49BD0" w:rsidR="001A7A58" w:rsidRDefault="001A7A58">
      <w:pPr>
        <w:pStyle w:val="TableofFigures"/>
        <w:rPr>
          <w:color w:val="auto"/>
          <w:sz w:val="22"/>
          <w:lang w:val="en-US" w:eastAsia="en-US"/>
        </w:rPr>
      </w:pPr>
      <w:r w:rsidRPr="00946134">
        <w:rPr>
          <w:rStyle w:val="Hyperlink"/>
        </w:rPr>
        <w:t>Table 5</w:t>
      </w:r>
      <w:r w:rsidRPr="00946134">
        <w:rPr>
          <w:rStyle w:val="Hyperlink"/>
        </w:rPr>
        <w:noBreakHyphen/>
        <w:t>3 Flow Thresholds (ML/Day) for Goulburn River stream metabolism monitoring sites.</w:t>
      </w:r>
      <w:r>
        <w:rPr>
          <w:webHidden/>
        </w:rPr>
        <w:tab/>
        <w:t>37</w:t>
      </w:r>
    </w:p>
    <w:p w14:paraId="6C9C88FB" w14:textId="57C8CE16" w:rsidR="001A7A58" w:rsidRDefault="001A7A58">
      <w:pPr>
        <w:pStyle w:val="TableofFigures"/>
        <w:rPr>
          <w:color w:val="auto"/>
          <w:sz w:val="22"/>
          <w:lang w:val="en-US" w:eastAsia="en-US"/>
        </w:rPr>
      </w:pPr>
      <w:r w:rsidRPr="00946134">
        <w:rPr>
          <w:rStyle w:val="Hyperlink"/>
        </w:rPr>
        <w:t>Table 5</w:t>
      </w:r>
      <w:r w:rsidRPr="00946134">
        <w:rPr>
          <w:rStyle w:val="Hyperlink"/>
        </w:rPr>
        <w:noBreakHyphen/>
        <w:t>4 Summary of Data Collection and Acceptance Rates for BASE Results. MER (in light blue) &amp; LTIM (dark blue).</w:t>
      </w:r>
      <w:r>
        <w:rPr>
          <w:webHidden/>
        </w:rPr>
        <w:tab/>
        <w:t>39</w:t>
      </w:r>
    </w:p>
    <w:p w14:paraId="4C3FFAD2" w14:textId="5261DE0B" w:rsidR="001A7A58" w:rsidRDefault="001A7A58">
      <w:pPr>
        <w:pStyle w:val="TableofFigures"/>
        <w:rPr>
          <w:color w:val="auto"/>
          <w:sz w:val="22"/>
          <w:lang w:val="en-US" w:eastAsia="en-US"/>
        </w:rPr>
      </w:pPr>
      <w:r w:rsidRPr="00946134">
        <w:rPr>
          <w:rStyle w:val="Hyperlink"/>
        </w:rPr>
        <w:t>Table 5</w:t>
      </w:r>
      <w:r w:rsidRPr="00946134">
        <w:rPr>
          <w:rStyle w:val="Hyperlink"/>
        </w:rPr>
        <w:noBreakHyphen/>
        <w:t>5 Summary Statistics for Daily Flow (ML/Day), stratified by Season, Site and Flow Category. All data from 2014-2021.</w:t>
      </w:r>
      <w:r>
        <w:rPr>
          <w:webHidden/>
        </w:rPr>
        <w:tab/>
        <w:t>42</w:t>
      </w:r>
    </w:p>
    <w:p w14:paraId="4D862B05" w14:textId="4A362BDC" w:rsidR="001A7A58" w:rsidRDefault="001A7A58">
      <w:pPr>
        <w:pStyle w:val="TableofFigures"/>
        <w:rPr>
          <w:color w:val="auto"/>
          <w:sz w:val="22"/>
          <w:lang w:val="en-US" w:eastAsia="en-US"/>
        </w:rPr>
      </w:pPr>
      <w:r w:rsidRPr="00946134">
        <w:rPr>
          <w:rStyle w:val="Hyperlink"/>
        </w:rPr>
        <w:t>Table 5</w:t>
      </w:r>
      <w:r w:rsidRPr="00946134">
        <w:rPr>
          <w:rStyle w:val="Hyperlink"/>
        </w:rPr>
        <w:noBreakHyphen/>
        <w:t>6 Summary of primary production (GPP) and ecosystem respiration (ER) rates, P/R ratios and reaeration coefficients for the five study sites, 2020-21.</w:t>
      </w:r>
      <w:r>
        <w:rPr>
          <w:webHidden/>
        </w:rPr>
        <w:tab/>
        <w:t>43</w:t>
      </w:r>
    </w:p>
    <w:p w14:paraId="2F2D4BC3" w14:textId="15C320E0" w:rsidR="001A7A58" w:rsidRDefault="001A7A58">
      <w:pPr>
        <w:pStyle w:val="TableofFigures"/>
        <w:rPr>
          <w:color w:val="auto"/>
          <w:sz w:val="22"/>
          <w:lang w:val="en-US" w:eastAsia="en-US"/>
        </w:rPr>
      </w:pPr>
      <w:r w:rsidRPr="00946134">
        <w:rPr>
          <w:rStyle w:val="Hyperlink"/>
        </w:rPr>
        <w:t>Table 5</w:t>
      </w:r>
      <w:r w:rsidRPr="00946134">
        <w:rPr>
          <w:rStyle w:val="Hyperlink"/>
        </w:rPr>
        <w:noBreakHyphen/>
        <w:t>7 Comparison across seven years of median primary production (GPP) and ecosystem respiration (ER) rates, P/R ratios and reaeration coefficients at the McCoy’s Bridge site.</w:t>
      </w:r>
      <w:r>
        <w:rPr>
          <w:webHidden/>
        </w:rPr>
        <w:tab/>
        <w:t>45</w:t>
      </w:r>
    </w:p>
    <w:p w14:paraId="77C055B9" w14:textId="05D41EA2" w:rsidR="001A7A58" w:rsidRDefault="001A7A58">
      <w:pPr>
        <w:pStyle w:val="TableofFigures"/>
        <w:rPr>
          <w:color w:val="auto"/>
          <w:sz w:val="22"/>
          <w:lang w:val="en-US" w:eastAsia="en-US"/>
        </w:rPr>
      </w:pPr>
      <w:r w:rsidRPr="00946134">
        <w:rPr>
          <w:rStyle w:val="Hyperlink"/>
        </w:rPr>
        <w:t>Table 5</w:t>
      </w:r>
      <w:r w:rsidRPr="00946134">
        <w:rPr>
          <w:rStyle w:val="Hyperlink"/>
        </w:rPr>
        <w:noBreakHyphen/>
        <w:t>8 Summary LTIM Stream Metabolism Statistics for all Goulburn Sites in LTIM &amp; MER, combined and individually, 2014-2021.</w:t>
      </w:r>
      <w:r>
        <w:rPr>
          <w:webHidden/>
        </w:rPr>
        <w:tab/>
        <w:t>48</w:t>
      </w:r>
    </w:p>
    <w:p w14:paraId="28A58AE7" w14:textId="4C5BC755" w:rsidR="001A7A58" w:rsidRDefault="001A7A58">
      <w:pPr>
        <w:pStyle w:val="TableofFigures"/>
        <w:rPr>
          <w:color w:val="auto"/>
          <w:sz w:val="22"/>
          <w:lang w:val="en-US" w:eastAsia="en-US"/>
        </w:rPr>
      </w:pPr>
      <w:r w:rsidRPr="00946134">
        <w:rPr>
          <w:rStyle w:val="Hyperlink"/>
        </w:rPr>
        <w:t>Table 5</w:t>
      </w:r>
      <w:r w:rsidRPr="00946134">
        <w:rPr>
          <w:rStyle w:val="Hyperlink"/>
        </w:rPr>
        <w:noBreakHyphen/>
        <w:t>9 Summary LTIM Stream Metabolism Statistics for the five Southern MDB Selected Areas, 2014-19.</w:t>
      </w:r>
      <w:r>
        <w:rPr>
          <w:webHidden/>
        </w:rPr>
        <w:tab/>
        <w:t>49</w:t>
      </w:r>
    </w:p>
    <w:p w14:paraId="71CE7A96" w14:textId="589EE375" w:rsidR="001A7A58" w:rsidRDefault="001A7A58">
      <w:pPr>
        <w:pStyle w:val="TableofFigures"/>
        <w:rPr>
          <w:color w:val="auto"/>
          <w:sz w:val="22"/>
          <w:lang w:val="en-US" w:eastAsia="en-US"/>
        </w:rPr>
      </w:pPr>
      <w:r w:rsidRPr="00946134">
        <w:rPr>
          <w:rStyle w:val="Hyperlink"/>
        </w:rPr>
        <w:t>Table 5</w:t>
      </w:r>
      <w:r w:rsidRPr="00946134">
        <w:rPr>
          <w:rStyle w:val="Hyperlink"/>
        </w:rPr>
        <w:noBreakHyphen/>
        <w:t>10 Seasonal Dependence of GPP, ER, P/R and NEP – all sites combined. Data from 2014-2021.</w:t>
      </w:r>
      <w:r>
        <w:rPr>
          <w:webHidden/>
        </w:rPr>
        <w:tab/>
        <w:t>50</w:t>
      </w:r>
    </w:p>
    <w:p w14:paraId="1941AEF3" w14:textId="5FEBFE2C" w:rsidR="001A7A58" w:rsidRDefault="001A7A58">
      <w:pPr>
        <w:pStyle w:val="TableofFigures"/>
        <w:rPr>
          <w:color w:val="auto"/>
          <w:sz w:val="22"/>
          <w:lang w:val="en-US" w:eastAsia="en-US"/>
        </w:rPr>
      </w:pPr>
      <w:r w:rsidRPr="00946134">
        <w:rPr>
          <w:rStyle w:val="Hyperlink"/>
        </w:rPr>
        <w:t>Table 5</w:t>
      </w:r>
      <w:r w:rsidRPr="00946134">
        <w:rPr>
          <w:rStyle w:val="Hyperlink"/>
        </w:rPr>
        <w:noBreakHyphen/>
        <w:t>11 Summary Statistics for Gross Primary Productivity (mg O2/L/Day), stratified by Season, Site and Flow Category. All data from 2014-2021.</w:t>
      </w:r>
      <w:r>
        <w:rPr>
          <w:webHidden/>
        </w:rPr>
        <w:tab/>
        <w:t>52</w:t>
      </w:r>
    </w:p>
    <w:p w14:paraId="07E16DD5" w14:textId="0131B6EB" w:rsidR="001A7A58" w:rsidRDefault="001A7A58">
      <w:pPr>
        <w:pStyle w:val="TableofFigures"/>
        <w:rPr>
          <w:color w:val="auto"/>
          <w:sz w:val="22"/>
          <w:lang w:val="en-US" w:eastAsia="en-US"/>
        </w:rPr>
      </w:pPr>
      <w:r w:rsidRPr="00946134">
        <w:rPr>
          <w:rStyle w:val="Hyperlink"/>
        </w:rPr>
        <w:t>Table 5</w:t>
      </w:r>
      <w:r w:rsidRPr="00946134">
        <w:rPr>
          <w:rStyle w:val="Hyperlink"/>
        </w:rPr>
        <w:noBreakHyphen/>
        <w:t>12 Summary Statistics for Ecosystem Respiration (mg O2/L/Day), stratified by Season, Site and Flow Category. All data from 2014-2021.</w:t>
      </w:r>
      <w:r>
        <w:rPr>
          <w:webHidden/>
        </w:rPr>
        <w:tab/>
        <w:t>53</w:t>
      </w:r>
    </w:p>
    <w:p w14:paraId="6E3F37C7" w14:textId="74E4E47A" w:rsidR="001A7A58" w:rsidRDefault="001A7A58">
      <w:pPr>
        <w:pStyle w:val="TableofFigures"/>
        <w:rPr>
          <w:color w:val="auto"/>
          <w:sz w:val="22"/>
          <w:lang w:val="en-US" w:eastAsia="en-US"/>
        </w:rPr>
      </w:pPr>
      <w:r w:rsidRPr="00946134">
        <w:rPr>
          <w:rStyle w:val="Hyperlink"/>
        </w:rPr>
        <w:t>Table 5</w:t>
      </w:r>
      <w:r w:rsidRPr="00946134">
        <w:rPr>
          <w:rStyle w:val="Hyperlink"/>
        </w:rPr>
        <w:noBreakHyphen/>
        <w:t>13 Summary of Nutrient (N, P &amp; C) concentrations of water samples collected from all five MER study sites combined over the period May 2019 to April 2021. For comparison, the combined LTIM data (four sites, 2014-19) and separately measured data for the Murchison and McCoy’s Bridge sites were downloaded from the (Victorian) DELWP Water Measurement Information System covering the period July 2004 to June 2019. The number of single measurements in the LTIM data set that were below the Limit of Detection (LoD, 0.001 mg/L for dissolved nutrients, variable for Chlorophyll-a) are also noted.</w:t>
      </w:r>
      <w:r>
        <w:rPr>
          <w:webHidden/>
        </w:rPr>
        <w:tab/>
        <w:t>55</w:t>
      </w:r>
    </w:p>
    <w:p w14:paraId="0A4BBE5D" w14:textId="5CA30EB3" w:rsidR="001A7A58" w:rsidRDefault="001A7A58">
      <w:pPr>
        <w:pStyle w:val="TableofFigures"/>
        <w:rPr>
          <w:color w:val="auto"/>
          <w:sz w:val="22"/>
          <w:lang w:val="en-US" w:eastAsia="en-US"/>
        </w:rPr>
      </w:pPr>
      <w:r w:rsidRPr="00946134">
        <w:rPr>
          <w:rStyle w:val="Hyperlink"/>
        </w:rPr>
        <w:t>Table 5</w:t>
      </w:r>
      <w:r w:rsidRPr="00946134">
        <w:rPr>
          <w:rStyle w:val="Hyperlink"/>
        </w:rPr>
        <w:noBreakHyphen/>
        <w:t>14 Summary of Turbidity and Electrical Conductivity pooled data from the 5 MER sites (2019-2021) and DELWP WMIS data covering the period 1990-2020.</w:t>
      </w:r>
      <w:r>
        <w:rPr>
          <w:webHidden/>
        </w:rPr>
        <w:tab/>
        <w:t>56</w:t>
      </w:r>
    </w:p>
    <w:p w14:paraId="16D2AD03" w14:textId="1DD4B148" w:rsidR="001A7A58" w:rsidRDefault="001A7A58">
      <w:pPr>
        <w:pStyle w:val="TableofFigures"/>
        <w:rPr>
          <w:color w:val="auto"/>
          <w:sz w:val="22"/>
          <w:lang w:val="en-US" w:eastAsia="en-US"/>
        </w:rPr>
      </w:pPr>
      <w:r w:rsidRPr="00946134">
        <w:rPr>
          <w:rStyle w:val="Hyperlink"/>
        </w:rPr>
        <w:t>Table 5</w:t>
      </w:r>
      <w:r w:rsidRPr="00946134">
        <w:rPr>
          <w:rStyle w:val="Hyperlink"/>
        </w:rPr>
        <w:noBreakHyphen/>
        <w:t>15 Regression coefficients from Bayesian modelling of relationships between discharge and GPP or ER based on Equation 2, directly using log(Q) as the discharge indicator for data from 2019-20. “ac” is the coefficient of the autocorrelation term. Coloured rows show ‘significant’ positive (blue) or negative (red) effects. Here significance is assigned for any distribution for which the entire 95% credible interval (2.5% to 97.5%) lies either above or below zero.</w:t>
      </w:r>
      <w:r>
        <w:rPr>
          <w:webHidden/>
        </w:rPr>
        <w:tab/>
        <w:t>59</w:t>
      </w:r>
    </w:p>
    <w:p w14:paraId="2B43FA8C" w14:textId="1D9F6067" w:rsidR="001A7A58" w:rsidRDefault="001A7A58">
      <w:pPr>
        <w:pStyle w:val="TableofFigures"/>
        <w:rPr>
          <w:color w:val="auto"/>
          <w:sz w:val="22"/>
          <w:lang w:val="en-US" w:eastAsia="en-US"/>
        </w:rPr>
      </w:pPr>
      <w:r w:rsidRPr="00946134">
        <w:rPr>
          <w:rStyle w:val="Hyperlink"/>
        </w:rPr>
        <w:t>Table 5</w:t>
      </w:r>
      <w:r w:rsidRPr="00946134">
        <w:rPr>
          <w:rStyle w:val="Hyperlink"/>
        </w:rPr>
        <w:noBreakHyphen/>
        <w:t>16 Summary Statistics for Daily Organic Carbon Load (kg Org C/Day) created by GPP, stratified by Season, Site and Flow Category. All data from 2014-2021.</w:t>
      </w:r>
      <w:r>
        <w:rPr>
          <w:webHidden/>
        </w:rPr>
        <w:tab/>
        <w:t>62</w:t>
      </w:r>
    </w:p>
    <w:p w14:paraId="69EF9803" w14:textId="00A32245" w:rsidR="001A7A58" w:rsidRDefault="001A7A58">
      <w:pPr>
        <w:pStyle w:val="TableofFigures"/>
        <w:rPr>
          <w:color w:val="auto"/>
          <w:sz w:val="22"/>
          <w:lang w:val="en-US" w:eastAsia="en-US"/>
        </w:rPr>
      </w:pPr>
      <w:r w:rsidRPr="00946134">
        <w:rPr>
          <w:rStyle w:val="Hyperlink"/>
        </w:rPr>
        <w:t>Table 5</w:t>
      </w:r>
      <w:r w:rsidRPr="00946134">
        <w:rPr>
          <w:rStyle w:val="Hyperlink"/>
        </w:rPr>
        <w:noBreakHyphen/>
        <w:t>17 Summary Statistics for Daily Organic Carbon Load (kg Org C/Day) consumed by ER, stratified by Season, Site and Flow Category. All data from 2014-2021.</w:t>
      </w:r>
      <w:r>
        <w:rPr>
          <w:webHidden/>
        </w:rPr>
        <w:tab/>
        <w:t>63</w:t>
      </w:r>
    </w:p>
    <w:p w14:paraId="27A78C0D" w14:textId="7606F2EC" w:rsidR="001A7A58" w:rsidRDefault="001A7A58">
      <w:pPr>
        <w:pStyle w:val="TableofFigures"/>
        <w:rPr>
          <w:color w:val="auto"/>
          <w:sz w:val="22"/>
          <w:lang w:val="en-US" w:eastAsia="en-US"/>
        </w:rPr>
      </w:pPr>
      <w:r w:rsidRPr="00946134">
        <w:rPr>
          <w:rStyle w:val="Hyperlink"/>
        </w:rPr>
        <w:lastRenderedPageBreak/>
        <w:t>Table 5</w:t>
      </w:r>
      <w:r w:rsidRPr="00946134">
        <w:rPr>
          <w:rStyle w:val="Hyperlink"/>
        </w:rPr>
        <w:noBreakHyphen/>
        <w:t>18 Results of Pair-wise Comparisons of GPP and ER Load Increases with increasing discharge categories, stratified by season. The data are pooled across the sites presented in Table 5</w:t>
      </w:r>
      <w:r w:rsidRPr="00946134">
        <w:rPr>
          <w:rStyle w:val="Hyperlink"/>
        </w:rPr>
        <w:noBreakHyphen/>
        <w:t>16 and Table 5</w:t>
      </w:r>
      <w:r w:rsidRPr="00946134">
        <w:rPr>
          <w:rStyle w:val="Hyperlink"/>
        </w:rPr>
        <w:noBreakHyphen/>
        <w:t>17. Statistically significant differences (based on α = 0.05) are shown in bold text. Red text indicates a significant decline in load on increasing discharge.</w:t>
      </w:r>
      <w:r>
        <w:rPr>
          <w:webHidden/>
        </w:rPr>
        <w:tab/>
        <w:t>64</w:t>
      </w:r>
    </w:p>
    <w:p w14:paraId="61B483D8" w14:textId="10E8286F" w:rsidR="001A7A58" w:rsidRDefault="001A7A58">
      <w:pPr>
        <w:pStyle w:val="TableofFigures"/>
        <w:rPr>
          <w:color w:val="auto"/>
          <w:sz w:val="22"/>
          <w:lang w:val="en-US" w:eastAsia="en-US"/>
        </w:rPr>
      </w:pPr>
      <w:r w:rsidRPr="00946134">
        <w:rPr>
          <w:rStyle w:val="Hyperlink"/>
        </w:rPr>
        <w:t>Table 5</w:t>
      </w:r>
      <w:r w:rsidRPr="00946134">
        <w:rPr>
          <w:rStyle w:val="Hyperlink"/>
        </w:rPr>
        <w:noBreakHyphen/>
        <w:t>19 Seasonal Loads of Organic Carbon Produced by GPP at McCoy’s Bridge showing total loads and the contribution made by Commonwealth environmental water (CEW) over the duration of this project (October 2014 to April 2021). The Seasonal Flows, including the CEW contribution are also shown.</w:t>
      </w:r>
      <w:r>
        <w:rPr>
          <w:webHidden/>
        </w:rPr>
        <w:tab/>
        <w:t>68</w:t>
      </w:r>
    </w:p>
    <w:p w14:paraId="6532ED5A" w14:textId="4E3058DF" w:rsidR="001A7A58" w:rsidRDefault="001A7A58">
      <w:pPr>
        <w:pStyle w:val="TableofFigures"/>
        <w:rPr>
          <w:color w:val="auto"/>
          <w:sz w:val="22"/>
          <w:lang w:val="en-US" w:eastAsia="en-US"/>
        </w:rPr>
      </w:pPr>
      <w:r w:rsidRPr="00946134">
        <w:rPr>
          <w:rStyle w:val="Hyperlink"/>
        </w:rPr>
        <w:t>Table 6</w:t>
      </w:r>
      <w:r w:rsidRPr="00946134">
        <w:rPr>
          <w:rStyle w:val="Hyperlink"/>
        </w:rPr>
        <w:noBreakHyphen/>
        <w:t xml:space="preserve">1 </w:t>
      </w:r>
      <w:r w:rsidRPr="00946134">
        <w:rPr>
          <w:rStyle w:val="Hyperlink"/>
          <w:rFonts w:cstheme="minorHAnsi"/>
        </w:rPr>
        <w:t>Macroinvertebrate key evaluation questions for the Goulburn selected area and associated indicators and evaluation approaches.</w:t>
      </w:r>
      <w:r>
        <w:rPr>
          <w:webHidden/>
        </w:rPr>
        <w:tab/>
        <w:t>71</w:t>
      </w:r>
    </w:p>
    <w:p w14:paraId="6DC88782" w14:textId="60D6F816" w:rsidR="001A7A58" w:rsidRDefault="001A7A58">
      <w:pPr>
        <w:pStyle w:val="TableofFigures"/>
        <w:rPr>
          <w:color w:val="auto"/>
          <w:sz w:val="22"/>
          <w:lang w:val="en-US" w:eastAsia="en-US"/>
        </w:rPr>
      </w:pPr>
      <w:r w:rsidRPr="00946134">
        <w:rPr>
          <w:rStyle w:val="Hyperlink"/>
        </w:rPr>
        <w:t>Table 6</w:t>
      </w:r>
      <w:r w:rsidRPr="00946134">
        <w:rPr>
          <w:rStyle w:val="Hyperlink"/>
        </w:rPr>
        <w:noBreakHyphen/>
        <w:t>2 Summary of macroinvertebrate findings relevant to evaluation questions.</w:t>
      </w:r>
      <w:r>
        <w:rPr>
          <w:webHidden/>
        </w:rPr>
        <w:tab/>
        <w:t>73</w:t>
      </w:r>
    </w:p>
    <w:p w14:paraId="4103830F" w14:textId="462DF67D" w:rsidR="001A7A58" w:rsidRDefault="001A7A58">
      <w:pPr>
        <w:pStyle w:val="TableofFigures"/>
        <w:rPr>
          <w:color w:val="auto"/>
          <w:sz w:val="22"/>
          <w:lang w:val="en-US" w:eastAsia="en-US"/>
        </w:rPr>
      </w:pPr>
      <w:r w:rsidRPr="00946134">
        <w:rPr>
          <w:rStyle w:val="Hyperlink"/>
        </w:rPr>
        <w:t>Table 6</w:t>
      </w:r>
      <w:r w:rsidRPr="00946134">
        <w:rPr>
          <w:rStyle w:val="Hyperlink"/>
        </w:rPr>
        <w:noBreakHyphen/>
        <w:t>3 Macroinvertebrate and crustacean sampling times and significant events on the Goulburn River during 2020-21. CEW = Commonwealth environmental water delivered as spring freshes. Pre-CEW = pre-Commonwealth environmental water delivery (before spring fresh); Post-CEW = post-Commonwealth environmental water delivery (after spring fresh).</w:t>
      </w:r>
      <w:r>
        <w:rPr>
          <w:webHidden/>
        </w:rPr>
        <w:tab/>
        <w:t>74</w:t>
      </w:r>
    </w:p>
    <w:p w14:paraId="3EC7A19A" w14:textId="7E70AEBC" w:rsidR="001A7A58" w:rsidRDefault="001A7A58">
      <w:pPr>
        <w:pStyle w:val="TableofFigures"/>
        <w:rPr>
          <w:color w:val="auto"/>
          <w:sz w:val="22"/>
          <w:lang w:val="en-US" w:eastAsia="en-US"/>
        </w:rPr>
      </w:pPr>
      <w:r w:rsidRPr="00946134">
        <w:rPr>
          <w:rStyle w:val="Hyperlink"/>
        </w:rPr>
        <w:t>Table 6</w:t>
      </w:r>
      <w:r w:rsidRPr="00946134">
        <w:rPr>
          <w:rStyle w:val="Hyperlink"/>
        </w:rPr>
        <w:noBreakHyphen/>
        <w:t>4 Summary of total macroinvertebrates and common taxa abundance trends in 2020/2021 and a paired t-test comparison between years (2019-20 and 2020-21) on the Goulburn River.</w:t>
      </w:r>
      <w:r>
        <w:rPr>
          <w:webHidden/>
        </w:rPr>
        <w:tab/>
        <w:t>76</w:t>
      </w:r>
    </w:p>
    <w:p w14:paraId="0B8F71E8" w14:textId="5B28694B" w:rsidR="001A7A58" w:rsidRDefault="001A7A58">
      <w:pPr>
        <w:pStyle w:val="TableofFigures"/>
        <w:rPr>
          <w:color w:val="auto"/>
          <w:sz w:val="22"/>
          <w:lang w:val="en-US" w:eastAsia="en-US"/>
        </w:rPr>
      </w:pPr>
      <w:r w:rsidRPr="00946134">
        <w:rPr>
          <w:rStyle w:val="Hyperlink"/>
        </w:rPr>
        <w:t>Table 7</w:t>
      </w:r>
      <w:r w:rsidRPr="00946134">
        <w:rPr>
          <w:rStyle w:val="Hyperlink"/>
        </w:rPr>
        <w:noBreakHyphen/>
        <w:t>1 Vegetation key evaluation questions for the Goulburn selected area and associated indicators and evaluation approaches.</w:t>
      </w:r>
      <w:r>
        <w:rPr>
          <w:webHidden/>
        </w:rPr>
        <w:tab/>
        <w:t>86</w:t>
      </w:r>
    </w:p>
    <w:p w14:paraId="19118668" w14:textId="6C541D4B" w:rsidR="001A7A58" w:rsidRDefault="001A7A58">
      <w:pPr>
        <w:pStyle w:val="TableofFigures"/>
        <w:rPr>
          <w:color w:val="auto"/>
          <w:sz w:val="22"/>
          <w:lang w:val="en-US" w:eastAsia="en-US"/>
        </w:rPr>
      </w:pPr>
      <w:r w:rsidRPr="00946134">
        <w:rPr>
          <w:rStyle w:val="Hyperlink"/>
        </w:rPr>
        <w:t>Table 7</w:t>
      </w:r>
      <w:r w:rsidRPr="00946134">
        <w:rPr>
          <w:rStyle w:val="Hyperlink"/>
        </w:rPr>
        <w:noBreakHyphen/>
        <w:t>2 Summary of vegetation findings relevant to evaluation questions.</w:t>
      </w:r>
      <w:r>
        <w:rPr>
          <w:webHidden/>
        </w:rPr>
        <w:tab/>
        <w:t>90</w:t>
      </w:r>
    </w:p>
    <w:p w14:paraId="505E154D" w14:textId="107AFB36" w:rsidR="001A7A58" w:rsidRDefault="001A7A58">
      <w:pPr>
        <w:pStyle w:val="TableofFigures"/>
        <w:rPr>
          <w:color w:val="auto"/>
          <w:sz w:val="22"/>
          <w:lang w:val="en-US" w:eastAsia="en-US"/>
        </w:rPr>
      </w:pPr>
      <w:r w:rsidRPr="00946134">
        <w:rPr>
          <w:rStyle w:val="Hyperlink"/>
        </w:rPr>
        <w:t>Table 7</w:t>
      </w:r>
      <w:r w:rsidRPr="00946134">
        <w:rPr>
          <w:rStyle w:val="Hyperlink"/>
        </w:rPr>
        <w:noBreakHyphen/>
        <w:t>3 Bank zone elevations and inundation of zone by Spring Freshes and Inter Valley Transfers at McCoy’s Bridge and Loch Garry.</w:t>
      </w:r>
      <w:r>
        <w:rPr>
          <w:webHidden/>
        </w:rPr>
        <w:tab/>
        <w:t>93</w:t>
      </w:r>
    </w:p>
    <w:p w14:paraId="44641CCA" w14:textId="69ADD923" w:rsidR="001A7A58" w:rsidRDefault="001A7A58">
      <w:pPr>
        <w:pStyle w:val="TableofFigures"/>
        <w:rPr>
          <w:color w:val="auto"/>
          <w:sz w:val="22"/>
          <w:lang w:val="en-US" w:eastAsia="en-US"/>
        </w:rPr>
      </w:pPr>
      <w:r w:rsidRPr="00946134">
        <w:rPr>
          <w:rStyle w:val="Hyperlink"/>
        </w:rPr>
        <w:t>Table 8</w:t>
      </w:r>
      <w:r w:rsidRPr="00946134">
        <w:rPr>
          <w:rStyle w:val="Hyperlink"/>
        </w:rPr>
        <w:noBreakHyphen/>
        <w:t xml:space="preserve">1 </w:t>
      </w:r>
      <w:r w:rsidRPr="00946134">
        <w:rPr>
          <w:rStyle w:val="Hyperlink"/>
          <w:rFonts w:cstheme="minorHAnsi"/>
        </w:rPr>
        <w:t>Fish key evaluation questions for the Goulburn selected area and associated indicators and evaluation approaches.</w:t>
      </w:r>
      <w:r>
        <w:rPr>
          <w:webHidden/>
        </w:rPr>
        <w:tab/>
        <w:t>102</w:t>
      </w:r>
    </w:p>
    <w:p w14:paraId="4FB147D9" w14:textId="6E5B8CEC" w:rsidR="001A7A58" w:rsidRDefault="001A7A58">
      <w:pPr>
        <w:pStyle w:val="TableofFigures"/>
        <w:rPr>
          <w:color w:val="auto"/>
          <w:sz w:val="22"/>
          <w:lang w:val="en-US" w:eastAsia="en-US"/>
        </w:rPr>
      </w:pPr>
      <w:r w:rsidRPr="00946134">
        <w:rPr>
          <w:rStyle w:val="Hyperlink"/>
        </w:rPr>
        <w:t>Table 8</w:t>
      </w:r>
      <w:r w:rsidRPr="00946134">
        <w:rPr>
          <w:rStyle w:val="Hyperlink"/>
        </w:rPr>
        <w:noBreakHyphen/>
        <w:t>2 Summary of fish findings relevant to evaluation questions.</w:t>
      </w:r>
      <w:r>
        <w:rPr>
          <w:webHidden/>
        </w:rPr>
        <w:tab/>
        <w:t>104</w:t>
      </w:r>
    </w:p>
    <w:p w14:paraId="5F1E4132" w14:textId="334CC5A1" w:rsidR="001A7A58" w:rsidRDefault="001A7A58">
      <w:pPr>
        <w:pStyle w:val="TableofFigures"/>
        <w:rPr>
          <w:color w:val="auto"/>
          <w:sz w:val="22"/>
          <w:lang w:val="en-US" w:eastAsia="en-US"/>
        </w:rPr>
      </w:pPr>
      <w:r w:rsidRPr="00946134">
        <w:rPr>
          <w:rStyle w:val="Hyperlink"/>
        </w:rPr>
        <w:t>Table 8</w:t>
      </w:r>
      <w:r w:rsidRPr="00946134">
        <w:rPr>
          <w:rStyle w:val="Hyperlink"/>
        </w:rPr>
        <w:noBreakHyphen/>
        <w:t>3 Numbers of eggs (E) and larvae (L) of fish species collected in drift net surveys from the Goulburn River 2014-2020. Species with asterisk are exotic species.</w:t>
      </w:r>
      <w:r>
        <w:rPr>
          <w:webHidden/>
        </w:rPr>
        <w:tab/>
        <w:t>111</w:t>
      </w:r>
    </w:p>
    <w:p w14:paraId="26B8148D" w14:textId="26CBD74F" w:rsidR="001A7A58" w:rsidRDefault="001A7A58">
      <w:pPr>
        <w:pStyle w:val="TableofFigures"/>
        <w:rPr>
          <w:color w:val="auto"/>
          <w:sz w:val="22"/>
          <w:lang w:val="en-US" w:eastAsia="en-US"/>
        </w:rPr>
      </w:pPr>
      <w:r w:rsidRPr="00946134">
        <w:rPr>
          <w:rStyle w:val="Hyperlink"/>
        </w:rPr>
        <w:t>Table 9</w:t>
      </w:r>
      <w:r w:rsidRPr="00946134">
        <w:rPr>
          <w:rStyle w:val="Hyperlink"/>
        </w:rPr>
        <w:noBreakHyphen/>
        <w:t>1 Summary of physical habitat findings relevant to evaluation questions.</w:t>
      </w:r>
      <w:r>
        <w:rPr>
          <w:webHidden/>
        </w:rPr>
        <w:tab/>
        <w:t>116</w:t>
      </w:r>
    </w:p>
    <w:p w14:paraId="7EF92296" w14:textId="0B2534FD" w:rsidR="001A7A58" w:rsidRDefault="001A7A58">
      <w:pPr>
        <w:pStyle w:val="TableofFigures"/>
        <w:rPr>
          <w:color w:val="auto"/>
          <w:sz w:val="22"/>
          <w:lang w:val="en-US" w:eastAsia="en-US"/>
        </w:rPr>
      </w:pPr>
      <w:r w:rsidRPr="00946134">
        <w:rPr>
          <w:rStyle w:val="Hyperlink"/>
        </w:rPr>
        <w:t>Table 10</w:t>
      </w:r>
      <w:r w:rsidRPr="00946134">
        <w:rPr>
          <w:rStyle w:val="Hyperlink"/>
        </w:rPr>
        <w:noBreakHyphen/>
        <w:t>1 Pelagic gross primary productivity versus whole-stream primary production. Pelagic and whole-stream (WS) GPP figures are in mg O</w:t>
      </w:r>
      <w:r w:rsidRPr="00946134">
        <w:rPr>
          <w:rStyle w:val="Hyperlink"/>
          <w:vertAlign w:val="subscript"/>
        </w:rPr>
        <w:t>2</w:t>
      </w:r>
      <w:r w:rsidRPr="00946134">
        <w:rPr>
          <w:rStyle w:val="Hyperlink"/>
        </w:rPr>
        <w:t xml:space="preserve"> / L / hr. All results reported to three significant figures.</w:t>
      </w:r>
      <w:r>
        <w:rPr>
          <w:webHidden/>
        </w:rPr>
        <w:tab/>
        <w:t>130</w:t>
      </w:r>
    </w:p>
    <w:p w14:paraId="36B0CBA1" w14:textId="2331C84D" w:rsidR="001A7A58" w:rsidRDefault="001A7A58">
      <w:pPr>
        <w:pStyle w:val="TableofFigures"/>
        <w:rPr>
          <w:color w:val="auto"/>
          <w:sz w:val="22"/>
          <w:lang w:val="en-US" w:eastAsia="en-US"/>
        </w:rPr>
      </w:pPr>
      <w:r w:rsidRPr="00946134">
        <w:rPr>
          <w:rStyle w:val="Hyperlink"/>
        </w:rPr>
        <w:t>Table 11</w:t>
      </w:r>
      <w:r w:rsidRPr="00946134">
        <w:rPr>
          <w:rStyle w:val="Hyperlink"/>
        </w:rPr>
        <w:noBreakHyphen/>
        <w:t>1 Numbers of eggs (E) and larvae (L) of fish species collected in drift net surveys from the Murray/Goulburn junction sampling in 2020. Species with asterisk are exotic species.</w:t>
      </w:r>
      <w:r>
        <w:rPr>
          <w:webHidden/>
        </w:rPr>
        <w:tab/>
        <w:t>134</w:t>
      </w:r>
    </w:p>
    <w:p w14:paraId="3780B223" w14:textId="388D9CF6" w:rsidR="001A7A58" w:rsidRDefault="001A7A58">
      <w:pPr>
        <w:pStyle w:val="TableofFigures"/>
        <w:rPr>
          <w:color w:val="auto"/>
          <w:sz w:val="22"/>
          <w:lang w:val="en-US" w:eastAsia="en-US"/>
        </w:rPr>
      </w:pPr>
      <w:r w:rsidRPr="00946134">
        <w:rPr>
          <w:rStyle w:val="Hyperlink"/>
        </w:rPr>
        <w:t>Table 12</w:t>
      </w:r>
      <w:r w:rsidRPr="00946134">
        <w:rPr>
          <w:rStyle w:val="Hyperlink"/>
        </w:rPr>
        <w:noBreakHyphen/>
        <w:t>1 List of activities completed for each research component during the 2020-2021 reporting period.</w:t>
      </w:r>
      <w:r>
        <w:rPr>
          <w:webHidden/>
        </w:rPr>
        <w:tab/>
        <w:t>136</w:t>
      </w:r>
    </w:p>
    <w:p w14:paraId="5F3EA99A" w14:textId="77C395DF" w:rsidR="001A7A58" w:rsidRDefault="001A7A58">
      <w:pPr>
        <w:pStyle w:val="TableofFigures"/>
        <w:rPr>
          <w:color w:val="auto"/>
          <w:sz w:val="22"/>
          <w:lang w:val="en-US" w:eastAsia="en-US"/>
        </w:rPr>
      </w:pPr>
      <w:r w:rsidRPr="00946134">
        <w:rPr>
          <w:rStyle w:val="Hyperlink"/>
        </w:rPr>
        <w:t>Table 12</w:t>
      </w:r>
      <w:r w:rsidRPr="00946134">
        <w:rPr>
          <w:rStyle w:val="Hyperlink"/>
        </w:rPr>
        <w:noBreakHyphen/>
        <w:t>2 Positive (</w:t>
      </w:r>
      <w:r w:rsidRPr="00946134">
        <w:rPr>
          <w:rStyle w:val="Hyperlink"/>
          <w:rFonts w:ascii="Wingdings" w:eastAsia="Wingdings" w:hAnsi="Wingdings" w:cstheme="minorHAnsi"/>
          <w:sz w:val="18"/>
          <w:szCs w:val="18"/>
        </w:rPr>
        <w:sym w:font="Wingdings" w:char="F0FC"/>
      </w:r>
      <w:r w:rsidRPr="00946134">
        <w:rPr>
          <w:rStyle w:val="Hyperlink"/>
        </w:rPr>
        <w:t>) and negative (</w:t>
      </w:r>
      <w:r w:rsidRPr="00946134">
        <w:rPr>
          <w:rStyle w:val="Hyperlink"/>
          <w:rFonts w:ascii="Wingdings" w:eastAsia="Wingdings" w:hAnsi="Wingdings" w:cstheme="minorHAnsi"/>
          <w:sz w:val="18"/>
          <w:szCs w:val="18"/>
        </w:rPr>
        <w:sym w:font="Wingdings" w:char="F0FB"/>
      </w:r>
      <w:r w:rsidRPr="00946134">
        <w:rPr>
          <w:rStyle w:val="Hyperlink"/>
        </w:rPr>
        <w:t>) attributes of each slackwater type.</w:t>
      </w:r>
      <w:r>
        <w:rPr>
          <w:webHidden/>
        </w:rPr>
        <w:tab/>
        <w:t>139</w:t>
      </w:r>
    </w:p>
    <w:p w14:paraId="14280139" w14:textId="32EA9C82" w:rsidR="000A4675" w:rsidRDefault="000A4675" w:rsidP="000A4675">
      <w:pPr>
        <w:pStyle w:val="TableofFigures"/>
      </w:pPr>
    </w:p>
    <w:p w14:paraId="5DC3A97E" w14:textId="0804D5F2" w:rsidR="000A4675" w:rsidRDefault="000A4675">
      <w:pPr>
        <w:pStyle w:val="TableofFigures"/>
        <w:rPr>
          <w:color w:val="auto"/>
          <w:sz w:val="22"/>
        </w:rPr>
      </w:pPr>
      <w:r w:rsidRPr="00946134">
        <w:lastRenderedPageBreak/>
        <w:t>Table A</w:t>
      </w:r>
      <w:r w:rsidRPr="00946134">
        <w:noBreakHyphen/>
        <w:t>1 Environmental water delivered to the lower Goulburn River in 2020-21.</w:t>
      </w:r>
      <w:r>
        <w:rPr>
          <w:webHidden/>
        </w:rPr>
        <w:tab/>
        <w:t>153</w:t>
      </w:r>
    </w:p>
    <w:p w14:paraId="364A330C" w14:textId="34917F6B" w:rsidR="000A4675" w:rsidRDefault="000A4675">
      <w:pPr>
        <w:pStyle w:val="TableofFigures"/>
        <w:rPr>
          <w:color w:val="auto"/>
          <w:sz w:val="22"/>
        </w:rPr>
      </w:pPr>
      <w:r w:rsidRPr="00946134">
        <w:t>Table B</w:t>
      </w:r>
      <w:r w:rsidRPr="00946134">
        <w:noBreakHyphen/>
        <w:t>1 Summary of banks where change was successfully captured for each flow period.</w:t>
      </w:r>
      <w:r>
        <w:rPr>
          <w:webHidden/>
        </w:rPr>
        <w:tab/>
        <w:t>155</w:t>
      </w:r>
    </w:p>
    <w:p w14:paraId="579518E4" w14:textId="28E52161" w:rsidR="000A4675" w:rsidRDefault="000A4675">
      <w:pPr>
        <w:pStyle w:val="TableofFigures"/>
        <w:rPr>
          <w:color w:val="auto"/>
          <w:sz w:val="22"/>
        </w:rPr>
      </w:pPr>
      <w:r w:rsidRPr="00946134">
        <w:t>Table C</w:t>
      </w:r>
      <w:r w:rsidRPr="00946134">
        <w:noBreakHyphen/>
        <w:t>1 95% credible intervals of regression coefficient (eff_inund) for three erosion levels in three sites. The regression coefficients for deposition are inverted, with positive numbers indicating increased disposition with increased inundation. ‘Significant’ effects (where the 95% credible interval does not cross zero) are printed in bold.</w:t>
      </w:r>
      <w:r>
        <w:rPr>
          <w:webHidden/>
        </w:rPr>
        <w:tab/>
        <w:t>170</w:t>
      </w:r>
    </w:p>
    <w:p w14:paraId="0DE8D240" w14:textId="402DE117" w:rsidR="000A4675" w:rsidRDefault="000A4675">
      <w:pPr>
        <w:pStyle w:val="TableofFigures"/>
        <w:rPr>
          <w:color w:val="auto"/>
          <w:sz w:val="22"/>
        </w:rPr>
      </w:pPr>
      <w:r w:rsidRPr="00946134">
        <w:t>Table C</w:t>
      </w:r>
      <w:r w:rsidRPr="00946134">
        <w:noBreakHyphen/>
        <w:t>2 95% credible intervals of regression coefficients (eff_inund) for three erosion levels of notching in three sites. As with Table 1, the figures for Deposition are inverted relative to analysis output, and ‘significant’ parameter values are printed in bold.</w:t>
      </w:r>
      <w:r>
        <w:rPr>
          <w:webHidden/>
        </w:rPr>
        <w:tab/>
        <w:t>172</w:t>
      </w:r>
    </w:p>
    <w:p w14:paraId="37D6988C" w14:textId="78F1A0FC" w:rsidR="000A4675" w:rsidRDefault="000A4675">
      <w:pPr>
        <w:pStyle w:val="TableofFigures"/>
        <w:rPr>
          <w:color w:val="auto"/>
          <w:sz w:val="22"/>
        </w:rPr>
      </w:pPr>
      <w:r w:rsidRPr="00946134">
        <w:t>Table D</w:t>
      </w:r>
      <w:r w:rsidRPr="00946134">
        <w:noBreakHyphen/>
        <w:t>1 Summary of McCoy’s Bridge flow and metabolism data stratified by season, then divided into 6 equal-sized bins (combined data set from LTIM and MER).</w:t>
      </w:r>
      <w:r>
        <w:rPr>
          <w:webHidden/>
        </w:rPr>
        <w:tab/>
        <w:t>175</w:t>
      </w:r>
    </w:p>
    <w:p w14:paraId="3EA70EA6" w14:textId="1E5819DF" w:rsidR="000A4675" w:rsidRDefault="000A4675">
      <w:pPr>
        <w:pStyle w:val="TableofFigures"/>
        <w:rPr>
          <w:color w:val="auto"/>
          <w:sz w:val="22"/>
        </w:rPr>
      </w:pPr>
      <w:r w:rsidRPr="00946134">
        <w:t>Table E</w:t>
      </w:r>
      <w:r w:rsidRPr="00946134">
        <w:noBreakHyphen/>
        <w:t>1 Summary of daily GPP loads (kg Org C/Day) from CEW and non-CEW water (combined data set from LTIM and MER).</w:t>
      </w:r>
      <w:r>
        <w:rPr>
          <w:webHidden/>
        </w:rPr>
        <w:tab/>
        <w:t>176</w:t>
      </w:r>
    </w:p>
    <w:p w14:paraId="29E9BD57" w14:textId="34F3826F" w:rsidR="000A4675" w:rsidRDefault="000A4675">
      <w:pPr>
        <w:pStyle w:val="TableofFigures"/>
        <w:rPr>
          <w:color w:val="auto"/>
          <w:sz w:val="22"/>
        </w:rPr>
      </w:pPr>
      <w:r w:rsidRPr="00946134">
        <w:t>Table G</w:t>
      </w:r>
      <w:r w:rsidRPr="00946134">
        <w:noBreakHyphen/>
        <w:t>1 Bank zone elevations and inundation of zone by Spring freshes and Inter Valley Transfers at McCoy’s Bridge and Loch Garry.</w:t>
      </w:r>
      <w:r>
        <w:rPr>
          <w:webHidden/>
        </w:rPr>
        <w:tab/>
        <w:t>182</w:t>
      </w:r>
    </w:p>
    <w:p w14:paraId="07116D94" w14:textId="3D400F7A" w:rsidR="000A4675" w:rsidRDefault="000A4675">
      <w:pPr>
        <w:pStyle w:val="TableofFigures"/>
        <w:rPr>
          <w:color w:val="auto"/>
          <w:sz w:val="22"/>
        </w:rPr>
      </w:pPr>
      <w:r w:rsidRPr="00946134">
        <w:t>Table H</w:t>
      </w:r>
      <w:r w:rsidRPr="00946134">
        <w:noBreakHyphen/>
        <w:t>1 All taxa recorded from material deposited on turf mats across different geomorphic features (Bar, Bench, Ledge, Bank, Air) at three sites, Darcy’s Track, Loch Garry and McCoy’s Bridge for retrievals R5–7. Numbers indicates the abundance of seeds of a particular taxon at a particular site and geomorphic feature for a given retrieval.</w:t>
      </w:r>
      <w:r>
        <w:rPr>
          <w:webHidden/>
        </w:rPr>
        <w:tab/>
        <w:t>186</w:t>
      </w:r>
    </w:p>
    <w:p w14:paraId="30AFDE4E" w14:textId="3C906760" w:rsidR="001D0D30" w:rsidRPr="00BA2632" w:rsidRDefault="001D0D30" w:rsidP="00E15FA7">
      <w:pPr>
        <w:pStyle w:val="Para0"/>
      </w:pPr>
    </w:p>
    <w:p w14:paraId="50C9E638" w14:textId="5F4C2FD5" w:rsidR="00474AAF" w:rsidRPr="00BA2632" w:rsidRDefault="00474AAF">
      <w:pPr>
        <w:rPr>
          <w:rFonts w:ascii="Georgia" w:eastAsia="SimHei" w:hAnsi="Georgia" w:cs="Times New Roman"/>
          <w:b/>
          <w:color w:val="094183"/>
          <w:sz w:val="32"/>
          <w:szCs w:val="32"/>
          <w:lang w:eastAsia="en-US"/>
        </w:rPr>
      </w:pPr>
      <w:bookmarkStart w:id="8" w:name="_Toc10226720"/>
      <w:bookmarkEnd w:id="8"/>
      <w:r w:rsidRPr="00BA2632">
        <w:br w:type="page"/>
      </w:r>
    </w:p>
    <w:p w14:paraId="6F6F6BA3" w14:textId="77777777" w:rsidR="00E053F7" w:rsidRDefault="00E053F7" w:rsidP="009F2B1D">
      <w:pPr>
        <w:pStyle w:val="Heading1"/>
        <w:sectPr w:rsidR="00E053F7" w:rsidSect="00F112DF">
          <w:headerReference w:type="default" r:id="rId15"/>
          <w:footerReference w:type="default" r:id="rId16"/>
          <w:headerReference w:type="first" r:id="rId17"/>
          <w:footerReference w:type="first" r:id="rId18"/>
          <w:pgSz w:w="11901" w:h="16840" w:code="9"/>
          <w:pgMar w:top="567" w:right="851" w:bottom="851" w:left="1134" w:header="567" w:footer="369" w:gutter="0"/>
          <w:pgNumType w:fmt="lowerRoman" w:start="0"/>
          <w:cols w:space="0"/>
          <w:formProt w:val="0"/>
          <w:titlePg/>
          <w:docGrid w:linePitch="360"/>
        </w:sectPr>
      </w:pPr>
      <w:bookmarkStart w:id="9" w:name="_Toc10226805"/>
      <w:bookmarkEnd w:id="9"/>
    </w:p>
    <w:p w14:paraId="08A9EC45" w14:textId="1B4AB9BD" w:rsidR="0067266C" w:rsidRPr="001D60A8" w:rsidRDefault="00F01A43" w:rsidP="00673F8C">
      <w:pPr>
        <w:pStyle w:val="Heading1"/>
      </w:pPr>
      <w:bookmarkStart w:id="10" w:name="_Toc84416074"/>
      <w:bookmarkStart w:id="11" w:name="_Toc84417313"/>
      <w:bookmarkStart w:id="12" w:name="_Toc84475661"/>
      <w:r w:rsidRPr="001D60A8">
        <w:lastRenderedPageBreak/>
        <w:t>Preamble</w:t>
      </w:r>
      <w:bookmarkEnd w:id="10"/>
      <w:bookmarkEnd w:id="11"/>
      <w:bookmarkEnd w:id="12"/>
    </w:p>
    <w:p w14:paraId="516468FC" w14:textId="348E3356" w:rsidR="00F01A43" w:rsidRPr="00BA2632" w:rsidRDefault="00F01A43" w:rsidP="00F01A43">
      <w:r w:rsidRPr="00BA2632">
        <w:t xml:space="preserve">This </w:t>
      </w:r>
      <w:r w:rsidRPr="00BA2632">
        <w:rPr>
          <w:i/>
        </w:rPr>
        <w:t>Scientific Report</w:t>
      </w:r>
      <w:r w:rsidRPr="00BA2632">
        <w:t xml:space="preserve"> is a companion volume to the </w:t>
      </w:r>
      <w:r w:rsidRPr="00BA2632">
        <w:rPr>
          <w:i/>
        </w:rPr>
        <w:t>Summary Report</w:t>
      </w:r>
      <w:r w:rsidRPr="00BA2632">
        <w:t xml:space="preserve"> for the Goulburn River Monitoring, Evaluation and Research (MER) Program</w:t>
      </w:r>
      <w:r w:rsidR="00E75888">
        <w:t xml:space="preserve"> </w:t>
      </w:r>
      <w:r w:rsidR="00E75888">
        <w:rPr>
          <w:noProof/>
        </w:rPr>
        <w:t>(Webb et al. 2021)</w:t>
      </w:r>
      <w:r w:rsidR="00484CE1" w:rsidRPr="00BA2632">
        <w:t xml:space="preserve">. </w:t>
      </w:r>
      <w:r w:rsidRPr="00BA2632">
        <w:t>The two documents complement each other and overlap very little.</w:t>
      </w:r>
    </w:p>
    <w:p w14:paraId="141C7F50" w14:textId="77777777" w:rsidR="00F01A43" w:rsidRPr="00BA2632" w:rsidRDefault="00F01A43" w:rsidP="00F01A43">
      <w:r w:rsidRPr="00BA2632">
        <w:t>The Summary Report:</w:t>
      </w:r>
    </w:p>
    <w:p w14:paraId="244CEBE4" w14:textId="77777777" w:rsidR="00F01A43" w:rsidRPr="00BA2632" w:rsidRDefault="00F01A43" w:rsidP="0029141C">
      <w:pPr>
        <w:pStyle w:val="ListBullet"/>
      </w:pPr>
      <w:r w:rsidRPr="00BA2632">
        <w:t>Introduces the lower Goulburn River selected area and describes how it is treated for monitoring purposes</w:t>
      </w:r>
    </w:p>
    <w:p w14:paraId="36025CC6" w14:textId="72A02853" w:rsidR="00F01A43" w:rsidRPr="00BA2632" w:rsidRDefault="00F01A43" w:rsidP="0029141C">
      <w:pPr>
        <w:pStyle w:val="ListBullet"/>
      </w:pPr>
      <w:r w:rsidRPr="00BA2632">
        <w:t>Describes the Commonwealth environmental watering actions that occurred in the lower Goulburn River during 20</w:t>
      </w:r>
      <w:r w:rsidR="005B19AB">
        <w:t>20</w:t>
      </w:r>
      <w:r w:rsidR="00535848" w:rsidRPr="00BA2632">
        <w:t>-2</w:t>
      </w:r>
      <w:r w:rsidR="005B19AB">
        <w:t>1</w:t>
      </w:r>
    </w:p>
    <w:p w14:paraId="13ADF4B2" w14:textId="77777777" w:rsidR="00F01A43" w:rsidRPr="00BA2632" w:rsidRDefault="00F01A43" w:rsidP="0029141C">
      <w:pPr>
        <w:pStyle w:val="ListBullet"/>
      </w:pPr>
      <w:r w:rsidRPr="00BA2632">
        <w:t>Provides the key outcomes for the five different monitoring disciplines undertaken: Hydraulic and Physical Habitat, Stream Metabolism, Macroinvertebrates, Vegetation, and Fish</w:t>
      </w:r>
    </w:p>
    <w:p w14:paraId="1390FF33" w14:textId="4A693F7A" w:rsidR="00F01A43" w:rsidRPr="00BA2632" w:rsidRDefault="00F01A43" w:rsidP="0029141C">
      <w:pPr>
        <w:pStyle w:val="ListBullet"/>
      </w:pPr>
      <w:r w:rsidRPr="00BA2632">
        <w:t xml:space="preserve">Integrates these findings to update the conceptual model originally presented in the Monitoring and Evaluation Plan </w:t>
      </w:r>
      <w:r w:rsidR="00566073">
        <w:rPr>
          <w:noProof/>
        </w:rPr>
        <w:t>(Webb et al. 2019b)</w:t>
      </w:r>
      <w:r w:rsidRPr="00BA2632">
        <w:t xml:space="preserve"> that describes links among the different monitoring disciplines and the effects of flow upon them</w:t>
      </w:r>
    </w:p>
    <w:p w14:paraId="3C9AF349" w14:textId="77777777" w:rsidR="00F01A43" w:rsidRPr="00BA2632" w:rsidRDefault="00F01A43" w:rsidP="0029141C">
      <w:pPr>
        <w:pStyle w:val="ListBullet"/>
      </w:pPr>
      <w:r w:rsidRPr="00BA2632">
        <w:t>Considers the implications of the monitoring results for future management of Commonwealth Environmental Water</w:t>
      </w:r>
    </w:p>
    <w:p w14:paraId="1F74145C" w14:textId="70382789" w:rsidR="00F01A43" w:rsidRPr="00BA2632" w:rsidRDefault="00F01A43" w:rsidP="00F01A43">
      <w:r w:rsidRPr="00BA2632">
        <w:t xml:space="preserve">The </w:t>
      </w:r>
      <w:r w:rsidR="00190A69" w:rsidRPr="00BA2632">
        <w:t xml:space="preserve">separate </w:t>
      </w:r>
      <w:r w:rsidRPr="00BA2632">
        <w:t xml:space="preserve">Summary Report stands alone, in that it provides enough detail on the background and detail of the Goulburn River MER </w:t>
      </w:r>
      <w:r w:rsidR="00750B93">
        <w:t xml:space="preserve">Program </w:t>
      </w:r>
      <w:r w:rsidRPr="00BA2632">
        <w:t>to be understood without reference to other documents.</w:t>
      </w:r>
    </w:p>
    <w:p w14:paraId="433DC2EC" w14:textId="2FFA54FA" w:rsidR="00F01A43" w:rsidRPr="00BA2632" w:rsidRDefault="00F01A43" w:rsidP="00F01A43">
      <w:r w:rsidRPr="00BA2632">
        <w:t>This Scientific Report</w:t>
      </w:r>
      <w:r w:rsidR="00190A69" w:rsidRPr="00BA2632">
        <w:t>, on the other hand,</w:t>
      </w:r>
      <w:r w:rsidRPr="00BA2632">
        <w:t xml:space="preserve"> is intended to be read alongside the Summary Report for those readers seeking more detail on different aspects of the Goulburn River MER</w:t>
      </w:r>
      <w:r w:rsidR="00750B93">
        <w:t xml:space="preserve"> Program</w:t>
      </w:r>
      <w:r w:rsidRPr="00BA2632">
        <w:t xml:space="preserve"> than is possible within the space constraints </w:t>
      </w:r>
      <w:r w:rsidR="00190A69" w:rsidRPr="00BA2632">
        <w:t xml:space="preserve">of </w:t>
      </w:r>
      <w:r w:rsidRPr="00BA2632">
        <w:t>the Summary Report. In the sections below, the Scientific Report</w:t>
      </w:r>
      <w:r w:rsidR="00535848" w:rsidRPr="00BA2632">
        <w:t xml:space="preserve"> includes</w:t>
      </w:r>
      <w:r w:rsidRPr="00BA2632">
        <w:t>:</w:t>
      </w:r>
    </w:p>
    <w:p w14:paraId="43C1FA82" w14:textId="2338A8BD" w:rsidR="00F01A43" w:rsidRPr="00BA2632" w:rsidRDefault="00535848" w:rsidP="0029141C">
      <w:pPr>
        <w:pStyle w:val="ListBullet"/>
      </w:pPr>
      <w:r w:rsidRPr="00BA2632">
        <w:t>For context, a brief description of the Goulburn River and monitoring locations, a summary of environmental water delivery in 20</w:t>
      </w:r>
      <w:r w:rsidR="005B19AB">
        <w:t>20</w:t>
      </w:r>
      <w:r w:rsidRPr="00BA2632">
        <w:t>-2</w:t>
      </w:r>
      <w:r w:rsidR="005B19AB">
        <w:t>1</w:t>
      </w:r>
      <w:r w:rsidRPr="00BA2632">
        <w:t xml:space="preserve"> and </w:t>
      </w:r>
      <w:r w:rsidR="00F01A43" w:rsidRPr="00BA2632">
        <w:t>of monitoring for 20</w:t>
      </w:r>
      <w:r w:rsidR="005B19AB">
        <w:t>20</w:t>
      </w:r>
      <w:r w:rsidR="00F01A43" w:rsidRPr="00BA2632">
        <w:t>-2</w:t>
      </w:r>
      <w:r w:rsidR="005B19AB">
        <w:t>1</w:t>
      </w:r>
      <w:r w:rsidR="00F01A43" w:rsidRPr="00BA2632">
        <w:t xml:space="preserve"> versus what was planned</w:t>
      </w:r>
    </w:p>
    <w:p w14:paraId="03B42592" w14:textId="018EABF0" w:rsidR="00F01A43" w:rsidRPr="00BA2632" w:rsidRDefault="00535848" w:rsidP="0029141C">
      <w:pPr>
        <w:pStyle w:val="ListBullet"/>
      </w:pPr>
      <w:r w:rsidRPr="00BA2632">
        <w:t>D</w:t>
      </w:r>
      <w:r w:rsidR="00F01A43" w:rsidRPr="00BA2632">
        <w:t>etailed chapter</w:t>
      </w:r>
      <w:r w:rsidRPr="00BA2632">
        <w:t>s</w:t>
      </w:r>
      <w:r w:rsidR="00F01A43" w:rsidRPr="00BA2632">
        <w:t xml:space="preserve"> on each of Physical Habitat, Stream Metabolism, Macroinvertebrates, Vegetation, and Fish. The chapters include:</w:t>
      </w:r>
    </w:p>
    <w:p w14:paraId="31120B6F" w14:textId="77777777" w:rsidR="00F01A43" w:rsidRPr="00BA2632" w:rsidRDefault="00F01A43" w:rsidP="00A87DAC">
      <w:pPr>
        <w:pStyle w:val="ListBullet2"/>
        <w:numPr>
          <w:ilvl w:val="0"/>
          <w:numId w:val="105"/>
        </w:numPr>
      </w:pPr>
      <w:r w:rsidRPr="00BA2632">
        <w:t xml:space="preserve">Introduction, methods, </w:t>
      </w:r>
      <w:proofErr w:type="gramStart"/>
      <w:r w:rsidRPr="00BA2632">
        <w:t>results</w:t>
      </w:r>
      <w:proofErr w:type="gramEnd"/>
      <w:r w:rsidRPr="00BA2632">
        <w:t xml:space="preserve"> and discussion in the format of a standard report/paper</w:t>
      </w:r>
    </w:p>
    <w:p w14:paraId="1C4D8069" w14:textId="77777777" w:rsidR="00F01A43" w:rsidRPr="00BA2632" w:rsidRDefault="00F01A43" w:rsidP="00A87DAC">
      <w:pPr>
        <w:pStyle w:val="ListBullet2"/>
        <w:numPr>
          <w:ilvl w:val="0"/>
          <w:numId w:val="105"/>
        </w:numPr>
      </w:pPr>
      <w:r w:rsidRPr="00BA2632">
        <w:t>Evaluations of the area-specific monitoring questions being asked</w:t>
      </w:r>
    </w:p>
    <w:p w14:paraId="644402E0" w14:textId="6AB3A5F9" w:rsidR="00F01A43" w:rsidRPr="00BA2632" w:rsidRDefault="00F01A43" w:rsidP="00A87DAC">
      <w:pPr>
        <w:pStyle w:val="ListBullet2"/>
        <w:numPr>
          <w:ilvl w:val="0"/>
          <w:numId w:val="105"/>
        </w:numPr>
      </w:pPr>
      <w:r w:rsidRPr="00BA2632">
        <w:t>Main findings from each of the monitoring disciplines for 20</w:t>
      </w:r>
      <w:r w:rsidR="005B19AB">
        <w:t>20</w:t>
      </w:r>
      <w:r w:rsidRPr="00BA2632">
        <w:t>-2</w:t>
      </w:r>
      <w:r w:rsidR="005B19AB">
        <w:t>1</w:t>
      </w:r>
      <w:r w:rsidRPr="00BA2632">
        <w:t xml:space="preserve"> and how these build upon understanding developed in the 5 years of the predecessor to the MER, the Long</w:t>
      </w:r>
      <w:r w:rsidR="00190A69" w:rsidRPr="00BA2632">
        <w:t>-</w:t>
      </w:r>
      <w:r w:rsidRPr="00BA2632">
        <w:t>Term Intervention Monitoring (LTIM) Project</w:t>
      </w:r>
    </w:p>
    <w:p w14:paraId="35038B27" w14:textId="3E1AD14C" w:rsidR="00535848" w:rsidRPr="00BA2632" w:rsidRDefault="00535848" w:rsidP="0029141C">
      <w:pPr>
        <w:pStyle w:val="ListBullet"/>
      </w:pPr>
      <w:r w:rsidRPr="00BA2632">
        <w:t>Reports on research and contingency monitoring activities</w:t>
      </w:r>
    </w:p>
    <w:p w14:paraId="202F3733" w14:textId="763A1650" w:rsidR="00F01A43" w:rsidRPr="00BA2632" w:rsidRDefault="00F01A43" w:rsidP="0029141C">
      <w:pPr>
        <w:pStyle w:val="ListBullet"/>
      </w:pPr>
      <w:r w:rsidRPr="00BA2632">
        <w:t xml:space="preserve">A report on our </w:t>
      </w:r>
      <w:r w:rsidR="00535848" w:rsidRPr="00BA2632">
        <w:t xml:space="preserve">engagement and </w:t>
      </w:r>
      <w:r w:rsidRPr="00BA2632">
        <w:t>stakeholder communication activities for 20</w:t>
      </w:r>
      <w:r w:rsidR="005B19AB">
        <w:t>20</w:t>
      </w:r>
      <w:r w:rsidRPr="00BA2632">
        <w:t>-</w:t>
      </w:r>
      <w:r w:rsidR="005B19AB">
        <w:t>21</w:t>
      </w:r>
    </w:p>
    <w:p w14:paraId="4E65619D" w14:textId="5EC16867" w:rsidR="00F01A43" w:rsidRPr="00BA2632" w:rsidRDefault="00F01A43" w:rsidP="00F01A43">
      <w:r w:rsidRPr="00BA2632">
        <w:t>In this sense, the Scientific Report can be considered as a major appendix to the Summary Report.</w:t>
      </w:r>
    </w:p>
    <w:p w14:paraId="3CCF19F3" w14:textId="702353A5" w:rsidR="00F01A43" w:rsidRPr="00B3766E" w:rsidRDefault="00F01A43">
      <w:r w:rsidRPr="00BA2632">
        <w:br w:type="page"/>
      </w:r>
    </w:p>
    <w:p w14:paraId="79D9DAD8" w14:textId="4C201F69" w:rsidR="00195209" w:rsidRPr="00C838B9" w:rsidRDefault="00195209" w:rsidP="0023578E">
      <w:pPr>
        <w:pStyle w:val="Heading1"/>
      </w:pPr>
      <w:bookmarkStart w:id="13" w:name="_Toc84416075"/>
      <w:bookmarkStart w:id="14" w:name="_Toc84417314"/>
      <w:bookmarkStart w:id="15" w:name="_Toc84475662"/>
      <w:r w:rsidRPr="00C838B9">
        <w:lastRenderedPageBreak/>
        <w:t>Lower Goulburn River Selected Area Description</w:t>
      </w:r>
      <w:r w:rsidR="0059034C" w:rsidRPr="00C838B9">
        <w:t xml:space="preserve"> and Monitoring Locations</w:t>
      </w:r>
      <w:bookmarkEnd w:id="13"/>
      <w:bookmarkEnd w:id="14"/>
      <w:bookmarkEnd w:id="15"/>
    </w:p>
    <w:p w14:paraId="7B0D3260" w14:textId="02C659BB" w:rsidR="0059034C" w:rsidRPr="00BA2632" w:rsidRDefault="0059034C" w:rsidP="00673F8C">
      <w:pPr>
        <w:pStyle w:val="Heading2"/>
      </w:pPr>
      <w:bookmarkStart w:id="16" w:name="_Toc84416076"/>
      <w:bookmarkStart w:id="17" w:name="_Toc84417315"/>
      <w:bookmarkStart w:id="18" w:name="_Toc84475663"/>
      <w:r w:rsidRPr="00993AEE">
        <w:t>Description</w:t>
      </w:r>
      <w:bookmarkEnd w:id="16"/>
      <w:bookmarkEnd w:id="17"/>
      <w:bookmarkEnd w:id="18"/>
    </w:p>
    <w:p w14:paraId="56FE78B3" w14:textId="7E4BCF69" w:rsidR="000C332A" w:rsidRPr="00BA2632" w:rsidRDefault="0059034C" w:rsidP="000C332A">
      <w:r w:rsidRPr="00BA2632">
        <w:t>The Goulburn River extends from the northern slopes of the Great Dividing Range north to the Murray River near Echuca (</w:t>
      </w:r>
      <w:r w:rsidR="00171C6D" w:rsidRPr="00BA2632">
        <w:t xml:space="preserve">Figure </w:t>
      </w:r>
      <w:r w:rsidR="00171C6D">
        <w:rPr>
          <w:noProof/>
        </w:rPr>
        <w:t>2</w:t>
      </w:r>
      <w:r w:rsidR="00171C6D">
        <w:noBreakHyphen/>
      </w:r>
      <w:r w:rsidR="00171C6D">
        <w:rPr>
          <w:noProof/>
        </w:rPr>
        <w:t>1</w:t>
      </w:r>
      <w:r w:rsidRPr="00BA2632">
        <w:t xml:space="preserve">). The upper catchment lies within the lands of the </w:t>
      </w:r>
      <w:proofErr w:type="spellStart"/>
      <w:r w:rsidRPr="00BA2632">
        <w:t>Taungurung</w:t>
      </w:r>
      <w:proofErr w:type="spellEnd"/>
      <w:r w:rsidRPr="00BA2632">
        <w:t xml:space="preserve"> Nation and the lower reaches, across the northern plains, lies within the lands of the Yorta </w:t>
      </w:r>
      <w:proofErr w:type="spellStart"/>
      <w:r w:rsidRPr="00BA2632">
        <w:t>Yorta</w:t>
      </w:r>
      <w:proofErr w:type="spellEnd"/>
      <w:r w:rsidRPr="00BA2632">
        <w:t xml:space="preserve"> and </w:t>
      </w:r>
      <w:proofErr w:type="spellStart"/>
      <w:r w:rsidRPr="00BA2632">
        <w:t>Bangerang</w:t>
      </w:r>
      <w:proofErr w:type="spellEnd"/>
      <w:r w:rsidRPr="00BA2632">
        <w:t xml:space="preserve"> Nations. </w:t>
      </w:r>
      <w:r w:rsidR="000C332A" w:rsidRPr="00BA2632">
        <w:t xml:space="preserve"> </w:t>
      </w:r>
      <w:r w:rsidR="00190A69" w:rsidRPr="00BA2632">
        <w:t xml:space="preserve">The lower Goulburn River is known as the </w:t>
      </w:r>
      <w:proofErr w:type="spellStart"/>
      <w:r w:rsidR="00190A69" w:rsidRPr="00BA2632">
        <w:t>Kaiela</w:t>
      </w:r>
      <w:proofErr w:type="spellEnd"/>
      <w:r w:rsidR="00190A69" w:rsidRPr="00BA2632">
        <w:t xml:space="preserve"> to the Yorta </w:t>
      </w:r>
      <w:proofErr w:type="spellStart"/>
      <w:r w:rsidR="00190A69" w:rsidRPr="00BA2632">
        <w:t>Yorta</w:t>
      </w:r>
      <w:proofErr w:type="spellEnd"/>
      <w:r w:rsidR="00190A69" w:rsidRPr="00BA2632">
        <w:t xml:space="preserve"> Nation. </w:t>
      </w:r>
      <w:r w:rsidRPr="00BA2632">
        <w:t xml:space="preserve">Mean annual flow for the catchment is approximately 3,200 GL </w:t>
      </w:r>
      <w:r w:rsidR="0018467D">
        <w:rPr>
          <w:noProof/>
        </w:rPr>
        <w:t>(CSIRO 2008)</w:t>
      </w:r>
      <w:r w:rsidRPr="00BA2632">
        <w:t xml:space="preserve">, and approximately half of that is on average diverted to meet agricultural, </w:t>
      </w:r>
      <w:proofErr w:type="gramStart"/>
      <w:r w:rsidRPr="00BA2632">
        <w:t>stock</w:t>
      </w:r>
      <w:proofErr w:type="gramEnd"/>
      <w:r w:rsidRPr="00BA2632">
        <w:t xml:space="preserve"> and domestic demand. </w:t>
      </w:r>
    </w:p>
    <w:p w14:paraId="73DA9ADB" w14:textId="706DD0F3" w:rsidR="000C332A" w:rsidRPr="00BA2632" w:rsidRDefault="000C332A" w:rsidP="000C332A">
      <w:r w:rsidRPr="00BA2632">
        <w:t xml:space="preserve">Two major flow regulating structures are located on the Goulburn </w:t>
      </w:r>
      <w:r w:rsidR="002423D6" w:rsidRPr="00BA2632">
        <w:t>River:</w:t>
      </w:r>
      <w:r w:rsidRPr="00BA2632">
        <w:t xml:space="preserve"> Lake Eildon and Goulburn Weir. The reach from Lake Eildon to Goulburn Weir is referred to as the mid Goulburn and the reach from Goulburn Weir to the Murray River is the lower Goulburn. Flows in the mid-Goulburn River are now lower than natural in winter and spring (flow is stored in Lake Eildon) and higher than natural in summer and early autumn (flow is released from Lake Eildon and then mostly diverted from the river at Goulburn Weir to supply irrigation and consumptive needs). </w:t>
      </w:r>
    </w:p>
    <w:p w14:paraId="2473C93C" w14:textId="12704B84" w:rsidR="000C332A" w:rsidRPr="00BA2632" w:rsidRDefault="000C332A" w:rsidP="000C332A">
      <w:r w:rsidRPr="00BA2632">
        <w:t>Downstream of Goulburn Weir the overall flow volume is decreased compared to natural but inflows from tributaries such as the Broken River and Seven Creeks have helped to retain the natural seasonal flow patterns (</w:t>
      </w:r>
      <w:proofErr w:type="gramStart"/>
      <w:r w:rsidRPr="00BA2632">
        <w:t>i.e.</w:t>
      </w:r>
      <w:proofErr w:type="gramEnd"/>
      <w:r w:rsidRPr="00BA2632">
        <w:t xml:space="preserve"> high</w:t>
      </w:r>
      <w:r w:rsidR="00190A69" w:rsidRPr="00BA2632">
        <w:t>er</w:t>
      </w:r>
      <w:r w:rsidRPr="00BA2632">
        <w:t xml:space="preserve"> winter flows and low</w:t>
      </w:r>
      <w:r w:rsidR="00190A69" w:rsidRPr="00BA2632">
        <w:t>er</w:t>
      </w:r>
      <w:r w:rsidRPr="00BA2632">
        <w:t xml:space="preserve"> summer flows). However, more recently, there has been an increase in summer and autumn flows through the lower Goulburn River </w:t>
      </w:r>
      <w:proofErr w:type="gramStart"/>
      <w:r w:rsidRPr="00BA2632">
        <w:t>as a result of</w:t>
      </w:r>
      <w:proofErr w:type="gramEnd"/>
      <w:r w:rsidRPr="00BA2632">
        <w:t xml:space="preserve"> Inter-Valley Transfer (IVT) flows from Lake Eildon to supply </w:t>
      </w:r>
      <w:r w:rsidR="008553E3" w:rsidRPr="00BA2632">
        <w:t xml:space="preserve">consumptive </w:t>
      </w:r>
      <w:r w:rsidRPr="00BA2632">
        <w:t>users further downstream in the Murray River. Historical river regulation and more recent IVTs significantly impact the ecological condition of the river.  Managing these impacts through environmental flows is a critical outcome for the environmental water management program.</w:t>
      </w:r>
    </w:p>
    <w:p w14:paraId="07231062" w14:textId="4F53BEA5" w:rsidR="0059034C" w:rsidRPr="00BA2632" w:rsidRDefault="0059034C" w:rsidP="0059034C">
      <w:r w:rsidRPr="00BA2632">
        <w:t xml:space="preserve">The Lower Goulburn River Selected Area includes the main river channel </w:t>
      </w:r>
      <w:r w:rsidR="008E236F" w:rsidRPr="00BA2632">
        <w:t xml:space="preserve">and associated </w:t>
      </w:r>
      <w:r w:rsidR="000C332A" w:rsidRPr="00BA2632">
        <w:t xml:space="preserve">habitats connected to the river by in-channel flows up to </w:t>
      </w:r>
      <w:proofErr w:type="spellStart"/>
      <w:r w:rsidR="000C332A" w:rsidRPr="00BA2632">
        <w:t>bankfull</w:t>
      </w:r>
      <w:proofErr w:type="spellEnd"/>
      <w:r w:rsidR="000C332A" w:rsidRPr="00BA2632">
        <w:t xml:space="preserve"> </w:t>
      </w:r>
      <w:r w:rsidRPr="00BA2632">
        <w:t xml:space="preserve">between Goulburn Weir and the Murray River (235 km). Environmental flows in the lower Goulburn River are not </w:t>
      </w:r>
      <w:r w:rsidR="008553E3" w:rsidRPr="00BA2632">
        <w:t xml:space="preserve">currently </w:t>
      </w:r>
      <w:r w:rsidRPr="00BA2632">
        <w:t xml:space="preserve">used to deliver overbank flows or to water the floodplain. </w:t>
      </w:r>
    </w:p>
    <w:p w14:paraId="1A26DF71" w14:textId="6D56C5D0" w:rsidR="00B36626" w:rsidRPr="00BA2632" w:rsidRDefault="00B36626" w:rsidP="00673F8C">
      <w:pPr>
        <w:pStyle w:val="Heading2"/>
      </w:pPr>
      <w:bookmarkStart w:id="19" w:name="_Toc26772873"/>
      <w:bookmarkStart w:id="20" w:name="_Toc84416077"/>
      <w:bookmarkStart w:id="21" w:name="_Toc84417316"/>
      <w:bookmarkStart w:id="22" w:name="_Toc84475664"/>
      <w:r w:rsidRPr="00BA2632">
        <w:t>Monitoring sites and 20</w:t>
      </w:r>
      <w:r w:rsidR="00313F96">
        <w:t>20</w:t>
      </w:r>
      <w:r w:rsidRPr="00BA2632">
        <w:t>-2</w:t>
      </w:r>
      <w:r w:rsidR="00313F96">
        <w:t>1</w:t>
      </w:r>
      <w:r w:rsidRPr="00BA2632">
        <w:t xml:space="preserve"> monitoring</w:t>
      </w:r>
      <w:bookmarkEnd w:id="19"/>
      <w:bookmarkEnd w:id="20"/>
      <w:bookmarkEnd w:id="21"/>
      <w:bookmarkEnd w:id="22"/>
    </w:p>
    <w:p w14:paraId="3BF05303" w14:textId="7EC5A1E1" w:rsidR="00091EDF" w:rsidRPr="00BA2632" w:rsidRDefault="00091EDF" w:rsidP="00091EDF">
      <w:pPr>
        <w:pStyle w:val="Heading3"/>
      </w:pPr>
      <w:bookmarkStart w:id="23" w:name="_Toc26772874"/>
      <w:bookmarkStart w:id="24" w:name="_Toc84417317"/>
      <w:r w:rsidRPr="00BA2632">
        <w:t>Sites</w:t>
      </w:r>
      <w:bookmarkEnd w:id="23"/>
      <w:bookmarkEnd w:id="24"/>
    </w:p>
    <w:p w14:paraId="67382D28" w14:textId="050B047A" w:rsidR="0059034C" w:rsidRPr="00BA2632" w:rsidRDefault="0059034C" w:rsidP="0059034C">
      <w:r w:rsidRPr="00BA2632">
        <w:t xml:space="preserve">The Goulburn MER Program divides its monitoring locations by </w:t>
      </w:r>
      <w:r w:rsidRPr="00BA2632">
        <w:rPr>
          <w:i/>
        </w:rPr>
        <w:t>zones</w:t>
      </w:r>
      <w:r w:rsidRPr="00BA2632">
        <w:t xml:space="preserve"> (</w:t>
      </w:r>
      <w:r w:rsidR="008D1121" w:rsidRPr="00BA2632">
        <w:t xml:space="preserve">Figure </w:t>
      </w:r>
      <w:r w:rsidR="008D1121">
        <w:rPr>
          <w:noProof/>
        </w:rPr>
        <w:t>2</w:t>
      </w:r>
      <w:r w:rsidR="008D1121">
        <w:noBreakHyphen/>
      </w:r>
      <w:r w:rsidR="008D1121">
        <w:rPr>
          <w:noProof/>
        </w:rPr>
        <w:t>1</w:t>
      </w:r>
      <w:r w:rsidRPr="00BA2632">
        <w:t xml:space="preserve">). These are equivalent to the </w:t>
      </w:r>
      <w:r w:rsidRPr="00BA2632">
        <w:rPr>
          <w:i/>
        </w:rPr>
        <w:t>reaches</w:t>
      </w:r>
      <w:r w:rsidRPr="00BA2632">
        <w:t xml:space="preserve"> used in previous environmental flow assessments </w:t>
      </w:r>
      <w:r w:rsidR="00AC34E7">
        <w:rPr>
          <w:noProof/>
        </w:rPr>
        <w:t>(e.g. Cottingham &amp; SKM 2011)</w:t>
      </w:r>
      <w:r w:rsidRPr="00BA2632">
        <w:t>:</w:t>
      </w:r>
    </w:p>
    <w:p w14:paraId="71294227" w14:textId="77777777" w:rsidR="0059034C" w:rsidRPr="00BA2632" w:rsidRDefault="0059034C" w:rsidP="00690C8C">
      <w:pPr>
        <w:pStyle w:val="Para0bullet"/>
        <w:numPr>
          <w:ilvl w:val="0"/>
          <w:numId w:val="12"/>
        </w:numPr>
        <w:spacing w:after="60"/>
        <w:ind w:left="340" w:hanging="340"/>
        <w:rPr>
          <w:rFonts w:asciiTheme="minorHAnsi" w:hAnsiTheme="minorHAnsi" w:cstheme="minorHAnsi"/>
          <w:szCs w:val="20"/>
        </w:rPr>
      </w:pPr>
      <w:r w:rsidRPr="00BA2632">
        <w:rPr>
          <w:rFonts w:asciiTheme="minorHAnsi" w:hAnsiTheme="minorHAnsi" w:cstheme="minorHAnsi"/>
          <w:szCs w:val="20"/>
        </w:rPr>
        <w:t xml:space="preserve">Zone 1 – Main channel of the Goulburn River and associated wetlands and backwaters that are connected to the main channel at flows less than </w:t>
      </w:r>
      <w:proofErr w:type="spellStart"/>
      <w:r w:rsidRPr="00BA2632">
        <w:rPr>
          <w:rFonts w:asciiTheme="minorHAnsi" w:hAnsiTheme="minorHAnsi" w:cstheme="minorHAnsi"/>
          <w:szCs w:val="20"/>
        </w:rPr>
        <w:t>bankfull</w:t>
      </w:r>
      <w:proofErr w:type="spellEnd"/>
      <w:r w:rsidRPr="00BA2632">
        <w:rPr>
          <w:rFonts w:asciiTheme="minorHAnsi" w:hAnsiTheme="minorHAnsi" w:cstheme="minorHAnsi"/>
          <w:szCs w:val="20"/>
        </w:rPr>
        <w:t xml:space="preserve"> between Goulburn Weir and the confluence of the Broken River near Shepparton (</w:t>
      </w:r>
      <w:proofErr w:type="gramStart"/>
      <w:r w:rsidRPr="00BA2632">
        <w:rPr>
          <w:rFonts w:asciiTheme="minorHAnsi" w:hAnsiTheme="minorHAnsi" w:cstheme="minorHAnsi"/>
          <w:szCs w:val="20"/>
        </w:rPr>
        <w:t>i.e.</w:t>
      </w:r>
      <w:proofErr w:type="gramEnd"/>
      <w:r w:rsidRPr="00BA2632">
        <w:rPr>
          <w:rFonts w:asciiTheme="minorHAnsi" w:hAnsiTheme="minorHAnsi" w:cstheme="minorHAnsi"/>
          <w:szCs w:val="20"/>
        </w:rPr>
        <w:t xml:space="preserve"> Environmental Flow Reach 4).</w:t>
      </w:r>
    </w:p>
    <w:p w14:paraId="56DBBE37" w14:textId="77777777" w:rsidR="0059034C" w:rsidRPr="00BA2632" w:rsidRDefault="0059034C" w:rsidP="00690C8C">
      <w:pPr>
        <w:pStyle w:val="Para0bullet"/>
        <w:numPr>
          <w:ilvl w:val="0"/>
          <w:numId w:val="12"/>
        </w:numPr>
        <w:spacing w:after="60"/>
        <w:ind w:left="340" w:hanging="340"/>
        <w:rPr>
          <w:rFonts w:asciiTheme="minorHAnsi" w:hAnsiTheme="minorHAnsi" w:cstheme="minorHAnsi"/>
          <w:szCs w:val="20"/>
        </w:rPr>
      </w:pPr>
      <w:r w:rsidRPr="00BA2632">
        <w:rPr>
          <w:rFonts w:asciiTheme="minorHAnsi" w:hAnsiTheme="minorHAnsi" w:cstheme="minorHAnsi"/>
          <w:szCs w:val="20"/>
        </w:rPr>
        <w:t xml:space="preserve">Zone 2 – Main channel of the Goulburn River and associated wetlands and backwaters that are connected to the main channel at flows less than </w:t>
      </w:r>
      <w:proofErr w:type="spellStart"/>
      <w:r w:rsidRPr="00BA2632">
        <w:rPr>
          <w:rFonts w:asciiTheme="minorHAnsi" w:hAnsiTheme="minorHAnsi" w:cstheme="minorHAnsi"/>
          <w:szCs w:val="20"/>
        </w:rPr>
        <w:t>bankfull</w:t>
      </w:r>
      <w:proofErr w:type="spellEnd"/>
      <w:r w:rsidRPr="00BA2632">
        <w:rPr>
          <w:rFonts w:asciiTheme="minorHAnsi" w:hAnsiTheme="minorHAnsi" w:cstheme="minorHAnsi"/>
          <w:szCs w:val="20"/>
        </w:rPr>
        <w:t xml:space="preserve"> between the confluence of the Broken River and the Murray River (</w:t>
      </w:r>
      <w:proofErr w:type="gramStart"/>
      <w:r w:rsidRPr="00BA2632">
        <w:rPr>
          <w:rFonts w:asciiTheme="minorHAnsi" w:hAnsiTheme="minorHAnsi" w:cstheme="minorHAnsi"/>
          <w:szCs w:val="20"/>
        </w:rPr>
        <w:t>i.e.</w:t>
      </w:r>
      <w:proofErr w:type="gramEnd"/>
      <w:r w:rsidRPr="00BA2632">
        <w:rPr>
          <w:rFonts w:asciiTheme="minorHAnsi" w:hAnsiTheme="minorHAnsi" w:cstheme="minorHAnsi"/>
          <w:szCs w:val="20"/>
        </w:rPr>
        <w:t xml:space="preserve"> Environmental Flow Reach 5). </w:t>
      </w:r>
    </w:p>
    <w:p w14:paraId="471D1B1F" w14:textId="740C3925" w:rsidR="0059034C" w:rsidRPr="00BA2632" w:rsidRDefault="008553E3" w:rsidP="00690C8C">
      <w:pPr>
        <w:pStyle w:val="Para0bullet"/>
        <w:numPr>
          <w:ilvl w:val="0"/>
          <w:numId w:val="12"/>
        </w:numPr>
        <w:ind w:left="340" w:hanging="340"/>
        <w:rPr>
          <w:rFonts w:asciiTheme="minorHAnsi" w:hAnsiTheme="minorHAnsi" w:cstheme="minorHAnsi"/>
          <w:szCs w:val="20"/>
        </w:rPr>
      </w:pPr>
      <w:r w:rsidRPr="00BA2632">
        <w:rPr>
          <w:rFonts w:asciiTheme="minorHAnsi" w:hAnsiTheme="minorHAnsi" w:cstheme="minorHAnsi"/>
          <w:szCs w:val="20"/>
        </w:rPr>
        <w:t>There is one ecological monitoring site</w:t>
      </w:r>
      <w:r w:rsidR="00A07633" w:rsidRPr="00BA2632">
        <w:rPr>
          <w:rFonts w:asciiTheme="minorHAnsi" w:hAnsiTheme="minorHAnsi" w:cstheme="minorHAnsi"/>
          <w:szCs w:val="20"/>
        </w:rPr>
        <w:t xml:space="preserve"> (macroinvertebrates)</w:t>
      </w:r>
      <w:r w:rsidRPr="00BA2632">
        <w:rPr>
          <w:rFonts w:asciiTheme="minorHAnsi" w:hAnsiTheme="minorHAnsi" w:cstheme="minorHAnsi"/>
          <w:szCs w:val="20"/>
        </w:rPr>
        <w:t xml:space="preserve">, along with a corresponding hydrological monitoring site outside these zones, being a site in the </w:t>
      </w:r>
      <w:r w:rsidR="0059034C" w:rsidRPr="00BA2632">
        <w:rPr>
          <w:rFonts w:asciiTheme="minorHAnsi" w:hAnsiTheme="minorHAnsi" w:cstheme="minorHAnsi"/>
          <w:szCs w:val="20"/>
        </w:rPr>
        <w:t>lower Broken River</w:t>
      </w:r>
      <w:r w:rsidR="00A07633" w:rsidRPr="00BA2632">
        <w:rPr>
          <w:rFonts w:asciiTheme="minorHAnsi" w:hAnsiTheme="minorHAnsi" w:cstheme="minorHAnsi"/>
          <w:szCs w:val="20"/>
        </w:rPr>
        <w:t>, and one macroinvertebrate site upstream of Zone 1 in Goulburn Weir</w:t>
      </w:r>
      <w:r w:rsidRPr="00BA2632">
        <w:rPr>
          <w:rFonts w:asciiTheme="minorHAnsi" w:hAnsiTheme="minorHAnsi" w:cstheme="minorHAnsi"/>
          <w:szCs w:val="20"/>
        </w:rPr>
        <w:t xml:space="preserve">. </w:t>
      </w:r>
    </w:p>
    <w:p w14:paraId="598479D5" w14:textId="7C3BFC7E" w:rsidR="0059034C" w:rsidRPr="00BA2632" w:rsidRDefault="0059034C" w:rsidP="0059034C">
      <w:r w:rsidRPr="00BA2632">
        <w:t>Zone 1 and Zone 2 are physically similar, have similar hydrology and are not separated by significant barriers. Moreover, they are equally affected by Commonwealth environmental water, which is controlled by the regulator at Goulburn Weir</w:t>
      </w:r>
      <w:r w:rsidR="000C332A" w:rsidRPr="00BA2632">
        <w:t>.</w:t>
      </w:r>
      <w:r w:rsidRPr="00BA2632">
        <w:t xml:space="preserve"> </w:t>
      </w:r>
    </w:p>
    <w:p w14:paraId="57FC6F91" w14:textId="2762FBF2" w:rsidR="00091EDF" w:rsidRPr="00BA2632" w:rsidRDefault="00091EDF" w:rsidP="0059034C">
      <w:r w:rsidRPr="00BA2632">
        <w:t>Monitoring efforts are focused on Zone 2 to provide deeper understanding across a range of monitoring matters that would not be possible if the program were spread evenly over the two zones</w:t>
      </w:r>
      <w:r w:rsidR="00FF304B" w:rsidRPr="00BA2632">
        <w:t xml:space="preserve"> </w:t>
      </w:r>
      <w:r w:rsidR="00566073">
        <w:rPr>
          <w:noProof/>
        </w:rPr>
        <w:t>(Webb et al. 2019b)</w:t>
      </w:r>
      <w:r w:rsidRPr="00BA2632">
        <w:t xml:space="preserve">. Monitoring sites are marked on </w:t>
      </w:r>
      <w:r w:rsidR="008D1121" w:rsidRPr="00BA2632">
        <w:t xml:space="preserve">Figure </w:t>
      </w:r>
      <w:r w:rsidR="008D1121">
        <w:rPr>
          <w:noProof/>
        </w:rPr>
        <w:t>2</w:t>
      </w:r>
      <w:r w:rsidR="008D1121">
        <w:rPr>
          <w:noProof/>
        </w:rPr>
        <w:noBreakHyphen/>
        <w:t>1</w:t>
      </w:r>
      <w:r w:rsidRPr="00BA2632">
        <w:t xml:space="preserve">. Sites are detailed in </w:t>
      </w:r>
      <w:r w:rsidR="008D1121" w:rsidRPr="00BA2632">
        <w:t xml:space="preserve">Table </w:t>
      </w:r>
      <w:r w:rsidR="008D1121">
        <w:rPr>
          <w:noProof/>
        </w:rPr>
        <w:t>2</w:t>
      </w:r>
      <w:r w:rsidR="008D1121">
        <w:rPr>
          <w:noProof/>
        </w:rPr>
        <w:noBreakHyphen/>
        <w:t>1</w:t>
      </w:r>
      <w:r w:rsidR="0020203B">
        <w:t>, which also includes several additional sites only used for the contingency monitoring programs.</w:t>
      </w:r>
    </w:p>
    <w:p w14:paraId="6846AFDB" w14:textId="280E37F6" w:rsidR="0059034C" w:rsidRPr="00BA2632" w:rsidRDefault="0059034C" w:rsidP="0059034C">
      <w:r w:rsidRPr="00BA2632">
        <w:t xml:space="preserve">Ecological Matters being investigated </w:t>
      </w:r>
      <w:proofErr w:type="gramStart"/>
      <w:r w:rsidRPr="00BA2632">
        <w:t>are:</w:t>
      </w:r>
      <w:proofErr w:type="gramEnd"/>
      <w:r w:rsidRPr="00BA2632">
        <w:t xml:space="preserve"> physical habitat - hydraulic (river flow and depth characteristics) and bank condition (erosion and sediment deposition); stream metabolism (photosynthesis and respiration as a potential source of food for macroinvertebrates and fish); macroinvertebrates (focusing on the biomass of large</w:t>
      </w:r>
      <w:r w:rsidR="008553E3" w:rsidRPr="00BA2632">
        <w:t>r</w:t>
      </w:r>
      <w:r w:rsidRPr="00BA2632">
        <w:t xml:space="preserve"> bugs </w:t>
      </w:r>
      <w:r w:rsidR="008553E3" w:rsidRPr="00BA2632">
        <w:t>particularly crustaceans</w:t>
      </w:r>
      <w:r w:rsidRPr="00BA2632">
        <w:t>); bank vegetation (abundance and diversity of plant cover); and native fish spawning and populations (composition and abundance).</w:t>
      </w:r>
    </w:p>
    <w:p w14:paraId="42A6579E" w14:textId="77777777" w:rsidR="0059034C" w:rsidRPr="00BA2632" w:rsidRDefault="0059034C" w:rsidP="0059034C"/>
    <w:p w14:paraId="027C1CB2" w14:textId="249B38B5" w:rsidR="0059034C" w:rsidRPr="00BA2632" w:rsidRDefault="00B3766E" w:rsidP="008A5A94">
      <w:pPr>
        <w:pStyle w:val="Default"/>
        <w:keepNext/>
        <w:spacing w:after="200"/>
        <w:jc w:val="center"/>
        <w:rPr>
          <w:rFonts w:asciiTheme="minorHAnsi" w:hAnsiTheme="minorHAnsi" w:cstheme="minorHAnsi"/>
          <w:sz w:val="20"/>
          <w:szCs w:val="20"/>
        </w:rPr>
      </w:pPr>
      <w:r w:rsidRPr="005B2840">
        <w:rPr>
          <w:noProof/>
          <w:lang w:val="en-GB" w:eastAsia="zh-CN"/>
        </w:rPr>
        <w:lastRenderedPageBreak/>
        <w:drawing>
          <wp:inline distT="0" distB="0" distL="0" distR="0" wp14:anchorId="71DB3D82" wp14:editId="02D3A88E">
            <wp:extent cx="5724525" cy="8051636"/>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738525" cy="8071327"/>
                    </a:xfrm>
                    <a:prstGeom prst="rect">
                      <a:avLst/>
                    </a:prstGeom>
                    <a:noFill/>
                    <a:ln>
                      <a:noFill/>
                    </a:ln>
                  </pic:spPr>
                </pic:pic>
              </a:graphicData>
            </a:graphic>
          </wp:inline>
        </w:drawing>
      </w:r>
    </w:p>
    <w:p w14:paraId="6E659966" w14:textId="4FE7D08D" w:rsidR="004D13ED" w:rsidRPr="00BA2632" w:rsidRDefault="009F2B1D" w:rsidP="009F2B1D">
      <w:pPr>
        <w:pStyle w:val="Caption"/>
      </w:pPr>
      <w:bookmarkStart w:id="25" w:name="_Ref52195235"/>
      <w:bookmarkStart w:id="26" w:name="_Toc9866619"/>
      <w:bookmarkStart w:id="27" w:name="_Toc12027040"/>
      <w:bookmarkStart w:id="28" w:name="_Toc83907731"/>
      <w:bookmarkStart w:id="29" w:name="_Toc84475632"/>
      <w:r w:rsidRPr="00BA2632">
        <w:t xml:space="preserve">Figure </w:t>
      </w:r>
      <w:r w:rsidR="000B75AF">
        <w:rPr>
          <w:noProof/>
        </w:rPr>
        <w:t>2</w:t>
      </w:r>
      <w:r w:rsidR="00B85158">
        <w:noBreakHyphen/>
      </w:r>
      <w:r w:rsidR="000B75AF">
        <w:rPr>
          <w:noProof/>
        </w:rPr>
        <w:t>1</w:t>
      </w:r>
      <w:bookmarkEnd w:id="25"/>
      <w:r w:rsidRPr="00BA2632">
        <w:t xml:space="preserve"> </w:t>
      </w:r>
      <w:r w:rsidR="0059034C" w:rsidRPr="00BA2632">
        <w:t xml:space="preserve">Map of the lower Goulburn River, with all </w:t>
      </w:r>
      <w:r w:rsidR="00BE0240">
        <w:t>core</w:t>
      </w:r>
      <w:r w:rsidR="0059034C" w:rsidRPr="00BA2632">
        <w:t xml:space="preserve"> monitoring sites marked, along with flow gauges used to generate flow data to be used in the MER Program. Some sites extend into the Broken River. Colours denote different monitoring activities, with some sites being used for multiple activities. Sites are indicated with site numbers, with the key providing the site name. Monitoring Zone 1 runs from Goulburn Weir to the confluence of the Broken River near Shepparton, with Zone 2 downstream from this point to the confluence with the Murray River.</w:t>
      </w:r>
      <w:bookmarkEnd w:id="26"/>
      <w:bookmarkEnd w:id="27"/>
      <w:bookmarkEnd w:id="28"/>
      <w:bookmarkEnd w:id="29"/>
    </w:p>
    <w:p w14:paraId="4E71160B" w14:textId="77777777" w:rsidR="0059034C" w:rsidRPr="00BA2632" w:rsidRDefault="0059034C" w:rsidP="009F2B1D">
      <w:pPr>
        <w:pStyle w:val="Caption"/>
      </w:pPr>
    </w:p>
    <w:p w14:paraId="19DAB84C" w14:textId="77777777" w:rsidR="0059034C" w:rsidRPr="00BA2632" w:rsidRDefault="0059034C" w:rsidP="0059034C"/>
    <w:p w14:paraId="78F2361C" w14:textId="0FF10D1F" w:rsidR="000B75AF" w:rsidRDefault="009F2B1D" w:rsidP="000B75AF">
      <w:pPr>
        <w:pStyle w:val="Caption"/>
      </w:pPr>
      <w:bookmarkStart w:id="30" w:name="_Ref46481954"/>
      <w:bookmarkStart w:id="31" w:name="_Toc24468448"/>
      <w:bookmarkStart w:id="32" w:name="_Toc500342923"/>
      <w:bookmarkStart w:id="33" w:name="_Toc95391452"/>
      <w:r w:rsidRPr="00BA2632">
        <w:lastRenderedPageBreak/>
        <w:t xml:space="preserve">Table </w:t>
      </w:r>
      <w:r w:rsidR="00831EB0">
        <w:rPr>
          <w:noProof/>
        </w:rPr>
        <w:t>2</w:t>
      </w:r>
      <w:r w:rsidR="000B75AF">
        <w:noBreakHyphen/>
      </w:r>
      <w:r w:rsidR="00831EB0">
        <w:rPr>
          <w:noProof/>
        </w:rPr>
        <w:t>1</w:t>
      </w:r>
      <w:bookmarkEnd w:id="30"/>
      <w:r w:rsidRPr="00BA2632">
        <w:t xml:space="preserve"> </w:t>
      </w:r>
      <w:r w:rsidR="0059034C" w:rsidRPr="00BA2632">
        <w:t>Goulburn MER monitoring sites in each zone and the monitoring activities undertaken at each site.</w:t>
      </w:r>
      <w:bookmarkEnd w:id="31"/>
      <w:bookmarkEnd w:id="32"/>
      <w:bookmarkEnd w:id="33"/>
    </w:p>
    <w:tbl>
      <w:tblPr>
        <w:tblW w:w="477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665"/>
        <w:gridCol w:w="572"/>
        <w:gridCol w:w="1872"/>
        <w:gridCol w:w="577"/>
        <w:gridCol w:w="577"/>
        <w:gridCol w:w="577"/>
        <w:gridCol w:w="577"/>
        <w:gridCol w:w="577"/>
        <w:gridCol w:w="577"/>
        <w:gridCol w:w="577"/>
        <w:gridCol w:w="577"/>
        <w:gridCol w:w="586"/>
        <w:gridCol w:w="580"/>
        <w:gridCol w:w="563"/>
      </w:tblGrid>
      <w:tr w:rsidR="00F46D9F" w:rsidRPr="00512CE6" w14:paraId="5C930290" w14:textId="12C4021C" w:rsidTr="0020203B">
        <w:trPr>
          <w:cantSplit/>
          <w:trHeight w:val="1404"/>
          <w:tblHeader/>
          <w:jc w:val="center"/>
        </w:trPr>
        <w:tc>
          <w:tcPr>
            <w:tcW w:w="352" w:type="pct"/>
            <w:tcBorders>
              <w:top w:val="single" w:sz="4" w:space="0" w:color="808080"/>
              <w:left w:val="single" w:sz="4" w:space="0" w:color="auto"/>
              <w:bottom w:val="single" w:sz="4" w:space="0" w:color="808080"/>
              <w:right w:val="single" w:sz="4" w:space="0" w:color="FFFFFF"/>
            </w:tcBorders>
            <w:shd w:val="clear" w:color="auto" w:fill="063061" w:themeFill="accent1" w:themeFillShade="BF"/>
            <w:tcMar>
              <w:top w:w="0" w:type="dxa"/>
              <w:left w:w="28" w:type="dxa"/>
              <w:bottom w:w="0" w:type="dxa"/>
              <w:right w:w="28" w:type="dxa"/>
            </w:tcMar>
            <w:vAlign w:val="center"/>
            <w:hideMark/>
          </w:tcPr>
          <w:p w14:paraId="409CED33" w14:textId="77777777" w:rsidR="00F46D9F" w:rsidRPr="00512CE6" w:rsidRDefault="00F46D9F" w:rsidP="00F46D9F">
            <w:pPr>
              <w:pStyle w:val="Tablesmallheading"/>
              <w:spacing w:before="0" w:after="0" w:line="240" w:lineRule="auto"/>
              <w:rPr>
                <w:rFonts w:asciiTheme="minorHAnsi" w:hAnsiTheme="minorHAnsi" w:cstheme="minorHAnsi"/>
                <w:color w:val="FFFFFF" w:themeColor="background1"/>
                <w:sz w:val="18"/>
                <w:szCs w:val="18"/>
              </w:rPr>
            </w:pPr>
            <w:r w:rsidRPr="00512CE6">
              <w:rPr>
                <w:rFonts w:asciiTheme="minorHAnsi" w:hAnsiTheme="minorHAnsi" w:cstheme="minorHAnsi"/>
                <w:color w:val="FFFFFF" w:themeColor="background1"/>
                <w:sz w:val="18"/>
                <w:szCs w:val="18"/>
              </w:rPr>
              <w:t>Site No.</w:t>
            </w:r>
          </w:p>
        </w:tc>
        <w:tc>
          <w:tcPr>
            <w:tcW w:w="1293" w:type="pct"/>
            <w:gridSpan w:val="2"/>
            <w:tcBorders>
              <w:top w:val="single" w:sz="4" w:space="0" w:color="808080"/>
              <w:left w:val="single" w:sz="4" w:space="0" w:color="808080"/>
              <w:bottom w:val="single" w:sz="4" w:space="0" w:color="808080"/>
              <w:right w:val="single" w:sz="4" w:space="0" w:color="FFFFFF"/>
            </w:tcBorders>
            <w:shd w:val="clear" w:color="auto" w:fill="063061" w:themeFill="accent1" w:themeFillShade="BF"/>
            <w:tcMar>
              <w:top w:w="0" w:type="dxa"/>
              <w:left w:w="28" w:type="dxa"/>
              <w:bottom w:w="0" w:type="dxa"/>
              <w:right w:w="28" w:type="dxa"/>
            </w:tcMar>
            <w:vAlign w:val="center"/>
            <w:hideMark/>
          </w:tcPr>
          <w:p w14:paraId="5F44A5AD" w14:textId="77777777" w:rsidR="00F46D9F" w:rsidRPr="00512CE6" w:rsidRDefault="00F46D9F" w:rsidP="00F46D9F">
            <w:pPr>
              <w:pStyle w:val="Tablesmallheading"/>
              <w:spacing w:before="0" w:after="0" w:line="240" w:lineRule="auto"/>
              <w:rPr>
                <w:rFonts w:asciiTheme="minorHAnsi" w:hAnsiTheme="minorHAnsi" w:cstheme="minorHAnsi"/>
                <w:color w:val="FFFFFF" w:themeColor="background1"/>
                <w:sz w:val="18"/>
                <w:szCs w:val="18"/>
              </w:rPr>
            </w:pPr>
            <w:r w:rsidRPr="00512CE6">
              <w:rPr>
                <w:rFonts w:asciiTheme="minorHAnsi" w:hAnsiTheme="minorHAnsi" w:cstheme="minorHAnsi"/>
                <w:color w:val="FFFFFF" w:themeColor="background1"/>
                <w:sz w:val="18"/>
                <w:szCs w:val="18"/>
              </w:rPr>
              <w:t>Site Name</w:t>
            </w:r>
          </w:p>
        </w:tc>
        <w:tc>
          <w:tcPr>
            <w:tcW w:w="305" w:type="pct"/>
            <w:tcBorders>
              <w:top w:val="single" w:sz="4" w:space="0" w:color="808080"/>
              <w:left w:val="single" w:sz="4" w:space="0" w:color="FFFFFF"/>
              <w:bottom w:val="single" w:sz="4" w:space="0" w:color="808080"/>
              <w:right w:val="single" w:sz="4" w:space="0" w:color="FFFFFF"/>
            </w:tcBorders>
            <w:shd w:val="clear" w:color="auto" w:fill="063061" w:themeFill="accent1" w:themeFillShade="BF"/>
            <w:textDirection w:val="btLr"/>
            <w:vAlign w:val="center"/>
          </w:tcPr>
          <w:p w14:paraId="4403CB82" w14:textId="5B987B5A" w:rsidR="00F46D9F" w:rsidRPr="00512CE6" w:rsidRDefault="00F46D9F" w:rsidP="00F46D9F">
            <w:pPr>
              <w:pStyle w:val="Tablesmallheading"/>
              <w:spacing w:before="0" w:after="0" w:line="240" w:lineRule="auto"/>
              <w:ind w:left="113" w:right="113"/>
              <w:rPr>
                <w:rFonts w:asciiTheme="minorHAnsi" w:hAnsiTheme="minorHAnsi" w:cstheme="minorHAnsi"/>
                <w:color w:val="FFFFFF" w:themeColor="background1"/>
                <w:sz w:val="18"/>
                <w:szCs w:val="18"/>
              </w:rPr>
            </w:pPr>
            <w:r>
              <w:rPr>
                <w:rFonts w:asciiTheme="minorHAnsi" w:hAnsiTheme="minorHAnsi" w:cstheme="minorHAnsi"/>
                <w:color w:val="FFFFFF" w:themeColor="background1"/>
                <w:sz w:val="18"/>
                <w:szCs w:val="18"/>
              </w:rPr>
              <w:t>Hydrology</w:t>
            </w:r>
          </w:p>
        </w:tc>
        <w:tc>
          <w:tcPr>
            <w:tcW w:w="305" w:type="pct"/>
            <w:tcBorders>
              <w:top w:val="single" w:sz="4" w:space="0" w:color="808080"/>
              <w:left w:val="single" w:sz="4" w:space="0" w:color="FFFFFF"/>
              <w:bottom w:val="single" w:sz="4" w:space="0" w:color="808080"/>
              <w:right w:val="single" w:sz="4" w:space="0" w:color="FFFFFF"/>
            </w:tcBorders>
            <w:shd w:val="clear" w:color="auto" w:fill="063061" w:themeFill="accent1" w:themeFillShade="BF"/>
            <w:tcMar>
              <w:top w:w="0" w:type="dxa"/>
              <w:left w:w="28" w:type="dxa"/>
              <w:bottom w:w="0" w:type="dxa"/>
              <w:right w:w="28" w:type="dxa"/>
            </w:tcMar>
            <w:textDirection w:val="btLr"/>
            <w:vAlign w:val="center"/>
            <w:hideMark/>
          </w:tcPr>
          <w:p w14:paraId="6794CA1E" w14:textId="4AB605A8" w:rsidR="00F46D9F" w:rsidRPr="00512CE6" w:rsidRDefault="00F46D9F" w:rsidP="00F46D9F">
            <w:pPr>
              <w:pStyle w:val="Tablesmallheading"/>
              <w:spacing w:before="0" w:after="0" w:line="240" w:lineRule="auto"/>
              <w:ind w:left="113" w:right="113"/>
              <w:rPr>
                <w:rFonts w:asciiTheme="minorHAnsi" w:hAnsiTheme="minorHAnsi" w:cstheme="minorHAnsi"/>
                <w:color w:val="FFFFFF" w:themeColor="background1"/>
                <w:sz w:val="18"/>
                <w:szCs w:val="18"/>
              </w:rPr>
            </w:pPr>
            <w:r w:rsidRPr="00512CE6">
              <w:rPr>
                <w:rFonts w:asciiTheme="minorHAnsi" w:hAnsiTheme="minorHAnsi" w:cstheme="minorHAnsi"/>
                <w:color w:val="FFFFFF" w:themeColor="background1"/>
                <w:sz w:val="18"/>
                <w:szCs w:val="18"/>
              </w:rPr>
              <w:t>Adult Fish</w:t>
            </w:r>
          </w:p>
        </w:tc>
        <w:tc>
          <w:tcPr>
            <w:tcW w:w="305" w:type="pct"/>
            <w:tcBorders>
              <w:top w:val="single" w:sz="4" w:space="0" w:color="808080"/>
              <w:left w:val="single" w:sz="4" w:space="0" w:color="FFFFFF"/>
              <w:bottom w:val="single" w:sz="4" w:space="0" w:color="808080"/>
              <w:right w:val="single" w:sz="4" w:space="0" w:color="FFFFFF"/>
            </w:tcBorders>
            <w:shd w:val="clear" w:color="auto" w:fill="063061" w:themeFill="accent1" w:themeFillShade="BF"/>
            <w:tcMar>
              <w:top w:w="0" w:type="dxa"/>
              <w:left w:w="28" w:type="dxa"/>
              <w:bottom w:w="0" w:type="dxa"/>
              <w:right w:w="28" w:type="dxa"/>
            </w:tcMar>
            <w:textDirection w:val="btLr"/>
            <w:vAlign w:val="center"/>
            <w:hideMark/>
          </w:tcPr>
          <w:p w14:paraId="521ACCCB" w14:textId="45F35643" w:rsidR="00F46D9F" w:rsidRPr="00512CE6" w:rsidRDefault="00F46D9F" w:rsidP="00F46D9F">
            <w:pPr>
              <w:pStyle w:val="Tablesmallheading"/>
              <w:spacing w:before="0" w:after="0" w:line="240" w:lineRule="auto"/>
              <w:ind w:left="113" w:right="113"/>
              <w:rPr>
                <w:rFonts w:asciiTheme="minorHAnsi" w:hAnsiTheme="minorHAnsi" w:cstheme="minorHAnsi"/>
                <w:color w:val="FFFFFF" w:themeColor="background1"/>
                <w:sz w:val="18"/>
                <w:szCs w:val="18"/>
              </w:rPr>
            </w:pPr>
            <w:r w:rsidRPr="00512CE6">
              <w:rPr>
                <w:rFonts w:asciiTheme="minorHAnsi" w:hAnsiTheme="minorHAnsi" w:cstheme="minorHAnsi"/>
                <w:color w:val="FFFFFF" w:themeColor="background1"/>
                <w:sz w:val="18"/>
                <w:szCs w:val="18"/>
              </w:rPr>
              <w:t>Larval Fish</w:t>
            </w:r>
          </w:p>
        </w:tc>
        <w:tc>
          <w:tcPr>
            <w:tcW w:w="305" w:type="pct"/>
            <w:tcBorders>
              <w:top w:val="single" w:sz="4" w:space="0" w:color="808080"/>
              <w:left w:val="single" w:sz="4" w:space="0" w:color="FFFFFF"/>
              <w:bottom w:val="single" w:sz="4" w:space="0" w:color="808080"/>
              <w:right w:val="single" w:sz="4" w:space="0" w:color="FFFFFF"/>
            </w:tcBorders>
            <w:shd w:val="clear" w:color="auto" w:fill="063061" w:themeFill="accent1" w:themeFillShade="BF"/>
            <w:tcMar>
              <w:top w:w="0" w:type="dxa"/>
              <w:left w:w="28" w:type="dxa"/>
              <w:bottom w:w="0" w:type="dxa"/>
              <w:right w:w="28" w:type="dxa"/>
            </w:tcMar>
            <w:textDirection w:val="btLr"/>
            <w:vAlign w:val="center"/>
            <w:hideMark/>
          </w:tcPr>
          <w:p w14:paraId="692F772A" w14:textId="77777777" w:rsidR="00F46D9F" w:rsidRPr="00512CE6" w:rsidRDefault="00F46D9F" w:rsidP="00F46D9F">
            <w:pPr>
              <w:pStyle w:val="Tablesmallheading"/>
              <w:spacing w:before="0" w:after="0" w:line="240" w:lineRule="auto"/>
              <w:ind w:left="113" w:right="113"/>
              <w:rPr>
                <w:rFonts w:asciiTheme="minorHAnsi" w:hAnsiTheme="minorHAnsi" w:cstheme="minorHAnsi"/>
                <w:color w:val="FFFFFF" w:themeColor="background1"/>
                <w:sz w:val="18"/>
                <w:szCs w:val="18"/>
              </w:rPr>
            </w:pPr>
            <w:r w:rsidRPr="00512CE6">
              <w:rPr>
                <w:rFonts w:asciiTheme="minorHAnsi" w:hAnsiTheme="minorHAnsi" w:cstheme="minorHAnsi"/>
                <w:color w:val="FFFFFF" w:themeColor="background1"/>
                <w:sz w:val="18"/>
                <w:szCs w:val="18"/>
              </w:rPr>
              <w:t>Bank Condition</w:t>
            </w:r>
          </w:p>
        </w:tc>
        <w:tc>
          <w:tcPr>
            <w:tcW w:w="305" w:type="pct"/>
            <w:tcBorders>
              <w:top w:val="single" w:sz="4" w:space="0" w:color="808080"/>
              <w:left w:val="single" w:sz="4" w:space="0" w:color="FFFFFF"/>
              <w:bottom w:val="single" w:sz="4" w:space="0" w:color="808080"/>
              <w:right w:val="single" w:sz="4" w:space="0" w:color="FFFFFF"/>
            </w:tcBorders>
            <w:shd w:val="clear" w:color="auto" w:fill="063061" w:themeFill="accent1" w:themeFillShade="BF"/>
            <w:textDirection w:val="btLr"/>
            <w:vAlign w:val="center"/>
            <w:hideMark/>
          </w:tcPr>
          <w:p w14:paraId="5CFB63EB" w14:textId="6EF975E2" w:rsidR="00F46D9F" w:rsidRPr="00512CE6" w:rsidRDefault="00F46D9F" w:rsidP="00F46D9F">
            <w:pPr>
              <w:pStyle w:val="Tablesmallheading"/>
              <w:spacing w:before="0" w:after="0" w:line="240" w:lineRule="auto"/>
              <w:ind w:left="113" w:right="113"/>
              <w:rPr>
                <w:rFonts w:asciiTheme="minorHAnsi" w:hAnsiTheme="minorHAnsi" w:cstheme="minorHAnsi"/>
                <w:color w:val="FFFFFF" w:themeColor="background1"/>
                <w:sz w:val="18"/>
                <w:szCs w:val="18"/>
              </w:rPr>
            </w:pPr>
            <w:r w:rsidRPr="00512CE6">
              <w:rPr>
                <w:rFonts w:asciiTheme="minorHAnsi" w:hAnsiTheme="minorHAnsi" w:cstheme="minorHAnsi"/>
                <w:color w:val="FFFFFF" w:themeColor="background1"/>
                <w:sz w:val="18"/>
                <w:szCs w:val="18"/>
              </w:rPr>
              <w:t>Turf Mats*</w:t>
            </w:r>
          </w:p>
        </w:tc>
        <w:tc>
          <w:tcPr>
            <w:tcW w:w="305" w:type="pct"/>
            <w:tcBorders>
              <w:top w:val="single" w:sz="4" w:space="0" w:color="808080"/>
              <w:left w:val="single" w:sz="4" w:space="0" w:color="FFFFFF"/>
              <w:bottom w:val="single" w:sz="4" w:space="0" w:color="808080"/>
              <w:right w:val="single" w:sz="4" w:space="0" w:color="FFFFFF"/>
            </w:tcBorders>
            <w:shd w:val="clear" w:color="auto" w:fill="063061" w:themeFill="accent1" w:themeFillShade="BF"/>
            <w:tcMar>
              <w:top w:w="0" w:type="dxa"/>
              <w:left w:w="28" w:type="dxa"/>
              <w:bottom w:w="0" w:type="dxa"/>
              <w:right w:w="28" w:type="dxa"/>
            </w:tcMar>
            <w:textDirection w:val="btLr"/>
            <w:vAlign w:val="center"/>
            <w:hideMark/>
          </w:tcPr>
          <w:p w14:paraId="33350A29" w14:textId="08738389" w:rsidR="00F46D9F" w:rsidRPr="00512CE6" w:rsidRDefault="00F46D9F" w:rsidP="00F46D9F">
            <w:pPr>
              <w:pStyle w:val="Tablesmallheading"/>
              <w:spacing w:before="0" w:after="0" w:line="240" w:lineRule="auto"/>
              <w:ind w:left="113" w:right="113"/>
              <w:rPr>
                <w:rFonts w:asciiTheme="minorHAnsi" w:hAnsiTheme="minorHAnsi" w:cstheme="minorHAnsi"/>
                <w:color w:val="FFFFFF" w:themeColor="background1"/>
                <w:sz w:val="18"/>
                <w:szCs w:val="18"/>
              </w:rPr>
            </w:pPr>
            <w:r w:rsidRPr="00512CE6">
              <w:rPr>
                <w:rFonts w:asciiTheme="minorHAnsi" w:hAnsiTheme="minorHAnsi" w:cstheme="minorHAnsi"/>
                <w:color w:val="FFFFFF" w:themeColor="background1"/>
                <w:sz w:val="18"/>
                <w:szCs w:val="18"/>
              </w:rPr>
              <w:t>Vegetation Diversity</w:t>
            </w:r>
          </w:p>
        </w:tc>
        <w:tc>
          <w:tcPr>
            <w:tcW w:w="305" w:type="pct"/>
            <w:tcBorders>
              <w:top w:val="single" w:sz="4" w:space="0" w:color="808080"/>
              <w:left w:val="single" w:sz="4" w:space="0" w:color="FFFFFF"/>
              <w:bottom w:val="single" w:sz="4" w:space="0" w:color="808080"/>
              <w:right w:val="single" w:sz="4" w:space="0" w:color="808080"/>
            </w:tcBorders>
            <w:shd w:val="clear" w:color="auto" w:fill="063061" w:themeFill="accent1" w:themeFillShade="BF"/>
            <w:tcMar>
              <w:top w:w="0" w:type="dxa"/>
              <w:left w:w="28" w:type="dxa"/>
              <w:bottom w:w="0" w:type="dxa"/>
              <w:right w:w="28" w:type="dxa"/>
            </w:tcMar>
            <w:textDirection w:val="btLr"/>
            <w:vAlign w:val="center"/>
            <w:hideMark/>
          </w:tcPr>
          <w:p w14:paraId="14D38DEE" w14:textId="0BA71452" w:rsidR="00F46D9F" w:rsidRPr="00512CE6" w:rsidRDefault="00F46D9F" w:rsidP="00F46D9F">
            <w:pPr>
              <w:pStyle w:val="Tablesmallheading"/>
              <w:spacing w:before="0" w:after="0" w:line="240" w:lineRule="auto"/>
              <w:ind w:left="113" w:right="113"/>
              <w:rPr>
                <w:rFonts w:asciiTheme="minorHAnsi" w:hAnsiTheme="minorHAnsi" w:cstheme="minorHAnsi"/>
                <w:color w:val="FFFFFF" w:themeColor="background1"/>
                <w:sz w:val="18"/>
                <w:szCs w:val="18"/>
              </w:rPr>
            </w:pPr>
            <w:r w:rsidRPr="00512CE6">
              <w:rPr>
                <w:rFonts w:asciiTheme="minorHAnsi" w:hAnsiTheme="minorHAnsi" w:cstheme="minorHAnsi"/>
                <w:color w:val="FFFFFF" w:themeColor="background1"/>
                <w:sz w:val="18"/>
                <w:szCs w:val="18"/>
              </w:rPr>
              <w:t>Stream Metabolism</w:t>
            </w:r>
          </w:p>
        </w:tc>
        <w:tc>
          <w:tcPr>
            <w:tcW w:w="305" w:type="pct"/>
            <w:tcBorders>
              <w:top w:val="single" w:sz="4" w:space="0" w:color="808080"/>
              <w:left w:val="single" w:sz="4" w:space="0" w:color="FFFFFF"/>
              <w:bottom w:val="single" w:sz="4" w:space="0" w:color="808080"/>
              <w:right w:val="single" w:sz="4" w:space="0" w:color="808080"/>
            </w:tcBorders>
            <w:shd w:val="clear" w:color="auto" w:fill="063061" w:themeFill="accent1" w:themeFillShade="BF"/>
            <w:tcMar>
              <w:top w:w="0" w:type="dxa"/>
              <w:left w:w="28" w:type="dxa"/>
              <w:bottom w:w="0" w:type="dxa"/>
              <w:right w:w="28" w:type="dxa"/>
            </w:tcMar>
            <w:textDirection w:val="btLr"/>
            <w:vAlign w:val="center"/>
            <w:hideMark/>
          </w:tcPr>
          <w:p w14:paraId="12F89E6F" w14:textId="77777777" w:rsidR="00F46D9F" w:rsidRPr="00512CE6" w:rsidRDefault="00F46D9F" w:rsidP="00F46D9F">
            <w:pPr>
              <w:pStyle w:val="Tablesmallheading"/>
              <w:spacing w:before="0" w:after="0" w:line="240" w:lineRule="auto"/>
              <w:ind w:left="113" w:right="113"/>
              <w:rPr>
                <w:rFonts w:asciiTheme="minorHAnsi" w:hAnsiTheme="minorHAnsi" w:cstheme="minorHAnsi"/>
                <w:color w:val="FFFFFF" w:themeColor="background1"/>
                <w:sz w:val="18"/>
                <w:szCs w:val="18"/>
              </w:rPr>
            </w:pPr>
            <w:r w:rsidRPr="00512CE6">
              <w:rPr>
                <w:rFonts w:asciiTheme="minorHAnsi" w:hAnsiTheme="minorHAnsi" w:cstheme="minorHAnsi"/>
                <w:color w:val="FFFFFF" w:themeColor="background1"/>
                <w:sz w:val="18"/>
                <w:szCs w:val="18"/>
              </w:rPr>
              <w:t>Macro-invertebrates</w:t>
            </w:r>
          </w:p>
        </w:tc>
        <w:tc>
          <w:tcPr>
            <w:tcW w:w="309" w:type="pct"/>
            <w:tcBorders>
              <w:top w:val="single" w:sz="4" w:space="0" w:color="808080"/>
              <w:left w:val="single" w:sz="4" w:space="0" w:color="FFFFFF"/>
              <w:bottom w:val="single" w:sz="4" w:space="0" w:color="808080"/>
              <w:right w:val="single" w:sz="4" w:space="0" w:color="808080"/>
            </w:tcBorders>
            <w:shd w:val="clear" w:color="auto" w:fill="063061" w:themeFill="accent1" w:themeFillShade="BF"/>
            <w:textDirection w:val="btLr"/>
            <w:vAlign w:val="center"/>
          </w:tcPr>
          <w:p w14:paraId="66E2B9ED" w14:textId="1729C2AB" w:rsidR="00F46D9F" w:rsidRPr="00512CE6" w:rsidRDefault="00F46D9F" w:rsidP="00F46D9F">
            <w:pPr>
              <w:pStyle w:val="Tablesmallheading"/>
              <w:spacing w:before="0" w:after="0" w:line="240" w:lineRule="auto"/>
              <w:ind w:left="113" w:right="113"/>
              <w:rPr>
                <w:rFonts w:asciiTheme="minorHAnsi" w:hAnsiTheme="minorHAnsi" w:cstheme="minorHAnsi"/>
                <w:color w:val="FFFFFF" w:themeColor="background1"/>
                <w:sz w:val="18"/>
                <w:szCs w:val="18"/>
              </w:rPr>
            </w:pPr>
            <w:r w:rsidRPr="00512CE6">
              <w:rPr>
                <w:rFonts w:asciiTheme="minorHAnsi" w:hAnsiTheme="minorHAnsi" w:cstheme="minorHAnsi"/>
                <w:color w:val="FFFFFF" w:themeColor="background1"/>
                <w:sz w:val="18"/>
                <w:szCs w:val="18"/>
              </w:rPr>
              <w:t>Research Project</w:t>
            </w:r>
          </w:p>
          <w:p w14:paraId="23039C61" w14:textId="77777777" w:rsidR="00F46D9F" w:rsidRPr="00512CE6" w:rsidRDefault="00F46D9F" w:rsidP="00F46D9F">
            <w:pPr>
              <w:pStyle w:val="Tablesmallheading"/>
              <w:spacing w:before="0" w:after="0" w:line="240" w:lineRule="auto"/>
              <w:ind w:left="113" w:right="113"/>
              <w:rPr>
                <w:rFonts w:asciiTheme="minorHAnsi" w:hAnsiTheme="minorHAnsi" w:cstheme="minorHAnsi"/>
                <w:color w:val="FFFFFF" w:themeColor="background1"/>
                <w:sz w:val="18"/>
                <w:szCs w:val="18"/>
              </w:rPr>
            </w:pPr>
          </w:p>
        </w:tc>
        <w:tc>
          <w:tcPr>
            <w:tcW w:w="307" w:type="pct"/>
            <w:tcBorders>
              <w:top w:val="single" w:sz="4" w:space="0" w:color="808080"/>
              <w:left w:val="single" w:sz="4" w:space="0" w:color="FFFFFF"/>
              <w:bottom w:val="single" w:sz="4" w:space="0" w:color="808080"/>
              <w:right w:val="single" w:sz="4" w:space="0" w:color="808080"/>
            </w:tcBorders>
            <w:shd w:val="clear" w:color="auto" w:fill="063061" w:themeFill="accent1" w:themeFillShade="BF"/>
            <w:textDirection w:val="btLr"/>
            <w:vAlign w:val="center"/>
          </w:tcPr>
          <w:p w14:paraId="4938ECEA" w14:textId="21D44C22" w:rsidR="00F46D9F" w:rsidRPr="00512CE6" w:rsidRDefault="00F46D9F" w:rsidP="00F46D9F">
            <w:pPr>
              <w:pStyle w:val="Tablesmallheading"/>
              <w:spacing w:before="0" w:after="0" w:line="240" w:lineRule="auto"/>
              <w:ind w:left="113" w:right="113"/>
              <w:rPr>
                <w:rFonts w:asciiTheme="minorHAnsi" w:hAnsiTheme="minorHAnsi" w:cstheme="minorHAnsi"/>
                <w:color w:val="FFFFFF" w:themeColor="background1"/>
                <w:sz w:val="18"/>
                <w:szCs w:val="18"/>
              </w:rPr>
            </w:pPr>
            <w:r>
              <w:t>Pelagic Metabolism</w:t>
            </w:r>
            <w:r w:rsidR="0020203B">
              <w:t>*</w:t>
            </w:r>
          </w:p>
        </w:tc>
        <w:tc>
          <w:tcPr>
            <w:tcW w:w="299" w:type="pct"/>
            <w:tcBorders>
              <w:top w:val="single" w:sz="4" w:space="0" w:color="808080"/>
              <w:left w:val="single" w:sz="4" w:space="0" w:color="FFFFFF"/>
              <w:bottom w:val="single" w:sz="4" w:space="0" w:color="808080"/>
              <w:right w:val="single" w:sz="4" w:space="0" w:color="808080"/>
            </w:tcBorders>
            <w:shd w:val="clear" w:color="auto" w:fill="063061" w:themeFill="accent1" w:themeFillShade="BF"/>
            <w:textDirection w:val="btLr"/>
            <w:vAlign w:val="center"/>
          </w:tcPr>
          <w:p w14:paraId="0491A45F" w14:textId="47D3E566" w:rsidR="00F46D9F" w:rsidRPr="00512CE6" w:rsidRDefault="00F46D9F" w:rsidP="0020203B">
            <w:pPr>
              <w:pStyle w:val="Tablesmallheading"/>
              <w:spacing w:before="0" w:after="0" w:line="240" w:lineRule="auto"/>
              <w:ind w:left="113" w:right="113"/>
              <w:jc w:val="left"/>
              <w:rPr>
                <w:rFonts w:asciiTheme="minorHAnsi" w:hAnsiTheme="minorHAnsi" w:cstheme="minorHAnsi"/>
                <w:color w:val="FFFFFF" w:themeColor="background1"/>
                <w:sz w:val="18"/>
                <w:szCs w:val="18"/>
              </w:rPr>
            </w:pPr>
            <w:r>
              <w:t>Murray Larval Monitoring</w:t>
            </w:r>
            <w:r w:rsidR="0020203B">
              <w:t>*</w:t>
            </w:r>
          </w:p>
        </w:tc>
      </w:tr>
      <w:tr w:rsidR="00F46D9F" w:rsidRPr="00512CE6" w14:paraId="59082B67" w14:textId="625B8CD4"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0ED6398A" w14:textId="77777777" w:rsidR="00F46D9F" w:rsidRPr="00512CE6" w:rsidRDefault="00F46D9F" w:rsidP="00F46D9F">
            <w:pPr>
              <w:pStyle w:val="Tablesmalltext"/>
              <w:rPr>
                <w:rFonts w:asciiTheme="minorHAnsi" w:hAnsiTheme="minorHAnsi" w:cstheme="minorHAnsi"/>
                <w:sz w:val="18"/>
                <w:szCs w:val="18"/>
              </w:rPr>
            </w:pPr>
          </w:p>
        </w:tc>
        <w:tc>
          <w:tcPr>
            <w:tcW w:w="303" w:type="pct"/>
            <w:tcBorders>
              <w:top w:val="single" w:sz="4" w:space="0" w:color="808080"/>
              <w:left w:val="single" w:sz="4" w:space="0" w:color="auto"/>
              <w:bottom w:val="single" w:sz="4" w:space="0" w:color="808080"/>
              <w:right w:val="single" w:sz="4" w:space="0" w:color="auto"/>
            </w:tcBorders>
          </w:tcPr>
          <w:p w14:paraId="6A376E01" w14:textId="77777777" w:rsidR="00F46D9F" w:rsidRPr="00512CE6" w:rsidRDefault="00F46D9F" w:rsidP="00F46D9F">
            <w:pPr>
              <w:pStyle w:val="Tablesmalltext"/>
              <w:keepNext/>
              <w:spacing w:before="20" w:after="20"/>
              <w:rPr>
                <w:rFonts w:asciiTheme="minorHAnsi" w:hAnsiTheme="minorHAnsi" w:cstheme="minorHAnsi"/>
                <w:b/>
                <w:sz w:val="18"/>
                <w:szCs w:val="18"/>
              </w:rPr>
            </w:pPr>
          </w:p>
        </w:tc>
        <w:tc>
          <w:tcPr>
            <w:tcW w:w="3740" w:type="pct"/>
            <w:gridSpan w:val="10"/>
            <w:tcBorders>
              <w:top w:val="single" w:sz="4" w:space="0" w:color="808080"/>
              <w:left w:val="single" w:sz="4" w:space="0" w:color="auto"/>
              <w:bottom w:val="single" w:sz="4" w:space="0" w:color="808080"/>
            </w:tcBorders>
            <w:vAlign w:val="center"/>
            <w:hideMark/>
          </w:tcPr>
          <w:p w14:paraId="3F87D521" w14:textId="60A30D05" w:rsidR="00F46D9F" w:rsidRPr="00512CE6" w:rsidRDefault="00F46D9F" w:rsidP="00F46D9F">
            <w:pPr>
              <w:pStyle w:val="Tablesmalltext"/>
              <w:keepNext/>
              <w:spacing w:before="20" w:after="20"/>
              <w:rPr>
                <w:rFonts w:asciiTheme="minorHAnsi" w:hAnsiTheme="minorHAnsi" w:cstheme="minorHAnsi"/>
                <w:b/>
                <w:sz w:val="18"/>
                <w:szCs w:val="18"/>
              </w:rPr>
            </w:pPr>
            <w:r w:rsidRPr="00512CE6">
              <w:rPr>
                <w:rFonts w:asciiTheme="minorHAnsi" w:hAnsiTheme="minorHAnsi" w:cstheme="minorHAnsi"/>
                <w:b/>
                <w:sz w:val="18"/>
                <w:szCs w:val="18"/>
              </w:rPr>
              <w:t>Zone 1 – Goulburn Weir to Broken River</w:t>
            </w:r>
          </w:p>
        </w:tc>
        <w:tc>
          <w:tcPr>
            <w:tcW w:w="307" w:type="pct"/>
            <w:tcBorders>
              <w:top w:val="single" w:sz="4" w:space="0" w:color="808080"/>
              <w:left w:val="single" w:sz="4" w:space="0" w:color="auto"/>
              <w:bottom w:val="single" w:sz="4" w:space="0" w:color="808080"/>
            </w:tcBorders>
            <w:vAlign w:val="center"/>
          </w:tcPr>
          <w:p w14:paraId="324F8CB6" w14:textId="77777777" w:rsidR="00F46D9F" w:rsidRPr="00512CE6" w:rsidRDefault="00F46D9F" w:rsidP="00F46D9F">
            <w:pPr>
              <w:pStyle w:val="Tablesmalltext"/>
              <w:keepNext/>
              <w:spacing w:before="20" w:after="20"/>
              <w:rPr>
                <w:rFonts w:asciiTheme="minorHAnsi" w:hAnsiTheme="minorHAnsi" w:cstheme="minorHAnsi"/>
                <w:b/>
                <w:sz w:val="18"/>
                <w:szCs w:val="18"/>
              </w:rPr>
            </w:pPr>
          </w:p>
        </w:tc>
        <w:tc>
          <w:tcPr>
            <w:tcW w:w="299" w:type="pct"/>
            <w:tcBorders>
              <w:top w:val="single" w:sz="4" w:space="0" w:color="808080"/>
              <w:left w:val="single" w:sz="4" w:space="0" w:color="auto"/>
              <w:bottom w:val="single" w:sz="4" w:space="0" w:color="808080"/>
            </w:tcBorders>
            <w:vAlign w:val="center"/>
          </w:tcPr>
          <w:p w14:paraId="6D368352" w14:textId="77777777" w:rsidR="00F46D9F" w:rsidRPr="00512CE6" w:rsidRDefault="00F46D9F" w:rsidP="00F46D9F">
            <w:pPr>
              <w:pStyle w:val="Tablesmalltext"/>
              <w:keepNext/>
              <w:spacing w:before="20" w:after="20"/>
              <w:rPr>
                <w:rFonts w:asciiTheme="minorHAnsi" w:hAnsiTheme="minorHAnsi" w:cstheme="minorHAnsi"/>
                <w:b/>
                <w:sz w:val="18"/>
                <w:szCs w:val="18"/>
              </w:rPr>
            </w:pPr>
          </w:p>
        </w:tc>
      </w:tr>
      <w:tr w:rsidR="00F46D9F" w:rsidRPr="00512CE6" w14:paraId="198D2250" w14:textId="5F58C69D"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2975F525"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2</w:t>
            </w:r>
          </w:p>
        </w:tc>
        <w:tc>
          <w:tcPr>
            <w:tcW w:w="1293" w:type="pct"/>
            <w:gridSpan w:val="2"/>
            <w:tcBorders>
              <w:top w:val="single" w:sz="4" w:space="0" w:color="808080"/>
              <w:left w:val="single" w:sz="4" w:space="0" w:color="808080"/>
              <w:bottom w:val="single" w:sz="4" w:space="0" w:color="808080"/>
              <w:right w:val="single" w:sz="4" w:space="0" w:color="808080"/>
            </w:tcBorders>
            <w:vAlign w:val="center"/>
          </w:tcPr>
          <w:p w14:paraId="2D4A6768" w14:textId="77777777" w:rsidR="00F46D9F" w:rsidRPr="00512CE6" w:rsidRDefault="00F46D9F" w:rsidP="00F46D9F">
            <w:pPr>
              <w:pStyle w:val="Tablesmalltext"/>
              <w:spacing w:before="20" w:after="20"/>
              <w:rPr>
                <w:rFonts w:asciiTheme="minorHAnsi" w:hAnsiTheme="minorHAnsi" w:cstheme="minorHAnsi"/>
                <w:sz w:val="18"/>
                <w:szCs w:val="18"/>
              </w:rPr>
            </w:pPr>
            <w:r w:rsidRPr="00512CE6">
              <w:rPr>
                <w:rFonts w:asciiTheme="minorHAnsi" w:hAnsiTheme="minorHAnsi" w:cstheme="minorHAnsi"/>
                <w:sz w:val="18"/>
                <w:szCs w:val="18"/>
              </w:rPr>
              <w:t>Goulburn Weir</w:t>
            </w: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410774DF"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1A6DC7E4" w14:textId="6B83F97F"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09A37C5"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375A2E0C"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19A56605"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79477CB8"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468893CF"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09B3482"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5D3A1D91"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7B7AB26" w14:textId="77777777" w:rsidR="00F46D9F" w:rsidRPr="00CD7233" w:rsidRDefault="00F46D9F" w:rsidP="00F46D9F">
            <w:pPr>
              <w:pStyle w:val="Tablesmallt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6BC86F8A" w14:textId="77777777" w:rsidR="00F46D9F" w:rsidRPr="00CD7233" w:rsidRDefault="00F46D9F" w:rsidP="00F46D9F">
            <w:pPr>
              <w:pStyle w:val="Tablesmalltext"/>
              <w:spacing w:before="20" w:after="20"/>
              <w:rPr>
                <w:rFonts w:asciiTheme="minorHAnsi" w:hAnsiTheme="minorHAnsi" w:cstheme="minorHAnsi"/>
                <w:sz w:val="18"/>
                <w:szCs w:val="18"/>
              </w:rPr>
            </w:pPr>
          </w:p>
        </w:tc>
      </w:tr>
      <w:tr w:rsidR="00F46D9F" w:rsidRPr="00512CE6" w14:paraId="1B1529AD" w14:textId="036C00AA"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566A25D0"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3</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413972BB"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Salas Rd, Murchison</w:t>
            </w: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76193347"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53F3456D" w14:textId="561B730A"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36BB4A1A"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4A16A9AD"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627830B5"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37F167F2"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432D80BC"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43B093A0"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681C271B"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7D7CDEAE"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6162333A"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0FD065B8" w14:textId="0F541E20"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15EC96C9"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4</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306154B1"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Toolamba/Cemetery Bend</w:t>
            </w: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2D93382"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20FAE292" w14:textId="3FD1132B"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3D2AD77"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5455916F"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71B93C0B"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6A416156"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69401D72"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5BB68C42"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52FA4C2"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F0DDDE0"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2914743D"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65B9BC6B" w14:textId="10BC0DFF"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48DB0302"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5</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150F424A"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Darcy’s Track</w:t>
            </w: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388213FE"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56ECD34" w14:textId="7199E8BA"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6C2FFD6"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01DD7436"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27BFE953"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866E75B"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6EC63C23"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45FDFFC1"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3C495E77"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5E3EA667"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971AE34"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6A00EB33" w14:textId="3934CE11"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217E2FC3"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6</w:t>
            </w:r>
          </w:p>
        </w:tc>
        <w:tc>
          <w:tcPr>
            <w:tcW w:w="1293" w:type="pct"/>
            <w:gridSpan w:val="2"/>
            <w:tcBorders>
              <w:top w:val="single" w:sz="4" w:space="0" w:color="808080"/>
              <w:left w:val="single" w:sz="4" w:space="0" w:color="808080"/>
              <w:bottom w:val="single" w:sz="4" w:space="0" w:color="808080"/>
              <w:right w:val="single" w:sz="4" w:space="0" w:color="808080"/>
            </w:tcBorders>
            <w:vAlign w:val="center"/>
          </w:tcPr>
          <w:p w14:paraId="00FB0BFC"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Pyke Road</w:t>
            </w: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D82A213"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3A07623E" w14:textId="7145CAD1"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4850B7FF"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BAF7DEA"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767E5066"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66DF4373"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E2B9049"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84AFD84"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3FEC5EE2"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44332B25"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39D23F76"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60F83356" w14:textId="51D9712D"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404C0155"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7</w:t>
            </w:r>
          </w:p>
        </w:tc>
        <w:tc>
          <w:tcPr>
            <w:tcW w:w="1293" w:type="pct"/>
            <w:gridSpan w:val="2"/>
            <w:tcBorders>
              <w:top w:val="single" w:sz="4" w:space="0" w:color="808080"/>
              <w:left w:val="single" w:sz="4" w:space="0" w:color="808080"/>
              <w:bottom w:val="single" w:sz="4" w:space="0" w:color="808080"/>
              <w:right w:val="single" w:sz="4" w:space="0" w:color="808080"/>
            </w:tcBorders>
            <w:vAlign w:val="center"/>
          </w:tcPr>
          <w:p w14:paraId="3EDBF2BF"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Riverview Drive</w:t>
            </w: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39CB67E0"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16FC4D33" w14:textId="379066FA"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682A5FC3"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3CA8AB8F"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2DCA601F"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47D65091"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3DD9336"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66652B7F"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2429FC5"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2BE9AB2"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DD7A6FD"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3BBE5EFF" w14:textId="752DF101"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2CD6643A" w14:textId="77777777" w:rsidR="00F46D9F" w:rsidRPr="00512CE6" w:rsidRDefault="00F46D9F" w:rsidP="00F46D9F">
            <w:pPr>
              <w:pStyle w:val="Tablesmalltext"/>
              <w:jc w:val="center"/>
              <w:rPr>
                <w:rFonts w:asciiTheme="minorHAnsi" w:hAnsiTheme="minorHAnsi" w:cstheme="minorHAnsi"/>
                <w:sz w:val="18"/>
                <w:szCs w:val="18"/>
              </w:rPr>
            </w:pPr>
          </w:p>
        </w:tc>
        <w:tc>
          <w:tcPr>
            <w:tcW w:w="303" w:type="pct"/>
            <w:tcBorders>
              <w:top w:val="single" w:sz="4" w:space="0" w:color="808080"/>
              <w:left w:val="single" w:sz="4" w:space="0" w:color="auto"/>
              <w:bottom w:val="single" w:sz="4" w:space="0" w:color="808080"/>
              <w:right w:val="single" w:sz="4" w:space="0" w:color="auto"/>
            </w:tcBorders>
          </w:tcPr>
          <w:p w14:paraId="4450851E" w14:textId="77777777" w:rsidR="00F46D9F" w:rsidRPr="00512CE6" w:rsidRDefault="00F46D9F" w:rsidP="00F46D9F">
            <w:pPr>
              <w:pStyle w:val="Tablesmalltext"/>
              <w:keepNext/>
              <w:spacing w:before="20" w:after="20"/>
              <w:rPr>
                <w:rFonts w:asciiTheme="minorHAnsi" w:hAnsiTheme="minorHAnsi" w:cstheme="minorHAnsi"/>
                <w:b/>
                <w:sz w:val="18"/>
                <w:szCs w:val="18"/>
              </w:rPr>
            </w:pPr>
          </w:p>
        </w:tc>
        <w:tc>
          <w:tcPr>
            <w:tcW w:w="3740" w:type="pct"/>
            <w:gridSpan w:val="10"/>
            <w:tcBorders>
              <w:top w:val="single" w:sz="4" w:space="0" w:color="808080"/>
              <w:left w:val="single" w:sz="4" w:space="0" w:color="auto"/>
              <w:bottom w:val="single" w:sz="4" w:space="0" w:color="808080"/>
            </w:tcBorders>
            <w:shd w:val="clear" w:color="auto" w:fill="auto"/>
            <w:vAlign w:val="center"/>
            <w:hideMark/>
          </w:tcPr>
          <w:p w14:paraId="3AFDF575" w14:textId="4B5CDB29" w:rsidR="00F46D9F" w:rsidRPr="00512CE6" w:rsidRDefault="00F46D9F" w:rsidP="00F46D9F">
            <w:pPr>
              <w:pStyle w:val="Tablesmalltext"/>
              <w:keepNext/>
              <w:spacing w:before="20" w:after="20"/>
              <w:rPr>
                <w:rFonts w:asciiTheme="minorHAnsi" w:hAnsiTheme="minorHAnsi" w:cstheme="minorHAnsi"/>
                <w:b/>
                <w:sz w:val="18"/>
                <w:szCs w:val="18"/>
              </w:rPr>
            </w:pPr>
            <w:r w:rsidRPr="00512CE6">
              <w:rPr>
                <w:rFonts w:asciiTheme="minorHAnsi" w:hAnsiTheme="minorHAnsi" w:cstheme="minorHAnsi"/>
                <w:b/>
                <w:sz w:val="18"/>
                <w:szCs w:val="18"/>
              </w:rPr>
              <w:t>Zone 2 – Broken River to Murray River</w:t>
            </w:r>
          </w:p>
        </w:tc>
        <w:tc>
          <w:tcPr>
            <w:tcW w:w="307" w:type="pct"/>
            <w:tcBorders>
              <w:top w:val="single" w:sz="4" w:space="0" w:color="808080"/>
              <w:left w:val="single" w:sz="4" w:space="0" w:color="auto"/>
              <w:bottom w:val="single" w:sz="4" w:space="0" w:color="808080"/>
            </w:tcBorders>
            <w:shd w:val="clear" w:color="auto" w:fill="auto"/>
            <w:vAlign w:val="center"/>
          </w:tcPr>
          <w:p w14:paraId="260FFFB8" w14:textId="77777777" w:rsidR="00F46D9F" w:rsidRPr="00CD7233" w:rsidRDefault="00F46D9F" w:rsidP="00F46D9F">
            <w:pPr>
              <w:pStyle w:val="Tablesmalltext"/>
              <w:keepNext/>
              <w:spacing w:before="20" w:after="20"/>
              <w:rPr>
                <w:rFonts w:asciiTheme="minorHAnsi" w:hAnsiTheme="minorHAnsi" w:cstheme="minorHAnsi"/>
                <w:b/>
                <w:sz w:val="18"/>
                <w:szCs w:val="18"/>
              </w:rPr>
            </w:pPr>
          </w:p>
        </w:tc>
        <w:tc>
          <w:tcPr>
            <w:tcW w:w="299" w:type="pct"/>
            <w:tcBorders>
              <w:top w:val="single" w:sz="4" w:space="0" w:color="808080"/>
              <w:left w:val="single" w:sz="4" w:space="0" w:color="auto"/>
              <w:bottom w:val="single" w:sz="4" w:space="0" w:color="808080"/>
            </w:tcBorders>
            <w:shd w:val="clear" w:color="auto" w:fill="auto"/>
            <w:vAlign w:val="center"/>
          </w:tcPr>
          <w:p w14:paraId="7E839CEF" w14:textId="77777777" w:rsidR="00F46D9F" w:rsidRPr="00CD7233" w:rsidRDefault="00F46D9F" w:rsidP="00F46D9F">
            <w:pPr>
              <w:pStyle w:val="Tablesmalltext"/>
              <w:keepNext/>
              <w:spacing w:before="20" w:after="20"/>
              <w:rPr>
                <w:rFonts w:asciiTheme="minorHAnsi" w:hAnsiTheme="minorHAnsi" w:cstheme="minorHAnsi"/>
                <w:b/>
                <w:sz w:val="18"/>
                <w:szCs w:val="18"/>
              </w:rPr>
            </w:pPr>
          </w:p>
        </w:tc>
      </w:tr>
      <w:tr w:rsidR="00F46D9F" w:rsidRPr="00512CE6" w14:paraId="3B44475B" w14:textId="1A287A7B"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114F4025"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9</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285C8750"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Shepparton Causeway</w:t>
            </w: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35A100E"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00BFC090" w14:textId="600FA5D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574B0624"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743764E6"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C26BE59"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45611A4C"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393AB7C4"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1CA8B219"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EC51F09"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66AE77EC"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DEF8BB0"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4FC8DACA" w14:textId="09CEB1F6"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4572328B"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10</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4909D916"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Shepparton</w:t>
            </w: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0A5DE9C0"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9D9EBA0" w14:textId="4126D8F4"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5831094E"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6C3EC74E"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3F70F099"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6ACB01C2"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90F6A10"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2F64A195"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4297ACB1"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ED18795"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98DE7BB"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47F09C94" w14:textId="33FFE812"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677E6513"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11</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76F8871B" w14:textId="77777777" w:rsidR="00F46D9F" w:rsidRPr="00512CE6" w:rsidRDefault="00F46D9F" w:rsidP="00F46D9F">
            <w:pPr>
              <w:pStyle w:val="Tablesmalltext"/>
              <w:keepNext/>
              <w:spacing w:before="20" w:after="20"/>
              <w:rPr>
                <w:rFonts w:asciiTheme="minorHAnsi" w:hAnsiTheme="minorHAnsi" w:cstheme="minorHAnsi"/>
                <w:sz w:val="18"/>
                <w:szCs w:val="18"/>
              </w:rPr>
            </w:pPr>
            <w:proofErr w:type="spellStart"/>
            <w:r w:rsidRPr="00512CE6">
              <w:rPr>
                <w:rFonts w:asciiTheme="minorHAnsi" w:hAnsiTheme="minorHAnsi" w:cstheme="minorHAnsi"/>
                <w:sz w:val="18"/>
                <w:szCs w:val="18"/>
              </w:rPr>
              <w:t>Zeerust</w:t>
            </w:r>
            <w:proofErr w:type="spellEnd"/>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73334DD7"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376404A8" w14:textId="4FDD2DCF"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13135F99"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69473DC2"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6D1918C3"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76D7D025"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50591D71"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5CB5797"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64EBDFAB"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F226DBF"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7B76CD08"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4EA686CB" w14:textId="17A4AB96"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74B3C476"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12</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2F84D5E2"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Loch Garry Gauge</w:t>
            </w: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74EB4CFB"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160E120D" w14:textId="123E23AD"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34D7331F"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3ED10128"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73262DA6" w14:textId="77777777" w:rsidR="00F46D9F" w:rsidRPr="005471B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1AB23C82"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42C7FCCD"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0D3A1972"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08EEDD25"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3D33340F"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235760C0"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4BF4F88A" w14:textId="6A27759F"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658DF5FB"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13</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12228F07"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Pogue Road</w:t>
            </w: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360C4F22"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52D5C826" w14:textId="01F52EAD"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6E6C3404"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481471F7"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5364FBF4"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642296B5"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1DFC7A25"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79E68F7E"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D1BBB81"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1D6A917"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6D846BB"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3968F6D7" w14:textId="321E31FA"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0FEF9436"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14</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7515996E" w14:textId="77777777" w:rsidR="00F46D9F" w:rsidRPr="00512CE6" w:rsidRDefault="00F46D9F" w:rsidP="00F46D9F">
            <w:pPr>
              <w:pStyle w:val="Tablesmalltext"/>
              <w:keepNext/>
              <w:spacing w:before="20" w:after="20"/>
              <w:rPr>
                <w:rFonts w:asciiTheme="minorHAnsi" w:hAnsiTheme="minorHAnsi" w:cstheme="minorHAnsi"/>
                <w:sz w:val="18"/>
                <w:szCs w:val="18"/>
              </w:rPr>
            </w:pPr>
            <w:proofErr w:type="spellStart"/>
            <w:r w:rsidRPr="00512CE6">
              <w:rPr>
                <w:rFonts w:asciiTheme="minorHAnsi" w:hAnsiTheme="minorHAnsi" w:cstheme="minorHAnsi"/>
                <w:sz w:val="18"/>
                <w:szCs w:val="18"/>
              </w:rPr>
              <w:t>Kotpuna</w:t>
            </w:r>
            <w:proofErr w:type="spellEnd"/>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DC4FC8B"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58AC0B8B" w14:textId="11448C3F"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5B43B3A1"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4F4F030D"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2534E237"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78D71F4F"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6FD916E7"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765089D6"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AC4C291"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31B0F925"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4B700695"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151E182D" w14:textId="23B955E7"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0AD2587F"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15</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4299B111"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McCoy’s Bridge</w:t>
            </w: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35226678"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1D2AA41B" w14:textId="5919280D"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07E66BDD"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2DC4BEC6"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6FD78253" w14:textId="77777777" w:rsidR="00F46D9F" w:rsidRPr="005471B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39AFA689"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22949D54"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3A6464E6"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387FAD0A"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1AC1398B"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821353E"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61CA2B59" w14:textId="4D045973"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3E922B06"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16</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08895342"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Murrumbidgee Road</w:t>
            </w: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41641DCE"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174BC8CC" w14:textId="03C1EB14"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5162E7F7"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5A69CEDD"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2831CFD9"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19FF9053"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7C50877B"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386A76E4"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675FD062"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21E9DA79"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3AE86705"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77F42E7E" w14:textId="00C50748"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23EDD6D1"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17</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7656CF76"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Yambuna</w:t>
            </w: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B8A5973"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7B61E344" w14:textId="38D842E0"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75589C37"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636DD533"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7990309"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14162D44"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31D337A3"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F0A28F5"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3D1F016"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7948AA49"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21B50E2E"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57416DEF" w14:textId="39EDB6F5"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6DA881F2"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18</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748E0996"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Sun Valley Road</w:t>
            </w: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811AF39"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0812B642" w14:textId="659674F4"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50E6B1B5"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3D3C3B47"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4ABAFA6B"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225BCBB"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7CC60DF3"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55121013"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30FF8FEE"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32D6F9E3"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6F90957A"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F46D9F" w:rsidRPr="00512CE6" w14:paraId="1E353213" w14:textId="18C361F5"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042346D0"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19</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58605CFF" w14:textId="77777777" w:rsidR="00F46D9F" w:rsidRPr="00512CE6" w:rsidRDefault="00F46D9F" w:rsidP="00F46D9F">
            <w:pPr>
              <w:pStyle w:val="Tablesmalltext"/>
              <w:keepNext/>
              <w:spacing w:before="20" w:after="20"/>
              <w:rPr>
                <w:rFonts w:asciiTheme="minorHAnsi" w:hAnsiTheme="minorHAnsi" w:cstheme="minorHAnsi"/>
                <w:sz w:val="18"/>
                <w:szCs w:val="18"/>
              </w:rPr>
            </w:pPr>
            <w:r w:rsidRPr="00512CE6">
              <w:rPr>
                <w:rFonts w:asciiTheme="minorHAnsi" w:hAnsiTheme="minorHAnsi" w:cstheme="minorHAnsi"/>
                <w:sz w:val="18"/>
                <w:szCs w:val="18"/>
              </w:rPr>
              <w:t>Stewarts Bridge</w:t>
            </w: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64C5FCAA"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03DC8EC3" w14:textId="397BFDD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3F5D8670"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1FB47FD"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20056B76"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AF84A57"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7248A61F"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6819EE24"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45D1D716" w14:textId="77777777" w:rsidR="00F46D9F" w:rsidRPr="00512CE6" w:rsidRDefault="00F46D9F"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783AB13" w14:textId="77777777" w:rsidR="00F46D9F" w:rsidRPr="00CD7233" w:rsidRDefault="00F46D9F"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A91B891" w14:textId="77777777" w:rsidR="00F46D9F" w:rsidRPr="00CD7233" w:rsidRDefault="00F46D9F" w:rsidP="00F46D9F">
            <w:pPr>
              <w:pStyle w:val="Tablesmalltext"/>
              <w:keepNext/>
              <w:spacing w:before="20" w:after="20"/>
              <w:rPr>
                <w:rFonts w:asciiTheme="minorHAnsi" w:hAnsiTheme="minorHAnsi" w:cstheme="minorHAnsi"/>
                <w:sz w:val="18"/>
                <w:szCs w:val="18"/>
              </w:rPr>
            </w:pPr>
          </w:p>
        </w:tc>
      </w:tr>
      <w:tr w:rsidR="0020203B" w:rsidRPr="00512CE6" w14:paraId="7074D22A" w14:textId="77777777"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11E6CE90" w14:textId="0775BCA6" w:rsidR="0020203B" w:rsidRPr="00512CE6" w:rsidRDefault="0020203B" w:rsidP="00F46D9F">
            <w:pPr>
              <w:pStyle w:val="Tablesmalltext"/>
              <w:jc w:val="center"/>
              <w:rPr>
                <w:rFonts w:asciiTheme="minorHAnsi" w:hAnsiTheme="minorHAnsi" w:cstheme="minorHAnsi"/>
                <w:sz w:val="18"/>
                <w:szCs w:val="18"/>
              </w:rPr>
            </w:pPr>
            <w:r>
              <w:rPr>
                <w:rFonts w:asciiTheme="minorHAnsi" w:hAnsiTheme="minorHAnsi" w:cstheme="minorHAnsi"/>
                <w:sz w:val="18"/>
                <w:szCs w:val="18"/>
              </w:rPr>
              <w:t>NA</w:t>
            </w:r>
          </w:p>
        </w:tc>
        <w:tc>
          <w:tcPr>
            <w:tcW w:w="1293" w:type="pct"/>
            <w:gridSpan w:val="2"/>
            <w:tcBorders>
              <w:top w:val="single" w:sz="4" w:space="0" w:color="808080"/>
              <w:left w:val="single" w:sz="4" w:space="0" w:color="808080"/>
              <w:bottom w:val="single" w:sz="4" w:space="0" w:color="808080"/>
              <w:right w:val="single" w:sz="4" w:space="0" w:color="808080"/>
            </w:tcBorders>
            <w:vAlign w:val="center"/>
          </w:tcPr>
          <w:p w14:paraId="5E8F15FF" w14:textId="3A6D0142" w:rsidR="0020203B" w:rsidRPr="00512CE6" w:rsidRDefault="0020203B" w:rsidP="00F46D9F">
            <w:pPr>
              <w:pStyle w:val="Tablesmalltext"/>
              <w:keepNext/>
              <w:spacing w:before="20" w:after="20"/>
              <w:rPr>
                <w:rFonts w:asciiTheme="minorHAnsi" w:hAnsiTheme="minorHAnsi" w:cstheme="minorHAnsi"/>
                <w:sz w:val="18"/>
                <w:szCs w:val="18"/>
              </w:rPr>
            </w:pPr>
            <w:r>
              <w:rPr>
                <w:rFonts w:asciiTheme="minorHAnsi" w:hAnsiTheme="minorHAnsi" w:cstheme="minorHAnsi"/>
                <w:sz w:val="18"/>
                <w:szCs w:val="18"/>
              </w:rPr>
              <w:t>Goulburn upstream Murray</w:t>
            </w: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324BAD81" w14:textId="77777777" w:rsidR="0020203B" w:rsidRPr="00512CE6" w:rsidRDefault="0020203B"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C4C0DD9" w14:textId="77777777" w:rsidR="0020203B" w:rsidRPr="00512CE6" w:rsidRDefault="0020203B"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2CBC0B76" w14:textId="77777777" w:rsidR="0020203B" w:rsidRPr="00512CE6" w:rsidRDefault="0020203B"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4510683D" w14:textId="77777777" w:rsidR="0020203B" w:rsidRPr="00512CE6" w:rsidRDefault="0020203B"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217BB2BF" w14:textId="77777777" w:rsidR="0020203B" w:rsidRPr="00512CE6" w:rsidRDefault="0020203B"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218500E9" w14:textId="77777777" w:rsidR="0020203B" w:rsidRPr="00512CE6" w:rsidRDefault="0020203B"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680B4FA" w14:textId="77777777" w:rsidR="0020203B" w:rsidRPr="00512CE6" w:rsidRDefault="0020203B" w:rsidP="00F46D9F">
            <w:pPr>
              <w:pStyle w:val="Tablesmalltext"/>
              <w:keepN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2AB957E" w14:textId="77777777" w:rsidR="0020203B" w:rsidRPr="00512CE6" w:rsidRDefault="0020203B" w:rsidP="00F46D9F">
            <w:pPr>
              <w:pStyle w:val="Tablesmalltext"/>
              <w:keepN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B92BEDD" w14:textId="77777777" w:rsidR="0020203B" w:rsidRPr="00512CE6" w:rsidRDefault="0020203B" w:rsidP="00F46D9F">
            <w:pPr>
              <w:pStyle w:val="Tablesmalltext"/>
              <w:keepN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27B1180D" w14:textId="77777777" w:rsidR="0020203B" w:rsidRPr="00CD7233" w:rsidRDefault="0020203B" w:rsidP="00F46D9F">
            <w:pPr>
              <w:pStyle w:val="Tablesmalltext"/>
              <w:keepN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4FF4768D" w14:textId="77777777" w:rsidR="0020203B" w:rsidRPr="00CD7233" w:rsidRDefault="0020203B" w:rsidP="00F46D9F">
            <w:pPr>
              <w:pStyle w:val="Tablesmalltext"/>
              <w:keepNext/>
              <w:spacing w:before="20" w:after="20"/>
              <w:rPr>
                <w:rFonts w:asciiTheme="minorHAnsi" w:hAnsiTheme="minorHAnsi" w:cstheme="minorHAnsi"/>
                <w:sz w:val="18"/>
                <w:szCs w:val="18"/>
              </w:rPr>
            </w:pPr>
          </w:p>
        </w:tc>
      </w:tr>
      <w:tr w:rsidR="00F46D9F" w:rsidRPr="00512CE6" w14:paraId="1A3E33E7" w14:textId="63624DDE"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79CEB686" w14:textId="77777777" w:rsidR="00F46D9F" w:rsidRPr="00512CE6" w:rsidRDefault="00F46D9F" w:rsidP="00F46D9F">
            <w:pPr>
              <w:pStyle w:val="Tablesmalltext"/>
              <w:jc w:val="center"/>
              <w:rPr>
                <w:rFonts w:asciiTheme="minorHAnsi" w:hAnsiTheme="minorHAnsi" w:cstheme="minorHAnsi"/>
                <w:sz w:val="18"/>
                <w:szCs w:val="18"/>
              </w:rPr>
            </w:pPr>
          </w:p>
        </w:tc>
        <w:tc>
          <w:tcPr>
            <w:tcW w:w="303" w:type="pct"/>
            <w:tcBorders>
              <w:top w:val="single" w:sz="4" w:space="0" w:color="808080"/>
              <w:left w:val="single" w:sz="4" w:space="0" w:color="auto"/>
              <w:bottom w:val="single" w:sz="4" w:space="0" w:color="808080"/>
              <w:right w:val="single" w:sz="4" w:space="0" w:color="auto"/>
            </w:tcBorders>
          </w:tcPr>
          <w:p w14:paraId="7C6CC25D" w14:textId="77777777" w:rsidR="00F46D9F" w:rsidRPr="00512CE6" w:rsidRDefault="00F46D9F" w:rsidP="00F46D9F">
            <w:pPr>
              <w:pStyle w:val="Tablesmalltext"/>
              <w:spacing w:before="20" w:after="20"/>
              <w:rPr>
                <w:rFonts w:asciiTheme="minorHAnsi" w:hAnsiTheme="minorHAnsi" w:cstheme="minorHAnsi"/>
                <w:b/>
                <w:sz w:val="18"/>
                <w:szCs w:val="18"/>
              </w:rPr>
            </w:pPr>
          </w:p>
        </w:tc>
        <w:tc>
          <w:tcPr>
            <w:tcW w:w="3740" w:type="pct"/>
            <w:gridSpan w:val="10"/>
            <w:tcBorders>
              <w:top w:val="single" w:sz="4" w:space="0" w:color="808080"/>
              <w:left w:val="single" w:sz="4" w:space="0" w:color="auto"/>
              <w:bottom w:val="single" w:sz="4" w:space="0" w:color="808080"/>
            </w:tcBorders>
            <w:vAlign w:val="center"/>
            <w:hideMark/>
          </w:tcPr>
          <w:p w14:paraId="69B32FD0" w14:textId="1A7B049D" w:rsidR="00F46D9F" w:rsidRPr="00512CE6" w:rsidRDefault="00F46D9F" w:rsidP="00F46D9F">
            <w:pPr>
              <w:pStyle w:val="Tablesmalltext"/>
              <w:spacing w:before="20" w:after="20"/>
              <w:rPr>
                <w:rFonts w:asciiTheme="minorHAnsi" w:hAnsiTheme="minorHAnsi" w:cstheme="minorHAnsi"/>
                <w:b/>
                <w:sz w:val="18"/>
                <w:szCs w:val="18"/>
              </w:rPr>
            </w:pPr>
            <w:r w:rsidRPr="00512CE6">
              <w:rPr>
                <w:rFonts w:asciiTheme="minorHAnsi" w:hAnsiTheme="minorHAnsi" w:cstheme="minorHAnsi"/>
                <w:b/>
                <w:sz w:val="18"/>
                <w:szCs w:val="18"/>
              </w:rPr>
              <w:t>Outside of Zones 1 &amp; 2</w:t>
            </w:r>
          </w:p>
        </w:tc>
        <w:tc>
          <w:tcPr>
            <w:tcW w:w="307" w:type="pct"/>
            <w:tcBorders>
              <w:top w:val="single" w:sz="4" w:space="0" w:color="808080"/>
              <w:left w:val="single" w:sz="4" w:space="0" w:color="auto"/>
              <w:bottom w:val="single" w:sz="4" w:space="0" w:color="808080"/>
            </w:tcBorders>
            <w:shd w:val="clear" w:color="auto" w:fill="auto"/>
            <w:vAlign w:val="center"/>
          </w:tcPr>
          <w:p w14:paraId="48FF889F" w14:textId="77777777" w:rsidR="00F46D9F" w:rsidRPr="00CD7233" w:rsidRDefault="00F46D9F" w:rsidP="00F46D9F">
            <w:pPr>
              <w:pStyle w:val="Tablesmalltext"/>
              <w:spacing w:before="20" w:after="20"/>
              <w:rPr>
                <w:rFonts w:asciiTheme="minorHAnsi" w:hAnsiTheme="minorHAnsi" w:cstheme="minorHAnsi"/>
                <w:b/>
                <w:sz w:val="18"/>
                <w:szCs w:val="18"/>
              </w:rPr>
            </w:pPr>
          </w:p>
        </w:tc>
        <w:tc>
          <w:tcPr>
            <w:tcW w:w="299" w:type="pct"/>
            <w:tcBorders>
              <w:top w:val="single" w:sz="4" w:space="0" w:color="808080"/>
              <w:left w:val="single" w:sz="4" w:space="0" w:color="auto"/>
              <w:bottom w:val="single" w:sz="4" w:space="0" w:color="808080"/>
            </w:tcBorders>
            <w:shd w:val="clear" w:color="auto" w:fill="auto"/>
            <w:vAlign w:val="center"/>
          </w:tcPr>
          <w:p w14:paraId="4D522A85" w14:textId="77777777" w:rsidR="00F46D9F" w:rsidRPr="00CD7233" w:rsidRDefault="00F46D9F" w:rsidP="00F46D9F">
            <w:pPr>
              <w:pStyle w:val="Tablesmalltext"/>
              <w:spacing w:before="20" w:after="20"/>
              <w:rPr>
                <w:rFonts w:asciiTheme="minorHAnsi" w:hAnsiTheme="minorHAnsi" w:cstheme="minorHAnsi"/>
                <w:b/>
                <w:sz w:val="18"/>
                <w:szCs w:val="18"/>
              </w:rPr>
            </w:pPr>
          </w:p>
        </w:tc>
      </w:tr>
      <w:tr w:rsidR="00F46D9F" w:rsidRPr="00512CE6" w14:paraId="5EAB8F78" w14:textId="6436073B"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5F59E9A0"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1</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17648E9F" w14:textId="77777777" w:rsidR="00F46D9F" w:rsidRPr="00512CE6" w:rsidRDefault="00F46D9F" w:rsidP="00F46D9F">
            <w:pPr>
              <w:pStyle w:val="Tablesmalltext"/>
              <w:spacing w:before="20" w:after="20"/>
              <w:rPr>
                <w:rFonts w:asciiTheme="minorHAnsi" w:hAnsiTheme="minorHAnsi" w:cstheme="minorHAnsi"/>
                <w:sz w:val="18"/>
                <w:szCs w:val="18"/>
              </w:rPr>
            </w:pPr>
            <w:r w:rsidRPr="00512CE6">
              <w:rPr>
                <w:rFonts w:asciiTheme="minorHAnsi" w:hAnsiTheme="minorHAnsi" w:cstheme="minorHAnsi"/>
                <w:sz w:val="18"/>
                <w:szCs w:val="18"/>
              </w:rPr>
              <w:t>Kirwans Bridge, Goulburn River</w:t>
            </w:r>
          </w:p>
        </w:tc>
        <w:tc>
          <w:tcPr>
            <w:tcW w:w="305" w:type="pct"/>
            <w:tcBorders>
              <w:top w:val="single" w:sz="4" w:space="0" w:color="808080"/>
              <w:left w:val="single" w:sz="4" w:space="0" w:color="808080"/>
              <w:bottom w:val="single" w:sz="4" w:space="0" w:color="808080"/>
              <w:right w:val="single" w:sz="4" w:space="0" w:color="808080"/>
            </w:tcBorders>
            <w:vAlign w:val="center"/>
          </w:tcPr>
          <w:p w14:paraId="2DA0E5D5"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7C02808" w14:textId="736966FD"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71CC6C35"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4A601B06"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63F99310"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788BBD80"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23F1DEE6"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1100D9BA"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68AD6293"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88D8DDC" w14:textId="77777777" w:rsidR="00F46D9F" w:rsidRPr="00CD7233" w:rsidRDefault="00F46D9F" w:rsidP="00F46D9F">
            <w:pPr>
              <w:pStyle w:val="Tablesmallt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7C05740" w14:textId="77777777" w:rsidR="00F46D9F" w:rsidRPr="00CD7233" w:rsidRDefault="00F46D9F" w:rsidP="00F46D9F">
            <w:pPr>
              <w:pStyle w:val="Tablesmalltext"/>
              <w:spacing w:before="20" w:after="20"/>
              <w:rPr>
                <w:rFonts w:asciiTheme="minorHAnsi" w:hAnsiTheme="minorHAnsi" w:cstheme="minorHAnsi"/>
                <w:sz w:val="18"/>
                <w:szCs w:val="18"/>
              </w:rPr>
            </w:pPr>
          </w:p>
        </w:tc>
      </w:tr>
      <w:tr w:rsidR="00F46D9F" w:rsidRPr="00512CE6" w14:paraId="07F88FCA" w14:textId="78DFEC8B"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76ABE846" w14:textId="77777777" w:rsidR="00F46D9F" w:rsidRPr="00512CE6" w:rsidRDefault="00F46D9F" w:rsidP="00F46D9F">
            <w:pPr>
              <w:pStyle w:val="Tablesmalltext"/>
              <w:jc w:val="center"/>
              <w:rPr>
                <w:rFonts w:asciiTheme="minorHAnsi" w:hAnsiTheme="minorHAnsi" w:cstheme="minorHAnsi"/>
                <w:sz w:val="18"/>
                <w:szCs w:val="18"/>
              </w:rPr>
            </w:pPr>
            <w:r w:rsidRPr="00512CE6">
              <w:rPr>
                <w:rFonts w:asciiTheme="minorHAnsi" w:hAnsiTheme="minorHAnsi" w:cstheme="minorHAnsi"/>
                <w:sz w:val="18"/>
                <w:szCs w:val="18"/>
              </w:rPr>
              <w:t>8</w:t>
            </w:r>
          </w:p>
        </w:tc>
        <w:tc>
          <w:tcPr>
            <w:tcW w:w="1293" w:type="pct"/>
            <w:gridSpan w:val="2"/>
            <w:tcBorders>
              <w:top w:val="single" w:sz="4" w:space="0" w:color="808080"/>
              <w:left w:val="single" w:sz="4" w:space="0" w:color="808080"/>
              <w:bottom w:val="single" w:sz="4" w:space="0" w:color="808080"/>
              <w:right w:val="single" w:sz="4" w:space="0" w:color="808080"/>
            </w:tcBorders>
            <w:vAlign w:val="center"/>
            <w:hideMark/>
          </w:tcPr>
          <w:p w14:paraId="3BFAC508" w14:textId="77777777" w:rsidR="00F46D9F" w:rsidRPr="00512CE6" w:rsidRDefault="00F46D9F" w:rsidP="00F46D9F">
            <w:pPr>
              <w:pStyle w:val="Tablesmalltext"/>
              <w:spacing w:before="20" w:after="20"/>
              <w:rPr>
                <w:rFonts w:asciiTheme="minorHAnsi" w:hAnsiTheme="minorHAnsi" w:cstheme="minorHAnsi"/>
                <w:sz w:val="18"/>
                <w:szCs w:val="18"/>
              </w:rPr>
            </w:pPr>
            <w:r w:rsidRPr="00512CE6">
              <w:rPr>
                <w:rFonts w:asciiTheme="minorHAnsi" w:hAnsiTheme="minorHAnsi" w:cstheme="minorHAnsi"/>
                <w:sz w:val="18"/>
                <w:szCs w:val="18"/>
              </w:rPr>
              <w:t>Central Avenue, Broken River</w:t>
            </w:r>
          </w:p>
        </w:tc>
        <w:tc>
          <w:tcPr>
            <w:tcW w:w="305"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13EDB732"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1E65AAA3" w14:textId="109DE1D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3D4FE3D1"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3CE39009"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1196B36"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4732A419"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7CCE36BC"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E16C5EF"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vAlign w:val="center"/>
          </w:tcPr>
          <w:p w14:paraId="1AB40A37" w14:textId="77777777" w:rsidR="00F46D9F" w:rsidRPr="00512CE6" w:rsidRDefault="00F46D9F" w:rsidP="00F46D9F">
            <w:pPr>
              <w:pStyle w:val="Tablesmallt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03176C42" w14:textId="77777777" w:rsidR="00F46D9F" w:rsidRPr="00CD7233" w:rsidRDefault="00F46D9F" w:rsidP="00F46D9F">
            <w:pPr>
              <w:pStyle w:val="Tablesmallt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auto"/>
            <w:vAlign w:val="center"/>
          </w:tcPr>
          <w:p w14:paraId="41827679" w14:textId="77777777" w:rsidR="00F46D9F" w:rsidRPr="00CD7233" w:rsidRDefault="00F46D9F" w:rsidP="00F46D9F">
            <w:pPr>
              <w:pStyle w:val="Tablesmalltext"/>
              <w:spacing w:before="20" w:after="20"/>
              <w:rPr>
                <w:rFonts w:asciiTheme="minorHAnsi" w:hAnsiTheme="minorHAnsi" w:cstheme="minorHAnsi"/>
                <w:sz w:val="18"/>
                <w:szCs w:val="18"/>
              </w:rPr>
            </w:pPr>
          </w:p>
        </w:tc>
      </w:tr>
      <w:tr w:rsidR="0020203B" w:rsidRPr="00512CE6" w14:paraId="52A0794D" w14:textId="77777777"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01A2A475" w14:textId="493B6FF8" w:rsidR="0020203B" w:rsidRPr="00512CE6" w:rsidRDefault="0020203B" w:rsidP="00F46D9F">
            <w:pPr>
              <w:pStyle w:val="Tablesmalltext"/>
              <w:jc w:val="center"/>
              <w:rPr>
                <w:rFonts w:asciiTheme="minorHAnsi" w:hAnsiTheme="minorHAnsi" w:cstheme="minorHAnsi"/>
                <w:sz w:val="18"/>
                <w:szCs w:val="18"/>
              </w:rPr>
            </w:pPr>
            <w:r>
              <w:rPr>
                <w:rFonts w:asciiTheme="minorHAnsi" w:hAnsiTheme="minorHAnsi" w:cstheme="minorHAnsi"/>
                <w:sz w:val="18"/>
                <w:szCs w:val="18"/>
              </w:rPr>
              <w:t>NA</w:t>
            </w:r>
          </w:p>
        </w:tc>
        <w:tc>
          <w:tcPr>
            <w:tcW w:w="1293" w:type="pct"/>
            <w:gridSpan w:val="2"/>
            <w:tcBorders>
              <w:top w:val="single" w:sz="4" w:space="0" w:color="808080"/>
              <w:left w:val="single" w:sz="4" w:space="0" w:color="808080"/>
              <w:bottom w:val="single" w:sz="4" w:space="0" w:color="808080"/>
              <w:right w:val="single" w:sz="4" w:space="0" w:color="808080"/>
            </w:tcBorders>
            <w:vAlign w:val="center"/>
          </w:tcPr>
          <w:p w14:paraId="578BD9F2" w14:textId="559BD1EF" w:rsidR="0020203B" w:rsidRPr="00512CE6" w:rsidRDefault="0020203B" w:rsidP="00F46D9F">
            <w:pPr>
              <w:pStyle w:val="Tablesmalltext"/>
              <w:spacing w:before="20" w:after="20"/>
              <w:rPr>
                <w:rFonts w:asciiTheme="minorHAnsi" w:hAnsiTheme="minorHAnsi" w:cstheme="minorHAnsi"/>
                <w:sz w:val="18"/>
                <w:szCs w:val="18"/>
              </w:rPr>
            </w:pPr>
            <w:r>
              <w:rPr>
                <w:rFonts w:asciiTheme="minorHAnsi" w:hAnsiTheme="minorHAnsi" w:cstheme="minorHAnsi"/>
                <w:sz w:val="18"/>
                <w:szCs w:val="18"/>
              </w:rPr>
              <w:t>Murray upstream Goulburn</w:t>
            </w: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2B34F0A8"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290136DF"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2EA2DAAF"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38AC44F7"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43DE85F5"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4AC5D3C2"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22598575"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F619405"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vAlign w:val="center"/>
          </w:tcPr>
          <w:p w14:paraId="3D787EB3"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2A16EAB" w14:textId="77777777" w:rsidR="0020203B" w:rsidRPr="00CD7233" w:rsidRDefault="0020203B" w:rsidP="00F46D9F">
            <w:pPr>
              <w:pStyle w:val="Tablesmallt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161F8791" w14:textId="77777777" w:rsidR="0020203B" w:rsidRPr="00CD7233" w:rsidRDefault="0020203B" w:rsidP="00F46D9F">
            <w:pPr>
              <w:pStyle w:val="Tablesmalltext"/>
              <w:spacing w:before="20" w:after="20"/>
              <w:rPr>
                <w:rFonts w:asciiTheme="minorHAnsi" w:hAnsiTheme="minorHAnsi" w:cstheme="minorHAnsi"/>
                <w:sz w:val="18"/>
                <w:szCs w:val="18"/>
              </w:rPr>
            </w:pPr>
          </w:p>
        </w:tc>
      </w:tr>
      <w:tr w:rsidR="0020203B" w:rsidRPr="00512CE6" w14:paraId="425BC488" w14:textId="77777777" w:rsidTr="0020203B">
        <w:trPr>
          <w:cantSplit/>
          <w:jc w:val="center"/>
        </w:trPr>
        <w:tc>
          <w:tcPr>
            <w:tcW w:w="352" w:type="pct"/>
            <w:tcBorders>
              <w:top w:val="single" w:sz="4" w:space="0" w:color="808080"/>
              <w:left w:val="single" w:sz="4" w:space="0" w:color="auto"/>
              <w:bottom w:val="single" w:sz="4" w:space="0" w:color="808080"/>
              <w:right w:val="single" w:sz="4" w:space="0" w:color="808080"/>
            </w:tcBorders>
            <w:vAlign w:val="center"/>
          </w:tcPr>
          <w:p w14:paraId="2B73D192" w14:textId="636F550B" w:rsidR="0020203B" w:rsidRPr="00512CE6" w:rsidRDefault="0020203B" w:rsidP="00F46D9F">
            <w:pPr>
              <w:pStyle w:val="Tablesmalltext"/>
              <w:jc w:val="center"/>
              <w:rPr>
                <w:rFonts w:asciiTheme="minorHAnsi" w:hAnsiTheme="minorHAnsi" w:cstheme="minorHAnsi"/>
                <w:sz w:val="18"/>
                <w:szCs w:val="18"/>
              </w:rPr>
            </w:pPr>
            <w:r>
              <w:rPr>
                <w:rFonts w:asciiTheme="minorHAnsi" w:hAnsiTheme="minorHAnsi" w:cstheme="minorHAnsi"/>
                <w:sz w:val="18"/>
                <w:szCs w:val="18"/>
              </w:rPr>
              <w:t>NA</w:t>
            </w:r>
          </w:p>
        </w:tc>
        <w:tc>
          <w:tcPr>
            <w:tcW w:w="1293" w:type="pct"/>
            <w:gridSpan w:val="2"/>
            <w:tcBorders>
              <w:top w:val="single" w:sz="4" w:space="0" w:color="808080"/>
              <w:left w:val="single" w:sz="4" w:space="0" w:color="808080"/>
              <w:bottom w:val="single" w:sz="4" w:space="0" w:color="808080"/>
              <w:right w:val="single" w:sz="4" w:space="0" w:color="808080"/>
            </w:tcBorders>
            <w:vAlign w:val="center"/>
          </w:tcPr>
          <w:p w14:paraId="153B9FCA" w14:textId="590D08C9" w:rsidR="0020203B" w:rsidRPr="00512CE6" w:rsidRDefault="0020203B" w:rsidP="00F46D9F">
            <w:pPr>
              <w:pStyle w:val="Tablesmalltext"/>
              <w:spacing w:before="20" w:after="20"/>
              <w:rPr>
                <w:rFonts w:asciiTheme="minorHAnsi" w:hAnsiTheme="minorHAnsi" w:cstheme="minorHAnsi"/>
                <w:sz w:val="18"/>
                <w:szCs w:val="18"/>
              </w:rPr>
            </w:pPr>
            <w:r>
              <w:rPr>
                <w:rFonts w:asciiTheme="minorHAnsi" w:hAnsiTheme="minorHAnsi" w:cstheme="minorHAnsi"/>
                <w:sz w:val="18"/>
                <w:szCs w:val="18"/>
              </w:rPr>
              <w:t>Murray downstream Goulburn</w:t>
            </w: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2B6DC261"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2CC6CD58"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61C07518"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2F59088A"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05A9626A"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4E312C89"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vAlign w:val="center"/>
          </w:tcPr>
          <w:p w14:paraId="4F866E2B"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733D3EC3"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9" w:type="pct"/>
            <w:tcBorders>
              <w:top w:val="single" w:sz="4" w:space="0" w:color="808080"/>
              <w:left w:val="single" w:sz="4" w:space="0" w:color="808080"/>
              <w:bottom w:val="single" w:sz="4" w:space="0" w:color="808080"/>
              <w:right w:val="single" w:sz="4" w:space="0" w:color="808080"/>
            </w:tcBorders>
            <w:vAlign w:val="center"/>
          </w:tcPr>
          <w:p w14:paraId="0F9DA233" w14:textId="77777777" w:rsidR="0020203B" w:rsidRPr="00512CE6" w:rsidRDefault="0020203B" w:rsidP="00F46D9F">
            <w:pPr>
              <w:pStyle w:val="Tablesmalltext"/>
              <w:spacing w:before="20" w:after="20"/>
              <w:rPr>
                <w:rFonts w:asciiTheme="minorHAnsi" w:hAnsiTheme="minorHAnsi" w:cstheme="minorHAnsi"/>
                <w:sz w:val="18"/>
                <w:szCs w:val="18"/>
              </w:rPr>
            </w:pPr>
          </w:p>
        </w:tc>
        <w:tc>
          <w:tcPr>
            <w:tcW w:w="30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2D642C9C" w14:textId="77777777" w:rsidR="0020203B" w:rsidRPr="00CD7233" w:rsidRDefault="0020203B" w:rsidP="00F46D9F">
            <w:pPr>
              <w:pStyle w:val="Tablesmalltext"/>
              <w:spacing w:before="20" w:after="20"/>
              <w:rPr>
                <w:rFonts w:asciiTheme="minorHAnsi" w:hAnsiTheme="minorHAnsi" w:cstheme="minorHAnsi"/>
                <w:sz w:val="18"/>
                <w:szCs w:val="18"/>
              </w:rPr>
            </w:pPr>
          </w:p>
        </w:tc>
        <w:tc>
          <w:tcPr>
            <w:tcW w:w="299" w:type="pct"/>
            <w:tcBorders>
              <w:top w:val="single" w:sz="4" w:space="0" w:color="808080"/>
              <w:left w:val="single" w:sz="4" w:space="0" w:color="808080"/>
              <w:bottom w:val="single" w:sz="4" w:space="0" w:color="808080"/>
              <w:right w:val="single" w:sz="4" w:space="0" w:color="808080"/>
            </w:tcBorders>
            <w:shd w:val="clear" w:color="auto" w:fill="7030A0"/>
            <w:vAlign w:val="center"/>
          </w:tcPr>
          <w:p w14:paraId="77102B58" w14:textId="77777777" w:rsidR="0020203B" w:rsidRPr="00CD7233" w:rsidRDefault="0020203B" w:rsidP="00F46D9F">
            <w:pPr>
              <w:pStyle w:val="Tablesmalltext"/>
              <w:spacing w:before="20" w:after="20"/>
              <w:rPr>
                <w:rFonts w:asciiTheme="minorHAnsi" w:hAnsiTheme="minorHAnsi" w:cstheme="minorHAnsi"/>
                <w:sz w:val="18"/>
                <w:szCs w:val="18"/>
              </w:rPr>
            </w:pPr>
          </w:p>
        </w:tc>
      </w:tr>
    </w:tbl>
    <w:p w14:paraId="5AD59076" w14:textId="5E17A933" w:rsidR="00CF67C8" w:rsidRPr="00BA2632" w:rsidRDefault="00CF67C8" w:rsidP="005F1C21">
      <w:pPr>
        <w:rPr>
          <w:sz w:val="18"/>
          <w:szCs w:val="18"/>
        </w:rPr>
      </w:pPr>
      <w:bookmarkStart w:id="34" w:name="_Toc26772875"/>
      <w:r w:rsidRPr="00BA2632">
        <w:rPr>
          <w:sz w:val="18"/>
          <w:szCs w:val="18"/>
        </w:rPr>
        <w:t xml:space="preserve">     </w:t>
      </w:r>
      <w:r w:rsidR="009F67A7">
        <w:rPr>
          <w:sz w:val="18"/>
          <w:szCs w:val="18"/>
        </w:rPr>
        <w:t xml:space="preserve">  </w:t>
      </w:r>
      <w:r w:rsidRPr="00BA2632">
        <w:rPr>
          <w:sz w:val="18"/>
          <w:szCs w:val="18"/>
        </w:rPr>
        <w:t xml:space="preserve">* </w:t>
      </w:r>
      <w:r w:rsidR="00085EBE" w:rsidRPr="00BA2632">
        <w:rPr>
          <w:sz w:val="18"/>
          <w:szCs w:val="18"/>
        </w:rPr>
        <w:t xml:space="preserve">Note: </w:t>
      </w:r>
      <w:r w:rsidR="00340BB4" w:rsidRPr="00BA2632">
        <w:rPr>
          <w:sz w:val="18"/>
          <w:szCs w:val="18"/>
        </w:rPr>
        <w:t>Contingency monitoring</w:t>
      </w:r>
    </w:p>
    <w:p w14:paraId="4BD22475" w14:textId="77777777" w:rsidR="009F2B1D" w:rsidRPr="00BA2632" w:rsidRDefault="009F2B1D" w:rsidP="00270F50">
      <w:pPr>
        <w:pStyle w:val="Para0"/>
      </w:pPr>
    </w:p>
    <w:p w14:paraId="74D49E21" w14:textId="46ADFE78" w:rsidR="0059034C" w:rsidRPr="002E711B" w:rsidRDefault="0059034C" w:rsidP="004D13ED">
      <w:pPr>
        <w:pStyle w:val="Heading3"/>
      </w:pPr>
      <w:bookmarkStart w:id="35" w:name="_Toc84417318"/>
      <w:r w:rsidRPr="00BA2632">
        <w:t xml:space="preserve">Monitoring in </w:t>
      </w:r>
      <w:bookmarkEnd w:id="34"/>
      <w:r w:rsidR="009F2B1D" w:rsidRPr="00BA2632">
        <w:t>20</w:t>
      </w:r>
      <w:r w:rsidR="00CE09B7">
        <w:t>20</w:t>
      </w:r>
      <w:r w:rsidR="009F2B1D" w:rsidRPr="00BA2632">
        <w:t>-2</w:t>
      </w:r>
      <w:r w:rsidR="00CE09B7">
        <w:t>1</w:t>
      </w:r>
      <w:bookmarkEnd w:id="35"/>
    </w:p>
    <w:p w14:paraId="7D0D2D3D" w14:textId="01789196" w:rsidR="00091EDF" w:rsidRPr="00BA2632" w:rsidRDefault="0059034C" w:rsidP="009F2B1D">
      <w:r w:rsidRPr="00BA2632">
        <w:t xml:space="preserve">Monitoring in </w:t>
      </w:r>
      <w:r w:rsidR="00F237CE">
        <w:t>2020-21</w:t>
      </w:r>
      <w:r w:rsidRPr="00BA2632">
        <w:t xml:space="preserve"> proceeded in line with the original </w:t>
      </w:r>
      <w:r w:rsidR="00C3523C" w:rsidRPr="00BA2632">
        <w:t>MER plan</w:t>
      </w:r>
      <w:r w:rsidRPr="00BA2632">
        <w:t xml:space="preserve"> </w:t>
      </w:r>
      <w:r w:rsidR="00566073">
        <w:rPr>
          <w:noProof/>
        </w:rPr>
        <w:t>(Webb et al. 2019b)</w:t>
      </w:r>
      <w:r w:rsidR="00C3523C" w:rsidRPr="00BA2632">
        <w:rPr>
          <w:noProof/>
        </w:rPr>
        <w:t>, but with some modifications to account for natural flood events and restrictions associated with C</w:t>
      </w:r>
      <w:r w:rsidR="00A07633" w:rsidRPr="00BA2632">
        <w:rPr>
          <w:noProof/>
        </w:rPr>
        <w:t>OVID-</w:t>
      </w:r>
      <w:r w:rsidR="00C3523C" w:rsidRPr="00BA2632">
        <w:rPr>
          <w:noProof/>
        </w:rPr>
        <w:t>19 requirements</w:t>
      </w:r>
      <w:r w:rsidRPr="00BA2632">
        <w:t xml:space="preserve"> (</w:t>
      </w:r>
      <w:r w:rsidR="008D1121">
        <w:t xml:space="preserve">Table </w:t>
      </w:r>
      <w:r w:rsidR="008D1121">
        <w:rPr>
          <w:noProof/>
        </w:rPr>
        <w:t>2</w:t>
      </w:r>
      <w:r w:rsidR="008D1121">
        <w:noBreakHyphen/>
      </w:r>
      <w:r w:rsidR="008D1121">
        <w:rPr>
          <w:noProof/>
        </w:rPr>
        <w:t>2</w:t>
      </w:r>
      <w:r w:rsidRPr="00BA2632">
        <w:t xml:space="preserve">). </w:t>
      </w:r>
      <w:r w:rsidR="00091EDF" w:rsidRPr="00BA2632">
        <w:t xml:space="preserve">Core monitoring activities took place according to plan except for adult fish surveys that were originally scheduled for </w:t>
      </w:r>
      <w:r w:rsidR="00953AF4">
        <w:t>April/</w:t>
      </w:r>
      <w:r w:rsidR="00875D2B" w:rsidRPr="00BA2632">
        <w:t>May</w:t>
      </w:r>
      <w:r w:rsidR="00091EDF" w:rsidRPr="00BA2632">
        <w:t xml:space="preserve"> 202</w:t>
      </w:r>
      <w:r w:rsidR="00AA0438">
        <w:t>1</w:t>
      </w:r>
      <w:r w:rsidR="00091EDF" w:rsidRPr="00BA2632">
        <w:t xml:space="preserve"> but were delayed until </w:t>
      </w:r>
      <w:r w:rsidR="00953AF4">
        <w:t>May/</w:t>
      </w:r>
      <w:r w:rsidR="00091EDF" w:rsidRPr="00BA2632">
        <w:t>June 202</w:t>
      </w:r>
      <w:r w:rsidR="00953AF4">
        <w:t>1</w:t>
      </w:r>
      <w:r w:rsidR="00091EDF" w:rsidRPr="00BA2632">
        <w:t xml:space="preserve"> because of high flows in </w:t>
      </w:r>
      <w:r w:rsidR="00953AF4">
        <w:t xml:space="preserve">late April/early </w:t>
      </w:r>
      <w:r w:rsidR="00091EDF" w:rsidRPr="00BA2632">
        <w:t>May due to significant rainfall in the catchment.</w:t>
      </w:r>
      <w:r w:rsidR="00B76FF3" w:rsidRPr="00BA2632">
        <w:t xml:space="preserve"> Detailed discussions of monitoring activities, how they differed from planned activities, </w:t>
      </w:r>
      <w:proofErr w:type="gramStart"/>
      <w:r w:rsidR="00B76FF3" w:rsidRPr="00BA2632">
        <w:t>results</w:t>
      </w:r>
      <w:proofErr w:type="gramEnd"/>
      <w:r w:rsidR="00B76FF3" w:rsidRPr="00BA2632">
        <w:t xml:space="preserve"> and discussion, are presented separately for each discipline in the following chapters.</w:t>
      </w:r>
    </w:p>
    <w:p w14:paraId="5DA97C77" w14:textId="19D8EE72" w:rsidR="00771A81" w:rsidRDefault="00091EDF" w:rsidP="009F2B1D">
      <w:r w:rsidRPr="00BA2632">
        <w:t>A feature of the 20</w:t>
      </w:r>
      <w:r w:rsidR="00F237CE">
        <w:t>20-21</w:t>
      </w:r>
      <w:r w:rsidRPr="00BA2632">
        <w:t xml:space="preserve"> monitoring was the continuation of turf mat monitoring for sediment deposition rates</w:t>
      </w:r>
      <w:r w:rsidR="00B76FF3" w:rsidRPr="00BA2632">
        <w:t xml:space="preserve"> and seed growth</w:t>
      </w:r>
      <w:r w:rsidRPr="00BA2632">
        <w:t xml:space="preserve">.  Turf mat monitoring was introduced in </w:t>
      </w:r>
      <w:r w:rsidR="00B76FF3" w:rsidRPr="00BA2632">
        <w:t>the 5</w:t>
      </w:r>
      <w:r w:rsidR="00B76FF3" w:rsidRPr="00BA2632">
        <w:rPr>
          <w:vertAlign w:val="superscript"/>
        </w:rPr>
        <w:t>th</w:t>
      </w:r>
      <w:r w:rsidR="00B76FF3" w:rsidRPr="00BA2632">
        <w:t xml:space="preserve"> year of the Goulburn LTIM (</w:t>
      </w:r>
      <w:r w:rsidRPr="00BA2632">
        <w:t>20</w:t>
      </w:r>
      <w:r w:rsidR="00B76FF3" w:rsidRPr="00BA2632">
        <w:t xml:space="preserve">18-19) and is continuing under the MER as a </w:t>
      </w:r>
      <w:r w:rsidR="00A07633" w:rsidRPr="00BA2632">
        <w:t>C</w:t>
      </w:r>
      <w:r w:rsidR="00B76FF3" w:rsidRPr="00BA2632">
        <w:t xml:space="preserve">ontingency </w:t>
      </w:r>
      <w:r w:rsidR="00A07633" w:rsidRPr="00BA2632">
        <w:t>M</w:t>
      </w:r>
      <w:r w:rsidR="00B76FF3" w:rsidRPr="00BA2632">
        <w:t xml:space="preserve">onitoring activity.  </w:t>
      </w:r>
      <w:r w:rsidR="008B06B6">
        <w:t>Two other</w:t>
      </w:r>
      <w:r w:rsidR="00800863">
        <w:t xml:space="preserve"> </w:t>
      </w:r>
      <w:r w:rsidR="0028137F">
        <w:t xml:space="preserve">contingency monitoring activities were </w:t>
      </w:r>
      <w:r w:rsidR="00800863">
        <w:t xml:space="preserve">also </w:t>
      </w:r>
      <w:r w:rsidR="008B06B6">
        <w:t>undertaken</w:t>
      </w:r>
      <w:r w:rsidR="0028137F">
        <w:t xml:space="preserve"> in 2020-21</w:t>
      </w:r>
      <w:r w:rsidR="00F21FDA">
        <w:t>.  These included</w:t>
      </w:r>
      <w:r w:rsidR="00771A81">
        <w:t>:</w:t>
      </w:r>
    </w:p>
    <w:p w14:paraId="0FD3A6FE" w14:textId="4DA1EBBE" w:rsidR="00E0058E" w:rsidRDefault="00771A81" w:rsidP="00DE6E94">
      <w:pPr>
        <w:pStyle w:val="ListBullet"/>
        <w:numPr>
          <w:ilvl w:val="0"/>
          <w:numId w:val="97"/>
        </w:numPr>
      </w:pPr>
      <w:r>
        <w:t>L</w:t>
      </w:r>
      <w:r w:rsidR="00F21FDA">
        <w:t xml:space="preserve">arval fish surveys in the Murray River upstream and downstream of the Goulburn River to determine </w:t>
      </w:r>
      <w:r w:rsidR="00E55D78">
        <w:t xml:space="preserve">the contribution that larval drift from the Goulburn River was making to the Murray River population (see Section </w:t>
      </w:r>
      <w:r w:rsidR="008D1121">
        <w:t>11</w:t>
      </w:r>
      <w:r w:rsidR="00E55D78">
        <w:t xml:space="preserve"> for more details</w:t>
      </w:r>
      <w:r>
        <w:t>)</w:t>
      </w:r>
    </w:p>
    <w:p w14:paraId="49A745FA" w14:textId="7A20EA34" w:rsidR="00E86215" w:rsidRDefault="006157A5" w:rsidP="00DE6E94">
      <w:pPr>
        <w:pStyle w:val="ListBullet"/>
        <w:numPr>
          <w:ilvl w:val="0"/>
          <w:numId w:val="97"/>
        </w:numPr>
      </w:pPr>
      <w:r>
        <w:lastRenderedPageBreak/>
        <w:t>Pelagic metabolism using light / dark bottles to determine the relative contributions of benthic versus water column metabolism to whole stream metabolism</w:t>
      </w:r>
      <w:r w:rsidR="00AE6598">
        <w:t xml:space="preserve"> (see Section </w:t>
      </w:r>
      <w:r w:rsidR="008D1121">
        <w:t>10</w:t>
      </w:r>
      <w:r w:rsidR="00AE6598">
        <w:t xml:space="preserve"> for more details)</w:t>
      </w:r>
      <w:r w:rsidR="00CC1AC4">
        <w:t>.</w:t>
      </w:r>
    </w:p>
    <w:p w14:paraId="7475F079" w14:textId="4727C234" w:rsidR="00CC1AC4" w:rsidRPr="00BA2632" w:rsidRDefault="00CC1AC4" w:rsidP="00CC1AC4">
      <w:r>
        <w:t>We also commenced an integrated research project</w:t>
      </w:r>
      <w:r w:rsidR="00E43A12">
        <w:t xml:space="preserve"> to </w:t>
      </w:r>
      <w:r w:rsidR="00931D27">
        <w:t xml:space="preserve">1), </w:t>
      </w:r>
      <w:r w:rsidR="000B256F" w:rsidRPr="002A5748">
        <w:t xml:space="preserve">identify </w:t>
      </w:r>
      <w:r w:rsidR="000B256F">
        <w:t xml:space="preserve">types of </w:t>
      </w:r>
      <w:proofErr w:type="spellStart"/>
      <w:r w:rsidR="000B256F" w:rsidRPr="002A5748">
        <w:t>slackwaters</w:t>
      </w:r>
      <w:proofErr w:type="spellEnd"/>
      <w:r w:rsidR="000B256F" w:rsidRPr="002A5748">
        <w:t xml:space="preserve"> and habitat characteristics</w:t>
      </w:r>
      <w:r w:rsidR="000B256F">
        <w:t xml:space="preserve"> of </w:t>
      </w:r>
      <w:proofErr w:type="spellStart"/>
      <w:r w:rsidR="000B256F">
        <w:t>slackwaters</w:t>
      </w:r>
      <w:proofErr w:type="spellEnd"/>
      <w:r w:rsidR="000B256F" w:rsidRPr="002A5748">
        <w:t xml:space="preserve"> that are important for biota and ecological processes occurring in the lower Goulburn River</w:t>
      </w:r>
      <w:r w:rsidR="00931D27">
        <w:t xml:space="preserve"> and 2), </w:t>
      </w:r>
      <w:r w:rsidR="000B256F" w:rsidRPr="002A5748">
        <w:t>identify the distribution of important habitat types and management actions (</w:t>
      </w:r>
      <w:proofErr w:type="gramStart"/>
      <w:r w:rsidR="000B256F" w:rsidRPr="002A5748">
        <w:t>e.g.</w:t>
      </w:r>
      <w:proofErr w:type="gramEnd"/>
      <w:r w:rsidR="000B256F" w:rsidRPr="002A5748">
        <w:t xml:space="preserve"> required flows) t</w:t>
      </w:r>
      <w:r w:rsidR="000B256F">
        <w:t>o optimise these habitat types</w:t>
      </w:r>
      <w:r w:rsidR="00E14F0A">
        <w:t xml:space="preserve"> (see Section </w:t>
      </w:r>
      <w:r w:rsidR="008D1121">
        <w:t>12</w:t>
      </w:r>
      <w:r w:rsidR="00E14F0A">
        <w:t xml:space="preserve"> for more details)</w:t>
      </w:r>
      <w:r w:rsidR="000B256F">
        <w:t>.</w:t>
      </w:r>
    </w:p>
    <w:p w14:paraId="377C1BDF" w14:textId="0AA12E93" w:rsidR="00420617" w:rsidRDefault="00420617" w:rsidP="00420617">
      <w:pPr>
        <w:pStyle w:val="Caption"/>
        <w:keepNext/>
      </w:pPr>
      <w:bookmarkStart w:id="36" w:name="_Ref83737775"/>
      <w:bookmarkStart w:id="37" w:name="_Toc95391453"/>
      <w:bookmarkStart w:id="38" w:name="_Ref465514166"/>
      <w:bookmarkStart w:id="39" w:name="_Ref465514160"/>
      <w:bookmarkStart w:id="40" w:name="_Toc500342926"/>
      <w:bookmarkStart w:id="41" w:name="_Ref496713866"/>
      <w:bookmarkStart w:id="42" w:name="_Toc24468449"/>
      <w:r>
        <w:t xml:space="preserve">Table </w:t>
      </w:r>
      <w:r w:rsidR="000B75AF">
        <w:rPr>
          <w:noProof/>
        </w:rPr>
        <w:t>2</w:t>
      </w:r>
      <w:r w:rsidR="000B75AF">
        <w:noBreakHyphen/>
      </w:r>
      <w:r w:rsidR="000B75AF">
        <w:rPr>
          <w:noProof/>
        </w:rPr>
        <w:t>2</w:t>
      </w:r>
      <w:bookmarkEnd w:id="36"/>
      <w:r>
        <w:t xml:space="preserve"> </w:t>
      </w:r>
      <w:r w:rsidRPr="00D00423">
        <w:t>Schedule of planned and actual monitoring activities by month for 2020-21.</w:t>
      </w:r>
      <w:bookmarkEnd w:id="37"/>
    </w:p>
    <w:tbl>
      <w:tblPr>
        <w:tblW w:w="5100"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85" w:type="dxa"/>
          <w:right w:w="85" w:type="dxa"/>
        </w:tblCellMar>
        <w:tblLook w:val="04A0" w:firstRow="1" w:lastRow="0" w:firstColumn="1" w:lastColumn="0" w:noHBand="0" w:noVBand="1"/>
      </w:tblPr>
      <w:tblGrid>
        <w:gridCol w:w="1842"/>
        <w:gridCol w:w="1149"/>
        <w:gridCol w:w="158"/>
        <w:gridCol w:w="1128"/>
        <w:gridCol w:w="875"/>
        <w:gridCol w:w="414"/>
        <w:gridCol w:w="414"/>
        <w:gridCol w:w="414"/>
        <w:gridCol w:w="414"/>
        <w:gridCol w:w="414"/>
        <w:gridCol w:w="414"/>
        <w:gridCol w:w="414"/>
        <w:gridCol w:w="414"/>
        <w:gridCol w:w="414"/>
        <w:gridCol w:w="414"/>
        <w:gridCol w:w="414"/>
        <w:gridCol w:w="398"/>
      </w:tblGrid>
      <w:tr w:rsidR="0059034C" w:rsidRPr="00EC236A" w14:paraId="766CF6C8" w14:textId="77777777" w:rsidTr="0020203B">
        <w:trPr>
          <w:cantSplit/>
          <w:tblHeader/>
          <w:jc w:val="center"/>
        </w:trPr>
        <w:tc>
          <w:tcPr>
            <w:tcW w:w="911" w:type="pct"/>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063061" w:themeFill="accent1" w:themeFillShade="BF"/>
            <w:vAlign w:val="center"/>
            <w:hideMark/>
          </w:tcPr>
          <w:bookmarkEnd w:id="38"/>
          <w:bookmarkEnd w:id="39"/>
          <w:bookmarkEnd w:id="40"/>
          <w:bookmarkEnd w:id="41"/>
          <w:bookmarkEnd w:id="42"/>
          <w:p w14:paraId="1FCF1E9B" w14:textId="77777777" w:rsidR="0059034C" w:rsidRPr="00EC236A" w:rsidRDefault="0059034C" w:rsidP="00E67217">
            <w:pPr>
              <w:pStyle w:val="Tablesmallheading"/>
              <w:jc w:val="left"/>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Monitoring activity</w:t>
            </w:r>
          </w:p>
        </w:tc>
        <w:tc>
          <w:tcPr>
            <w:tcW w:w="1204" w:type="pct"/>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vAlign w:val="center"/>
            <w:hideMark/>
          </w:tcPr>
          <w:p w14:paraId="67D5E59D" w14:textId="0D2C8E1A" w:rsidR="0059034C" w:rsidRPr="00EC236A" w:rsidRDefault="00DA5369"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N</w:t>
            </w:r>
            <w:r>
              <w:rPr>
                <w:rFonts w:asciiTheme="minorHAnsi" w:hAnsiTheme="minorHAnsi" w:cstheme="minorHAnsi"/>
                <w:color w:val="FFFFFF" w:themeColor="background1"/>
                <w:sz w:val="18"/>
                <w:szCs w:val="18"/>
              </w:rPr>
              <w:t>umber</w:t>
            </w:r>
            <w:r w:rsidR="0059034C" w:rsidRPr="00EC236A">
              <w:rPr>
                <w:rFonts w:asciiTheme="minorHAnsi" w:hAnsiTheme="minorHAnsi" w:cstheme="minorHAnsi"/>
                <w:color w:val="FFFFFF" w:themeColor="background1"/>
                <w:sz w:val="18"/>
                <w:szCs w:val="18"/>
              </w:rPr>
              <w:t xml:space="preserve"> of sites per Zone</w:t>
            </w:r>
          </w:p>
        </w:tc>
        <w:tc>
          <w:tcPr>
            <w:tcW w:w="433" w:type="pct"/>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063061" w:themeFill="accent1" w:themeFillShade="BF"/>
            <w:vAlign w:val="center"/>
            <w:hideMark/>
          </w:tcPr>
          <w:p w14:paraId="13D6B8EA"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Planned / Actual</w:t>
            </w:r>
          </w:p>
        </w:tc>
        <w:tc>
          <w:tcPr>
            <w:tcW w:w="2452" w:type="pct"/>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vAlign w:val="center"/>
            <w:hideMark/>
          </w:tcPr>
          <w:p w14:paraId="2F80ACAB" w14:textId="2A076659"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 xml:space="preserve">Schedule of planned and actual activities in </w:t>
            </w:r>
            <w:r w:rsidR="008D1001">
              <w:rPr>
                <w:rFonts w:asciiTheme="minorHAnsi" w:hAnsiTheme="minorHAnsi" w:cstheme="minorHAnsi"/>
                <w:color w:val="FFFFFF" w:themeColor="background1"/>
                <w:sz w:val="18"/>
                <w:szCs w:val="18"/>
              </w:rPr>
              <w:t>2020-21</w:t>
            </w:r>
          </w:p>
        </w:tc>
      </w:tr>
      <w:tr w:rsidR="00BC6289" w:rsidRPr="00EC236A" w14:paraId="09E9AB65" w14:textId="77777777" w:rsidTr="0020203B">
        <w:trPr>
          <w:cantSplit/>
          <w:tblHeader/>
          <w:jc w:val="center"/>
        </w:trPr>
        <w:tc>
          <w:tcPr>
            <w:tcW w:w="911" w:type="pct"/>
            <w:vMerge/>
            <w:tcBorders>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4D444E9E" w14:textId="77777777" w:rsidR="0059034C" w:rsidRPr="00EC236A" w:rsidRDefault="0059034C" w:rsidP="00E67217">
            <w:pPr>
              <w:spacing w:after="0" w:line="240" w:lineRule="auto"/>
              <w:jc w:val="left"/>
              <w:rPr>
                <w:rFonts w:cstheme="minorHAnsi"/>
                <w:b/>
                <w:color w:val="FFFFFF" w:themeColor="background1"/>
                <w:sz w:val="18"/>
                <w:szCs w:val="18"/>
                <w:lang w:val="en-GB" w:eastAsia="en-US"/>
              </w:rPr>
            </w:pPr>
          </w:p>
        </w:tc>
        <w:tc>
          <w:tcPr>
            <w:tcW w:w="646" w:type="pct"/>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vAlign w:val="center"/>
            <w:hideMark/>
          </w:tcPr>
          <w:p w14:paraId="5088D5E5"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Zone 1</w:t>
            </w:r>
          </w:p>
        </w:tc>
        <w:tc>
          <w:tcPr>
            <w:tcW w:w="55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vAlign w:val="center"/>
            <w:hideMark/>
          </w:tcPr>
          <w:p w14:paraId="2C828B82"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Zone 2</w:t>
            </w:r>
          </w:p>
        </w:tc>
        <w:tc>
          <w:tcPr>
            <w:tcW w:w="433" w:type="pct"/>
            <w:vMerge/>
            <w:tcBorders>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272EC17C" w14:textId="77777777" w:rsidR="0059034C" w:rsidRPr="00EC236A" w:rsidRDefault="0059034C" w:rsidP="00CC1B81">
            <w:pPr>
              <w:spacing w:after="0" w:line="240" w:lineRule="auto"/>
              <w:jc w:val="center"/>
              <w:rPr>
                <w:rFonts w:cstheme="minorHAnsi"/>
                <w:b/>
                <w:color w:val="FFFFFF" w:themeColor="background1"/>
                <w:sz w:val="18"/>
                <w:szCs w:val="18"/>
                <w:lang w:val="en-GB" w:eastAsia="en-US"/>
              </w:rPr>
            </w:pPr>
          </w:p>
        </w:tc>
        <w:tc>
          <w:tcPr>
            <w:tcW w:w="20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tcMar>
              <w:top w:w="0" w:type="dxa"/>
              <w:left w:w="0" w:type="dxa"/>
              <w:bottom w:w="0" w:type="dxa"/>
              <w:right w:w="0" w:type="dxa"/>
            </w:tcMar>
            <w:vAlign w:val="center"/>
            <w:hideMark/>
          </w:tcPr>
          <w:p w14:paraId="47C181EC"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J</w:t>
            </w:r>
          </w:p>
        </w:tc>
        <w:tc>
          <w:tcPr>
            <w:tcW w:w="20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tcMar>
              <w:top w:w="0" w:type="dxa"/>
              <w:left w:w="0" w:type="dxa"/>
              <w:bottom w:w="0" w:type="dxa"/>
              <w:right w:w="0" w:type="dxa"/>
            </w:tcMar>
            <w:vAlign w:val="center"/>
            <w:hideMark/>
          </w:tcPr>
          <w:p w14:paraId="65A20656"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A</w:t>
            </w:r>
          </w:p>
        </w:tc>
        <w:tc>
          <w:tcPr>
            <w:tcW w:w="20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tcMar>
              <w:top w:w="0" w:type="dxa"/>
              <w:left w:w="0" w:type="dxa"/>
              <w:bottom w:w="0" w:type="dxa"/>
              <w:right w:w="0" w:type="dxa"/>
            </w:tcMar>
            <w:vAlign w:val="center"/>
            <w:hideMark/>
          </w:tcPr>
          <w:p w14:paraId="13D9F5A6"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S</w:t>
            </w:r>
          </w:p>
        </w:tc>
        <w:tc>
          <w:tcPr>
            <w:tcW w:w="20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tcMar>
              <w:top w:w="0" w:type="dxa"/>
              <w:left w:w="0" w:type="dxa"/>
              <w:bottom w:w="0" w:type="dxa"/>
              <w:right w:w="0" w:type="dxa"/>
            </w:tcMar>
            <w:vAlign w:val="center"/>
            <w:hideMark/>
          </w:tcPr>
          <w:p w14:paraId="2BB1A411"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O</w:t>
            </w:r>
          </w:p>
        </w:tc>
        <w:tc>
          <w:tcPr>
            <w:tcW w:w="20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tcMar>
              <w:top w:w="0" w:type="dxa"/>
              <w:left w:w="0" w:type="dxa"/>
              <w:bottom w:w="0" w:type="dxa"/>
              <w:right w:w="0" w:type="dxa"/>
            </w:tcMar>
            <w:vAlign w:val="center"/>
            <w:hideMark/>
          </w:tcPr>
          <w:p w14:paraId="58EFF3F2"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N</w:t>
            </w:r>
          </w:p>
        </w:tc>
        <w:tc>
          <w:tcPr>
            <w:tcW w:w="20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tcMar>
              <w:top w:w="0" w:type="dxa"/>
              <w:left w:w="0" w:type="dxa"/>
              <w:bottom w:w="0" w:type="dxa"/>
              <w:right w:w="0" w:type="dxa"/>
            </w:tcMar>
            <w:vAlign w:val="center"/>
            <w:hideMark/>
          </w:tcPr>
          <w:p w14:paraId="086E679B"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D</w:t>
            </w:r>
          </w:p>
        </w:tc>
        <w:tc>
          <w:tcPr>
            <w:tcW w:w="20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tcMar>
              <w:top w:w="0" w:type="dxa"/>
              <w:left w:w="0" w:type="dxa"/>
              <w:bottom w:w="0" w:type="dxa"/>
              <w:right w:w="0" w:type="dxa"/>
            </w:tcMar>
            <w:vAlign w:val="center"/>
            <w:hideMark/>
          </w:tcPr>
          <w:p w14:paraId="0E894CE0"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J</w:t>
            </w:r>
          </w:p>
        </w:tc>
        <w:tc>
          <w:tcPr>
            <w:tcW w:w="20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tcMar>
              <w:top w:w="0" w:type="dxa"/>
              <w:left w:w="0" w:type="dxa"/>
              <w:bottom w:w="0" w:type="dxa"/>
              <w:right w:w="0" w:type="dxa"/>
            </w:tcMar>
            <w:vAlign w:val="center"/>
            <w:hideMark/>
          </w:tcPr>
          <w:p w14:paraId="4456DD41"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F</w:t>
            </w:r>
          </w:p>
        </w:tc>
        <w:tc>
          <w:tcPr>
            <w:tcW w:w="20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tcMar>
              <w:top w:w="0" w:type="dxa"/>
              <w:left w:w="0" w:type="dxa"/>
              <w:bottom w:w="0" w:type="dxa"/>
              <w:right w:w="0" w:type="dxa"/>
            </w:tcMar>
            <w:vAlign w:val="center"/>
            <w:hideMark/>
          </w:tcPr>
          <w:p w14:paraId="5372E313"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M</w:t>
            </w:r>
          </w:p>
        </w:tc>
        <w:tc>
          <w:tcPr>
            <w:tcW w:w="20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tcMar>
              <w:top w:w="0" w:type="dxa"/>
              <w:left w:w="0" w:type="dxa"/>
              <w:bottom w:w="0" w:type="dxa"/>
              <w:right w:w="0" w:type="dxa"/>
            </w:tcMar>
            <w:vAlign w:val="center"/>
            <w:hideMark/>
          </w:tcPr>
          <w:p w14:paraId="797E2F48"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A</w:t>
            </w:r>
          </w:p>
        </w:tc>
        <w:tc>
          <w:tcPr>
            <w:tcW w:w="20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tcMar>
              <w:top w:w="0" w:type="dxa"/>
              <w:left w:w="0" w:type="dxa"/>
              <w:bottom w:w="0" w:type="dxa"/>
              <w:right w:w="0" w:type="dxa"/>
            </w:tcMar>
            <w:vAlign w:val="center"/>
            <w:hideMark/>
          </w:tcPr>
          <w:p w14:paraId="78E8E61F"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M</w:t>
            </w:r>
          </w:p>
        </w:tc>
        <w:tc>
          <w:tcPr>
            <w:tcW w:w="199"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63061" w:themeFill="accent1" w:themeFillShade="BF"/>
            <w:tcMar>
              <w:top w:w="0" w:type="dxa"/>
              <w:left w:w="0" w:type="dxa"/>
              <w:bottom w:w="0" w:type="dxa"/>
              <w:right w:w="0" w:type="dxa"/>
            </w:tcMar>
            <w:vAlign w:val="center"/>
            <w:hideMark/>
          </w:tcPr>
          <w:p w14:paraId="19D134F7" w14:textId="77777777" w:rsidR="0059034C" w:rsidRPr="00EC236A" w:rsidRDefault="0059034C" w:rsidP="00CC1B81">
            <w:pPr>
              <w:pStyle w:val="Tablesmallheading"/>
              <w:jc w:val="center"/>
              <w:rPr>
                <w:rFonts w:asciiTheme="minorHAnsi" w:hAnsiTheme="minorHAnsi" w:cstheme="minorHAnsi"/>
                <w:color w:val="FFFFFF" w:themeColor="background1"/>
                <w:sz w:val="18"/>
                <w:szCs w:val="18"/>
              </w:rPr>
            </w:pPr>
            <w:r w:rsidRPr="00EC236A">
              <w:rPr>
                <w:rFonts w:asciiTheme="minorHAnsi" w:hAnsiTheme="minorHAnsi" w:cstheme="minorHAnsi"/>
                <w:color w:val="FFFFFF" w:themeColor="background1"/>
                <w:sz w:val="18"/>
                <w:szCs w:val="18"/>
              </w:rPr>
              <w:t>J</w:t>
            </w:r>
          </w:p>
        </w:tc>
      </w:tr>
      <w:tr w:rsidR="00B76FF3" w:rsidRPr="00EC236A" w14:paraId="7855593A" w14:textId="77777777" w:rsidTr="00DA5369">
        <w:trPr>
          <w:cantSplit/>
          <w:jc w:val="center"/>
        </w:trPr>
        <w:tc>
          <w:tcPr>
            <w:tcW w:w="5000" w:type="pct"/>
            <w:gridSpan w:val="17"/>
            <w:tcBorders>
              <w:top w:val="single" w:sz="4" w:space="0" w:color="7F7F7F" w:themeColor="text1" w:themeTint="80"/>
              <w:left w:val="single" w:sz="4" w:space="0" w:color="808080"/>
              <w:bottom w:val="single" w:sz="4" w:space="0" w:color="808080"/>
              <w:right w:val="single" w:sz="4" w:space="0" w:color="808080"/>
            </w:tcBorders>
            <w:vAlign w:val="center"/>
          </w:tcPr>
          <w:p w14:paraId="7A75128B" w14:textId="4A557033" w:rsidR="00B76FF3" w:rsidRPr="00747AF0" w:rsidRDefault="00B76FF3" w:rsidP="00E67217">
            <w:pPr>
              <w:pStyle w:val="Tablesmalltext"/>
              <w:jc w:val="center"/>
              <w:rPr>
                <w:rFonts w:asciiTheme="minorHAnsi" w:hAnsiTheme="minorHAnsi" w:cstheme="minorHAnsi"/>
                <w:b/>
                <w:bCs/>
                <w:sz w:val="18"/>
                <w:szCs w:val="18"/>
              </w:rPr>
            </w:pPr>
            <w:r w:rsidRPr="00747AF0">
              <w:rPr>
                <w:rFonts w:asciiTheme="minorHAnsi" w:hAnsiTheme="minorHAnsi" w:cstheme="minorHAnsi"/>
                <w:b/>
                <w:bCs/>
                <w:sz w:val="18"/>
                <w:szCs w:val="18"/>
              </w:rPr>
              <w:t xml:space="preserve">Core </w:t>
            </w:r>
            <w:r w:rsidR="00C15C12" w:rsidRPr="00747AF0">
              <w:rPr>
                <w:rFonts w:asciiTheme="minorHAnsi" w:hAnsiTheme="minorHAnsi" w:cstheme="minorHAnsi"/>
                <w:b/>
                <w:bCs/>
                <w:sz w:val="18"/>
                <w:szCs w:val="18"/>
              </w:rPr>
              <w:t>M</w:t>
            </w:r>
            <w:r w:rsidRPr="00747AF0">
              <w:rPr>
                <w:rFonts w:asciiTheme="minorHAnsi" w:hAnsiTheme="minorHAnsi" w:cstheme="minorHAnsi"/>
                <w:b/>
                <w:bCs/>
                <w:sz w:val="18"/>
                <w:szCs w:val="18"/>
              </w:rPr>
              <w:t>onitoring</w:t>
            </w:r>
          </w:p>
        </w:tc>
      </w:tr>
      <w:tr w:rsidR="00BA2162" w:rsidRPr="00EC236A" w14:paraId="44AB7E31" w14:textId="77777777" w:rsidTr="0020203B">
        <w:trPr>
          <w:cantSplit/>
          <w:jc w:val="center"/>
        </w:trPr>
        <w:tc>
          <w:tcPr>
            <w:tcW w:w="911" w:type="pct"/>
            <w:vMerge w:val="restart"/>
            <w:tcBorders>
              <w:top w:val="single" w:sz="4" w:space="0" w:color="7F7F7F" w:themeColor="text1" w:themeTint="80"/>
              <w:left w:val="single" w:sz="4" w:space="0" w:color="808080"/>
              <w:bottom w:val="single" w:sz="4" w:space="0" w:color="808080"/>
              <w:right w:val="single" w:sz="4" w:space="0" w:color="808080"/>
            </w:tcBorders>
            <w:vAlign w:val="center"/>
            <w:hideMark/>
          </w:tcPr>
          <w:p w14:paraId="6460F5FD" w14:textId="1C598513" w:rsidR="00BA2162" w:rsidRPr="00C768B4" w:rsidRDefault="00BA2162" w:rsidP="00BA2162">
            <w:pPr>
              <w:pStyle w:val="Tablesmalltext"/>
              <w:jc w:val="left"/>
              <w:rPr>
                <w:rFonts w:asciiTheme="minorHAnsi" w:hAnsiTheme="minorHAnsi" w:cstheme="minorHAnsi"/>
                <w:sz w:val="18"/>
                <w:szCs w:val="18"/>
              </w:rPr>
            </w:pPr>
            <w:r w:rsidRPr="00C768B4">
              <w:rPr>
                <w:rFonts w:asciiTheme="minorHAnsi" w:hAnsiTheme="minorHAnsi" w:cstheme="minorHAnsi"/>
                <w:sz w:val="18"/>
                <w:szCs w:val="18"/>
              </w:rPr>
              <w:t xml:space="preserve">Adult Fish </w:t>
            </w:r>
          </w:p>
        </w:tc>
        <w:tc>
          <w:tcPr>
            <w:tcW w:w="568" w:type="pct"/>
            <w:vMerge w:val="restart"/>
            <w:tcBorders>
              <w:top w:val="single" w:sz="4" w:space="0" w:color="7F7F7F" w:themeColor="text1" w:themeTint="80"/>
              <w:left w:val="single" w:sz="4" w:space="0" w:color="808080"/>
              <w:bottom w:val="single" w:sz="4" w:space="0" w:color="808080"/>
              <w:right w:val="single" w:sz="4" w:space="0" w:color="808080"/>
            </w:tcBorders>
            <w:vAlign w:val="center"/>
          </w:tcPr>
          <w:p w14:paraId="76C9E2DE" w14:textId="77777777" w:rsidR="00BA2162" w:rsidRPr="00C768B4" w:rsidRDefault="00BA2162" w:rsidP="00BA2162">
            <w:pPr>
              <w:pStyle w:val="Tablesmalltext"/>
              <w:jc w:val="center"/>
              <w:rPr>
                <w:rFonts w:asciiTheme="minorHAnsi" w:hAnsiTheme="minorHAnsi" w:cstheme="minorHAnsi"/>
                <w:sz w:val="18"/>
                <w:szCs w:val="18"/>
              </w:rPr>
            </w:pPr>
          </w:p>
        </w:tc>
        <w:tc>
          <w:tcPr>
            <w:tcW w:w="636" w:type="pct"/>
            <w:gridSpan w:val="2"/>
            <w:vMerge w:val="restart"/>
            <w:tcBorders>
              <w:top w:val="single" w:sz="4" w:space="0" w:color="7F7F7F" w:themeColor="text1" w:themeTint="80"/>
              <w:left w:val="single" w:sz="4" w:space="0" w:color="808080"/>
              <w:bottom w:val="single" w:sz="4" w:space="0" w:color="808080"/>
              <w:right w:val="single" w:sz="4" w:space="0" w:color="808080"/>
            </w:tcBorders>
            <w:vAlign w:val="center"/>
            <w:hideMark/>
          </w:tcPr>
          <w:p w14:paraId="3A11576F" w14:textId="55CC83D6" w:rsidR="00BA2162" w:rsidRPr="00C768B4" w:rsidRDefault="00BA2162" w:rsidP="00BA2162">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10</w:t>
            </w:r>
          </w:p>
        </w:tc>
        <w:tc>
          <w:tcPr>
            <w:tcW w:w="433" w:type="pct"/>
            <w:tcBorders>
              <w:top w:val="single" w:sz="4" w:space="0" w:color="7F7F7F" w:themeColor="text1" w:themeTint="80"/>
              <w:left w:val="single" w:sz="4" w:space="0" w:color="808080"/>
              <w:bottom w:val="single" w:sz="4" w:space="0" w:color="808080"/>
              <w:right w:val="single" w:sz="4" w:space="0" w:color="808080"/>
            </w:tcBorders>
            <w:shd w:val="clear" w:color="auto" w:fill="74AFF5" w:themeFill="text2" w:themeFillTint="66"/>
            <w:vAlign w:val="center"/>
            <w:hideMark/>
          </w:tcPr>
          <w:p w14:paraId="46540FAC" w14:textId="3EA008C8" w:rsidR="00BA2162" w:rsidRPr="00C768B4" w:rsidRDefault="00BA2162" w:rsidP="00BA2162">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Planned</w:t>
            </w:r>
          </w:p>
        </w:tc>
        <w:tc>
          <w:tcPr>
            <w:tcW w:w="205" w:type="pct"/>
            <w:tcBorders>
              <w:top w:val="single" w:sz="4" w:space="0" w:color="7F7F7F" w:themeColor="text1" w:themeTint="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1EA04DD"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7F7F7F" w:themeColor="text1" w:themeTint="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9C961C9"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7F7F7F" w:themeColor="text1" w:themeTint="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DB92B25"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7F7F7F" w:themeColor="text1" w:themeTint="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3B8FD17" w14:textId="00B0F6E9"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7F7F7F" w:themeColor="text1" w:themeTint="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AD21C3E" w14:textId="73B84EB9"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7F7F7F" w:themeColor="text1" w:themeTint="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9925BE7" w14:textId="42CAA8BE"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7F7F7F" w:themeColor="text1" w:themeTint="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EDC7D8B"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7F7F7F" w:themeColor="text1" w:themeTint="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BC9020E"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7F7F7F" w:themeColor="text1" w:themeTint="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960B4A5"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7F7F7F" w:themeColor="text1" w:themeTint="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DFEE472" w14:textId="1DA4F49B" w:rsidR="00BA2162" w:rsidRPr="00EC236A" w:rsidRDefault="00BA2162" w:rsidP="00BA2162">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7F7F7F" w:themeColor="text1" w:themeTint="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68EE6B2" w14:textId="68BCCA4A" w:rsidR="00BA2162" w:rsidRPr="00EC236A" w:rsidRDefault="00BA2162" w:rsidP="00BA2162">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199" w:type="pct"/>
            <w:tcBorders>
              <w:top w:val="single" w:sz="4" w:space="0" w:color="7F7F7F" w:themeColor="text1" w:themeTint="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335091E" w14:textId="77777777" w:rsidR="00BA2162" w:rsidRPr="00EC236A" w:rsidRDefault="00BA2162" w:rsidP="00BA2162">
            <w:pPr>
              <w:pStyle w:val="Tablesmalltext"/>
              <w:jc w:val="center"/>
              <w:rPr>
                <w:rFonts w:asciiTheme="minorHAnsi" w:hAnsiTheme="minorHAnsi" w:cstheme="minorHAnsi"/>
                <w:sz w:val="18"/>
                <w:szCs w:val="18"/>
              </w:rPr>
            </w:pPr>
          </w:p>
        </w:tc>
      </w:tr>
      <w:tr w:rsidR="00BA2162" w:rsidRPr="00EC236A" w14:paraId="1992AF6F" w14:textId="77777777" w:rsidTr="0020203B">
        <w:trPr>
          <w:cantSplit/>
          <w:jc w:val="center"/>
        </w:trPr>
        <w:tc>
          <w:tcPr>
            <w:tcW w:w="911" w:type="pct"/>
            <w:vMerge/>
            <w:tcBorders>
              <w:top w:val="single" w:sz="4" w:space="0" w:color="7F7F7F" w:themeColor="text1" w:themeTint="80"/>
              <w:left w:val="single" w:sz="4" w:space="0" w:color="808080"/>
              <w:bottom w:val="single" w:sz="4" w:space="0" w:color="808080"/>
              <w:right w:val="single" w:sz="4" w:space="0" w:color="808080"/>
            </w:tcBorders>
            <w:vAlign w:val="center"/>
            <w:hideMark/>
          </w:tcPr>
          <w:p w14:paraId="021503C8" w14:textId="77777777" w:rsidR="00BA2162" w:rsidRPr="00C768B4" w:rsidRDefault="00BA2162" w:rsidP="00BA2162">
            <w:pPr>
              <w:spacing w:after="0" w:line="240" w:lineRule="auto"/>
              <w:jc w:val="left"/>
              <w:rPr>
                <w:rFonts w:cstheme="minorHAnsi"/>
                <w:sz w:val="18"/>
                <w:szCs w:val="18"/>
                <w:lang w:val="en-GB" w:eastAsia="en-US"/>
              </w:rPr>
            </w:pPr>
          </w:p>
        </w:tc>
        <w:tc>
          <w:tcPr>
            <w:tcW w:w="568" w:type="pct"/>
            <w:vMerge/>
            <w:tcBorders>
              <w:top w:val="single" w:sz="4" w:space="0" w:color="7F7F7F" w:themeColor="text1" w:themeTint="80"/>
              <w:left w:val="single" w:sz="4" w:space="0" w:color="808080"/>
              <w:bottom w:val="single" w:sz="4" w:space="0" w:color="808080"/>
              <w:right w:val="single" w:sz="4" w:space="0" w:color="808080"/>
            </w:tcBorders>
            <w:vAlign w:val="center"/>
            <w:hideMark/>
          </w:tcPr>
          <w:p w14:paraId="7B3ECB4C" w14:textId="77777777" w:rsidR="00BA2162" w:rsidRPr="00C768B4" w:rsidRDefault="00BA2162" w:rsidP="00BA2162">
            <w:pPr>
              <w:spacing w:after="0" w:line="240" w:lineRule="auto"/>
              <w:jc w:val="center"/>
              <w:rPr>
                <w:rFonts w:cstheme="minorHAnsi"/>
                <w:sz w:val="18"/>
                <w:szCs w:val="18"/>
                <w:lang w:val="en-GB" w:eastAsia="en-US"/>
              </w:rPr>
            </w:pPr>
          </w:p>
        </w:tc>
        <w:tc>
          <w:tcPr>
            <w:tcW w:w="636" w:type="pct"/>
            <w:gridSpan w:val="2"/>
            <w:vMerge/>
            <w:tcBorders>
              <w:top w:val="single" w:sz="4" w:space="0" w:color="7F7F7F" w:themeColor="text1" w:themeTint="80"/>
              <w:left w:val="single" w:sz="4" w:space="0" w:color="808080"/>
              <w:bottom w:val="single" w:sz="4" w:space="0" w:color="808080"/>
              <w:right w:val="single" w:sz="4" w:space="0" w:color="808080"/>
            </w:tcBorders>
            <w:vAlign w:val="center"/>
            <w:hideMark/>
          </w:tcPr>
          <w:p w14:paraId="330A12EE" w14:textId="77777777" w:rsidR="00BA2162" w:rsidRPr="00C768B4" w:rsidRDefault="00BA2162" w:rsidP="00BA2162">
            <w:pPr>
              <w:spacing w:after="0" w:line="240" w:lineRule="auto"/>
              <w:jc w:val="center"/>
              <w:rPr>
                <w:rFonts w:cstheme="minorHAnsi"/>
                <w:sz w:val="18"/>
                <w:szCs w:val="18"/>
                <w:lang w:val="en-GB" w:eastAsia="en-US"/>
              </w:rPr>
            </w:pPr>
          </w:p>
        </w:tc>
        <w:tc>
          <w:tcPr>
            <w:tcW w:w="433" w:type="pct"/>
            <w:tcBorders>
              <w:top w:val="single" w:sz="4" w:space="0" w:color="808080"/>
              <w:left w:val="single" w:sz="4" w:space="0" w:color="808080"/>
              <w:bottom w:val="single" w:sz="4" w:space="0" w:color="808080"/>
              <w:right w:val="single" w:sz="4" w:space="0" w:color="808080"/>
            </w:tcBorders>
            <w:shd w:val="clear" w:color="auto" w:fill="8BC2D1" w:themeFill="accent2" w:themeFillTint="99"/>
            <w:vAlign w:val="center"/>
            <w:hideMark/>
          </w:tcPr>
          <w:p w14:paraId="248509A8" w14:textId="58DF1AF1" w:rsidR="00BA2162" w:rsidRPr="00C768B4" w:rsidRDefault="00BA2162" w:rsidP="00BA2162">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Actual</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ED039AA"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540FB1C"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8EE3E89"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6E1CDB0" w14:textId="16BD29DA"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F9C8A18" w14:textId="499FE912"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36A7430" w14:textId="1FFD0B1C"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5F83B7E"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F0F1363"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06782CC"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E11B10A"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7C199CE" w14:textId="2323BC0E" w:rsidR="00BA2162" w:rsidRPr="00EC236A" w:rsidRDefault="00BA2162" w:rsidP="00BA2162">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936777C" w14:textId="6190935C" w:rsidR="00BA2162" w:rsidRPr="00EC236A" w:rsidRDefault="00BA2162" w:rsidP="00BA2162">
            <w:pPr>
              <w:pStyle w:val="Tablesmalltext"/>
              <w:jc w:val="center"/>
              <w:rPr>
                <w:rFonts w:asciiTheme="minorHAnsi" w:hAnsiTheme="minorHAnsi" w:cstheme="minorHAnsi"/>
                <w:sz w:val="18"/>
                <w:szCs w:val="18"/>
              </w:rPr>
            </w:pPr>
            <w:r w:rsidRPr="00BA2632">
              <w:rPr>
                <w:rFonts w:ascii="Wingdings" w:eastAsia="Wingdings" w:hAnsi="Wingdings" w:cs="Wingdings"/>
              </w:rPr>
              <w:t></w:t>
            </w:r>
          </w:p>
        </w:tc>
      </w:tr>
      <w:tr w:rsidR="00BA2162" w:rsidRPr="00EC236A" w14:paraId="651F9ECD" w14:textId="77777777" w:rsidTr="0020203B">
        <w:trPr>
          <w:cantSplit/>
          <w:jc w:val="center"/>
        </w:trPr>
        <w:tc>
          <w:tcPr>
            <w:tcW w:w="911" w:type="pct"/>
            <w:vMerge w:val="restart"/>
            <w:tcBorders>
              <w:top w:val="single" w:sz="4" w:space="0" w:color="808080"/>
              <w:left w:val="single" w:sz="4" w:space="0" w:color="808080"/>
              <w:bottom w:val="single" w:sz="4" w:space="0" w:color="808080"/>
              <w:right w:val="single" w:sz="4" w:space="0" w:color="808080"/>
            </w:tcBorders>
            <w:vAlign w:val="center"/>
            <w:hideMark/>
          </w:tcPr>
          <w:p w14:paraId="2B60F191" w14:textId="70BAA790" w:rsidR="00BA2162" w:rsidRPr="00C768B4" w:rsidRDefault="00BA2162" w:rsidP="00BA2162">
            <w:pPr>
              <w:pStyle w:val="Tablesmalltext"/>
              <w:jc w:val="left"/>
              <w:rPr>
                <w:rFonts w:asciiTheme="minorHAnsi" w:hAnsiTheme="minorHAnsi" w:cstheme="minorHAnsi"/>
                <w:sz w:val="18"/>
                <w:szCs w:val="18"/>
              </w:rPr>
            </w:pPr>
            <w:r w:rsidRPr="00C768B4">
              <w:rPr>
                <w:rFonts w:asciiTheme="minorHAnsi" w:hAnsiTheme="minorHAnsi" w:cstheme="minorHAnsi"/>
                <w:sz w:val="18"/>
                <w:szCs w:val="18"/>
              </w:rPr>
              <w:t>Fish Larvae</w:t>
            </w:r>
          </w:p>
        </w:tc>
        <w:tc>
          <w:tcPr>
            <w:tcW w:w="568" w:type="pct"/>
            <w:vMerge w:val="restart"/>
            <w:tcBorders>
              <w:top w:val="single" w:sz="4" w:space="0" w:color="808080"/>
              <w:left w:val="single" w:sz="4" w:space="0" w:color="808080"/>
              <w:bottom w:val="single" w:sz="4" w:space="0" w:color="808080"/>
              <w:right w:val="single" w:sz="4" w:space="0" w:color="808080"/>
            </w:tcBorders>
            <w:vAlign w:val="center"/>
            <w:hideMark/>
          </w:tcPr>
          <w:p w14:paraId="41202303" w14:textId="0024C35B" w:rsidR="00BA2162" w:rsidRPr="00C768B4" w:rsidRDefault="00BA2162" w:rsidP="00BA2162">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1</w:t>
            </w:r>
          </w:p>
        </w:tc>
        <w:tc>
          <w:tcPr>
            <w:tcW w:w="636" w:type="pct"/>
            <w:gridSpan w:val="2"/>
            <w:vMerge w:val="restart"/>
            <w:tcBorders>
              <w:top w:val="single" w:sz="4" w:space="0" w:color="808080"/>
              <w:left w:val="single" w:sz="4" w:space="0" w:color="808080"/>
              <w:bottom w:val="single" w:sz="4" w:space="0" w:color="808080"/>
              <w:right w:val="single" w:sz="4" w:space="0" w:color="808080"/>
            </w:tcBorders>
            <w:vAlign w:val="center"/>
            <w:hideMark/>
          </w:tcPr>
          <w:p w14:paraId="08EC140B" w14:textId="19E616F9" w:rsidR="00BA2162" w:rsidRPr="00C768B4" w:rsidRDefault="00BA2162" w:rsidP="00BA2162">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3</w:t>
            </w:r>
          </w:p>
        </w:tc>
        <w:tc>
          <w:tcPr>
            <w:tcW w:w="433" w:type="pct"/>
            <w:tcBorders>
              <w:top w:val="single" w:sz="4" w:space="0" w:color="808080"/>
              <w:left w:val="single" w:sz="4" w:space="0" w:color="808080"/>
              <w:bottom w:val="single" w:sz="4" w:space="0" w:color="808080"/>
              <w:right w:val="single" w:sz="4" w:space="0" w:color="808080"/>
            </w:tcBorders>
            <w:shd w:val="clear" w:color="auto" w:fill="74AFF5" w:themeFill="text2" w:themeFillTint="66"/>
            <w:vAlign w:val="center"/>
            <w:hideMark/>
          </w:tcPr>
          <w:p w14:paraId="63C99753" w14:textId="0768175A" w:rsidR="00BA2162" w:rsidRPr="00C768B4" w:rsidRDefault="00BA2162" w:rsidP="00BA2162">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Planned</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7BF473C"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01C9AD9"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46D2656"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A649139" w14:textId="2AB0BA0B" w:rsidR="00BA2162" w:rsidRPr="00EC236A" w:rsidRDefault="00BA2162" w:rsidP="00BA2162">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F242BB2" w14:textId="5981BA5F" w:rsidR="00BA2162" w:rsidRPr="00EC236A" w:rsidRDefault="00BA2162" w:rsidP="00BA2162">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9AD2C66" w14:textId="4DE0A52B" w:rsidR="00BA2162" w:rsidRPr="00EC236A" w:rsidRDefault="00BA2162" w:rsidP="00BA2162">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38D0BA3"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5044A19"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09B91C6"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B3439F7"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DA074E6" w14:textId="77777777" w:rsidR="00BA2162" w:rsidRPr="00EC236A" w:rsidRDefault="00BA2162" w:rsidP="00BA2162">
            <w:pPr>
              <w:pStyle w:val="Tablesmalltext"/>
              <w:jc w:val="center"/>
              <w:rPr>
                <w:rFonts w:asciiTheme="minorHAnsi" w:hAnsiTheme="minorHAnsi" w:cstheme="minorHAnsi"/>
                <w:sz w:val="18"/>
                <w:szCs w:val="18"/>
              </w:rPr>
            </w:pP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FB16FEC" w14:textId="77777777" w:rsidR="00BA2162" w:rsidRPr="00EC236A" w:rsidRDefault="00BA2162" w:rsidP="00BA2162">
            <w:pPr>
              <w:pStyle w:val="Tablesmalltext"/>
              <w:jc w:val="center"/>
              <w:rPr>
                <w:rFonts w:asciiTheme="minorHAnsi" w:hAnsiTheme="minorHAnsi" w:cstheme="minorHAnsi"/>
                <w:sz w:val="18"/>
                <w:szCs w:val="18"/>
              </w:rPr>
            </w:pPr>
          </w:p>
        </w:tc>
      </w:tr>
      <w:tr w:rsidR="00BA2162" w:rsidRPr="00EC236A" w14:paraId="65994CE7" w14:textId="77777777" w:rsidTr="0020203B">
        <w:trPr>
          <w:cantSplit/>
          <w:jc w:val="center"/>
        </w:trPr>
        <w:tc>
          <w:tcPr>
            <w:tcW w:w="911" w:type="pct"/>
            <w:vMerge/>
            <w:tcBorders>
              <w:top w:val="single" w:sz="4" w:space="0" w:color="808080"/>
              <w:left w:val="single" w:sz="4" w:space="0" w:color="808080"/>
              <w:bottom w:val="single" w:sz="4" w:space="0" w:color="808080"/>
              <w:right w:val="single" w:sz="4" w:space="0" w:color="808080"/>
            </w:tcBorders>
            <w:vAlign w:val="center"/>
            <w:hideMark/>
          </w:tcPr>
          <w:p w14:paraId="091C1829" w14:textId="77777777" w:rsidR="00BA2162" w:rsidRPr="00C768B4" w:rsidRDefault="00BA2162" w:rsidP="00BA2162">
            <w:pPr>
              <w:spacing w:after="0" w:line="240" w:lineRule="auto"/>
              <w:jc w:val="left"/>
              <w:rPr>
                <w:rFonts w:cstheme="minorHAnsi"/>
                <w:sz w:val="18"/>
                <w:szCs w:val="18"/>
                <w:lang w:val="en-GB" w:eastAsia="en-US"/>
              </w:rPr>
            </w:pPr>
          </w:p>
        </w:tc>
        <w:tc>
          <w:tcPr>
            <w:tcW w:w="568" w:type="pct"/>
            <w:vMerge/>
            <w:tcBorders>
              <w:top w:val="single" w:sz="4" w:space="0" w:color="808080"/>
              <w:left w:val="single" w:sz="4" w:space="0" w:color="808080"/>
              <w:bottom w:val="single" w:sz="4" w:space="0" w:color="808080"/>
              <w:right w:val="single" w:sz="4" w:space="0" w:color="808080"/>
            </w:tcBorders>
            <w:vAlign w:val="center"/>
            <w:hideMark/>
          </w:tcPr>
          <w:p w14:paraId="15D78FC6" w14:textId="77777777" w:rsidR="00BA2162" w:rsidRPr="00C768B4" w:rsidRDefault="00BA2162" w:rsidP="00BA2162">
            <w:pPr>
              <w:spacing w:after="0" w:line="240" w:lineRule="auto"/>
              <w:jc w:val="center"/>
              <w:rPr>
                <w:rFonts w:cstheme="minorHAnsi"/>
                <w:sz w:val="18"/>
                <w:szCs w:val="18"/>
                <w:lang w:val="en-GB" w:eastAsia="en-US"/>
              </w:rPr>
            </w:pPr>
          </w:p>
        </w:tc>
        <w:tc>
          <w:tcPr>
            <w:tcW w:w="636" w:type="pct"/>
            <w:gridSpan w:val="2"/>
            <w:vMerge/>
            <w:tcBorders>
              <w:top w:val="single" w:sz="4" w:space="0" w:color="808080"/>
              <w:left w:val="single" w:sz="4" w:space="0" w:color="808080"/>
              <w:bottom w:val="single" w:sz="4" w:space="0" w:color="808080"/>
              <w:right w:val="single" w:sz="4" w:space="0" w:color="808080"/>
            </w:tcBorders>
            <w:vAlign w:val="center"/>
            <w:hideMark/>
          </w:tcPr>
          <w:p w14:paraId="09B35F39" w14:textId="77777777" w:rsidR="00BA2162" w:rsidRPr="00C768B4" w:rsidRDefault="00BA2162" w:rsidP="00BA2162">
            <w:pPr>
              <w:spacing w:after="0" w:line="240" w:lineRule="auto"/>
              <w:jc w:val="center"/>
              <w:rPr>
                <w:rFonts w:cstheme="minorHAnsi"/>
                <w:sz w:val="18"/>
                <w:szCs w:val="18"/>
                <w:lang w:val="en-GB" w:eastAsia="en-US"/>
              </w:rPr>
            </w:pPr>
          </w:p>
        </w:tc>
        <w:tc>
          <w:tcPr>
            <w:tcW w:w="433" w:type="pct"/>
            <w:tcBorders>
              <w:top w:val="single" w:sz="4" w:space="0" w:color="808080"/>
              <w:left w:val="single" w:sz="4" w:space="0" w:color="808080"/>
              <w:bottom w:val="single" w:sz="4" w:space="0" w:color="808080"/>
              <w:right w:val="single" w:sz="4" w:space="0" w:color="808080"/>
            </w:tcBorders>
            <w:shd w:val="clear" w:color="auto" w:fill="8BC2D1" w:themeFill="accent2" w:themeFillTint="99"/>
            <w:vAlign w:val="center"/>
            <w:hideMark/>
          </w:tcPr>
          <w:p w14:paraId="4158BB57" w14:textId="66BD8053" w:rsidR="00BA2162" w:rsidRPr="00C768B4" w:rsidRDefault="00BA2162" w:rsidP="00BA2162">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Actual</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417C3D6"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EC0AA4F"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05249B3"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FE25049" w14:textId="48F1AAE2" w:rsidR="00BA2162" w:rsidRPr="00EC236A" w:rsidRDefault="00BA2162" w:rsidP="00BA2162">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82EEED1" w14:textId="6EB9998F" w:rsidR="00BA2162" w:rsidRPr="00EC236A" w:rsidRDefault="00BA2162" w:rsidP="00BA2162">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B8C89C9" w14:textId="2DF313CC" w:rsidR="00BA2162" w:rsidRPr="00EC236A" w:rsidRDefault="00BA2162" w:rsidP="00BA2162">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98ED742"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7E4E6E7"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37B034A"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139D96B" w14:textId="77777777" w:rsidR="00BA2162" w:rsidRPr="00EC236A" w:rsidRDefault="00BA2162" w:rsidP="00BA2162">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356A5CD" w14:textId="77777777" w:rsidR="00BA2162" w:rsidRPr="00EC236A" w:rsidRDefault="00BA2162" w:rsidP="00BA2162">
            <w:pPr>
              <w:pStyle w:val="Tablesmalltext"/>
              <w:jc w:val="center"/>
              <w:rPr>
                <w:rFonts w:asciiTheme="minorHAnsi" w:hAnsiTheme="minorHAnsi" w:cstheme="minorHAnsi"/>
                <w:sz w:val="18"/>
                <w:szCs w:val="18"/>
              </w:rPr>
            </w:pP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E2391B2" w14:textId="77777777" w:rsidR="00BA2162" w:rsidRPr="00EC236A" w:rsidRDefault="00BA2162" w:rsidP="00BA2162">
            <w:pPr>
              <w:pStyle w:val="Tablesmalltext"/>
              <w:jc w:val="center"/>
              <w:rPr>
                <w:rFonts w:asciiTheme="minorHAnsi" w:hAnsiTheme="minorHAnsi" w:cstheme="minorHAnsi"/>
                <w:sz w:val="18"/>
                <w:szCs w:val="18"/>
              </w:rPr>
            </w:pPr>
          </w:p>
        </w:tc>
      </w:tr>
      <w:tr w:rsidR="00D70CF7" w:rsidRPr="00EC236A" w14:paraId="2E72BD94" w14:textId="77777777" w:rsidTr="0020203B">
        <w:trPr>
          <w:cantSplit/>
          <w:jc w:val="center"/>
        </w:trPr>
        <w:tc>
          <w:tcPr>
            <w:tcW w:w="911" w:type="pct"/>
            <w:vMerge w:val="restart"/>
            <w:tcBorders>
              <w:top w:val="single" w:sz="4" w:space="0" w:color="808080"/>
              <w:left w:val="single" w:sz="4" w:space="0" w:color="808080"/>
              <w:bottom w:val="single" w:sz="4" w:space="0" w:color="808080"/>
              <w:right w:val="single" w:sz="4" w:space="0" w:color="808080"/>
            </w:tcBorders>
            <w:vAlign w:val="center"/>
            <w:hideMark/>
          </w:tcPr>
          <w:p w14:paraId="17E30087" w14:textId="3C6E2BCD" w:rsidR="00D70CF7" w:rsidRPr="00C768B4" w:rsidRDefault="00D70CF7" w:rsidP="00D70CF7">
            <w:pPr>
              <w:pStyle w:val="Tablesmalltext"/>
              <w:jc w:val="left"/>
              <w:rPr>
                <w:rFonts w:asciiTheme="minorHAnsi" w:hAnsiTheme="minorHAnsi" w:cstheme="minorHAnsi"/>
                <w:sz w:val="18"/>
                <w:szCs w:val="18"/>
              </w:rPr>
            </w:pPr>
            <w:r w:rsidRPr="00C768B4">
              <w:rPr>
                <w:rFonts w:asciiTheme="minorHAnsi" w:hAnsiTheme="minorHAnsi" w:cstheme="minorHAnsi"/>
                <w:sz w:val="18"/>
                <w:szCs w:val="18"/>
              </w:rPr>
              <w:t>Vegetation Diversity</w:t>
            </w:r>
          </w:p>
        </w:tc>
        <w:tc>
          <w:tcPr>
            <w:tcW w:w="568" w:type="pct"/>
            <w:vMerge w:val="restart"/>
            <w:tcBorders>
              <w:top w:val="single" w:sz="4" w:space="0" w:color="808080"/>
              <w:left w:val="single" w:sz="4" w:space="0" w:color="808080"/>
              <w:bottom w:val="single" w:sz="4" w:space="0" w:color="808080"/>
              <w:right w:val="single" w:sz="4" w:space="0" w:color="808080"/>
            </w:tcBorders>
            <w:vAlign w:val="center"/>
          </w:tcPr>
          <w:p w14:paraId="7A9804EB" w14:textId="77777777" w:rsidR="00D70CF7" w:rsidRPr="00C768B4" w:rsidRDefault="00D70CF7" w:rsidP="00D70CF7">
            <w:pPr>
              <w:pStyle w:val="Tablesmalltext"/>
              <w:jc w:val="center"/>
              <w:rPr>
                <w:rFonts w:asciiTheme="minorHAnsi" w:hAnsiTheme="minorHAnsi" w:cstheme="minorHAnsi"/>
                <w:sz w:val="18"/>
                <w:szCs w:val="18"/>
              </w:rPr>
            </w:pPr>
          </w:p>
        </w:tc>
        <w:tc>
          <w:tcPr>
            <w:tcW w:w="636" w:type="pct"/>
            <w:gridSpan w:val="2"/>
            <w:vMerge w:val="restart"/>
            <w:tcBorders>
              <w:top w:val="single" w:sz="4" w:space="0" w:color="808080"/>
              <w:left w:val="single" w:sz="4" w:space="0" w:color="808080"/>
              <w:bottom w:val="single" w:sz="4" w:space="0" w:color="808080"/>
              <w:right w:val="single" w:sz="4" w:space="0" w:color="808080"/>
            </w:tcBorders>
            <w:vAlign w:val="center"/>
            <w:hideMark/>
          </w:tcPr>
          <w:p w14:paraId="3501AF52" w14:textId="4B96013D" w:rsidR="00D70CF7" w:rsidRPr="00C768B4" w:rsidRDefault="00D70CF7" w:rsidP="00D70CF7">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2</w:t>
            </w:r>
          </w:p>
        </w:tc>
        <w:tc>
          <w:tcPr>
            <w:tcW w:w="433" w:type="pct"/>
            <w:tcBorders>
              <w:top w:val="single" w:sz="4" w:space="0" w:color="808080"/>
              <w:left w:val="single" w:sz="4" w:space="0" w:color="808080"/>
              <w:bottom w:val="single" w:sz="4" w:space="0" w:color="808080"/>
              <w:right w:val="single" w:sz="4" w:space="0" w:color="808080"/>
            </w:tcBorders>
            <w:shd w:val="clear" w:color="auto" w:fill="74AFF5" w:themeFill="text2" w:themeFillTint="66"/>
            <w:vAlign w:val="center"/>
            <w:hideMark/>
          </w:tcPr>
          <w:p w14:paraId="1CAFB1AF" w14:textId="0D10D75D" w:rsidR="00D70CF7" w:rsidRPr="00C768B4" w:rsidRDefault="00D70CF7" w:rsidP="00D70CF7">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Planned</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B4058B3" w14:textId="77777777"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E978181" w14:textId="77777777"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54FE75C" w14:textId="5A22C800" w:rsidR="00D70CF7" w:rsidRPr="00EC236A" w:rsidRDefault="00D70CF7" w:rsidP="00D70CF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56BA8C9" w14:textId="77777777"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E37043B" w14:textId="66D7C3FD"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FAA23C6" w14:textId="035F9134" w:rsidR="00D70CF7" w:rsidRPr="00EC236A" w:rsidRDefault="00D70CF7" w:rsidP="00D70CF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D2B42B1" w14:textId="77777777"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FAA3905" w14:textId="77777777"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05A61E9" w14:textId="04522C45" w:rsidR="00D70CF7" w:rsidRPr="00EC236A" w:rsidRDefault="00D70CF7" w:rsidP="00D70CF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66B1377" w14:textId="77777777"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4D6A4C1" w14:textId="77777777" w:rsidR="00D70CF7" w:rsidRPr="00EC236A" w:rsidRDefault="00D70CF7" w:rsidP="00D70CF7">
            <w:pPr>
              <w:pStyle w:val="Tablesmalltext"/>
              <w:jc w:val="center"/>
              <w:rPr>
                <w:rFonts w:asciiTheme="minorHAnsi" w:hAnsiTheme="minorHAnsi" w:cstheme="minorHAnsi"/>
                <w:sz w:val="18"/>
                <w:szCs w:val="18"/>
              </w:rPr>
            </w:pP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97B68DE" w14:textId="77777777" w:rsidR="00D70CF7" w:rsidRPr="00EC236A" w:rsidRDefault="00D70CF7" w:rsidP="00D70CF7">
            <w:pPr>
              <w:pStyle w:val="Tablesmalltext"/>
              <w:jc w:val="center"/>
              <w:rPr>
                <w:rFonts w:asciiTheme="minorHAnsi" w:hAnsiTheme="minorHAnsi" w:cstheme="minorHAnsi"/>
                <w:sz w:val="18"/>
                <w:szCs w:val="18"/>
              </w:rPr>
            </w:pPr>
          </w:p>
        </w:tc>
      </w:tr>
      <w:tr w:rsidR="00D70CF7" w:rsidRPr="00EC236A" w14:paraId="1D44BDDD" w14:textId="77777777" w:rsidTr="0020203B">
        <w:trPr>
          <w:cantSplit/>
          <w:jc w:val="center"/>
        </w:trPr>
        <w:tc>
          <w:tcPr>
            <w:tcW w:w="911" w:type="pct"/>
            <w:vMerge/>
            <w:tcBorders>
              <w:top w:val="single" w:sz="4" w:space="0" w:color="808080"/>
              <w:left w:val="single" w:sz="4" w:space="0" w:color="808080"/>
              <w:bottom w:val="single" w:sz="4" w:space="0" w:color="808080"/>
              <w:right w:val="single" w:sz="4" w:space="0" w:color="808080"/>
            </w:tcBorders>
            <w:vAlign w:val="center"/>
            <w:hideMark/>
          </w:tcPr>
          <w:p w14:paraId="02DFA1B3" w14:textId="77777777" w:rsidR="00D70CF7" w:rsidRPr="00C768B4" w:rsidRDefault="00D70CF7" w:rsidP="00D70CF7">
            <w:pPr>
              <w:spacing w:after="0" w:line="240" w:lineRule="auto"/>
              <w:jc w:val="left"/>
              <w:rPr>
                <w:rFonts w:cstheme="minorHAnsi"/>
                <w:sz w:val="18"/>
                <w:szCs w:val="18"/>
                <w:lang w:val="en-GB" w:eastAsia="en-US"/>
              </w:rPr>
            </w:pPr>
          </w:p>
        </w:tc>
        <w:tc>
          <w:tcPr>
            <w:tcW w:w="568" w:type="pct"/>
            <w:vMerge/>
            <w:tcBorders>
              <w:top w:val="single" w:sz="4" w:space="0" w:color="808080"/>
              <w:left w:val="single" w:sz="4" w:space="0" w:color="808080"/>
              <w:bottom w:val="single" w:sz="4" w:space="0" w:color="808080"/>
              <w:right w:val="single" w:sz="4" w:space="0" w:color="808080"/>
            </w:tcBorders>
            <w:vAlign w:val="center"/>
            <w:hideMark/>
          </w:tcPr>
          <w:p w14:paraId="584AF5B7" w14:textId="77777777" w:rsidR="00D70CF7" w:rsidRPr="00C768B4" w:rsidRDefault="00D70CF7" w:rsidP="00D70CF7">
            <w:pPr>
              <w:spacing w:after="0" w:line="240" w:lineRule="auto"/>
              <w:jc w:val="center"/>
              <w:rPr>
                <w:rFonts w:cstheme="minorHAnsi"/>
                <w:sz w:val="18"/>
                <w:szCs w:val="18"/>
                <w:lang w:val="en-GB" w:eastAsia="en-US"/>
              </w:rPr>
            </w:pPr>
          </w:p>
        </w:tc>
        <w:tc>
          <w:tcPr>
            <w:tcW w:w="636" w:type="pct"/>
            <w:gridSpan w:val="2"/>
            <w:vMerge/>
            <w:tcBorders>
              <w:top w:val="single" w:sz="4" w:space="0" w:color="808080"/>
              <w:left w:val="single" w:sz="4" w:space="0" w:color="808080"/>
              <w:bottom w:val="single" w:sz="4" w:space="0" w:color="808080"/>
              <w:right w:val="single" w:sz="4" w:space="0" w:color="808080"/>
            </w:tcBorders>
            <w:vAlign w:val="center"/>
            <w:hideMark/>
          </w:tcPr>
          <w:p w14:paraId="4EC15555" w14:textId="77777777" w:rsidR="00D70CF7" w:rsidRPr="00C768B4" w:rsidRDefault="00D70CF7" w:rsidP="00D70CF7">
            <w:pPr>
              <w:spacing w:after="0" w:line="240" w:lineRule="auto"/>
              <w:jc w:val="center"/>
              <w:rPr>
                <w:rFonts w:cstheme="minorHAnsi"/>
                <w:sz w:val="18"/>
                <w:szCs w:val="18"/>
                <w:lang w:val="en-GB" w:eastAsia="en-US"/>
              </w:rPr>
            </w:pPr>
          </w:p>
        </w:tc>
        <w:tc>
          <w:tcPr>
            <w:tcW w:w="433" w:type="pct"/>
            <w:tcBorders>
              <w:top w:val="single" w:sz="4" w:space="0" w:color="808080"/>
              <w:left w:val="single" w:sz="4" w:space="0" w:color="808080"/>
              <w:bottom w:val="single" w:sz="4" w:space="0" w:color="808080"/>
              <w:right w:val="single" w:sz="4" w:space="0" w:color="808080"/>
            </w:tcBorders>
            <w:shd w:val="clear" w:color="auto" w:fill="8BC2D1" w:themeFill="accent2" w:themeFillTint="99"/>
            <w:vAlign w:val="center"/>
            <w:hideMark/>
          </w:tcPr>
          <w:p w14:paraId="69F38547" w14:textId="40CBF65E" w:rsidR="00D70CF7" w:rsidRPr="00C768B4" w:rsidRDefault="00D70CF7" w:rsidP="00D70CF7">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Actual</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E4CE81C" w14:textId="77777777"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771428E" w14:textId="77777777"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F1306E5" w14:textId="71708FB0"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7FC59B4" w14:textId="77777777"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70A386B" w14:textId="6BB746DE" w:rsidR="00D70CF7" w:rsidRPr="00EC236A" w:rsidRDefault="00D70CF7" w:rsidP="00D70CF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E23152C" w14:textId="7126A0DE" w:rsidR="00D70CF7" w:rsidRPr="00EC236A" w:rsidRDefault="00D70CF7" w:rsidP="00D70CF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2F00A96" w14:textId="77777777"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DD2C88D" w14:textId="77777777"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A649B92" w14:textId="71F645FA" w:rsidR="00D70CF7" w:rsidRPr="00EC236A" w:rsidRDefault="00D70CF7" w:rsidP="00D70CF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0B0FB6B" w14:textId="77777777" w:rsidR="00D70CF7" w:rsidRPr="00EC236A" w:rsidRDefault="00D70CF7" w:rsidP="00D70CF7">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0AA075E" w14:textId="77777777" w:rsidR="00D70CF7" w:rsidRPr="00EC236A" w:rsidRDefault="00D70CF7" w:rsidP="00D70CF7">
            <w:pPr>
              <w:pStyle w:val="Tablesmalltext"/>
              <w:jc w:val="center"/>
              <w:rPr>
                <w:rFonts w:asciiTheme="minorHAnsi" w:hAnsiTheme="minorHAnsi" w:cstheme="minorHAnsi"/>
                <w:sz w:val="18"/>
                <w:szCs w:val="18"/>
              </w:rPr>
            </w:pP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5E996A2" w14:textId="77777777" w:rsidR="00D70CF7" w:rsidRPr="00EC236A" w:rsidRDefault="00D70CF7" w:rsidP="00D70CF7">
            <w:pPr>
              <w:pStyle w:val="Tablesmalltext"/>
              <w:jc w:val="center"/>
              <w:rPr>
                <w:rFonts w:asciiTheme="minorHAnsi" w:hAnsiTheme="minorHAnsi" w:cstheme="minorHAnsi"/>
                <w:sz w:val="18"/>
                <w:szCs w:val="18"/>
              </w:rPr>
            </w:pPr>
          </w:p>
        </w:tc>
      </w:tr>
      <w:tr w:rsidR="009D5E51" w:rsidRPr="00EC236A" w14:paraId="1F175EF0" w14:textId="77777777" w:rsidTr="0020203B">
        <w:trPr>
          <w:cantSplit/>
          <w:trHeight w:val="195"/>
          <w:jc w:val="center"/>
        </w:trPr>
        <w:tc>
          <w:tcPr>
            <w:tcW w:w="911" w:type="pct"/>
            <w:vMerge w:val="restart"/>
            <w:tcBorders>
              <w:top w:val="single" w:sz="4" w:space="0" w:color="808080"/>
              <w:left w:val="single" w:sz="4" w:space="0" w:color="808080"/>
              <w:bottom w:val="single" w:sz="4" w:space="0" w:color="808080"/>
              <w:right w:val="single" w:sz="4" w:space="0" w:color="808080"/>
            </w:tcBorders>
            <w:vAlign w:val="center"/>
            <w:hideMark/>
          </w:tcPr>
          <w:p w14:paraId="32A94FEC" w14:textId="1859CFE9" w:rsidR="009D5E51" w:rsidRPr="00C768B4" w:rsidRDefault="009D5E51" w:rsidP="009D5E51">
            <w:pPr>
              <w:pStyle w:val="Tablesmalltext"/>
              <w:jc w:val="left"/>
              <w:rPr>
                <w:rFonts w:asciiTheme="minorHAnsi" w:hAnsiTheme="minorHAnsi" w:cstheme="minorHAnsi"/>
                <w:sz w:val="18"/>
                <w:szCs w:val="18"/>
              </w:rPr>
            </w:pPr>
            <w:r w:rsidRPr="00C768B4">
              <w:rPr>
                <w:rFonts w:asciiTheme="minorHAnsi" w:hAnsiTheme="minorHAnsi" w:cstheme="minorHAnsi"/>
                <w:sz w:val="18"/>
                <w:szCs w:val="18"/>
              </w:rPr>
              <w:t xml:space="preserve">Macroinvertebrate </w:t>
            </w:r>
            <w:r w:rsidR="00FC4AC3">
              <w:rPr>
                <w:rFonts w:asciiTheme="minorHAnsi" w:hAnsiTheme="minorHAnsi" w:cstheme="minorHAnsi"/>
                <w:sz w:val="18"/>
                <w:szCs w:val="18"/>
              </w:rPr>
              <w:t>A</w:t>
            </w:r>
            <w:r w:rsidRPr="00C768B4">
              <w:rPr>
                <w:rFonts w:asciiTheme="minorHAnsi" w:hAnsiTheme="minorHAnsi" w:cstheme="minorHAnsi"/>
                <w:sz w:val="18"/>
                <w:szCs w:val="18"/>
              </w:rPr>
              <w:t>bundance</w:t>
            </w:r>
            <w:r w:rsidR="001E05F9">
              <w:rPr>
                <w:rFonts w:asciiTheme="minorHAnsi" w:hAnsiTheme="minorHAnsi" w:cstheme="minorHAnsi"/>
                <w:sz w:val="18"/>
                <w:szCs w:val="18"/>
              </w:rPr>
              <w:t>, D</w:t>
            </w:r>
            <w:r w:rsidR="00BB4F7B">
              <w:rPr>
                <w:rFonts w:asciiTheme="minorHAnsi" w:hAnsiTheme="minorHAnsi" w:cstheme="minorHAnsi"/>
                <w:sz w:val="18"/>
                <w:szCs w:val="18"/>
              </w:rPr>
              <w:t>iversity</w:t>
            </w:r>
            <w:r w:rsidRPr="00C768B4">
              <w:rPr>
                <w:rFonts w:asciiTheme="minorHAnsi" w:hAnsiTheme="minorHAnsi" w:cstheme="minorHAnsi"/>
                <w:sz w:val="18"/>
                <w:szCs w:val="18"/>
              </w:rPr>
              <w:t xml:space="preserve"> and </w:t>
            </w:r>
            <w:r w:rsidR="00FC4AC3">
              <w:rPr>
                <w:rFonts w:asciiTheme="minorHAnsi" w:hAnsiTheme="minorHAnsi" w:cstheme="minorHAnsi"/>
                <w:sz w:val="18"/>
                <w:szCs w:val="18"/>
              </w:rPr>
              <w:t>B</w:t>
            </w:r>
            <w:r w:rsidRPr="00C768B4">
              <w:rPr>
                <w:rFonts w:asciiTheme="minorHAnsi" w:hAnsiTheme="minorHAnsi" w:cstheme="minorHAnsi"/>
                <w:sz w:val="18"/>
                <w:szCs w:val="18"/>
              </w:rPr>
              <w:t>iomass</w:t>
            </w:r>
          </w:p>
        </w:tc>
        <w:tc>
          <w:tcPr>
            <w:tcW w:w="568" w:type="pct"/>
            <w:vMerge w:val="restart"/>
            <w:tcBorders>
              <w:top w:val="single" w:sz="4" w:space="0" w:color="808080"/>
              <w:left w:val="single" w:sz="4" w:space="0" w:color="808080"/>
              <w:bottom w:val="single" w:sz="4" w:space="0" w:color="808080"/>
              <w:right w:val="single" w:sz="4" w:space="0" w:color="808080"/>
            </w:tcBorders>
            <w:vAlign w:val="center"/>
          </w:tcPr>
          <w:p w14:paraId="246BEBED" w14:textId="6E3FF508" w:rsidR="009D5E51" w:rsidRPr="00C768B4" w:rsidRDefault="009D5E51" w:rsidP="009D5E51">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3*</w:t>
            </w:r>
          </w:p>
        </w:tc>
        <w:tc>
          <w:tcPr>
            <w:tcW w:w="636" w:type="pct"/>
            <w:gridSpan w:val="2"/>
            <w:vMerge w:val="restart"/>
            <w:tcBorders>
              <w:top w:val="single" w:sz="4" w:space="0" w:color="808080"/>
              <w:left w:val="single" w:sz="4" w:space="0" w:color="808080"/>
              <w:bottom w:val="single" w:sz="4" w:space="0" w:color="808080"/>
              <w:right w:val="single" w:sz="4" w:space="0" w:color="808080"/>
            </w:tcBorders>
            <w:vAlign w:val="center"/>
          </w:tcPr>
          <w:p w14:paraId="5B4698BF" w14:textId="19ADF858" w:rsidR="009D5E51" w:rsidRPr="00C768B4" w:rsidRDefault="009D5E51" w:rsidP="009D5E51">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4</w:t>
            </w:r>
          </w:p>
        </w:tc>
        <w:tc>
          <w:tcPr>
            <w:tcW w:w="433" w:type="pct"/>
            <w:tcBorders>
              <w:top w:val="single" w:sz="4" w:space="0" w:color="808080"/>
              <w:left w:val="single" w:sz="4" w:space="0" w:color="808080"/>
              <w:bottom w:val="single" w:sz="4" w:space="0" w:color="808080"/>
              <w:right w:val="single" w:sz="4" w:space="0" w:color="808080"/>
            </w:tcBorders>
            <w:shd w:val="clear" w:color="auto" w:fill="74AFF5" w:themeFill="text2" w:themeFillTint="66"/>
            <w:vAlign w:val="center"/>
            <w:hideMark/>
          </w:tcPr>
          <w:p w14:paraId="3E5EB353" w14:textId="6E76A41B" w:rsidR="009D5E51" w:rsidRPr="00C768B4" w:rsidRDefault="009D5E51" w:rsidP="009D5E51">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Planned</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2124C1F" w14:textId="77777777" w:rsidR="009D5E51" w:rsidRPr="00EC236A" w:rsidRDefault="009D5E51" w:rsidP="009D5E5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2FF1A5B" w14:textId="77777777" w:rsidR="009D5E51" w:rsidRPr="00EC236A" w:rsidRDefault="009D5E51" w:rsidP="009D5E5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FA2C769" w14:textId="5882A22F" w:rsidR="009D5E51" w:rsidRPr="00EC236A" w:rsidRDefault="009D5E51" w:rsidP="009D5E5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2C8E362" w14:textId="77777777" w:rsidR="009D5E51" w:rsidRPr="00EC236A" w:rsidRDefault="009D5E51" w:rsidP="009D5E5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FC7F115" w14:textId="2694C103" w:rsidR="009D5E51" w:rsidRPr="00EC236A" w:rsidRDefault="009D5E51" w:rsidP="009D5E5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4787B3B" w14:textId="77777777" w:rsidR="009D5E51" w:rsidRPr="00EC236A" w:rsidRDefault="009D5E51" w:rsidP="009D5E5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D1C8703" w14:textId="33BD650F" w:rsidR="009D5E51" w:rsidRPr="00EC236A" w:rsidRDefault="009D5E51" w:rsidP="009D5E5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A744C3D" w14:textId="03DAC98B" w:rsidR="009D5E51" w:rsidRPr="00EC236A" w:rsidRDefault="009D5E51" w:rsidP="009D5E5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A9DAB4F" w14:textId="7B728BD8" w:rsidR="009D5E51" w:rsidRPr="00EC236A" w:rsidRDefault="009D5E51" w:rsidP="009D5E5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DC1C5CC" w14:textId="77777777" w:rsidR="009D5E51" w:rsidRPr="00EC236A" w:rsidRDefault="009D5E51" w:rsidP="009D5E5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DCE039F" w14:textId="77777777" w:rsidR="009D5E51" w:rsidRPr="00EC236A" w:rsidRDefault="009D5E51" w:rsidP="009D5E51">
            <w:pPr>
              <w:pStyle w:val="Tablesmalltext"/>
              <w:jc w:val="center"/>
              <w:rPr>
                <w:rFonts w:asciiTheme="minorHAnsi" w:hAnsiTheme="minorHAnsi" w:cstheme="minorHAnsi"/>
                <w:sz w:val="18"/>
                <w:szCs w:val="18"/>
              </w:rPr>
            </w:pP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36D9C71" w14:textId="77777777" w:rsidR="009D5E51" w:rsidRPr="00EC236A" w:rsidRDefault="009D5E51" w:rsidP="009D5E51">
            <w:pPr>
              <w:pStyle w:val="Tablesmalltext"/>
              <w:jc w:val="center"/>
              <w:rPr>
                <w:rFonts w:asciiTheme="minorHAnsi" w:hAnsiTheme="minorHAnsi" w:cstheme="minorHAnsi"/>
                <w:sz w:val="18"/>
                <w:szCs w:val="18"/>
              </w:rPr>
            </w:pPr>
          </w:p>
        </w:tc>
      </w:tr>
      <w:tr w:rsidR="009D5E51" w:rsidRPr="00EC236A" w14:paraId="19752F80" w14:textId="77777777" w:rsidTr="0020203B">
        <w:trPr>
          <w:cantSplit/>
          <w:jc w:val="center"/>
        </w:trPr>
        <w:tc>
          <w:tcPr>
            <w:tcW w:w="911" w:type="pct"/>
            <w:vMerge/>
            <w:tcBorders>
              <w:top w:val="single" w:sz="4" w:space="0" w:color="808080"/>
              <w:left w:val="single" w:sz="4" w:space="0" w:color="808080"/>
              <w:bottom w:val="single" w:sz="4" w:space="0" w:color="808080"/>
              <w:right w:val="single" w:sz="4" w:space="0" w:color="808080"/>
            </w:tcBorders>
            <w:vAlign w:val="center"/>
            <w:hideMark/>
          </w:tcPr>
          <w:p w14:paraId="5EA1E664" w14:textId="77777777" w:rsidR="009D5E51" w:rsidRPr="00C768B4" w:rsidRDefault="009D5E51" w:rsidP="009D5E51">
            <w:pPr>
              <w:spacing w:after="0" w:line="240" w:lineRule="auto"/>
              <w:jc w:val="left"/>
              <w:rPr>
                <w:rFonts w:cstheme="minorHAnsi"/>
                <w:sz w:val="18"/>
                <w:szCs w:val="18"/>
                <w:lang w:val="en-GB" w:eastAsia="en-US"/>
              </w:rPr>
            </w:pPr>
          </w:p>
        </w:tc>
        <w:tc>
          <w:tcPr>
            <w:tcW w:w="568" w:type="pct"/>
            <w:vMerge/>
            <w:tcBorders>
              <w:top w:val="single" w:sz="4" w:space="0" w:color="808080"/>
              <w:left w:val="single" w:sz="4" w:space="0" w:color="808080"/>
              <w:bottom w:val="single" w:sz="4" w:space="0" w:color="808080"/>
              <w:right w:val="single" w:sz="4" w:space="0" w:color="808080"/>
            </w:tcBorders>
            <w:vAlign w:val="center"/>
            <w:hideMark/>
          </w:tcPr>
          <w:p w14:paraId="041075EE" w14:textId="77777777" w:rsidR="009D5E51" w:rsidRPr="00C768B4" w:rsidRDefault="009D5E51" w:rsidP="009D5E51">
            <w:pPr>
              <w:spacing w:after="0" w:line="240" w:lineRule="auto"/>
              <w:jc w:val="center"/>
              <w:rPr>
                <w:rFonts w:cstheme="minorHAnsi"/>
                <w:sz w:val="18"/>
                <w:szCs w:val="18"/>
                <w:lang w:val="en-GB" w:eastAsia="en-US"/>
              </w:rPr>
            </w:pPr>
          </w:p>
        </w:tc>
        <w:tc>
          <w:tcPr>
            <w:tcW w:w="636" w:type="pct"/>
            <w:gridSpan w:val="2"/>
            <w:vMerge/>
            <w:tcBorders>
              <w:top w:val="single" w:sz="4" w:space="0" w:color="808080"/>
              <w:left w:val="single" w:sz="4" w:space="0" w:color="808080"/>
              <w:bottom w:val="single" w:sz="4" w:space="0" w:color="808080"/>
              <w:right w:val="single" w:sz="4" w:space="0" w:color="808080"/>
            </w:tcBorders>
            <w:vAlign w:val="center"/>
            <w:hideMark/>
          </w:tcPr>
          <w:p w14:paraId="0688D8A6" w14:textId="77777777" w:rsidR="009D5E51" w:rsidRPr="00C768B4" w:rsidRDefault="009D5E51" w:rsidP="009D5E51">
            <w:pPr>
              <w:spacing w:after="0" w:line="240" w:lineRule="auto"/>
              <w:jc w:val="center"/>
              <w:rPr>
                <w:rFonts w:cstheme="minorHAnsi"/>
                <w:sz w:val="18"/>
                <w:szCs w:val="18"/>
                <w:lang w:val="en-GB" w:eastAsia="en-US"/>
              </w:rPr>
            </w:pPr>
          </w:p>
        </w:tc>
        <w:tc>
          <w:tcPr>
            <w:tcW w:w="433" w:type="pct"/>
            <w:tcBorders>
              <w:top w:val="single" w:sz="4" w:space="0" w:color="808080"/>
              <w:left w:val="single" w:sz="4" w:space="0" w:color="808080"/>
              <w:bottom w:val="single" w:sz="4" w:space="0" w:color="808080"/>
              <w:right w:val="single" w:sz="4" w:space="0" w:color="808080"/>
            </w:tcBorders>
            <w:shd w:val="clear" w:color="auto" w:fill="8BC2D1" w:themeFill="accent2" w:themeFillTint="99"/>
            <w:vAlign w:val="center"/>
            <w:hideMark/>
          </w:tcPr>
          <w:p w14:paraId="4AEBF9B9" w14:textId="697FDD17" w:rsidR="009D5E51" w:rsidRPr="00C768B4" w:rsidRDefault="009D5E51" w:rsidP="009D5E51">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Actual</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9D8087F" w14:textId="77777777" w:rsidR="009D5E51" w:rsidRPr="00EC236A" w:rsidRDefault="009D5E51" w:rsidP="009D5E5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FCAC541" w14:textId="77777777" w:rsidR="009D5E51" w:rsidRPr="00EC236A" w:rsidRDefault="009D5E51" w:rsidP="009D5E5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0FE35A4" w14:textId="78BC564C" w:rsidR="009D5E51" w:rsidRPr="00EC236A" w:rsidRDefault="009D5E51" w:rsidP="009D5E5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35CA50E" w14:textId="77777777" w:rsidR="009D5E51" w:rsidRPr="00EC236A" w:rsidRDefault="009D5E51" w:rsidP="009D5E5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434C0B6" w14:textId="6951B15E" w:rsidR="009D5E51" w:rsidRPr="00EC236A" w:rsidRDefault="009D5E51" w:rsidP="009D5E5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6D1C98D" w14:textId="7E0E4035" w:rsidR="009D5E51" w:rsidRPr="00EC236A" w:rsidRDefault="009D5E51" w:rsidP="009D5E5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92E1259" w14:textId="03C22206" w:rsidR="009D5E51" w:rsidRPr="00EC236A" w:rsidRDefault="009D5E51" w:rsidP="009D5E5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78297EE" w14:textId="49A001E4" w:rsidR="009D5E51" w:rsidRPr="00EC236A" w:rsidRDefault="009D5E51" w:rsidP="009D5E5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80B56C3" w14:textId="0A8E77BF" w:rsidR="009D5E51" w:rsidRPr="00EC236A" w:rsidRDefault="009D5E51" w:rsidP="009D5E5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60C2D63" w14:textId="1A756D22" w:rsidR="009D5E51" w:rsidRPr="00EC236A" w:rsidRDefault="009D5E51" w:rsidP="009D5E5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C3611CC" w14:textId="77777777" w:rsidR="009D5E51" w:rsidRPr="00EC236A" w:rsidRDefault="009D5E51" w:rsidP="009D5E51">
            <w:pPr>
              <w:pStyle w:val="Tablesmalltext"/>
              <w:jc w:val="center"/>
              <w:rPr>
                <w:rFonts w:asciiTheme="minorHAnsi" w:hAnsiTheme="minorHAnsi" w:cstheme="minorHAnsi"/>
                <w:sz w:val="18"/>
                <w:szCs w:val="18"/>
              </w:rPr>
            </w:pP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15588FE" w14:textId="77777777" w:rsidR="009D5E51" w:rsidRPr="00EC236A" w:rsidRDefault="009D5E51" w:rsidP="009D5E51">
            <w:pPr>
              <w:pStyle w:val="Tablesmalltext"/>
              <w:jc w:val="center"/>
              <w:rPr>
                <w:rFonts w:asciiTheme="minorHAnsi" w:hAnsiTheme="minorHAnsi" w:cstheme="minorHAnsi"/>
                <w:sz w:val="18"/>
                <w:szCs w:val="18"/>
              </w:rPr>
            </w:pPr>
          </w:p>
        </w:tc>
      </w:tr>
      <w:tr w:rsidR="00955F17" w:rsidRPr="00EC236A" w14:paraId="02FF6037" w14:textId="77777777" w:rsidTr="0020203B">
        <w:trPr>
          <w:cantSplit/>
          <w:jc w:val="center"/>
        </w:trPr>
        <w:tc>
          <w:tcPr>
            <w:tcW w:w="911" w:type="pct"/>
            <w:vMerge w:val="restart"/>
            <w:tcBorders>
              <w:top w:val="single" w:sz="4" w:space="0" w:color="808080"/>
              <w:left w:val="single" w:sz="4" w:space="0" w:color="808080"/>
              <w:bottom w:val="single" w:sz="4" w:space="0" w:color="808080"/>
              <w:right w:val="single" w:sz="4" w:space="0" w:color="808080"/>
            </w:tcBorders>
            <w:vAlign w:val="center"/>
            <w:hideMark/>
          </w:tcPr>
          <w:p w14:paraId="32A2889B" w14:textId="13D53E04" w:rsidR="00955F17" w:rsidRPr="00C768B4" w:rsidRDefault="00955F17" w:rsidP="00955F17">
            <w:pPr>
              <w:pStyle w:val="Tablesmalltext"/>
              <w:jc w:val="left"/>
              <w:rPr>
                <w:rFonts w:asciiTheme="minorHAnsi" w:hAnsiTheme="minorHAnsi" w:cstheme="minorHAnsi"/>
                <w:sz w:val="18"/>
                <w:szCs w:val="18"/>
              </w:rPr>
            </w:pPr>
            <w:r w:rsidRPr="00C768B4">
              <w:rPr>
                <w:rFonts w:asciiTheme="minorHAnsi" w:hAnsiTheme="minorHAnsi" w:cstheme="minorHAnsi"/>
                <w:sz w:val="18"/>
                <w:szCs w:val="18"/>
              </w:rPr>
              <w:t>Stream Metabolism</w:t>
            </w:r>
          </w:p>
        </w:tc>
        <w:tc>
          <w:tcPr>
            <w:tcW w:w="568" w:type="pct"/>
            <w:vMerge w:val="restart"/>
            <w:tcBorders>
              <w:top w:val="single" w:sz="4" w:space="0" w:color="808080"/>
              <w:left w:val="single" w:sz="4" w:space="0" w:color="808080"/>
              <w:bottom w:val="single" w:sz="4" w:space="0" w:color="808080"/>
              <w:right w:val="single" w:sz="4" w:space="0" w:color="808080"/>
            </w:tcBorders>
            <w:vAlign w:val="center"/>
            <w:hideMark/>
          </w:tcPr>
          <w:p w14:paraId="205F7302" w14:textId="2F521A2A" w:rsidR="00955F17" w:rsidRPr="00C768B4" w:rsidRDefault="00955F17" w:rsidP="00955F17">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2</w:t>
            </w:r>
          </w:p>
        </w:tc>
        <w:tc>
          <w:tcPr>
            <w:tcW w:w="636" w:type="pct"/>
            <w:gridSpan w:val="2"/>
            <w:vMerge w:val="restart"/>
            <w:tcBorders>
              <w:top w:val="single" w:sz="4" w:space="0" w:color="808080"/>
              <w:left w:val="single" w:sz="4" w:space="0" w:color="808080"/>
              <w:bottom w:val="single" w:sz="4" w:space="0" w:color="808080"/>
              <w:right w:val="single" w:sz="4" w:space="0" w:color="808080"/>
            </w:tcBorders>
            <w:vAlign w:val="center"/>
            <w:hideMark/>
          </w:tcPr>
          <w:p w14:paraId="08CBDF42" w14:textId="701D8EEE" w:rsidR="00955F17" w:rsidRPr="00C768B4" w:rsidRDefault="00955F17" w:rsidP="00955F17">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3</w:t>
            </w:r>
          </w:p>
        </w:tc>
        <w:tc>
          <w:tcPr>
            <w:tcW w:w="433" w:type="pct"/>
            <w:tcBorders>
              <w:top w:val="single" w:sz="4" w:space="0" w:color="808080"/>
              <w:left w:val="single" w:sz="4" w:space="0" w:color="808080"/>
              <w:bottom w:val="single" w:sz="4" w:space="0" w:color="808080"/>
              <w:right w:val="single" w:sz="4" w:space="0" w:color="808080"/>
            </w:tcBorders>
            <w:shd w:val="clear" w:color="auto" w:fill="74AFF5" w:themeFill="text2" w:themeFillTint="66"/>
            <w:vAlign w:val="center"/>
            <w:hideMark/>
          </w:tcPr>
          <w:p w14:paraId="10409E0D" w14:textId="7B913FC0" w:rsidR="00955F17" w:rsidRPr="00C768B4" w:rsidRDefault="00955F17" w:rsidP="00955F17">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Planned</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9FC1F9C" w14:textId="0E479866"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85550B3" w14:textId="6BAE270A"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C05E998" w14:textId="131CAE5C"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9DF751E" w14:textId="4E59BF7C"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C9CADFA" w14:textId="6413DD7F"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1CB44DD" w14:textId="69254F17"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E1D7B1E" w14:textId="57580C28"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C092DE0" w14:textId="67D73C76"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731E496" w14:textId="47376437"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01B0BDC" w14:textId="330C7AA8"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8A2C7B2" w14:textId="00CA4F5C"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7D3CA29" w14:textId="6C53251B"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r>
      <w:tr w:rsidR="00955F17" w:rsidRPr="00EC236A" w14:paraId="3DF3044E" w14:textId="77777777" w:rsidTr="0020203B">
        <w:trPr>
          <w:cantSplit/>
          <w:jc w:val="center"/>
        </w:trPr>
        <w:tc>
          <w:tcPr>
            <w:tcW w:w="911" w:type="pct"/>
            <w:vMerge/>
            <w:tcBorders>
              <w:top w:val="single" w:sz="4" w:space="0" w:color="808080"/>
              <w:left w:val="single" w:sz="4" w:space="0" w:color="808080"/>
              <w:bottom w:val="single" w:sz="4" w:space="0" w:color="808080"/>
              <w:right w:val="single" w:sz="4" w:space="0" w:color="808080"/>
            </w:tcBorders>
            <w:vAlign w:val="center"/>
            <w:hideMark/>
          </w:tcPr>
          <w:p w14:paraId="1A1ABEE0" w14:textId="77777777" w:rsidR="00955F17" w:rsidRPr="00C768B4" w:rsidRDefault="00955F17" w:rsidP="00955F17">
            <w:pPr>
              <w:spacing w:after="0" w:line="240" w:lineRule="auto"/>
              <w:jc w:val="left"/>
              <w:rPr>
                <w:rFonts w:cstheme="minorHAnsi"/>
                <w:sz w:val="18"/>
                <w:szCs w:val="18"/>
                <w:lang w:val="en-GB" w:eastAsia="en-US"/>
              </w:rPr>
            </w:pPr>
          </w:p>
        </w:tc>
        <w:tc>
          <w:tcPr>
            <w:tcW w:w="568" w:type="pct"/>
            <w:vMerge/>
            <w:tcBorders>
              <w:top w:val="single" w:sz="4" w:space="0" w:color="808080"/>
              <w:left w:val="single" w:sz="4" w:space="0" w:color="808080"/>
              <w:bottom w:val="single" w:sz="4" w:space="0" w:color="808080"/>
              <w:right w:val="single" w:sz="4" w:space="0" w:color="808080"/>
            </w:tcBorders>
            <w:vAlign w:val="center"/>
            <w:hideMark/>
          </w:tcPr>
          <w:p w14:paraId="0F196741" w14:textId="77777777" w:rsidR="00955F17" w:rsidRPr="00C768B4" w:rsidRDefault="00955F17" w:rsidP="00955F17">
            <w:pPr>
              <w:spacing w:after="0" w:line="240" w:lineRule="auto"/>
              <w:jc w:val="center"/>
              <w:rPr>
                <w:rFonts w:cstheme="minorHAnsi"/>
                <w:sz w:val="18"/>
                <w:szCs w:val="18"/>
                <w:lang w:val="en-GB" w:eastAsia="en-US"/>
              </w:rPr>
            </w:pPr>
          </w:p>
        </w:tc>
        <w:tc>
          <w:tcPr>
            <w:tcW w:w="636" w:type="pct"/>
            <w:gridSpan w:val="2"/>
            <w:vMerge/>
            <w:tcBorders>
              <w:top w:val="single" w:sz="4" w:space="0" w:color="808080"/>
              <w:left w:val="single" w:sz="4" w:space="0" w:color="808080"/>
              <w:bottom w:val="single" w:sz="4" w:space="0" w:color="808080"/>
              <w:right w:val="single" w:sz="4" w:space="0" w:color="808080"/>
            </w:tcBorders>
            <w:vAlign w:val="center"/>
            <w:hideMark/>
          </w:tcPr>
          <w:p w14:paraId="5C9AE4DB" w14:textId="77777777" w:rsidR="00955F17" w:rsidRPr="00C768B4" w:rsidRDefault="00955F17" w:rsidP="00955F17">
            <w:pPr>
              <w:spacing w:after="0" w:line="240" w:lineRule="auto"/>
              <w:jc w:val="center"/>
              <w:rPr>
                <w:rFonts w:cstheme="minorHAnsi"/>
                <w:sz w:val="18"/>
                <w:szCs w:val="18"/>
                <w:lang w:val="en-GB" w:eastAsia="en-US"/>
              </w:rPr>
            </w:pPr>
          </w:p>
        </w:tc>
        <w:tc>
          <w:tcPr>
            <w:tcW w:w="433" w:type="pct"/>
            <w:tcBorders>
              <w:top w:val="single" w:sz="4" w:space="0" w:color="808080"/>
              <w:left w:val="single" w:sz="4" w:space="0" w:color="808080"/>
              <w:bottom w:val="single" w:sz="4" w:space="0" w:color="808080"/>
              <w:right w:val="single" w:sz="4" w:space="0" w:color="808080"/>
            </w:tcBorders>
            <w:shd w:val="clear" w:color="auto" w:fill="8BC2D1" w:themeFill="accent2" w:themeFillTint="99"/>
            <w:vAlign w:val="center"/>
            <w:hideMark/>
          </w:tcPr>
          <w:p w14:paraId="3D4A80E6" w14:textId="008071BF" w:rsidR="00955F17" w:rsidRPr="00C768B4" w:rsidRDefault="00955F17" w:rsidP="00955F17">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Actual</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E3FBB23" w14:textId="5A9869FA"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DFB27C7" w14:textId="24268180"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731ACB9" w14:textId="7442DD18"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7BC0E39" w14:textId="4428DA81"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47A7274" w14:textId="6E535935"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885AC80" w14:textId="0E923800"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B37749B" w14:textId="1A7B014A"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9812A70" w14:textId="7BED2A94"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B45D324" w14:textId="54876088"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0C1FEB8" w14:textId="688F297B"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D55AF3C" w14:textId="573738FC"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B307B31" w14:textId="7C920B90" w:rsidR="00955F17" w:rsidRPr="00EC236A" w:rsidRDefault="00955F17" w:rsidP="00955F17">
            <w:pPr>
              <w:pStyle w:val="Tablesmalltext"/>
              <w:jc w:val="center"/>
              <w:rPr>
                <w:rFonts w:asciiTheme="minorHAnsi" w:hAnsiTheme="minorHAnsi" w:cstheme="minorHAnsi"/>
                <w:sz w:val="18"/>
                <w:szCs w:val="18"/>
              </w:rPr>
            </w:pPr>
            <w:r w:rsidRPr="00BA2632">
              <w:rPr>
                <w:rFonts w:ascii="Wingdings" w:eastAsia="Wingdings" w:hAnsi="Wingdings" w:cs="Wingdings"/>
              </w:rPr>
              <w:t></w:t>
            </w:r>
          </w:p>
        </w:tc>
      </w:tr>
      <w:tr w:rsidR="008C1F8C" w:rsidRPr="00EC236A" w14:paraId="4B7220F3" w14:textId="77777777" w:rsidTr="0020203B">
        <w:trPr>
          <w:cantSplit/>
          <w:jc w:val="center"/>
        </w:trPr>
        <w:tc>
          <w:tcPr>
            <w:tcW w:w="911" w:type="pct"/>
            <w:vMerge w:val="restart"/>
            <w:tcBorders>
              <w:top w:val="single" w:sz="4" w:space="0" w:color="808080"/>
              <w:left w:val="single" w:sz="4" w:space="0" w:color="808080"/>
              <w:right w:val="single" w:sz="4" w:space="0" w:color="808080"/>
            </w:tcBorders>
            <w:vAlign w:val="center"/>
          </w:tcPr>
          <w:p w14:paraId="756EE517" w14:textId="7719A509" w:rsidR="008C1F8C" w:rsidRPr="00C768B4" w:rsidRDefault="008C1F8C" w:rsidP="008C1F8C">
            <w:pPr>
              <w:pStyle w:val="Tablesmalltext"/>
              <w:jc w:val="left"/>
              <w:rPr>
                <w:rFonts w:asciiTheme="minorHAnsi" w:hAnsiTheme="minorHAnsi" w:cstheme="minorHAnsi"/>
                <w:sz w:val="18"/>
                <w:szCs w:val="18"/>
              </w:rPr>
            </w:pPr>
            <w:r w:rsidRPr="00C768B4">
              <w:rPr>
                <w:rFonts w:asciiTheme="minorHAnsi" w:hAnsiTheme="minorHAnsi" w:cstheme="minorHAnsi"/>
                <w:sz w:val="18"/>
                <w:szCs w:val="18"/>
              </w:rPr>
              <w:t>Bank Condition</w:t>
            </w:r>
          </w:p>
        </w:tc>
        <w:tc>
          <w:tcPr>
            <w:tcW w:w="568" w:type="pct"/>
            <w:vMerge w:val="restart"/>
            <w:tcBorders>
              <w:top w:val="single" w:sz="4" w:space="0" w:color="808080"/>
              <w:left w:val="single" w:sz="4" w:space="0" w:color="808080"/>
              <w:right w:val="single" w:sz="4" w:space="0" w:color="808080"/>
            </w:tcBorders>
            <w:vAlign w:val="center"/>
          </w:tcPr>
          <w:p w14:paraId="3A578FA1" w14:textId="1DC99258" w:rsidR="008C1F8C" w:rsidRPr="00C768B4" w:rsidRDefault="008C1F8C" w:rsidP="008C1F8C">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2</w:t>
            </w:r>
          </w:p>
        </w:tc>
        <w:tc>
          <w:tcPr>
            <w:tcW w:w="636" w:type="pct"/>
            <w:gridSpan w:val="2"/>
            <w:vMerge w:val="restart"/>
            <w:tcBorders>
              <w:top w:val="single" w:sz="4" w:space="0" w:color="808080"/>
              <w:left w:val="single" w:sz="4" w:space="0" w:color="808080"/>
              <w:right w:val="single" w:sz="4" w:space="0" w:color="808080"/>
            </w:tcBorders>
            <w:vAlign w:val="center"/>
          </w:tcPr>
          <w:p w14:paraId="4C2DD919" w14:textId="6F6FC720" w:rsidR="008C1F8C" w:rsidRPr="00C768B4" w:rsidRDefault="008C1F8C" w:rsidP="008C1F8C">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2</w:t>
            </w:r>
          </w:p>
        </w:tc>
        <w:tc>
          <w:tcPr>
            <w:tcW w:w="433" w:type="pct"/>
            <w:tcBorders>
              <w:top w:val="single" w:sz="4" w:space="0" w:color="808080"/>
              <w:left w:val="single" w:sz="4" w:space="0" w:color="808080"/>
              <w:bottom w:val="single" w:sz="4" w:space="0" w:color="808080"/>
              <w:right w:val="single" w:sz="4" w:space="0" w:color="808080"/>
            </w:tcBorders>
            <w:shd w:val="clear" w:color="auto" w:fill="74AFF5" w:themeFill="text2" w:themeFillTint="66"/>
            <w:vAlign w:val="center"/>
          </w:tcPr>
          <w:p w14:paraId="15EE641C" w14:textId="0E2C661D" w:rsidR="008C1F8C" w:rsidRPr="00C768B4" w:rsidRDefault="008C1F8C" w:rsidP="008C1F8C">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Planned</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5833958" w14:textId="77777777" w:rsidR="008C1F8C" w:rsidRPr="00EC236A" w:rsidRDefault="008C1F8C" w:rsidP="008C1F8C">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63BE77E" w14:textId="77777777" w:rsidR="008C1F8C" w:rsidRPr="00EC236A" w:rsidRDefault="008C1F8C" w:rsidP="008C1F8C">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32CB6CD" w14:textId="585624B9" w:rsidR="008C1F8C" w:rsidRPr="00EC236A" w:rsidRDefault="008C1F8C" w:rsidP="008C1F8C">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56D8AC5" w14:textId="7BCBC444" w:rsidR="008C1F8C" w:rsidRPr="00EC236A" w:rsidRDefault="008C1F8C" w:rsidP="008C1F8C">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6719F88" w14:textId="77777777" w:rsidR="008C1F8C" w:rsidRPr="00EC236A" w:rsidRDefault="008C1F8C" w:rsidP="008C1F8C">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001E778" w14:textId="77777777" w:rsidR="008C1F8C" w:rsidRPr="00EC236A" w:rsidRDefault="008C1F8C" w:rsidP="008C1F8C">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419AFE0" w14:textId="77777777" w:rsidR="008C1F8C" w:rsidRPr="00EC236A" w:rsidRDefault="008C1F8C" w:rsidP="008C1F8C">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87CF095" w14:textId="77777777" w:rsidR="008C1F8C" w:rsidRPr="00EC236A" w:rsidRDefault="008C1F8C" w:rsidP="008C1F8C">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C262D31" w14:textId="53355698" w:rsidR="008C1F8C" w:rsidRPr="00EC236A" w:rsidRDefault="008C1F8C" w:rsidP="008C1F8C">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FA078F6" w14:textId="4047E2A8" w:rsidR="008C1F8C" w:rsidRPr="00EC236A" w:rsidRDefault="008C1F8C" w:rsidP="008C1F8C">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A4D25C5" w14:textId="77777777" w:rsidR="008C1F8C" w:rsidRPr="00EC236A" w:rsidRDefault="008C1F8C" w:rsidP="008C1F8C">
            <w:pPr>
              <w:pStyle w:val="Tablesmalltext"/>
              <w:jc w:val="center"/>
              <w:rPr>
                <w:rFonts w:asciiTheme="minorHAnsi" w:hAnsiTheme="minorHAnsi" w:cstheme="minorHAnsi"/>
                <w:sz w:val="18"/>
                <w:szCs w:val="18"/>
              </w:rPr>
            </w:pP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CAEDD72" w14:textId="77777777" w:rsidR="008C1F8C" w:rsidRPr="00EC236A" w:rsidRDefault="008C1F8C" w:rsidP="008C1F8C">
            <w:pPr>
              <w:pStyle w:val="Tablesmalltext"/>
              <w:jc w:val="center"/>
              <w:rPr>
                <w:rFonts w:asciiTheme="minorHAnsi" w:hAnsiTheme="minorHAnsi" w:cstheme="minorHAnsi"/>
                <w:sz w:val="18"/>
                <w:szCs w:val="18"/>
              </w:rPr>
            </w:pPr>
          </w:p>
        </w:tc>
      </w:tr>
      <w:tr w:rsidR="008C1F8C" w:rsidRPr="00EC236A" w14:paraId="1DD033AB" w14:textId="77777777" w:rsidTr="0020203B">
        <w:trPr>
          <w:cantSplit/>
          <w:jc w:val="center"/>
        </w:trPr>
        <w:tc>
          <w:tcPr>
            <w:tcW w:w="911" w:type="pct"/>
            <w:vMerge/>
            <w:tcBorders>
              <w:left w:val="single" w:sz="4" w:space="0" w:color="808080"/>
              <w:bottom w:val="single" w:sz="4" w:space="0" w:color="808080"/>
              <w:right w:val="single" w:sz="4" w:space="0" w:color="808080"/>
            </w:tcBorders>
            <w:vAlign w:val="center"/>
          </w:tcPr>
          <w:p w14:paraId="4FB30D1E" w14:textId="77777777" w:rsidR="008C1F8C" w:rsidRPr="00C768B4" w:rsidRDefault="008C1F8C" w:rsidP="008C1F8C">
            <w:pPr>
              <w:pStyle w:val="Tablesmalltext"/>
              <w:jc w:val="left"/>
              <w:rPr>
                <w:rFonts w:asciiTheme="minorHAnsi" w:hAnsiTheme="minorHAnsi" w:cstheme="minorHAnsi"/>
                <w:sz w:val="18"/>
                <w:szCs w:val="18"/>
              </w:rPr>
            </w:pPr>
          </w:p>
        </w:tc>
        <w:tc>
          <w:tcPr>
            <w:tcW w:w="568" w:type="pct"/>
            <w:vMerge/>
            <w:tcBorders>
              <w:left w:val="single" w:sz="4" w:space="0" w:color="808080"/>
              <w:bottom w:val="single" w:sz="4" w:space="0" w:color="808080"/>
              <w:right w:val="single" w:sz="4" w:space="0" w:color="808080"/>
            </w:tcBorders>
            <w:vAlign w:val="center"/>
          </w:tcPr>
          <w:p w14:paraId="230B19D5" w14:textId="77777777" w:rsidR="008C1F8C" w:rsidRPr="00C768B4" w:rsidRDefault="008C1F8C" w:rsidP="008C1F8C">
            <w:pPr>
              <w:pStyle w:val="Tablesmalltext"/>
              <w:jc w:val="center"/>
              <w:rPr>
                <w:rFonts w:asciiTheme="minorHAnsi" w:hAnsiTheme="minorHAnsi" w:cstheme="minorHAnsi"/>
                <w:sz w:val="18"/>
                <w:szCs w:val="18"/>
              </w:rPr>
            </w:pPr>
          </w:p>
        </w:tc>
        <w:tc>
          <w:tcPr>
            <w:tcW w:w="636" w:type="pct"/>
            <w:gridSpan w:val="2"/>
            <w:vMerge/>
            <w:tcBorders>
              <w:left w:val="single" w:sz="4" w:space="0" w:color="808080"/>
              <w:bottom w:val="single" w:sz="4" w:space="0" w:color="808080"/>
              <w:right w:val="single" w:sz="4" w:space="0" w:color="808080"/>
            </w:tcBorders>
            <w:vAlign w:val="center"/>
          </w:tcPr>
          <w:p w14:paraId="7BEAC35D" w14:textId="77777777" w:rsidR="008C1F8C" w:rsidRPr="00C768B4" w:rsidRDefault="008C1F8C" w:rsidP="008C1F8C">
            <w:pPr>
              <w:pStyle w:val="Tablesmalltext"/>
              <w:jc w:val="center"/>
              <w:rPr>
                <w:rFonts w:asciiTheme="minorHAnsi" w:hAnsiTheme="minorHAnsi" w:cstheme="minorHAnsi"/>
                <w:sz w:val="18"/>
                <w:szCs w:val="18"/>
              </w:rPr>
            </w:pPr>
          </w:p>
        </w:tc>
        <w:tc>
          <w:tcPr>
            <w:tcW w:w="433" w:type="pct"/>
            <w:tcBorders>
              <w:top w:val="single" w:sz="4" w:space="0" w:color="808080"/>
              <w:left w:val="single" w:sz="4" w:space="0" w:color="808080"/>
              <w:bottom w:val="single" w:sz="4" w:space="0" w:color="808080"/>
              <w:right w:val="single" w:sz="4" w:space="0" w:color="808080"/>
            </w:tcBorders>
            <w:shd w:val="clear" w:color="auto" w:fill="8BC2D1" w:themeFill="accent2" w:themeFillTint="99"/>
            <w:vAlign w:val="center"/>
          </w:tcPr>
          <w:p w14:paraId="7855AF75" w14:textId="42559D67" w:rsidR="008C1F8C" w:rsidRPr="00C768B4" w:rsidRDefault="008C1F8C" w:rsidP="008C1F8C">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Actual</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A391245" w14:textId="77777777" w:rsidR="008C1F8C" w:rsidRPr="00EC236A" w:rsidRDefault="008C1F8C" w:rsidP="008C1F8C">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A7E90CC" w14:textId="77777777" w:rsidR="008C1F8C" w:rsidRPr="00EC236A" w:rsidRDefault="008C1F8C" w:rsidP="008C1F8C">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485B0A2" w14:textId="7F2D212D" w:rsidR="008C1F8C" w:rsidRPr="00EC236A" w:rsidRDefault="008C1F8C" w:rsidP="008C1F8C">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7D61E7A" w14:textId="71B67180" w:rsidR="008C1F8C" w:rsidRPr="00EC236A" w:rsidRDefault="008C1F8C" w:rsidP="008C1F8C">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C5C1040" w14:textId="698458A0" w:rsidR="008C1F8C" w:rsidRPr="00EC236A" w:rsidRDefault="008C1F8C" w:rsidP="008C1F8C">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2E85099" w14:textId="1548D4A9" w:rsidR="008C1F8C" w:rsidRPr="00EC236A" w:rsidRDefault="008C1F8C" w:rsidP="008C1F8C">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568E668" w14:textId="77777777" w:rsidR="008C1F8C" w:rsidRPr="00EC236A" w:rsidRDefault="008C1F8C" w:rsidP="008C1F8C">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45C021E" w14:textId="77777777" w:rsidR="008C1F8C" w:rsidRPr="00EC236A" w:rsidRDefault="008C1F8C" w:rsidP="008C1F8C">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8CA06AC" w14:textId="1B8252FD" w:rsidR="008C1F8C" w:rsidRPr="00EC236A" w:rsidRDefault="008C1F8C" w:rsidP="008C1F8C">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96EE328" w14:textId="26130567" w:rsidR="008C1F8C" w:rsidRPr="00EC236A" w:rsidRDefault="008C1F8C" w:rsidP="008C1F8C">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E0D33DE" w14:textId="42C30820" w:rsidR="008C1F8C" w:rsidRPr="00EC236A" w:rsidRDefault="008C1F8C" w:rsidP="008C1F8C">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B8BD0A5" w14:textId="77777777" w:rsidR="008C1F8C" w:rsidRPr="00EC236A" w:rsidRDefault="008C1F8C" w:rsidP="008C1F8C">
            <w:pPr>
              <w:pStyle w:val="Tablesmalltext"/>
              <w:jc w:val="center"/>
              <w:rPr>
                <w:rFonts w:asciiTheme="minorHAnsi" w:hAnsiTheme="minorHAnsi" w:cstheme="minorHAnsi"/>
                <w:sz w:val="18"/>
                <w:szCs w:val="18"/>
              </w:rPr>
            </w:pPr>
          </w:p>
        </w:tc>
      </w:tr>
      <w:tr w:rsidR="00CD461D" w:rsidRPr="00EC236A" w14:paraId="7A244A79" w14:textId="77777777" w:rsidTr="00DA5369">
        <w:trPr>
          <w:cantSplit/>
          <w:jc w:val="center"/>
        </w:trPr>
        <w:tc>
          <w:tcPr>
            <w:tcW w:w="5000" w:type="pct"/>
            <w:gridSpan w:val="17"/>
            <w:tcBorders>
              <w:top w:val="single" w:sz="4" w:space="0" w:color="808080"/>
              <w:left w:val="single" w:sz="4" w:space="0" w:color="808080"/>
              <w:bottom w:val="single" w:sz="4" w:space="0" w:color="808080"/>
              <w:right w:val="single" w:sz="4" w:space="0" w:color="808080"/>
            </w:tcBorders>
            <w:vAlign w:val="center"/>
          </w:tcPr>
          <w:p w14:paraId="4E56FC92" w14:textId="7F2D84FC" w:rsidR="00CD461D" w:rsidRPr="00747AF0" w:rsidRDefault="00CD461D" w:rsidP="00E67217">
            <w:pPr>
              <w:pStyle w:val="Tablesmalltext"/>
              <w:jc w:val="center"/>
              <w:rPr>
                <w:rFonts w:asciiTheme="minorHAnsi" w:hAnsiTheme="minorHAnsi" w:cstheme="minorHAnsi"/>
                <w:b/>
                <w:bCs/>
                <w:sz w:val="18"/>
                <w:szCs w:val="18"/>
              </w:rPr>
            </w:pPr>
            <w:r w:rsidRPr="00747AF0">
              <w:rPr>
                <w:rFonts w:asciiTheme="minorHAnsi" w:hAnsiTheme="minorHAnsi" w:cstheme="minorHAnsi"/>
                <w:b/>
                <w:bCs/>
                <w:sz w:val="18"/>
                <w:szCs w:val="18"/>
              </w:rPr>
              <w:t xml:space="preserve">Contingency </w:t>
            </w:r>
            <w:r w:rsidR="00C15C12" w:rsidRPr="00747AF0">
              <w:rPr>
                <w:rFonts w:asciiTheme="minorHAnsi" w:hAnsiTheme="minorHAnsi" w:cstheme="minorHAnsi"/>
                <w:b/>
                <w:bCs/>
                <w:sz w:val="18"/>
                <w:szCs w:val="18"/>
              </w:rPr>
              <w:t>M</w:t>
            </w:r>
            <w:r w:rsidRPr="00747AF0">
              <w:rPr>
                <w:rFonts w:asciiTheme="minorHAnsi" w:hAnsiTheme="minorHAnsi" w:cstheme="minorHAnsi"/>
                <w:b/>
                <w:bCs/>
                <w:sz w:val="18"/>
                <w:szCs w:val="18"/>
              </w:rPr>
              <w:t>onitoring</w:t>
            </w:r>
          </w:p>
        </w:tc>
      </w:tr>
      <w:tr w:rsidR="005A3BBC" w:rsidRPr="00EC236A" w14:paraId="32F22FBA" w14:textId="77777777" w:rsidTr="0020203B">
        <w:trPr>
          <w:cantSplit/>
          <w:jc w:val="center"/>
        </w:trPr>
        <w:tc>
          <w:tcPr>
            <w:tcW w:w="911" w:type="pct"/>
            <w:vMerge w:val="restart"/>
            <w:tcBorders>
              <w:top w:val="single" w:sz="4" w:space="0" w:color="808080"/>
              <w:left w:val="single" w:sz="4" w:space="0" w:color="808080"/>
              <w:right w:val="single" w:sz="4" w:space="0" w:color="808080"/>
            </w:tcBorders>
            <w:vAlign w:val="center"/>
          </w:tcPr>
          <w:p w14:paraId="73DFE3CA" w14:textId="4461DD94" w:rsidR="005A3BBC" w:rsidRPr="00C768B4" w:rsidRDefault="005A3BBC" w:rsidP="00E67217">
            <w:pPr>
              <w:pStyle w:val="Tablesmalltext"/>
              <w:jc w:val="left"/>
              <w:rPr>
                <w:rFonts w:asciiTheme="minorHAnsi" w:hAnsiTheme="minorHAnsi" w:cstheme="minorHAnsi"/>
                <w:sz w:val="18"/>
                <w:szCs w:val="18"/>
              </w:rPr>
            </w:pPr>
            <w:r w:rsidRPr="00C768B4">
              <w:rPr>
                <w:rFonts w:asciiTheme="minorHAnsi" w:hAnsiTheme="minorHAnsi" w:cstheme="minorHAnsi"/>
                <w:sz w:val="18"/>
                <w:szCs w:val="18"/>
                <w:lang w:val="en-GB"/>
              </w:rPr>
              <w:t xml:space="preserve">Murray </w:t>
            </w:r>
            <w:r w:rsidR="00BB0712" w:rsidRPr="00C768B4">
              <w:rPr>
                <w:rFonts w:asciiTheme="minorHAnsi" w:hAnsiTheme="minorHAnsi" w:cstheme="minorHAnsi"/>
                <w:sz w:val="18"/>
                <w:szCs w:val="18"/>
                <w:lang w:val="en-GB"/>
              </w:rPr>
              <w:t>F</w:t>
            </w:r>
            <w:r w:rsidRPr="00C768B4">
              <w:rPr>
                <w:rFonts w:asciiTheme="minorHAnsi" w:hAnsiTheme="minorHAnsi" w:cstheme="minorHAnsi"/>
                <w:sz w:val="18"/>
                <w:szCs w:val="18"/>
                <w:lang w:val="en-GB"/>
              </w:rPr>
              <w:t xml:space="preserve">ish </w:t>
            </w:r>
            <w:r w:rsidR="00BB0712" w:rsidRPr="00C768B4">
              <w:rPr>
                <w:rFonts w:asciiTheme="minorHAnsi" w:hAnsiTheme="minorHAnsi" w:cstheme="minorHAnsi"/>
                <w:sz w:val="18"/>
                <w:szCs w:val="18"/>
                <w:lang w:val="en-GB"/>
              </w:rPr>
              <w:t>L</w:t>
            </w:r>
            <w:r w:rsidRPr="00C768B4">
              <w:rPr>
                <w:rFonts w:asciiTheme="minorHAnsi" w:hAnsiTheme="minorHAnsi" w:cstheme="minorHAnsi"/>
                <w:sz w:val="18"/>
                <w:szCs w:val="18"/>
                <w:lang w:val="en-GB"/>
              </w:rPr>
              <w:t>arvae</w:t>
            </w:r>
          </w:p>
        </w:tc>
        <w:tc>
          <w:tcPr>
            <w:tcW w:w="568" w:type="pct"/>
            <w:vMerge w:val="restart"/>
            <w:tcBorders>
              <w:top w:val="single" w:sz="4" w:space="0" w:color="808080"/>
              <w:left w:val="single" w:sz="4" w:space="0" w:color="808080"/>
              <w:right w:val="single" w:sz="4" w:space="0" w:color="808080"/>
            </w:tcBorders>
            <w:vAlign w:val="center"/>
          </w:tcPr>
          <w:p w14:paraId="6F32BA56" w14:textId="4518F230" w:rsidR="005A3BBC" w:rsidRPr="00C768B4" w:rsidRDefault="005A3BBC" w:rsidP="00CC1B81">
            <w:pPr>
              <w:pStyle w:val="Tablesmalltext"/>
              <w:jc w:val="center"/>
              <w:rPr>
                <w:rFonts w:asciiTheme="minorHAnsi" w:hAnsiTheme="minorHAnsi" w:cstheme="minorHAnsi"/>
                <w:sz w:val="18"/>
                <w:szCs w:val="18"/>
              </w:rPr>
            </w:pPr>
            <w:r w:rsidRPr="00C768B4">
              <w:rPr>
                <w:rFonts w:asciiTheme="minorHAnsi" w:hAnsiTheme="minorHAnsi" w:cstheme="minorHAnsi"/>
                <w:sz w:val="18"/>
                <w:szCs w:val="18"/>
                <w:lang w:val="en-GB"/>
              </w:rPr>
              <w:t>0</w:t>
            </w:r>
          </w:p>
        </w:tc>
        <w:tc>
          <w:tcPr>
            <w:tcW w:w="636" w:type="pct"/>
            <w:gridSpan w:val="2"/>
            <w:vMerge w:val="restart"/>
            <w:tcBorders>
              <w:top w:val="single" w:sz="4" w:space="0" w:color="808080"/>
              <w:left w:val="single" w:sz="4" w:space="0" w:color="808080"/>
              <w:right w:val="single" w:sz="4" w:space="0" w:color="808080"/>
            </w:tcBorders>
            <w:vAlign w:val="center"/>
          </w:tcPr>
          <w:p w14:paraId="08235C1F" w14:textId="0224ED38" w:rsidR="005A3BBC" w:rsidRPr="00C768B4" w:rsidRDefault="005A3BBC" w:rsidP="00CC1B81">
            <w:pPr>
              <w:pStyle w:val="Tablesmalltext"/>
              <w:jc w:val="center"/>
              <w:rPr>
                <w:rFonts w:asciiTheme="minorHAnsi" w:hAnsiTheme="minorHAnsi" w:cstheme="minorHAnsi"/>
                <w:sz w:val="18"/>
                <w:szCs w:val="18"/>
              </w:rPr>
            </w:pPr>
            <w:r w:rsidRPr="00C768B4">
              <w:rPr>
                <w:rFonts w:asciiTheme="minorHAnsi" w:hAnsiTheme="minorHAnsi" w:cstheme="minorHAnsi"/>
                <w:sz w:val="18"/>
                <w:szCs w:val="18"/>
                <w:lang w:val="en-GB"/>
              </w:rPr>
              <w:t>1</w:t>
            </w:r>
            <w:r w:rsidR="009B06CE">
              <w:rPr>
                <w:rFonts w:asciiTheme="minorHAnsi" w:hAnsiTheme="minorHAnsi" w:cstheme="minorHAnsi"/>
                <w:sz w:val="18"/>
                <w:szCs w:val="18"/>
                <w:lang w:val="en-GB"/>
              </w:rPr>
              <w:t>**</w:t>
            </w:r>
          </w:p>
        </w:tc>
        <w:tc>
          <w:tcPr>
            <w:tcW w:w="433" w:type="pct"/>
            <w:tcBorders>
              <w:top w:val="single" w:sz="4" w:space="0" w:color="808080"/>
              <w:left w:val="single" w:sz="4" w:space="0" w:color="808080"/>
              <w:bottom w:val="single" w:sz="4" w:space="0" w:color="808080"/>
              <w:right w:val="single" w:sz="4" w:space="0" w:color="808080"/>
            </w:tcBorders>
            <w:shd w:val="clear" w:color="auto" w:fill="74AFF5" w:themeFill="text2" w:themeFillTint="66"/>
            <w:vAlign w:val="center"/>
          </w:tcPr>
          <w:p w14:paraId="4F91D3DF" w14:textId="22AF0893" w:rsidR="005A3BBC" w:rsidRPr="00C768B4" w:rsidRDefault="005A3BBC" w:rsidP="00CC1B81">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Planned</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879FE36"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B1A1C2E"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3B80440"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587E8B0" w14:textId="2FE8A3EE" w:rsidR="005A3BBC" w:rsidRPr="00EC236A" w:rsidRDefault="005A3BBC" w:rsidP="00CC1B81">
            <w:pPr>
              <w:pStyle w:val="Tablesmalltext"/>
              <w:jc w:val="center"/>
              <w:rPr>
                <w:rFonts w:asciiTheme="minorHAnsi" w:hAnsiTheme="minorHAnsi" w:cstheme="minorHAnsi"/>
                <w:sz w:val="18"/>
                <w:szCs w:val="18"/>
              </w:rPr>
            </w:pPr>
            <w:r w:rsidRPr="00C71A96">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9F66ED1" w14:textId="0AE5A19A" w:rsidR="005A3BBC" w:rsidRPr="00EC236A" w:rsidRDefault="005A3BBC" w:rsidP="00CC1B81">
            <w:pPr>
              <w:pStyle w:val="Tablesmalltext"/>
              <w:jc w:val="center"/>
              <w:rPr>
                <w:rFonts w:asciiTheme="minorHAnsi" w:hAnsiTheme="minorHAnsi" w:cstheme="minorHAnsi"/>
                <w:sz w:val="18"/>
                <w:szCs w:val="18"/>
              </w:rPr>
            </w:pPr>
            <w:r w:rsidRPr="00C71A96">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E0641B0"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112B6C8"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5FAF931"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8367ACF"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D121EE8"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B387D9A" w14:textId="77777777" w:rsidR="005A3BBC" w:rsidRPr="00EC236A" w:rsidRDefault="005A3BBC" w:rsidP="00CC1B81">
            <w:pPr>
              <w:pStyle w:val="Tablesmalltext"/>
              <w:jc w:val="center"/>
              <w:rPr>
                <w:rFonts w:asciiTheme="minorHAnsi" w:hAnsiTheme="minorHAnsi" w:cstheme="minorHAnsi"/>
                <w:sz w:val="18"/>
                <w:szCs w:val="18"/>
              </w:rPr>
            </w:pP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1375630" w14:textId="77777777" w:rsidR="005A3BBC" w:rsidRPr="00EC236A" w:rsidRDefault="005A3BBC" w:rsidP="00CC1B81">
            <w:pPr>
              <w:pStyle w:val="Tablesmalltext"/>
              <w:jc w:val="center"/>
              <w:rPr>
                <w:rFonts w:asciiTheme="minorHAnsi" w:hAnsiTheme="minorHAnsi" w:cstheme="minorHAnsi"/>
                <w:sz w:val="18"/>
                <w:szCs w:val="18"/>
              </w:rPr>
            </w:pPr>
          </w:p>
        </w:tc>
      </w:tr>
      <w:tr w:rsidR="005A3BBC" w:rsidRPr="00EC236A" w14:paraId="43630BFA" w14:textId="77777777" w:rsidTr="0020203B">
        <w:trPr>
          <w:cantSplit/>
          <w:jc w:val="center"/>
        </w:trPr>
        <w:tc>
          <w:tcPr>
            <w:tcW w:w="911" w:type="pct"/>
            <w:vMerge/>
            <w:tcBorders>
              <w:left w:val="single" w:sz="4" w:space="0" w:color="808080"/>
              <w:bottom w:val="single" w:sz="4" w:space="0" w:color="808080"/>
              <w:right w:val="single" w:sz="4" w:space="0" w:color="808080"/>
            </w:tcBorders>
            <w:vAlign w:val="center"/>
          </w:tcPr>
          <w:p w14:paraId="101DC691" w14:textId="77777777" w:rsidR="005A3BBC" w:rsidRPr="00C768B4" w:rsidRDefault="005A3BBC" w:rsidP="00E67217">
            <w:pPr>
              <w:pStyle w:val="Tablesmalltext"/>
              <w:jc w:val="left"/>
              <w:rPr>
                <w:rFonts w:asciiTheme="minorHAnsi" w:hAnsiTheme="minorHAnsi" w:cstheme="minorHAnsi"/>
                <w:sz w:val="18"/>
                <w:szCs w:val="18"/>
              </w:rPr>
            </w:pPr>
          </w:p>
        </w:tc>
        <w:tc>
          <w:tcPr>
            <w:tcW w:w="568" w:type="pct"/>
            <w:vMerge/>
            <w:tcBorders>
              <w:left w:val="single" w:sz="4" w:space="0" w:color="808080"/>
              <w:bottom w:val="single" w:sz="4" w:space="0" w:color="808080"/>
              <w:right w:val="single" w:sz="4" w:space="0" w:color="808080"/>
            </w:tcBorders>
            <w:vAlign w:val="center"/>
          </w:tcPr>
          <w:p w14:paraId="615773E7" w14:textId="77777777" w:rsidR="005A3BBC" w:rsidRPr="00C768B4" w:rsidRDefault="005A3BBC" w:rsidP="00CC1B81">
            <w:pPr>
              <w:pStyle w:val="Tablesmalltext"/>
              <w:jc w:val="center"/>
              <w:rPr>
                <w:rFonts w:asciiTheme="minorHAnsi" w:hAnsiTheme="minorHAnsi" w:cstheme="minorHAnsi"/>
                <w:sz w:val="18"/>
                <w:szCs w:val="18"/>
              </w:rPr>
            </w:pPr>
          </w:p>
        </w:tc>
        <w:tc>
          <w:tcPr>
            <w:tcW w:w="636" w:type="pct"/>
            <w:gridSpan w:val="2"/>
            <w:vMerge/>
            <w:tcBorders>
              <w:left w:val="single" w:sz="4" w:space="0" w:color="808080"/>
              <w:bottom w:val="single" w:sz="4" w:space="0" w:color="808080"/>
              <w:right w:val="single" w:sz="4" w:space="0" w:color="808080"/>
            </w:tcBorders>
            <w:vAlign w:val="center"/>
          </w:tcPr>
          <w:p w14:paraId="73064CD7" w14:textId="77777777" w:rsidR="005A3BBC" w:rsidRPr="00C768B4" w:rsidRDefault="005A3BBC" w:rsidP="00CC1B81">
            <w:pPr>
              <w:pStyle w:val="Tablesmalltext"/>
              <w:jc w:val="center"/>
              <w:rPr>
                <w:rFonts w:asciiTheme="minorHAnsi" w:hAnsiTheme="minorHAnsi" w:cstheme="minorHAnsi"/>
                <w:sz w:val="18"/>
                <w:szCs w:val="18"/>
              </w:rPr>
            </w:pPr>
          </w:p>
        </w:tc>
        <w:tc>
          <w:tcPr>
            <w:tcW w:w="433" w:type="pct"/>
            <w:tcBorders>
              <w:top w:val="single" w:sz="4" w:space="0" w:color="808080"/>
              <w:left w:val="single" w:sz="4" w:space="0" w:color="808080"/>
              <w:bottom w:val="single" w:sz="4" w:space="0" w:color="808080"/>
              <w:right w:val="single" w:sz="4" w:space="0" w:color="808080"/>
            </w:tcBorders>
            <w:shd w:val="clear" w:color="auto" w:fill="8BC2D1" w:themeFill="accent2" w:themeFillTint="99"/>
            <w:vAlign w:val="center"/>
          </w:tcPr>
          <w:p w14:paraId="53BED1D6" w14:textId="26755701" w:rsidR="005A3BBC" w:rsidRPr="00C768B4" w:rsidRDefault="005A3BBC" w:rsidP="00CC1B81">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Actual</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A84D0CA"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44AAB40"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F98963C"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BC8496D" w14:textId="7E9794D4" w:rsidR="005A3BBC" w:rsidRPr="00EC236A" w:rsidRDefault="005A3BBC" w:rsidP="00CC1B81">
            <w:pPr>
              <w:pStyle w:val="Tablesmalltext"/>
              <w:jc w:val="center"/>
              <w:rPr>
                <w:rFonts w:asciiTheme="minorHAnsi" w:hAnsiTheme="minorHAnsi" w:cstheme="minorHAnsi"/>
                <w:sz w:val="18"/>
                <w:szCs w:val="18"/>
              </w:rPr>
            </w:pPr>
            <w:r w:rsidRPr="00C71A96">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DB594F8" w14:textId="1835968F" w:rsidR="005A3BBC" w:rsidRPr="00EC236A" w:rsidRDefault="005A3BBC" w:rsidP="00CC1B81">
            <w:pPr>
              <w:pStyle w:val="Tablesmalltext"/>
              <w:jc w:val="center"/>
              <w:rPr>
                <w:rFonts w:asciiTheme="minorHAnsi" w:hAnsiTheme="minorHAnsi" w:cstheme="minorHAnsi"/>
                <w:sz w:val="18"/>
                <w:szCs w:val="18"/>
              </w:rPr>
            </w:pPr>
            <w:r w:rsidRPr="00C71A96">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A20B4AD"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3C02EBC"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ECDACA0"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3645728"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B707C11" w14:textId="77777777" w:rsidR="005A3BBC" w:rsidRPr="00EC236A" w:rsidRDefault="005A3BBC" w:rsidP="00CC1B8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554462F" w14:textId="77777777" w:rsidR="005A3BBC" w:rsidRPr="00EC236A" w:rsidRDefault="005A3BBC" w:rsidP="00CC1B81">
            <w:pPr>
              <w:pStyle w:val="Tablesmalltext"/>
              <w:jc w:val="center"/>
              <w:rPr>
                <w:rFonts w:asciiTheme="minorHAnsi" w:hAnsiTheme="minorHAnsi" w:cstheme="minorHAnsi"/>
                <w:sz w:val="18"/>
                <w:szCs w:val="18"/>
              </w:rPr>
            </w:pP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D1540C8" w14:textId="77777777" w:rsidR="005A3BBC" w:rsidRPr="00EC236A" w:rsidRDefault="005A3BBC" w:rsidP="00CC1B81">
            <w:pPr>
              <w:pStyle w:val="Tablesmalltext"/>
              <w:jc w:val="center"/>
              <w:rPr>
                <w:rFonts w:asciiTheme="minorHAnsi" w:hAnsiTheme="minorHAnsi" w:cstheme="minorHAnsi"/>
                <w:sz w:val="18"/>
                <w:szCs w:val="18"/>
              </w:rPr>
            </w:pPr>
          </w:p>
        </w:tc>
      </w:tr>
      <w:tr w:rsidR="00AB111D" w:rsidRPr="00EC236A" w14:paraId="752AA8B9" w14:textId="77777777" w:rsidTr="0020203B">
        <w:trPr>
          <w:cantSplit/>
          <w:jc w:val="center"/>
        </w:trPr>
        <w:tc>
          <w:tcPr>
            <w:tcW w:w="911" w:type="pct"/>
            <w:vMerge w:val="restart"/>
            <w:tcBorders>
              <w:top w:val="single" w:sz="4" w:space="0" w:color="808080"/>
              <w:left w:val="single" w:sz="4" w:space="0" w:color="808080"/>
              <w:bottom w:val="single" w:sz="4" w:space="0" w:color="808080"/>
              <w:right w:val="single" w:sz="4" w:space="0" w:color="808080"/>
            </w:tcBorders>
            <w:vAlign w:val="center"/>
            <w:hideMark/>
          </w:tcPr>
          <w:p w14:paraId="2EF907C4" w14:textId="6DA153E6" w:rsidR="00AB111D" w:rsidRPr="00C768B4" w:rsidRDefault="00AB111D" w:rsidP="00AB111D">
            <w:pPr>
              <w:pStyle w:val="Tablesmalltext"/>
              <w:jc w:val="left"/>
              <w:rPr>
                <w:rFonts w:asciiTheme="minorHAnsi" w:hAnsiTheme="minorHAnsi" w:cstheme="minorHAnsi"/>
                <w:sz w:val="18"/>
                <w:szCs w:val="18"/>
              </w:rPr>
            </w:pPr>
            <w:r w:rsidRPr="00C768B4">
              <w:rPr>
                <w:rFonts w:asciiTheme="minorHAnsi" w:hAnsiTheme="minorHAnsi" w:cstheme="minorHAnsi"/>
                <w:sz w:val="18"/>
                <w:szCs w:val="18"/>
              </w:rPr>
              <w:t xml:space="preserve">Turf </w:t>
            </w:r>
            <w:r w:rsidR="00A25292">
              <w:rPr>
                <w:rFonts w:asciiTheme="minorHAnsi" w:hAnsiTheme="minorHAnsi" w:cstheme="minorHAnsi"/>
                <w:sz w:val="18"/>
                <w:szCs w:val="18"/>
              </w:rPr>
              <w:t>M</w:t>
            </w:r>
            <w:r w:rsidRPr="00C768B4">
              <w:rPr>
                <w:rFonts w:asciiTheme="minorHAnsi" w:hAnsiTheme="minorHAnsi" w:cstheme="minorHAnsi"/>
                <w:sz w:val="18"/>
                <w:szCs w:val="18"/>
              </w:rPr>
              <w:t xml:space="preserve">ats: </w:t>
            </w:r>
            <w:r w:rsidR="00A25292">
              <w:rPr>
                <w:rFonts w:asciiTheme="minorHAnsi" w:hAnsiTheme="minorHAnsi" w:cstheme="minorHAnsi"/>
                <w:sz w:val="18"/>
                <w:szCs w:val="18"/>
              </w:rPr>
              <w:t>S</w:t>
            </w:r>
            <w:r w:rsidRPr="00C768B4">
              <w:rPr>
                <w:rFonts w:asciiTheme="minorHAnsi" w:hAnsiTheme="minorHAnsi" w:cstheme="minorHAnsi"/>
                <w:sz w:val="18"/>
                <w:szCs w:val="18"/>
              </w:rPr>
              <w:t xml:space="preserve">ediment and </w:t>
            </w:r>
            <w:r w:rsidR="00A25292">
              <w:rPr>
                <w:rFonts w:asciiTheme="minorHAnsi" w:hAnsiTheme="minorHAnsi" w:cstheme="minorHAnsi"/>
                <w:sz w:val="18"/>
                <w:szCs w:val="18"/>
              </w:rPr>
              <w:t>S</w:t>
            </w:r>
            <w:r w:rsidRPr="00C768B4">
              <w:rPr>
                <w:rFonts w:asciiTheme="minorHAnsi" w:hAnsiTheme="minorHAnsi" w:cstheme="minorHAnsi"/>
                <w:sz w:val="18"/>
                <w:szCs w:val="18"/>
              </w:rPr>
              <w:t xml:space="preserve">eed </w:t>
            </w:r>
            <w:r w:rsidR="00A25292">
              <w:rPr>
                <w:rFonts w:asciiTheme="minorHAnsi" w:hAnsiTheme="minorHAnsi" w:cstheme="minorHAnsi"/>
                <w:sz w:val="18"/>
                <w:szCs w:val="18"/>
              </w:rPr>
              <w:t>D</w:t>
            </w:r>
            <w:r w:rsidRPr="00C768B4">
              <w:rPr>
                <w:rFonts w:asciiTheme="minorHAnsi" w:hAnsiTheme="minorHAnsi" w:cstheme="minorHAnsi"/>
                <w:sz w:val="18"/>
                <w:szCs w:val="18"/>
              </w:rPr>
              <w:t>eposition</w:t>
            </w:r>
          </w:p>
        </w:tc>
        <w:tc>
          <w:tcPr>
            <w:tcW w:w="568" w:type="pct"/>
            <w:vMerge w:val="restart"/>
            <w:tcBorders>
              <w:top w:val="single" w:sz="4" w:space="0" w:color="808080"/>
              <w:left w:val="single" w:sz="4" w:space="0" w:color="808080"/>
              <w:bottom w:val="single" w:sz="4" w:space="0" w:color="808080"/>
              <w:right w:val="single" w:sz="4" w:space="0" w:color="808080"/>
            </w:tcBorders>
            <w:vAlign w:val="center"/>
            <w:hideMark/>
          </w:tcPr>
          <w:p w14:paraId="1EE53D12" w14:textId="77777777" w:rsidR="00AB111D" w:rsidRPr="00C768B4" w:rsidRDefault="00AB111D" w:rsidP="00AB111D">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1</w:t>
            </w:r>
          </w:p>
          <w:p w14:paraId="22ABC578" w14:textId="59369B00" w:rsidR="00AB111D" w:rsidRPr="00C768B4" w:rsidRDefault="00AB111D" w:rsidP="00AB111D">
            <w:pPr>
              <w:pStyle w:val="Tablesmalltext"/>
              <w:jc w:val="center"/>
              <w:rPr>
                <w:rFonts w:asciiTheme="minorHAnsi" w:hAnsiTheme="minorHAnsi" w:cstheme="minorHAnsi"/>
                <w:sz w:val="18"/>
                <w:szCs w:val="18"/>
              </w:rPr>
            </w:pPr>
          </w:p>
        </w:tc>
        <w:tc>
          <w:tcPr>
            <w:tcW w:w="636" w:type="pct"/>
            <w:gridSpan w:val="2"/>
            <w:vMerge w:val="restart"/>
            <w:tcBorders>
              <w:top w:val="single" w:sz="4" w:space="0" w:color="808080"/>
              <w:left w:val="single" w:sz="4" w:space="0" w:color="808080"/>
              <w:bottom w:val="single" w:sz="4" w:space="0" w:color="808080"/>
              <w:right w:val="single" w:sz="4" w:space="0" w:color="808080"/>
            </w:tcBorders>
            <w:vAlign w:val="center"/>
            <w:hideMark/>
          </w:tcPr>
          <w:p w14:paraId="40950729" w14:textId="77777777" w:rsidR="00AB111D" w:rsidRPr="00C768B4" w:rsidRDefault="00AB111D" w:rsidP="00AB111D">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2</w:t>
            </w:r>
          </w:p>
          <w:p w14:paraId="32C34936" w14:textId="5B64AEDC" w:rsidR="00AB111D" w:rsidRPr="00C768B4" w:rsidRDefault="00AB111D" w:rsidP="00AB111D">
            <w:pPr>
              <w:pStyle w:val="Tablesmalltext"/>
              <w:jc w:val="center"/>
              <w:rPr>
                <w:rFonts w:asciiTheme="minorHAnsi" w:hAnsiTheme="minorHAnsi" w:cstheme="minorHAnsi"/>
                <w:sz w:val="18"/>
                <w:szCs w:val="18"/>
              </w:rPr>
            </w:pPr>
          </w:p>
        </w:tc>
        <w:tc>
          <w:tcPr>
            <w:tcW w:w="433" w:type="pct"/>
            <w:tcBorders>
              <w:top w:val="single" w:sz="4" w:space="0" w:color="808080"/>
              <w:left w:val="single" w:sz="4" w:space="0" w:color="808080"/>
              <w:bottom w:val="single" w:sz="4" w:space="0" w:color="808080"/>
              <w:right w:val="single" w:sz="4" w:space="0" w:color="808080"/>
            </w:tcBorders>
            <w:shd w:val="clear" w:color="auto" w:fill="74AFF5" w:themeFill="text2" w:themeFillTint="66"/>
            <w:vAlign w:val="center"/>
            <w:hideMark/>
          </w:tcPr>
          <w:p w14:paraId="08DC7470" w14:textId="0437E49F" w:rsidR="00AB111D" w:rsidRPr="00C768B4" w:rsidRDefault="00AB111D" w:rsidP="00AB111D">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Planned</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C6B9BAC" w14:textId="1E229A95" w:rsidR="00AB111D" w:rsidRPr="00EC236A" w:rsidRDefault="00AB111D" w:rsidP="00AB111D">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73FC4B1" w14:textId="77777777" w:rsidR="00AB111D" w:rsidRPr="00EC236A" w:rsidRDefault="00AB111D" w:rsidP="00AB111D">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4697E6A" w14:textId="77777777" w:rsidR="00AB111D" w:rsidRPr="00EC236A" w:rsidRDefault="00AB111D" w:rsidP="00AB111D">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E236041" w14:textId="07D1FEA4" w:rsidR="00AB111D" w:rsidRPr="00EC236A" w:rsidRDefault="00AB111D" w:rsidP="00AB111D">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E307CDA" w14:textId="637775E1" w:rsidR="00AB111D" w:rsidRPr="00EC236A" w:rsidRDefault="00AB111D" w:rsidP="00AB111D">
            <w:pPr>
              <w:pStyle w:val="Tablesmalltext"/>
              <w:jc w:val="center"/>
              <w:rPr>
                <w:rFonts w:asciiTheme="minorHAnsi" w:hAnsiTheme="minorHAnsi" w:cstheme="minorHAnsi"/>
                <w:sz w:val="18"/>
                <w:szCs w:val="18"/>
              </w:rPr>
            </w:pPr>
            <w:r w:rsidRPr="00C71A96">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5326580" w14:textId="7A8E801F" w:rsidR="00AB111D" w:rsidRPr="00EC236A" w:rsidRDefault="00AB111D" w:rsidP="00AB111D">
            <w:pPr>
              <w:pStyle w:val="Tablesmalltext"/>
              <w:jc w:val="center"/>
              <w:rPr>
                <w:rFonts w:asciiTheme="minorHAnsi" w:hAnsiTheme="minorHAnsi" w:cstheme="minorHAnsi"/>
                <w:sz w:val="18"/>
                <w:szCs w:val="18"/>
              </w:rPr>
            </w:pPr>
            <w:r w:rsidRPr="00C71A96">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96CC315" w14:textId="77777777" w:rsidR="00AB111D" w:rsidRPr="00EC236A" w:rsidRDefault="00AB111D" w:rsidP="00AB111D">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C84BF8A" w14:textId="77777777" w:rsidR="00AB111D" w:rsidRPr="00EC236A" w:rsidRDefault="00AB111D" w:rsidP="00AB111D">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BB4F2D8" w14:textId="7724FFF3" w:rsidR="00AB111D" w:rsidRPr="00EC236A" w:rsidRDefault="00AB111D" w:rsidP="00AB111D">
            <w:pPr>
              <w:pStyle w:val="Tablesmalltext"/>
              <w:jc w:val="center"/>
              <w:rPr>
                <w:rFonts w:asciiTheme="minorHAnsi" w:hAnsiTheme="minorHAnsi" w:cstheme="minorHAnsi"/>
                <w:sz w:val="18"/>
                <w:szCs w:val="18"/>
              </w:rPr>
            </w:pPr>
            <w:r w:rsidRPr="00C71A96">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7D4F68E" w14:textId="753605C3" w:rsidR="00AB111D" w:rsidRPr="00EC236A" w:rsidRDefault="00AB111D" w:rsidP="00AB111D">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0034DE7" w14:textId="2A045F17" w:rsidR="00AB111D" w:rsidRPr="00EC236A" w:rsidRDefault="00AB111D" w:rsidP="00AB111D">
            <w:pPr>
              <w:pStyle w:val="Tablesmalltext"/>
              <w:jc w:val="center"/>
              <w:rPr>
                <w:rFonts w:asciiTheme="minorHAnsi" w:hAnsiTheme="minorHAnsi" w:cstheme="minorHAnsi"/>
                <w:sz w:val="18"/>
                <w:szCs w:val="18"/>
              </w:rPr>
            </w:pPr>
            <w:r w:rsidRPr="00C71A96">
              <w:rPr>
                <w:rFonts w:ascii="Wingdings" w:eastAsia="Wingdings" w:hAnsi="Wingdings" w:cs="Wingdings"/>
              </w:rPr>
              <w:t></w:t>
            </w: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9D03FC0" w14:textId="6E0E8F92" w:rsidR="00AB111D" w:rsidRPr="00EC236A" w:rsidRDefault="00AB111D" w:rsidP="00AB111D">
            <w:pPr>
              <w:pStyle w:val="Tablesmalltext"/>
              <w:jc w:val="center"/>
              <w:rPr>
                <w:rFonts w:asciiTheme="minorHAnsi" w:hAnsiTheme="minorHAnsi" w:cstheme="minorHAnsi"/>
                <w:sz w:val="18"/>
                <w:szCs w:val="18"/>
              </w:rPr>
            </w:pPr>
            <w:r w:rsidRPr="00C71A96">
              <w:rPr>
                <w:rFonts w:ascii="Wingdings" w:eastAsia="Wingdings" w:hAnsi="Wingdings" w:cs="Wingdings"/>
              </w:rPr>
              <w:t></w:t>
            </w:r>
          </w:p>
        </w:tc>
      </w:tr>
      <w:tr w:rsidR="00AB111D" w:rsidRPr="00EC236A" w14:paraId="4274C540" w14:textId="77777777" w:rsidTr="0020203B">
        <w:trPr>
          <w:cantSplit/>
          <w:jc w:val="center"/>
        </w:trPr>
        <w:tc>
          <w:tcPr>
            <w:tcW w:w="911" w:type="pct"/>
            <w:vMerge/>
            <w:tcBorders>
              <w:top w:val="single" w:sz="4" w:space="0" w:color="808080"/>
              <w:left w:val="single" w:sz="4" w:space="0" w:color="808080"/>
              <w:bottom w:val="single" w:sz="4" w:space="0" w:color="808080"/>
              <w:right w:val="single" w:sz="4" w:space="0" w:color="808080"/>
            </w:tcBorders>
            <w:vAlign w:val="center"/>
            <w:hideMark/>
          </w:tcPr>
          <w:p w14:paraId="0097CAB4" w14:textId="77777777" w:rsidR="00AB111D" w:rsidRPr="00C768B4" w:rsidRDefault="00AB111D" w:rsidP="00AB111D">
            <w:pPr>
              <w:spacing w:after="0" w:line="240" w:lineRule="auto"/>
              <w:jc w:val="left"/>
              <w:rPr>
                <w:rFonts w:cstheme="minorHAnsi"/>
                <w:sz w:val="18"/>
                <w:szCs w:val="18"/>
                <w:lang w:val="en-GB" w:eastAsia="en-US"/>
              </w:rPr>
            </w:pPr>
          </w:p>
        </w:tc>
        <w:tc>
          <w:tcPr>
            <w:tcW w:w="568" w:type="pct"/>
            <w:vMerge/>
            <w:tcBorders>
              <w:top w:val="single" w:sz="4" w:space="0" w:color="808080"/>
              <w:left w:val="single" w:sz="4" w:space="0" w:color="808080"/>
              <w:bottom w:val="single" w:sz="4" w:space="0" w:color="808080"/>
              <w:right w:val="single" w:sz="4" w:space="0" w:color="808080"/>
            </w:tcBorders>
            <w:vAlign w:val="center"/>
            <w:hideMark/>
          </w:tcPr>
          <w:p w14:paraId="5A481ADB" w14:textId="77777777" w:rsidR="00AB111D" w:rsidRPr="00C768B4" w:rsidRDefault="00AB111D" w:rsidP="00AB111D">
            <w:pPr>
              <w:spacing w:after="0" w:line="240" w:lineRule="auto"/>
              <w:jc w:val="center"/>
              <w:rPr>
                <w:rFonts w:cstheme="minorHAnsi"/>
                <w:sz w:val="18"/>
                <w:szCs w:val="18"/>
                <w:lang w:val="en-GB" w:eastAsia="en-US"/>
              </w:rPr>
            </w:pPr>
          </w:p>
        </w:tc>
        <w:tc>
          <w:tcPr>
            <w:tcW w:w="636" w:type="pct"/>
            <w:gridSpan w:val="2"/>
            <w:vMerge/>
            <w:tcBorders>
              <w:top w:val="single" w:sz="4" w:space="0" w:color="808080"/>
              <w:left w:val="single" w:sz="4" w:space="0" w:color="808080"/>
              <w:bottom w:val="single" w:sz="4" w:space="0" w:color="808080"/>
              <w:right w:val="single" w:sz="4" w:space="0" w:color="808080"/>
            </w:tcBorders>
            <w:vAlign w:val="center"/>
            <w:hideMark/>
          </w:tcPr>
          <w:p w14:paraId="1B3B17A2" w14:textId="77777777" w:rsidR="00AB111D" w:rsidRPr="00C768B4" w:rsidRDefault="00AB111D" w:rsidP="00AB111D">
            <w:pPr>
              <w:spacing w:after="0" w:line="240" w:lineRule="auto"/>
              <w:jc w:val="center"/>
              <w:rPr>
                <w:rFonts w:cstheme="minorHAnsi"/>
                <w:sz w:val="18"/>
                <w:szCs w:val="18"/>
                <w:lang w:val="en-GB" w:eastAsia="en-US"/>
              </w:rPr>
            </w:pPr>
          </w:p>
        </w:tc>
        <w:tc>
          <w:tcPr>
            <w:tcW w:w="433" w:type="pct"/>
            <w:tcBorders>
              <w:top w:val="single" w:sz="4" w:space="0" w:color="808080"/>
              <w:left w:val="single" w:sz="4" w:space="0" w:color="808080"/>
              <w:bottom w:val="single" w:sz="4" w:space="0" w:color="808080"/>
              <w:right w:val="single" w:sz="4" w:space="0" w:color="808080"/>
            </w:tcBorders>
            <w:shd w:val="clear" w:color="auto" w:fill="8BC2D1" w:themeFill="accent2" w:themeFillTint="99"/>
            <w:vAlign w:val="center"/>
            <w:hideMark/>
          </w:tcPr>
          <w:p w14:paraId="45065926" w14:textId="38DC4CDB" w:rsidR="00AB111D" w:rsidRPr="00C768B4" w:rsidRDefault="00AB111D" w:rsidP="00AB111D">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Actual</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F96E298" w14:textId="1C8E6F84" w:rsidR="00AB111D" w:rsidRPr="00EC236A" w:rsidRDefault="00AB111D" w:rsidP="00AB111D">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A7FA83F" w14:textId="77777777" w:rsidR="00AB111D" w:rsidRPr="00EC236A" w:rsidRDefault="00AB111D" w:rsidP="00AB111D">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E668096" w14:textId="4671F345" w:rsidR="00AB111D" w:rsidRPr="00EC236A" w:rsidRDefault="00AB111D" w:rsidP="00AB111D">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D5FAC2C" w14:textId="77777777" w:rsidR="00AB111D" w:rsidRPr="00EC236A" w:rsidRDefault="00AB111D" w:rsidP="00AB111D">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A5CD7DF" w14:textId="7EE386E7" w:rsidR="00AB111D" w:rsidRPr="00EC236A" w:rsidRDefault="00AB111D" w:rsidP="00AB111D">
            <w:pPr>
              <w:pStyle w:val="Tablesmalltext"/>
              <w:jc w:val="center"/>
              <w:rPr>
                <w:rFonts w:asciiTheme="minorHAnsi" w:hAnsiTheme="minorHAnsi" w:cstheme="minorHAnsi"/>
                <w:sz w:val="18"/>
                <w:szCs w:val="18"/>
              </w:rPr>
            </w:pPr>
            <w:r w:rsidRPr="00C71A96">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6D24F37" w14:textId="2155B3BB" w:rsidR="00AB111D" w:rsidRPr="00EC236A" w:rsidRDefault="00AB111D" w:rsidP="00AB111D">
            <w:pPr>
              <w:pStyle w:val="Tablesmalltext"/>
              <w:jc w:val="center"/>
              <w:rPr>
                <w:rFonts w:asciiTheme="minorHAnsi" w:hAnsiTheme="minorHAnsi" w:cstheme="minorHAnsi"/>
                <w:sz w:val="18"/>
                <w:szCs w:val="18"/>
              </w:rPr>
            </w:pPr>
            <w:r w:rsidRPr="00C71A96">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D35DC95" w14:textId="77777777" w:rsidR="00AB111D" w:rsidRPr="00EC236A" w:rsidRDefault="00AB111D" w:rsidP="00AB111D">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65BED4F" w14:textId="77777777" w:rsidR="00AB111D" w:rsidRPr="00EC236A" w:rsidRDefault="00AB111D" w:rsidP="00AB111D">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FABDDD7" w14:textId="015F1274" w:rsidR="00AB111D" w:rsidRPr="00EC236A" w:rsidRDefault="00AB111D" w:rsidP="00AB111D">
            <w:pPr>
              <w:pStyle w:val="Tablesmalltext"/>
              <w:jc w:val="center"/>
              <w:rPr>
                <w:rFonts w:asciiTheme="minorHAnsi" w:hAnsiTheme="minorHAnsi" w:cstheme="minorHAnsi"/>
                <w:sz w:val="18"/>
                <w:szCs w:val="18"/>
              </w:rPr>
            </w:pPr>
            <w:r w:rsidRPr="00C71A96">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F6A81C2" w14:textId="1DAC473F" w:rsidR="00AB111D" w:rsidRPr="00EC236A" w:rsidRDefault="00AB111D" w:rsidP="00AB111D">
            <w:pPr>
              <w:pStyle w:val="Tablesmalltext"/>
              <w:jc w:val="center"/>
              <w:rPr>
                <w:rFonts w:asciiTheme="minorHAnsi" w:hAnsiTheme="minorHAnsi" w:cstheme="minorHAnsi"/>
                <w:sz w:val="18"/>
                <w:szCs w:val="18"/>
              </w:rPr>
            </w:pPr>
            <w:r w:rsidRPr="00C71A96">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400C4AC" w14:textId="703BEC7A" w:rsidR="00AB111D" w:rsidRPr="00EC236A" w:rsidRDefault="00AB111D" w:rsidP="00AB111D">
            <w:pPr>
              <w:pStyle w:val="Tablesmalltext"/>
              <w:jc w:val="center"/>
              <w:rPr>
                <w:rFonts w:asciiTheme="minorHAnsi" w:hAnsiTheme="minorHAnsi" w:cstheme="minorHAnsi"/>
                <w:sz w:val="18"/>
                <w:szCs w:val="18"/>
              </w:rPr>
            </w:pPr>
            <w:r w:rsidRPr="00C71A96">
              <w:rPr>
                <w:rFonts w:ascii="Wingdings" w:eastAsia="Wingdings" w:hAnsi="Wingdings" w:cs="Wingdings"/>
              </w:rPr>
              <w:t></w:t>
            </w: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4C85C21E" w14:textId="3090FC6A" w:rsidR="00AB111D" w:rsidRPr="00EC236A" w:rsidRDefault="00AB111D" w:rsidP="00AB111D">
            <w:pPr>
              <w:pStyle w:val="Tablesmalltext"/>
              <w:jc w:val="center"/>
              <w:rPr>
                <w:rFonts w:asciiTheme="minorHAnsi" w:hAnsiTheme="minorHAnsi" w:cstheme="minorHAnsi"/>
                <w:sz w:val="18"/>
                <w:szCs w:val="18"/>
              </w:rPr>
            </w:pPr>
          </w:p>
        </w:tc>
      </w:tr>
      <w:tr w:rsidR="0020203B" w:rsidRPr="00EC236A" w14:paraId="433532D8" w14:textId="77777777" w:rsidTr="0020203B">
        <w:trPr>
          <w:cantSplit/>
          <w:jc w:val="center"/>
        </w:trPr>
        <w:tc>
          <w:tcPr>
            <w:tcW w:w="911" w:type="pct"/>
            <w:vMerge w:val="restart"/>
            <w:tcBorders>
              <w:top w:val="single" w:sz="4" w:space="0" w:color="808080"/>
              <w:left w:val="single" w:sz="4" w:space="0" w:color="808080"/>
              <w:right w:val="single" w:sz="4" w:space="0" w:color="808080"/>
            </w:tcBorders>
            <w:vAlign w:val="center"/>
          </w:tcPr>
          <w:p w14:paraId="4C312BFC" w14:textId="500B166C" w:rsidR="0020203B" w:rsidRPr="00C768B4" w:rsidRDefault="0020203B" w:rsidP="0020203B">
            <w:pPr>
              <w:spacing w:after="0" w:line="240" w:lineRule="auto"/>
              <w:jc w:val="left"/>
              <w:rPr>
                <w:rFonts w:cstheme="minorHAnsi"/>
                <w:sz w:val="18"/>
                <w:szCs w:val="18"/>
                <w:lang w:val="en-GB" w:eastAsia="en-US"/>
              </w:rPr>
            </w:pPr>
            <w:r w:rsidRPr="00C768B4">
              <w:rPr>
                <w:rFonts w:cstheme="minorHAnsi"/>
                <w:sz w:val="18"/>
                <w:szCs w:val="18"/>
                <w:lang w:val="en-GB" w:eastAsia="en-US"/>
              </w:rPr>
              <w:t>Pelagic Metabolism</w:t>
            </w:r>
          </w:p>
        </w:tc>
        <w:tc>
          <w:tcPr>
            <w:tcW w:w="568" w:type="pct"/>
            <w:vMerge w:val="restart"/>
            <w:tcBorders>
              <w:top w:val="single" w:sz="4" w:space="0" w:color="808080"/>
              <w:left w:val="single" w:sz="4" w:space="0" w:color="808080"/>
              <w:right w:val="single" w:sz="4" w:space="0" w:color="808080"/>
            </w:tcBorders>
            <w:vAlign w:val="center"/>
          </w:tcPr>
          <w:p w14:paraId="15714455" w14:textId="1A16D53B" w:rsidR="0020203B" w:rsidRPr="00C768B4" w:rsidRDefault="0020203B" w:rsidP="0020203B">
            <w:pPr>
              <w:spacing w:after="0" w:line="240" w:lineRule="auto"/>
              <w:jc w:val="center"/>
              <w:rPr>
                <w:rFonts w:cstheme="minorHAnsi"/>
                <w:sz w:val="18"/>
                <w:szCs w:val="18"/>
                <w:lang w:val="en-GB" w:eastAsia="en-US"/>
              </w:rPr>
            </w:pPr>
            <w:r w:rsidRPr="00C768B4">
              <w:rPr>
                <w:rFonts w:cstheme="minorHAnsi"/>
                <w:sz w:val="18"/>
                <w:szCs w:val="18"/>
                <w:lang w:val="en-GB" w:eastAsia="en-US"/>
              </w:rPr>
              <w:t>1</w:t>
            </w:r>
          </w:p>
        </w:tc>
        <w:tc>
          <w:tcPr>
            <w:tcW w:w="636" w:type="pct"/>
            <w:gridSpan w:val="2"/>
            <w:vMerge w:val="restart"/>
            <w:tcBorders>
              <w:top w:val="single" w:sz="4" w:space="0" w:color="808080"/>
              <w:left w:val="single" w:sz="4" w:space="0" w:color="808080"/>
              <w:right w:val="single" w:sz="4" w:space="0" w:color="808080"/>
            </w:tcBorders>
            <w:vAlign w:val="center"/>
          </w:tcPr>
          <w:p w14:paraId="355725EE" w14:textId="78FF07EE" w:rsidR="0020203B" w:rsidRPr="00C768B4" w:rsidRDefault="0020203B" w:rsidP="0020203B">
            <w:pPr>
              <w:spacing w:after="0" w:line="240" w:lineRule="auto"/>
              <w:jc w:val="center"/>
              <w:rPr>
                <w:rFonts w:cstheme="minorHAnsi"/>
                <w:sz w:val="18"/>
                <w:szCs w:val="18"/>
                <w:lang w:val="en-GB" w:eastAsia="en-US"/>
              </w:rPr>
            </w:pPr>
            <w:r w:rsidRPr="00C768B4">
              <w:rPr>
                <w:rFonts w:cstheme="minorHAnsi"/>
                <w:sz w:val="18"/>
                <w:szCs w:val="18"/>
                <w:lang w:val="en-GB" w:eastAsia="en-US"/>
              </w:rPr>
              <w:t>2</w:t>
            </w:r>
          </w:p>
        </w:tc>
        <w:tc>
          <w:tcPr>
            <w:tcW w:w="433" w:type="pct"/>
            <w:tcBorders>
              <w:top w:val="single" w:sz="4" w:space="0" w:color="808080"/>
              <w:left w:val="single" w:sz="4" w:space="0" w:color="808080"/>
              <w:bottom w:val="single" w:sz="4" w:space="0" w:color="808080"/>
              <w:right w:val="single" w:sz="4" w:space="0" w:color="808080"/>
            </w:tcBorders>
            <w:shd w:val="clear" w:color="auto" w:fill="74AFF5" w:themeFill="text2" w:themeFillTint="66"/>
            <w:vAlign w:val="center"/>
          </w:tcPr>
          <w:p w14:paraId="6B56E603" w14:textId="34DC7EED" w:rsidR="0020203B" w:rsidRPr="00C768B4" w:rsidRDefault="0020203B" w:rsidP="0020203B">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Planned</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FC2F706" w14:textId="77777777" w:rsidR="0020203B" w:rsidRPr="00EC236A" w:rsidRDefault="0020203B" w:rsidP="0020203B">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58B9DC8" w14:textId="77777777" w:rsidR="0020203B" w:rsidRPr="00EC236A" w:rsidRDefault="0020203B" w:rsidP="0020203B">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831048F" w14:textId="77777777" w:rsidR="0020203B" w:rsidRPr="00EC236A" w:rsidRDefault="0020203B" w:rsidP="0020203B">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B88A203" w14:textId="77777777" w:rsidR="0020203B" w:rsidRPr="00EC236A" w:rsidRDefault="0020203B" w:rsidP="0020203B">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tcPr>
          <w:p w14:paraId="23BC328B" w14:textId="4FF79EA4" w:rsidR="0020203B" w:rsidRPr="00EC236A" w:rsidRDefault="0020203B" w:rsidP="0020203B">
            <w:pPr>
              <w:pStyle w:val="Tablesmalltext"/>
              <w:jc w:val="center"/>
              <w:rPr>
                <w:rFonts w:asciiTheme="minorHAnsi" w:hAnsiTheme="minorHAnsi" w:cstheme="minorHAnsi"/>
                <w:sz w:val="18"/>
                <w:szCs w:val="18"/>
              </w:rPr>
            </w:pPr>
            <w:r w:rsidRPr="00177195">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tcPr>
          <w:p w14:paraId="05EBD617" w14:textId="02C06CDB" w:rsidR="0020203B" w:rsidRPr="00EC236A" w:rsidRDefault="0020203B" w:rsidP="0020203B">
            <w:pPr>
              <w:pStyle w:val="Tablesmalltext"/>
              <w:jc w:val="center"/>
              <w:rPr>
                <w:rFonts w:asciiTheme="minorHAnsi" w:hAnsiTheme="minorHAnsi" w:cstheme="minorHAnsi"/>
                <w:sz w:val="18"/>
                <w:szCs w:val="18"/>
              </w:rPr>
            </w:pPr>
            <w:r w:rsidRPr="00177195">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tcPr>
          <w:p w14:paraId="4380F0CB" w14:textId="08011524" w:rsidR="0020203B" w:rsidRPr="00EC236A" w:rsidRDefault="0020203B" w:rsidP="0020203B">
            <w:pPr>
              <w:pStyle w:val="Tablesmalltext"/>
              <w:jc w:val="center"/>
              <w:rPr>
                <w:rFonts w:asciiTheme="minorHAnsi" w:hAnsiTheme="minorHAnsi" w:cstheme="minorHAnsi"/>
                <w:sz w:val="18"/>
                <w:szCs w:val="18"/>
              </w:rPr>
            </w:pPr>
            <w:r w:rsidRPr="00177195">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tcPr>
          <w:p w14:paraId="44A27DAD" w14:textId="5E018C64" w:rsidR="0020203B" w:rsidRPr="00EC236A" w:rsidRDefault="0020203B" w:rsidP="0020203B">
            <w:pPr>
              <w:pStyle w:val="Tablesmalltext"/>
              <w:jc w:val="center"/>
              <w:rPr>
                <w:rFonts w:asciiTheme="minorHAnsi" w:hAnsiTheme="minorHAnsi" w:cstheme="minorHAnsi"/>
                <w:sz w:val="18"/>
                <w:szCs w:val="18"/>
              </w:rPr>
            </w:pPr>
            <w:r w:rsidRPr="00177195">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tcPr>
          <w:p w14:paraId="28BC3F33" w14:textId="7DA0CC20" w:rsidR="0020203B" w:rsidRPr="00EC236A" w:rsidRDefault="0020203B" w:rsidP="0020203B">
            <w:pPr>
              <w:pStyle w:val="Tablesmalltext"/>
              <w:jc w:val="center"/>
              <w:rPr>
                <w:rFonts w:asciiTheme="minorHAnsi" w:hAnsiTheme="minorHAnsi" w:cstheme="minorHAnsi"/>
                <w:sz w:val="18"/>
                <w:szCs w:val="18"/>
              </w:rPr>
            </w:pPr>
            <w:r w:rsidRPr="00177195">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8D149D6" w14:textId="77777777" w:rsidR="0020203B" w:rsidRPr="00EC236A" w:rsidRDefault="0020203B" w:rsidP="0020203B">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00A8D6D" w14:textId="77777777" w:rsidR="0020203B" w:rsidRPr="00EC236A" w:rsidRDefault="0020203B" w:rsidP="0020203B">
            <w:pPr>
              <w:pStyle w:val="Tablesmalltext"/>
              <w:jc w:val="center"/>
              <w:rPr>
                <w:rFonts w:asciiTheme="minorHAnsi" w:hAnsiTheme="minorHAnsi" w:cstheme="minorHAnsi"/>
                <w:sz w:val="18"/>
                <w:szCs w:val="18"/>
              </w:rPr>
            </w:pP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FE08402" w14:textId="77777777" w:rsidR="0020203B" w:rsidRPr="00EC236A" w:rsidRDefault="0020203B" w:rsidP="0020203B">
            <w:pPr>
              <w:pStyle w:val="Tablesmalltext"/>
              <w:jc w:val="center"/>
              <w:rPr>
                <w:rFonts w:asciiTheme="minorHAnsi" w:hAnsiTheme="minorHAnsi" w:cstheme="minorHAnsi"/>
                <w:sz w:val="18"/>
                <w:szCs w:val="18"/>
              </w:rPr>
            </w:pPr>
          </w:p>
        </w:tc>
      </w:tr>
      <w:tr w:rsidR="0020203B" w:rsidRPr="00EC236A" w14:paraId="7DEE12DE" w14:textId="77777777" w:rsidTr="0020203B">
        <w:trPr>
          <w:cantSplit/>
          <w:jc w:val="center"/>
        </w:trPr>
        <w:tc>
          <w:tcPr>
            <w:tcW w:w="911" w:type="pct"/>
            <w:vMerge/>
            <w:tcBorders>
              <w:left w:val="single" w:sz="4" w:space="0" w:color="808080"/>
              <w:right w:val="single" w:sz="4" w:space="0" w:color="808080"/>
            </w:tcBorders>
            <w:vAlign w:val="center"/>
          </w:tcPr>
          <w:p w14:paraId="61882A84" w14:textId="77777777" w:rsidR="0020203B" w:rsidRPr="00C768B4" w:rsidRDefault="0020203B" w:rsidP="0020203B">
            <w:pPr>
              <w:spacing w:after="0" w:line="240" w:lineRule="auto"/>
              <w:rPr>
                <w:rFonts w:cstheme="minorHAnsi"/>
                <w:sz w:val="18"/>
                <w:szCs w:val="18"/>
                <w:lang w:val="en-GB" w:eastAsia="en-US"/>
              </w:rPr>
            </w:pPr>
          </w:p>
        </w:tc>
        <w:tc>
          <w:tcPr>
            <w:tcW w:w="568" w:type="pct"/>
            <w:vMerge/>
            <w:tcBorders>
              <w:left w:val="single" w:sz="4" w:space="0" w:color="808080"/>
              <w:right w:val="single" w:sz="4" w:space="0" w:color="808080"/>
            </w:tcBorders>
            <w:vAlign w:val="center"/>
          </w:tcPr>
          <w:p w14:paraId="3FD3F82C" w14:textId="77777777" w:rsidR="0020203B" w:rsidRPr="00C768B4" w:rsidRDefault="0020203B" w:rsidP="0020203B">
            <w:pPr>
              <w:spacing w:after="0" w:line="240" w:lineRule="auto"/>
              <w:jc w:val="center"/>
              <w:rPr>
                <w:rFonts w:cstheme="minorHAnsi"/>
                <w:sz w:val="18"/>
                <w:szCs w:val="18"/>
                <w:lang w:val="en-GB" w:eastAsia="en-US"/>
              </w:rPr>
            </w:pPr>
          </w:p>
        </w:tc>
        <w:tc>
          <w:tcPr>
            <w:tcW w:w="636" w:type="pct"/>
            <w:gridSpan w:val="2"/>
            <w:vMerge/>
            <w:tcBorders>
              <w:left w:val="single" w:sz="4" w:space="0" w:color="808080"/>
              <w:right w:val="single" w:sz="4" w:space="0" w:color="808080"/>
            </w:tcBorders>
            <w:vAlign w:val="center"/>
          </w:tcPr>
          <w:p w14:paraId="41E4913E" w14:textId="77777777" w:rsidR="0020203B" w:rsidRPr="00C768B4" w:rsidRDefault="0020203B" w:rsidP="0020203B">
            <w:pPr>
              <w:spacing w:after="0" w:line="240" w:lineRule="auto"/>
              <w:jc w:val="center"/>
              <w:rPr>
                <w:rFonts w:cstheme="minorHAnsi"/>
                <w:sz w:val="18"/>
                <w:szCs w:val="18"/>
                <w:lang w:val="en-GB" w:eastAsia="en-US"/>
              </w:rPr>
            </w:pPr>
          </w:p>
        </w:tc>
        <w:tc>
          <w:tcPr>
            <w:tcW w:w="433" w:type="pct"/>
            <w:tcBorders>
              <w:top w:val="single" w:sz="4" w:space="0" w:color="808080"/>
              <w:left w:val="single" w:sz="4" w:space="0" w:color="808080"/>
              <w:bottom w:val="single" w:sz="4" w:space="0" w:color="808080"/>
              <w:right w:val="single" w:sz="4" w:space="0" w:color="808080"/>
            </w:tcBorders>
            <w:shd w:val="clear" w:color="auto" w:fill="8BC2D1" w:themeFill="accent2" w:themeFillTint="99"/>
            <w:vAlign w:val="center"/>
          </w:tcPr>
          <w:p w14:paraId="78A4C885" w14:textId="72EAA79A" w:rsidR="0020203B" w:rsidRPr="00C768B4" w:rsidRDefault="0020203B" w:rsidP="0020203B">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Actual</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4AD7DB7" w14:textId="77777777" w:rsidR="0020203B" w:rsidRPr="00EC236A" w:rsidRDefault="0020203B" w:rsidP="0020203B">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EBCC8CB" w14:textId="77777777" w:rsidR="0020203B" w:rsidRPr="00EC236A" w:rsidRDefault="0020203B" w:rsidP="0020203B">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B70027D" w14:textId="77777777" w:rsidR="0020203B" w:rsidRPr="00EC236A" w:rsidRDefault="0020203B" w:rsidP="0020203B">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31C613B" w14:textId="77777777" w:rsidR="0020203B" w:rsidRPr="00EC236A" w:rsidRDefault="0020203B" w:rsidP="0020203B">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2CAFCE3" w14:textId="77777777" w:rsidR="0020203B" w:rsidRPr="00EC236A" w:rsidRDefault="0020203B" w:rsidP="0020203B">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tcPr>
          <w:p w14:paraId="60544C08" w14:textId="50745BBD" w:rsidR="0020203B" w:rsidRPr="00EC236A" w:rsidRDefault="0020203B" w:rsidP="0020203B">
            <w:pPr>
              <w:pStyle w:val="Tablesmalltext"/>
              <w:jc w:val="center"/>
              <w:rPr>
                <w:rFonts w:asciiTheme="minorHAnsi" w:hAnsiTheme="minorHAnsi" w:cstheme="minorHAnsi"/>
                <w:sz w:val="18"/>
                <w:szCs w:val="18"/>
              </w:rPr>
            </w:pPr>
            <w:r w:rsidRPr="00B405E1">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tcPr>
          <w:p w14:paraId="1CF5B842" w14:textId="0E8EBF02" w:rsidR="0020203B" w:rsidRPr="00EC236A" w:rsidRDefault="0020203B" w:rsidP="0020203B">
            <w:pPr>
              <w:pStyle w:val="Tablesmalltext"/>
              <w:jc w:val="center"/>
              <w:rPr>
                <w:rFonts w:asciiTheme="minorHAnsi" w:hAnsiTheme="minorHAnsi" w:cstheme="minorHAnsi"/>
                <w:sz w:val="18"/>
                <w:szCs w:val="18"/>
              </w:rPr>
            </w:pPr>
            <w:r w:rsidRPr="00B405E1">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tcPr>
          <w:p w14:paraId="19AA7E4A" w14:textId="321D8E72" w:rsidR="0020203B" w:rsidRPr="00EC236A" w:rsidRDefault="0020203B" w:rsidP="0020203B">
            <w:pPr>
              <w:pStyle w:val="Tablesmalltext"/>
              <w:jc w:val="center"/>
              <w:rPr>
                <w:rFonts w:asciiTheme="minorHAnsi" w:hAnsiTheme="minorHAnsi" w:cstheme="minorHAnsi"/>
                <w:sz w:val="18"/>
                <w:szCs w:val="18"/>
              </w:rPr>
            </w:pPr>
            <w:r w:rsidRPr="00B405E1">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tcPr>
          <w:p w14:paraId="3CBBAD35" w14:textId="0463B5D0" w:rsidR="0020203B" w:rsidRPr="00EC236A" w:rsidRDefault="0020203B" w:rsidP="0020203B">
            <w:pPr>
              <w:pStyle w:val="Tablesmalltext"/>
              <w:jc w:val="center"/>
              <w:rPr>
                <w:rFonts w:asciiTheme="minorHAnsi" w:hAnsiTheme="minorHAnsi" w:cstheme="minorHAnsi"/>
                <w:sz w:val="18"/>
                <w:szCs w:val="18"/>
              </w:rPr>
            </w:pPr>
            <w:r w:rsidRPr="00B405E1">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tcPr>
          <w:p w14:paraId="06F0994F" w14:textId="18A8FE4C" w:rsidR="0020203B" w:rsidRPr="00EC236A" w:rsidRDefault="0020203B" w:rsidP="0020203B">
            <w:pPr>
              <w:pStyle w:val="Tablesmalltext"/>
              <w:jc w:val="center"/>
              <w:rPr>
                <w:rFonts w:asciiTheme="minorHAnsi" w:hAnsiTheme="minorHAnsi" w:cstheme="minorHAnsi"/>
                <w:sz w:val="18"/>
                <w:szCs w:val="18"/>
              </w:rPr>
            </w:pPr>
            <w:r w:rsidRPr="00B405E1">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7361103" w14:textId="77777777" w:rsidR="0020203B" w:rsidRPr="00EC236A" w:rsidRDefault="0020203B" w:rsidP="0020203B">
            <w:pPr>
              <w:pStyle w:val="Tablesmalltext"/>
              <w:jc w:val="center"/>
              <w:rPr>
                <w:rFonts w:asciiTheme="minorHAnsi" w:hAnsiTheme="minorHAnsi" w:cstheme="minorHAnsi"/>
                <w:sz w:val="18"/>
                <w:szCs w:val="18"/>
              </w:rPr>
            </w:pP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0378B76" w14:textId="77777777" w:rsidR="0020203B" w:rsidRPr="00EC236A" w:rsidRDefault="0020203B" w:rsidP="0020203B">
            <w:pPr>
              <w:pStyle w:val="Tablesmalltext"/>
              <w:jc w:val="center"/>
              <w:rPr>
                <w:rFonts w:asciiTheme="minorHAnsi" w:hAnsiTheme="minorHAnsi" w:cstheme="minorHAnsi"/>
                <w:sz w:val="18"/>
                <w:szCs w:val="18"/>
              </w:rPr>
            </w:pPr>
          </w:p>
        </w:tc>
      </w:tr>
      <w:tr w:rsidR="00546E31" w:rsidRPr="00EC236A" w14:paraId="0377DF48" w14:textId="77777777" w:rsidTr="00DA5369">
        <w:trPr>
          <w:cantSplit/>
          <w:jc w:val="center"/>
        </w:trPr>
        <w:tc>
          <w:tcPr>
            <w:tcW w:w="5000" w:type="pct"/>
            <w:gridSpan w:val="17"/>
            <w:tcBorders>
              <w:left w:val="single" w:sz="4" w:space="0" w:color="808080"/>
              <w:right w:val="single" w:sz="4" w:space="0" w:color="808080"/>
            </w:tcBorders>
            <w:vAlign w:val="center"/>
          </w:tcPr>
          <w:p w14:paraId="42243E53" w14:textId="78D3BA70" w:rsidR="00546E31" w:rsidRPr="00747AF0" w:rsidRDefault="00546E31" w:rsidP="00CC1B81">
            <w:pPr>
              <w:pStyle w:val="Tablesmalltext"/>
              <w:jc w:val="center"/>
              <w:rPr>
                <w:rFonts w:asciiTheme="minorHAnsi" w:hAnsiTheme="minorHAnsi" w:cstheme="minorHAnsi"/>
                <w:b/>
                <w:bCs/>
                <w:sz w:val="18"/>
                <w:szCs w:val="18"/>
              </w:rPr>
            </w:pPr>
            <w:r w:rsidRPr="00747AF0">
              <w:rPr>
                <w:rFonts w:asciiTheme="minorHAnsi" w:hAnsiTheme="minorHAnsi" w:cstheme="minorHAnsi"/>
                <w:b/>
                <w:bCs/>
                <w:sz w:val="18"/>
                <w:szCs w:val="18"/>
              </w:rPr>
              <w:t xml:space="preserve">Research </w:t>
            </w:r>
            <w:r w:rsidR="00C15C12" w:rsidRPr="00747AF0">
              <w:rPr>
                <w:rFonts w:asciiTheme="minorHAnsi" w:hAnsiTheme="minorHAnsi" w:cstheme="minorHAnsi"/>
                <w:b/>
                <w:bCs/>
                <w:sz w:val="18"/>
                <w:szCs w:val="18"/>
              </w:rPr>
              <w:t>P</w:t>
            </w:r>
            <w:r w:rsidRPr="00747AF0">
              <w:rPr>
                <w:rFonts w:asciiTheme="minorHAnsi" w:hAnsiTheme="minorHAnsi" w:cstheme="minorHAnsi"/>
                <w:b/>
                <w:bCs/>
                <w:sz w:val="18"/>
                <w:szCs w:val="18"/>
              </w:rPr>
              <w:t>roject</w:t>
            </w:r>
          </w:p>
        </w:tc>
      </w:tr>
      <w:tr w:rsidR="00546E31" w:rsidRPr="00EC236A" w14:paraId="6D564DA8" w14:textId="77777777" w:rsidTr="0020203B">
        <w:trPr>
          <w:cantSplit/>
          <w:jc w:val="center"/>
        </w:trPr>
        <w:tc>
          <w:tcPr>
            <w:tcW w:w="911" w:type="pct"/>
            <w:vMerge w:val="restart"/>
            <w:tcBorders>
              <w:left w:val="single" w:sz="4" w:space="0" w:color="808080"/>
              <w:right w:val="single" w:sz="4" w:space="0" w:color="808080"/>
            </w:tcBorders>
            <w:vAlign w:val="center"/>
          </w:tcPr>
          <w:p w14:paraId="5BBDC776" w14:textId="1D32D415" w:rsidR="00546E31" w:rsidRPr="00C768B4" w:rsidRDefault="00546E31" w:rsidP="00546E31">
            <w:pPr>
              <w:spacing w:after="0" w:line="240" w:lineRule="auto"/>
              <w:rPr>
                <w:rFonts w:cstheme="minorHAnsi"/>
                <w:sz w:val="18"/>
                <w:szCs w:val="18"/>
                <w:lang w:val="en-GB" w:eastAsia="en-US"/>
              </w:rPr>
            </w:pPr>
            <w:r w:rsidRPr="00C768B4">
              <w:rPr>
                <w:rFonts w:cstheme="minorHAnsi"/>
                <w:sz w:val="18"/>
                <w:szCs w:val="18"/>
              </w:rPr>
              <w:t xml:space="preserve">Research </w:t>
            </w:r>
            <w:r w:rsidR="00C062A4">
              <w:rPr>
                <w:rFonts w:cstheme="minorHAnsi"/>
                <w:sz w:val="18"/>
                <w:szCs w:val="18"/>
              </w:rPr>
              <w:t>P</w:t>
            </w:r>
            <w:r w:rsidRPr="00C768B4">
              <w:rPr>
                <w:rFonts w:cstheme="minorHAnsi"/>
                <w:sz w:val="18"/>
                <w:szCs w:val="18"/>
              </w:rPr>
              <w:t>roject</w:t>
            </w:r>
          </w:p>
        </w:tc>
        <w:tc>
          <w:tcPr>
            <w:tcW w:w="568" w:type="pct"/>
            <w:vMerge w:val="restart"/>
            <w:tcBorders>
              <w:left w:val="single" w:sz="4" w:space="0" w:color="808080"/>
              <w:right w:val="single" w:sz="4" w:space="0" w:color="808080"/>
            </w:tcBorders>
            <w:vAlign w:val="center"/>
          </w:tcPr>
          <w:p w14:paraId="1A99D8F4" w14:textId="6934647E" w:rsidR="00546E31" w:rsidRPr="00C768B4" w:rsidRDefault="00546E31" w:rsidP="00546E31">
            <w:pPr>
              <w:spacing w:after="0" w:line="240" w:lineRule="auto"/>
              <w:jc w:val="center"/>
              <w:rPr>
                <w:rFonts w:cstheme="minorHAnsi"/>
                <w:sz w:val="18"/>
                <w:szCs w:val="18"/>
                <w:lang w:val="en-GB" w:eastAsia="en-US"/>
              </w:rPr>
            </w:pPr>
            <w:r w:rsidRPr="00C768B4">
              <w:rPr>
                <w:rFonts w:cstheme="minorHAnsi"/>
                <w:sz w:val="18"/>
                <w:szCs w:val="18"/>
              </w:rPr>
              <w:t>2</w:t>
            </w:r>
          </w:p>
        </w:tc>
        <w:tc>
          <w:tcPr>
            <w:tcW w:w="636" w:type="pct"/>
            <w:gridSpan w:val="2"/>
            <w:vMerge w:val="restart"/>
            <w:tcBorders>
              <w:left w:val="single" w:sz="4" w:space="0" w:color="808080"/>
              <w:right w:val="single" w:sz="4" w:space="0" w:color="808080"/>
            </w:tcBorders>
            <w:vAlign w:val="center"/>
          </w:tcPr>
          <w:p w14:paraId="1B24CF60" w14:textId="1A001A54" w:rsidR="00546E31" w:rsidRPr="00C768B4" w:rsidRDefault="00546E31" w:rsidP="00546E31">
            <w:pPr>
              <w:spacing w:after="0" w:line="240" w:lineRule="auto"/>
              <w:jc w:val="center"/>
              <w:rPr>
                <w:rFonts w:cstheme="minorHAnsi"/>
                <w:sz w:val="18"/>
                <w:szCs w:val="18"/>
                <w:lang w:val="en-GB" w:eastAsia="en-US"/>
              </w:rPr>
            </w:pPr>
            <w:r w:rsidRPr="00C768B4">
              <w:rPr>
                <w:rFonts w:cstheme="minorHAnsi"/>
                <w:sz w:val="18"/>
                <w:szCs w:val="18"/>
              </w:rPr>
              <w:t>2</w:t>
            </w:r>
          </w:p>
        </w:tc>
        <w:tc>
          <w:tcPr>
            <w:tcW w:w="433" w:type="pct"/>
            <w:tcBorders>
              <w:top w:val="single" w:sz="4" w:space="0" w:color="808080"/>
              <w:left w:val="single" w:sz="4" w:space="0" w:color="808080"/>
              <w:bottom w:val="single" w:sz="4" w:space="0" w:color="808080"/>
              <w:right w:val="single" w:sz="4" w:space="0" w:color="808080"/>
            </w:tcBorders>
            <w:shd w:val="clear" w:color="auto" w:fill="74AFF5" w:themeFill="text2" w:themeFillTint="66"/>
            <w:vAlign w:val="center"/>
          </w:tcPr>
          <w:p w14:paraId="6E345B55" w14:textId="10FED937" w:rsidR="00546E31" w:rsidRPr="00C768B4" w:rsidRDefault="00546E31" w:rsidP="00546E31">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Planned</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9A0B454" w14:textId="77777777" w:rsidR="00546E31" w:rsidRPr="00EC236A" w:rsidRDefault="00546E31" w:rsidP="00546E3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5532DC72" w14:textId="77777777" w:rsidR="00546E31" w:rsidRPr="00EC236A" w:rsidRDefault="00546E31" w:rsidP="00546E3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B3FEAC4" w14:textId="77777777" w:rsidR="00546E31" w:rsidRPr="00EC236A" w:rsidRDefault="00546E31" w:rsidP="00546E3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E1E2383" w14:textId="1BDFDE83" w:rsidR="00546E31" w:rsidRPr="00EC236A" w:rsidRDefault="00546E31" w:rsidP="00546E3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5454F46" w14:textId="77777777" w:rsidR="00546E31" w:rsidRPr="00EC236A" w:rsidRDefault="00546E31" w:rsidP="00546E3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2EFF25D8" w14:textId="7667FEA9" w:rsidR="00546E31" w:rsidRPr="00EC236A" w:rsidRDefault="00546E31" w:rsidP="00546E3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D5B9B26" w14:textId="77777777" w:rsidR="00546E31" w:rsidRPr="00EC236A" w:rsidRDefault="00546E31" w:rsidP="00546E3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E5BC5D1" w14:textId="0EA186A5" w:rsidR="00546E31" w:rsidRPr="00EC236A" w:rsidRDefault="00546E31" w:rsidP="00546E3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1C0A190" w14:textId="77777777" w:rsidR="00546E31" w:rsidRPr="00EC236A" w:rsidRDefault="00546E31" w:rsidP="00546E3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6030BD3" w14:textId="65B7151F" w:rsidR="00546E31" w:rsidRPr="00EC236A" w:rsidRDefault="00546E31" w:rsidP="00546E3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DE95087" w14:textId="77777777" w:rsidR="00546E31" w:rsidRPr="00EC236A" w:rsidRDefault="00546E31" w:rsidP="00546E31">
            <w:pPr>
              <w:pStyle w:val="Tablesmalltext"/>
              <w:jc w:val="center"/>
              <w:rPr>
                <w:rFonts w:asciiTheme="minorHAnsi" w:hAnsiTheme="minorHAnsi" w:cstheme="minorHAnsi"/>
                <w:sz w:val="18"/>
                <w:szCs w:val="18"/>
              </w:rPr>
            </w:pP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AC331B2" w14:textId="3BB23468" w:rsidR="00546E31" w:rsidRPr="00EC236A" w:rsidRDefault="00546E31" w:rsidP="00546E31">
            <w:pPr>
              <w:pStyle w:val="Tablesmalltext"/>
              <w:jc w:val="center"/>
              <w:rPr>
                <w:rFonts w:asciiTheme="minorHAnsi" w:hAnsiTheme="minorHAnsi" w:cstheme="minorHAnsi"/>
                <w:sz w:val="18"/>
                <w:szCs w:val="18"/>
              </w:rPr>
            </w:pPr>
            <w:r w:rsidRPr="00BA2632">
              <w:rPr>
                <w:rFonts w:ascii="Wingdings" w:eastAsia="Wingdings" w:hAnsi="Wingdings" w:cs="Wingdings"/>
              </w:rPr>
              <w:t></w:t>
            </w:r>
          </w:p>
        </w:tc>
      </w:tr>
      <w:tr w:rsidR="00546E31" w:rsidRPr="00EC236A" w14:paraId="2D4F79C0" w14:textId="77777777" w:rsidTr="0020203B">
        <w:trPr>
          <w:cantSplit/>
          <w:jc w:val="center"/>
        </w:trPr>
        <w:tc>
          <w:tcPr>
            <w:tcW w:w="911" w:type="pct"/>
            <w:vMerge/>
            <w:tcBorders>
              <w:left w:val="single" w:sz="4" w:space="0" w:color="808080"/>
              <w:bottom w:val="single" w:sz="4" w:space="0" w:color="808080"/>
              <w:right w:val="single" w:sz="4" w:space="0" w:color="808080"/>
            </w:tcBorders>
            <w:vAlign w:val="center"/>
          </w:tcPr>
          <w:p w14:paraId="0B7A93F0" w14:textId="77777777" w:rsidR="00546E31" w:rsidRPr="00C768B4" w:rsidRDefault="00546E31" w:rsidP="00546E31">
            <w:pPr>
              <w:spacing w:after="0" w:line="240" w:lineRule="auto"/>
              <w:rPr>
                <w:rFonts w:cstheme="minorHAnsi"/>
                <w:sz w:val="18"/>
                <w:szCs w:val="18"/>
                <w:lang w:val="en-GB" w:eastAsia="en-US"/>
              </w:rPr>
            </w:pPr>
          </w:p>
        </w:tc>
        <w:tc>
          <w:tcPr>
            <w:tcW w:w="568" w:type="pct"/>
            <w:vMerge/>
            <w:tcBorders>
              <w:left w:val="single" w:sz="4" w:space="0" w:color="808080"/>
              <w:bottom w:val="single" w:sz="4" w:space="0" w:color="808080"/>
              <w:right w:val="single" w:sz="4" w:space="0" w:color="808080"/>
            </w:tcBorders>
            <w:vAlign w:val="center"/>
          </w:tcPr>
          <w:p w14:paraId="788A0FC0" w14:textId="77777777" w:rsidR="00546E31" w:rsidRPr="00C768B4" w:rsidRDefault="00546E31" w:rsidP="00546E31">
            <w:pPr>
              <w:spacing w:after="0" w:line="240" w:lineRule="auto"/>
              <w:jc w:val="center"/>
              <w:rPr>
                <w:rFonts w:cstheme="minorHAnsi"/>
                <w:sz w:val="18"/>
                <w:szCs w:val="18"/>
                <w:lang w:val="en-GB" w:eastAsia="en-US"/>
              </w:rPr>
            </w:pPr>
          </w:p>
        </w:tc>
        <w:tc>
          <w:tcPr>
            <w:tcW w:w="636" w:type="pct"/>
            <w:gridSpan w:val="2"/>
            <w:vMerge/>
            <w:tcBorders>
              <w:left w:val="single" w:sz="4" w:space="0" w:color="808080"/>
              <w:bottom w:val="single" w:sz="4" w:space="0" w:color="808080"/>
              <w:right w:val="single" w:sz="4" w:space="0" w:color="808080"/>
            </w:tcBorders>
            <w:vAlign w:val="center"/>
          </w:tcPr>
          <w:p w14:paraId="638B2BBA" w14:textId="77777777" w:rsidR="00546E31" w:rsidRPr="00C768B4" w:rsidRDefault="00546E31" w:rsidP="00546E31">
            <w:pPr>
              <w:spacing w:after="0" w:line="240" w:lineRule="auto"/>
              <w:jc w:val="center"/>
              <w:rPr>
                <w:rFonts w:cstheme="minorHAnsi"/>
                <w:sz w:val="18"/>
                <w:szCs w:val="18"/>
                <w:lang w:val="en-GB" w:eastAsia="en-US"/>
              </w:rPr>
            </w:pPr>
          </w:p>
        </w:tc>
        <w:tc>
          <w:tcPr>
            <w:tcW w:w="433" w:type="pct"/>
            <w:tcBorders>
              <w:top w:val="single" w:sz="4" w:space="0" w:color="808080"/>
              <w:left w:val="single" w:sz="4" w:space="0" w:color="808080"/>
              <w:bottom w:val="single" w:sz="4" w:space="0" w:color="808080"/>
              <w:right w:val="single" w:sz="4" w:space="0" w:color="808080"/>
            </w:tcBorders>
            <w:shd w:val="clear" w:color="auto" w:fill="8BC2D1" w:themeFill="accent2" w:themeFillTint="99"/>
            <w:vAlign w:val="center"/>
          </w:tcPr>
          <w:p w14:paraId="6D196140" w14:textId="3E915412" w:rsidR="00546E31" w:rsidRPr="00C768B4" w:rsidRDefault="00546E31" w:rsidP="00546E31">
            <w:pPr>
              <w:pStyle w:val="Tablesmalltext"/>
              <w:jc w:val="center"/>
              <w:rPr>
                <w:rFonts w:asciiTheme="minorHAnsi" w:hAnsiTheme="minorHAnsi" w:cstheme="minorHAnsi"/>
                <w:sz w:val="18"/>
                <w:szCs w:val="18"/>
              </w:rPr>
            </w:pPr>
            <w:r w:rsidRPr="00C768B4">
              <w:rPr>
                <w:rFonts w:asciiTheme="minorHAnsi" w:hAnsiTheme="minorHAnsi" w:cstheme="minorHAnsi"/>
                <w:sz w:val="18"/>
                <w:szCs w:val="18"/>
              </w:rPr>
              <w:t>Actual</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1B4B68F" w14:textId="77777777" w:rsidR="00546E31" w:rsidRPr="00EC236A" w:rsidRDefault="00546E31" w:rsidP="00546E3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CCC4B6B" w14:textId="77777777" w:rsidR="00546E31" w:rsidRPr="00EC236A" w:rsidRDefault="00546E31" w:rsidP="00546E3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475F595" w14:textId="77777777" w:rsidR="00546E31" w:rsidRPr="00EC236A" w:rsidRDefault="00546E31" w:rsidP="00546E3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C5B17F6" w14:textId="77777777" w:rsidR="00546E31" w:rsidRPr="00EC236A" w:rsidRDefault="00546E31" w:rsidP="00546E3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DB2DD7F" w14:textId="77777777" w:rsidR="00546E31" w:rsidRPr="00EC236A" w:rsidRDefault="00546E31" w:rsidP="00546E3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1E817E7" w14:textId="68530BA8" w:rsidR="00546E31" w:rsidRPr="00EC236A" w:rsidRDefault="00546E31" w:rsidP="00546E3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6FE9FB67" w14:textId="77777777" w:rsidR="00546E31" w:rsidRPr="00EC236A" w:rsidRDefault="00546E31" w:rsidP="00546E3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E5E9806" w14:textId="54F3130F" w:rsidR="00546E31" w:rsidRPr="00EC236A" w:rsidRDefault="00546E31" w:rsidP="00546E3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0DFB16E4" w14:textId="77777777" w:rsidR="00546E31" w:rsidRPr="00EC236A" w:rsidRDefault="00546E31" w:rsidP="00546E31">
            <w:pPr>
              <w:pStyle w:val="Tablesmalltext"/>
              <w:jc w:val="center"/>
              <w:rPr>
                <w:rFonts w:asciiTheme="minorHAnsi" w:hAnsiTheme="minorHAnsi" w:cstheme="minorHAnsi"/>
                <w:sz w:val="18"/>
                <w:szCs w:val="18"/>
              </w:rPr>
            </w:pP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74A9F447" w14:textId="0C2EF6ED" w:rsidR="00546E31" w:rsidRPr="00EC236A" w:rsidRDefault="00546E31" w:rsidP="00546E31">
            <w:pPr>
              <w:pStyle w:val="Tablesmalltext"/>
              <w:jc w:val="center"/>
              <w:rPr>
                <w:rFonts w:asciiTheme="minorHAnsi" w:hAnsiTheme="minorHAnsi" w:cstheme="minorHAnsi"/>
                <w:sz w:val="18"/>
                <w:szCs w:val="18"/>
              </w:rPr>
            </w:pPr>
            <w:r w:rsidRPr="00BA2632">
              <w:rPr>
                <w:rFonts w:ascii="Wingdings" w:eastAsia="Wingdings" w:hAnsi="Wingdings" w:cs="Wingdings"/>
              </w:rPr>
              <w:t></w:t>
            </w:r>
          </w:p>
        </w:tc>
        <w:tc>
          <w:tcPr>
            <w:tcW w:w="205"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370D44A0" w14:textId="77777777" w:rsidR="00546E31" w:rsidRPr="00EC236A" w:rsidRDefault="00546E31" w:rsidP="00546E31">
            <w:pPr>
              <w:pStyle w:val="Tablesmalltext"/>
              <w:jc w:val="center"/>
              <w:rPr>
                <w:rFonts w:asciiTheme="minorHAnsi" w:hAnsiTheme="minorHAnsi" w:cstheme="minorHAnsi"/>
                <w:sz w:val="18"/>
                <w:szCs w:val="18"/>
              </w:rPr>
            </w:pPr>
          </w:p>
        </w:tc>
        <w:tc>
          <w:tcPr>
            <w:tcW w:w="199" w:type="pct"/>
            <w:tcBorders>
              <w:top w:val="single" w:sz="4" w:space="0" w:color="808080"/>
              <w:left w:val="single" w:sz="4" w:space="0" w:color="808080"/>
              <w:bottom w:val="single" w:sz="4" w:space="0" w:color="808080"/>
              <w:right w:val="single" w:sz="4" w:space="0" w:color="808080"/>
            </w:tcBorders>
            <w:shd w:val="clear" w:color="auto" w:fill="auto"/>
            <w:tcMar>
              <w:top w:w="0" w:type="dxa"/>
              <w:left w:w="0" w:type="dxa"/>
              <w:bottom w:w="0" w:type="dxa"/>
              <w:right w:w="0" w:type="dxa"/>
            </w:tcMar>
            <w:vAlign w:val="center"/>
          </w:tcPr>
          <w:p w14:paraId="130E7948" w14:textId="00C398B9" w:rsidR="00546E31" w:rsidRPr="00EC236A" w:rsidRDefault="00546E31" w:rsidP="00546E31">
            <w:pPr>
              <w:pStyle w:val="Tablesmalltext"/>
              <w:jc w:val="center"/>
              <w:rPr>
                <w:rFonts w:asciiTheme="minorHAnsi" w:hAnsiTheme="minorHAnsi" w:cstheme="minorHAnsi"/>
                <w:sz w:val="18"/>
                <w:szCs w:val="18"/>
              </w:rPr>
            </w:pPr>
            <w:r w:rsidRPr="00BA2632">
              <w:rPr>
                <w:rFonts w:ascii="Wingdings" w:eastAsia="Wingdings" w:hAnsi="Wingdings" w:cs="Wingdings"/>
              </w:rPr>
              <w:t></w:t>
            </w:r>
          </w:p>
        </w:tc>
      </w:tr>
    </w:tbl>
    <w:p w14:paraId="3F298D6E" w14:textId="7CFF3B53" w:rsidR="004D13ED" w:rsidRPr="00BA2632" w:rsidRDefault="00270F50" w:rsidP="009B06CE">
      <w:pPr>
        <w:spacing w:after="0"/>
        <w:rPr>
          <w:sz w:val="18"/>
          <w:szCs w:val="18"/>
        </w:rPr>
      </w:pPr>
      <w:r w:rsidRPr="00BA2632">
        <w:rPr>
          <w:sz w:val="18"/>
          <w:szCs w:val="18"/>
        </w:rPr>
        <w:t>* + 1 site u/s of Goulburn Weir</w:t>
      </w:r>
    </w:p>
    <w:p w14:paraId="564E0FF3" w14:textId="0CACA1D5" w:rsidR="009B06CE" w:rsidRPr="00BA2632" w:rsidRDefault="009B06CE" w:rsidP="005F1C21">
      <w:pPr>
        <w:rPr>
          <w:sz w:val="18"/>
          <w:szCs w:val="18"/>
        </w:rPr>
      </w:pPr>
      <w:r>
        <w:rPr>
          <w:sz w:val="18"/>
          <w:szCs w:val="18"/>
        </w:rPr>
        <w:t>** + 2 sites in the Murray River – 1 upstream of the Goulburn River confluence and one downstream</w:t>
      </w:r>
    </w:p>
    <w:p w14:paraId="0A2A4C70" w14:textId="13C31C83" w:rsidR="004D13ED" w:rsidRPr="00BA2632" w:rsidRDefault="004D13ED">
      <w:pPr>
        <w:rPr>
          <w:rFonts w:ascii="Georgia" w:eastAsia="SimHei" w:hAnsi="Georgia" w:cs="Times New Roman"/>
          <w:b/>
          <w:color w:val="094183"/>
          <w:sz w:val="32"/>
          <w:szCs w:val="32"/>
          <w:lang w:eastAsia="en-US"/>
        </w:rPr>
      </w:pPr>
      <w:r w:rsidRPr="00BA2632">
        <w:br w:type="page"/>
      </w:r>
    </w:p>
    <w:p w14:paraId="042B541F" w14:textId="09D31C0A" w:rsidR="00195209" w:rsidRPr="00BA2632" w:rsidRDefault="00195209" w:rsidP="00272A33">
      <w:pPr>
        <w:pStyle w:val="Heading1"/>
      </w:pPr>
      <w:bookmarkStart w:id="43" w:name="_Toc84416078"/>
      <w:bookmarkStart w:id="44" w:name="_Toc84417319"/>
      <w:bookmarkStart w:id="45" w:name="_Toc84475665"/>
      <w:r w:rsidRPr="00BA2632">
        <w:lastRenderedPageBreak/>
        <w:t>Commonwealth Environmental Watering</w:t>
      </w:r>
      <w:bookmarkEnd w:id="43"/>
      <w:bookmarkEnd w:id="44"/>
      <w:bookmarkEnd w:id="45"/>
    </w:p>
    <w:p w14:paraId="4D91CEA4" w14:textId="445FD8BF" w:rsidR="00916063" w:rsidRPr="00BA2632" w:rsidRDefault="00916063" w:rsidP="003C58EF">
      <w:pPr>
        <w:pStyle w:val="Heading2"/>
      </w:pPr>
      <w:bookmarkStart w:id="46" w:name="_Toc430418228"/>
      <w:bookmarkStart w:id="47" w:name="_Toc465090767"/>
      <w:bookmarkStart w:id="48" w:name="_Toc500342687"/>
      <w:bookmarkStart w:id="49" w:name="_Toc32303482"/>
      <w:bookmarkStart w:id="50" w:name="_Toc84416079"/>
      <w:bookmarkStart w:id="51" w:name="_Toc84417320"/>
      <w:bookmarkStart w:id="52" w:name="_Toc84475666"/>
      <w:r w:rsidRPr="00BA2632">
        <w:t>Overview of Commonwealth environmental watering</w:t>
      </w:r>
      <w:bookmarkEnd w:id="46"/>
      <w:bookmarkEnd w:id="47"/>
      <w:bookmarkEnd w:id="48"/>
      <w:bookmarkEnd w:id="49"/>
      <w:bookmarkEnd w:id="50"/>
      <w:bookmarkEnd w:id="51"/>
      <w:bookmarkEnd w:id="52"/>
      <w:r w:rsidRPr="00BA2632">
        <w:t xml:space="preserve"> </w:t>
      </w:r>
    </w:p>
    <w:p w14:paraId="6DB1473C" w14:textId="56760831" w:rsidR="00916063" w:rsidRPr="00BA2632" w:rsidRDefault="00916063" w:rsidP="006A2E5B">
      <w:pPr>
        <w:rPr>
          <w:lang w:eastAsia="en-AU"/>
        </w:rPr>
      </w:pPr>
      <w:r w:rsidRPr="00BA2632">
        <w:rPr>
          <w:lang w:eastAsia="en-AU"/>
        </w:rPr>
        <w:t>As of 3</w:t>
      </w:r>
      <w:r w:rsidR="00B476C3">
        <w:rPr>
          <w:lang w:eastAsia="en-AU"/>
        </w:rPr>
        <w:t>1 August 2021</w:t>
      </w:r>
      <w:r w:rsidRPr="00BA2632">
        <w:rPr>
          <w:lang w:eastAsia="en-AU"/>
        </w:rPr>
        <w:t>, the Commonwealth held 360 GL of environmental water entitlements in the Goulburn River (</w:t>
      </w:r>
      <w:r w:rsidR="003001C0" w:rsidRPr="00946134">
        <w:t>http://www.environment.gov.au/water/cewo/about/water-holdings</w:t>
      </w:r>
      <w:r w:rsidR="003001C0" w:rsidRPr="00BA2632">
        <w:t xml:space="preserve"> </w:t>
      </w:r>
      <w:r w:rsidR="00DE72FF" w:rsidRPr="00BA2632">
        <w:t xml:space="preserve">and see </w:t>
      </w:r>
      <w:r w:rsidR="00A171C5" w:rsidRPr="00BA2632">
        <w:t xml:space="preserve">Table </w:t>
      </w:r>
      <w:r w:rsidR="00A171C5">
        <w:t>3</w:t>
      </w:r>
      <w:r w:rsidR="00A171C5">
        <w:noBreakHyphen/>
        <w:t>1</w:t>
      </w:r>
      <w:r w:rsidRPr="00BA2632">
        <w:rPr>
          <w:lang w:eastAsia="en-AU"/>
        </w:rPr>
        <w:t>). The Goulburn River receives other environmental flows including from the Victorian Environmental Water Holder and The Living Murray program, but the Commonwealth environmental water entitlement provides most of the environmental water used to meet specific environmental flow objectives in the lower Goulburn River channel. Inter-Valley Transfers have also previously been used to meet environmental flow targets when possible</w:t>
      </w:r>
      <w:r w:rsidR="006A2E5B" w:rsidRPr="00BA2632">
        <w:rPr>
          <w:lang w:eastAsia="en-AU"/>
        </w:rPr>
        <w:t xml:space="preserve">. </w:t>
      </w:r>
      <w:r w:rsidRPr="00BA2632">
        <w:rPr>
          <w:lang w:eastAsia="en-AU"/>
        </w:rPr>
        <w:t xml:space="preserve"> </w:t>
      </w:r>
      <w:r w:rsidR="006A2E5B" w:rsidRPr="00BA2632">
        <w:t xml:space="preserve">Commonwealth environmental water for the lower Goulburn is stored in Lake Eildon and delivered via Goulburn Weir. Throughout the year river flows are assessed to see how well they are meeting identified flow targets in the lower Goulburn River. If required, environmental water can be used to increase flow rate and duration to meet these targets. </w:t>
      </w:r>
    </w:p>
    <w:p w14:paraId="753E7FA1" w14:textId="78982322" w:rsidR="006A2E5B" w:rsidRPr="00BA2632" w:rsidRDefault="006A2E5B" w:rsidP="009E5D2A">
      <w:pPr>
        <w:pStyle w:val="Caption"/>
        <w:keepNext/>
      </w:pPr>
      <w:bookmarkStart w:id="53" w:name="_Ref46489951"/>
      <w:bookmarkStart w:id="54" w:name="_Toc95391454"/>
      <w:bookmarkStart w:id="55" w:name="_Ref469922240"/>
      <w:bookmarkStart w:id="56" w:name="_Toc500342924"/>
      <w:r w:rsidRPr="00BA2632">
        <w:t xml:space="preserve">Table </w:t>
      </w:r>
      <w:r w:rsidR="000B75AF">
        <w:rPr>
          <w:noProof/>
        </w:rPr>
        <w:t>3</w:t>
      </w:r>
      <w:r w:rsidR="000B75AF">
        <w:noBreakHyphen/>
      </w:r>
      <w:r w:rsidR="000B75AF">
        <w:rPr>
          <w:noProof/>
        </w:rPr>
        <w:t>1</w:t>
      </w:r>
      <w:bookmarkEnd w:id="53"/>
      <w:r w:rsidRPr="00BA2632">
        <w:t xml:space="preserve"> Commonwealth environmental water entitlements as </w:t>
      </w:r>
      <w:r w:rsidR="00D55CBC">
        <w:t>of</w:t>
      </w:r>
      <w:r w:rsidRPr="00BA2632">
        <w:t xml:space="preserve"> 3</w:t>
      </w:r>
      <w:r w:rsidR="00B476C3">
        <w:t>1</w:t>
      </w:r>
      <w:r w:rsidRPr="00BA2632">
        <w:t xml:space="preserve"> </w:t>
      </w:r>
      <w:r w:rsidR="00B476C3">
        <w:t>August 2021</w:t>
      </w:r>
      <w:r w:rsidRPr="00BA2632">
        <w:t>.</w:t>
      </w:r>
      <w:bookmarkEnd w:id="54"/>
    </w:p>
    <w:tbl>
      <w:tblPr>
        <w:tblW w:w="4919"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248"/>
        <w:gridCol w:w="3249"/>
        <w:gridCol w:w="3249"/>
      </w:tblGrid>
      <w:tr w:rsidR="00916063" w:rsidRPr="008A3DA5" w14:paraId="055F9780" w14:textId="77777777" w:rsidTr="008A5A94">
        <w:trPr>
          <w:cantSplit/>
          <w:tblHeader/>
          <w:jc w:val="center"/>
        </w:trPr>
        <w:tc>
          <w:tcPr>
            <w:tcW w:w="1666" w:type="pct"/>
            <w:shd w:val="clear" w:color="auto" w:fill="063061" w:themeFill="accent1" w:themeFillShade="BF"/>
          </w:tcPr>
          <w:bookmarkEnd w:id="55"/>
          <w:bookmarkEnd w:id="56"/>
          <w:p w14:paraId="30A49363" w14:textId="77777777" w:rsidR="00916063" w:rsidRPr="008A3DA5" w:rsidRDefault="00916063" w:rsidP="006A2E5B">
            <w:pPr>
              <w:pStyle w:val="Tablesmallheading"/>
              <w:rPr>
                <w:rFonts w:asciiTheme="minorHAnsi" w:hAnsiTheme="minorHAnsi" w:cstheme="minorHAnsi"/>
                <w:color w:val="FFFFFF" w:themeColor="background1"/>
                <w:sz w:val="18"/>
                <w:szCs w:val="18"/>
              </w:rPr>
            </w:pPr>
            <w:r w:rsidRPr="008A3DA5">
              <w:rPr>
                <w:rFonts w:asciiTheme="minorHAnsi" w:hAnsiTheme="minorHAnsi" w:cstheme="minorHAnsi"/>
                <w:color w:val="FFFFFF" w:themeColor="background1"/>
                <w:sz w:val="18"/>
                <w:szCs w:val="18"/>
                <w:lang w:eastAsia="en-AU"/>
              </w:rPr>
              <w:t xml:space="preserve">Entitlement type </w:t>
            </w:r>
          </w:p>
        </w:tc>
        <w:tc>
          <w:tcPr>
            <w:tcW w:w="1667" w:type="pct"/>
            <w:shd w:val="clear" w:color="auto" w:fill="063061" w:themeFill="accent1" w:themeFillShade="BF"/>
          </w:tcPr>
          <w:p w14:paraId="34B6FEE7" w14:textId="77777777" w:rsidR="00916063" w:rsidRPr="008A3DA5" w:rsidRDefault="00916063" w:rsidP="006A2E5B">
            <w:pPr>
              <w:pStyle w:val="Tablesmallheading"/>
              <w:rPr>
                <w:rFonts w:asciiTheme="minorHAnsi" w:hAnsiTheme="minorHAnsi" w:cstheme="minorHAnsi"/>
                <w:color w:val="FFFFFF" w:themeColor="background1"/>
                <w:sz w:val="18"/>
                <w:szCs w:val="18"/>
              </w:rPr>
            </w:pPr>
            <w:r w:rsidRPr="008A3DA5">
              <w:rPr>
                <w:rFonts w:asciiTheme="minorHAnsi" w:hAnsiTheme="minorHAnsi" w:cstheme="minorHAnsi"/>
                <w:color w:val="FFFFFF" w:themeColor="background1"/>
                <w:sz w:val="18"/>
                <w:szCs w:val="18"/>
              </w:rPr>
              <w:t>Registered entitlements (GL)</w:t>
            </w:r>
          </w:p>
        </w:tc>
        <w:tc>
          <w:tcPr>
            <w:tcW w:w="1667" w:type="pct"/>
            <w:shd w:val="clear" w:color="auto" w:fill="063061" w:themeFill="accent1" w:themeFillShade="BF"/>
          </w:tcPr>
          <w:p w14:paraId="6B5DB7C3" w14:textId="77777777" w:rsidR="00916063" w:rsidRPr="008A3DA5" w:rsidRDefault="00916063" w:rsidP="006A2E5B">
            <w:pPr>
              <w:pStyle w:val="Tablesmallheading"/>
              <w:rPr>
                <w:rFonts w:asciiTheme="minorHAnsi" w:hAnsiTheme="minorHAnsi" w:cstheme="minorHAnsi"/>
                <w:color w:val="FFFFFF" w:themeColor="background1"/>
                <w:sz w:val="18"/>
                <w:szCs w:val="18"/>
              </w:rPr>
            </w:pPr>
            <w:r w:rsidRPr="008A3DA5">
              <w:rPr>
                <w:rFonts w:asciiTheme="minorHAnsi" w:hAnsiTheme="minorHAnsi" w:cstheme="minorHAnsi"/>
                <w:color w:val="FFFFFF" w:themeColor="background1"/>
                <w:sz w:val="18"/>
                <w:szCs w:val="18"/>
              </w:rPr>
              <w:t>Long term average annual yield (GL)</w:t>
            </w:r>
          </w:p>
        </w:tc>
      </w:tr>
      <w:tr w:rsidR="00916063" w:rsidRPr="008A3DA5" w14:paraId="3CFED17F" w14:textId="77777777" w:rsidTr="008A5A94">
        <w:trPr>
          <w:cantSplit/>
          <w:jc w:val="center"/>
        </w:trPr>
        <w:tc>
          <w:tcPr>
            <w:tcW w:w="1666" w:type="pct"/>
            <w:shd w:val="clear" w:color="auto" w:fill="auto"/>
          </w:tcPr>
          <w:p w14:paraId="3F43AD17" w14:textId="77777777" w:rsidR="00916063" w:rsidRPr="008A3DA5" w:rsidRDefault="00916063" w:rsidP="006A2E5B">
            <w:pPr>
              <w:pStyle w:val="Tablesmalltext"/>
              <w:rPr>
                <w:rFonts w:asciiTheme="minorHAnsi" w:hAnsiTheme="minorHAnsi" w:cstheme="minorHAnsi"/>
                <w:sz w:val="18"/>
                <w:szCs w:val="18"/>
              </w:rPr>
            </w:pPr>
            <w:r w:rsidRPr="008A3DA5">
              <w:rPr>
                <w:rFonts w:asciiTheme="minorHAnsi" w:hAnsiTheme="minorHAnsi" w:cstheme="minorHAnsi"/>
                <w:sz w:val="18"/>
                <w:szCs w:val="18"/>
              </w:rPr>
              <w:t>Goulburn (high reliability)</w:t>
            </w:r>
          </w:p>
        </w:tc>
        <w:tc>
          <w:tcPr>
            <w:tcW w:w="1667" w:type="pct"/>
            <w:shd w:val="clear" w:color="auto" w:fill="auto"/>
          </w:tcPr>
          <w:p w14:paraId="22542FE9" w14:textId="72A519FA" w:rsidR="00916063" w:rsidRPr="008A3DA5" w:rsidRDefault="00916063" w:rsidP="006A2E5B">
            <w:pPr>
              <w:pStyle w:val="Tablesmalltext"/>
              <w:rPr>
                <w:rFonts w:asciiTheme="minorHAnsi" w:hAnsiTheme="minorHAnsi" w:cstheme="minorHAnsi"/>
                <w:sz w:val="18"/>
                <w:szCs w:val="18"/>
              </w:rPr>
            </w:pPr>
            <w:r w:rsidRPr="008A3DA5">
              <w:rPr>
                <w:rFonts w:asciiTheme="minorHAnsi" w:hAnsiTheme="minorHAnsi" w:cstheme="minorHAnsi"/>
                <w:sz w:val="18"/>
                <w:szCs w:val="18"/>
              </w:rPr>
              <w:t>3</w:t>
            </w:r>
            <w:r w:rsidR="00653DCC">
              <w:rPr>
                <w:rFonts w:asciiTheme="minorHAnsi" w:hAnsiTheme="minorHAnsi" w:cstheme="minorHAnsi"/>
                <w:sz w:val="18"/>
                <w:szCs w:val="18"/>
              </w:rPr>
              <w:t>18</w:t>
            </w:r>
            <w:r w:rsidRPr="008A3DA5">
              <w:rPr>
                <w:rFonts w:asciiTheme="minorHAnsi" w:hAnsiTheme="minorHAnsi" w:cstheme="minorHAnsi"/>
                <w:sz w:val="18"/>
                <w:szCs w:val="18"/>
              </w:rPr>
              <w:t>.</w:t>
            </w:r>
            <w:r w:rsidR="00653DCC">
              <w:rPr>
                <w:rFonts w:asciiTheme="minorHAnsi" w:hAnsiTheme="minorHAnsi" w:cstheme="minorHAnsi"/>
                <w:sz w:val="18"/>
                <w:szCs w:val="18"/>
              </w:rPr>
              <w:t>6</w:t>
            </w:r>
          </w:p>
        </w:tc>
        <w:tc>
          <w:tcPr>
            <w:tcW w:w="1667" w:type="pct"/>
            <w:shd w:val="clear" w:color="auto" w:fill="auto"/>
          </w:tcPr>
          <w:p w14:paraId="12BECE58" w14:textId="59EF59AE" w:rsidR="00916063" w:rsidRPr="008A3DA5" w:rsidRDefault="00F21566" w:rsidP="006A2E5B">
            <w:pPr>
              <w:pStyle w:val="Tablesmalltext"/>
              <w:rPr>
                <w:rFonts w:asciiTheme="minorHAnsi" w:hAnsiTheme="minorHAnsi" w:cstheme="minorHAnsi"/>
                <w:sz w:val="18"/>
                <w:szCs w:val="18"/>
              </w:rPr>
            </w:pPr>
            <w:r w:rsidRPr="008A3DA5">
              <w:rPr>
                <w:rFonts w:asciiTheme="minorHAnsi" w:hAnsiTheme="minorHAnsi" w:cstheme="minorHAnsi"/>
                <w:sz w:val="18"/>
                <w:szCs w:val="18"/>
              </w:rPr>
              <w:t>30</w:t>
            </w:r>
            <w:r w:rsidR="00B476C3">
              <w:rPr>
                <w:rFonts w:asciiTheme="minorHAnsi" w:hAnsiTheme="minorHAnsi" w:cstheme="minorHAnsi"/>
                <w:sz w:val="18"/>
                <w:szCs w:val="18"/>
              </w:rPr>
              <w:t>8.0</w:t>
            </w:r>
          </w:p>
        </w:tc>
      </w:tr>
      <w:tr w:rsidR="00916063" w:rsidRPr="008A3DA5" w14:paraId="4FD4A037" w14:textId="77777777" w:rsidTr="008A5A94">
        <w:trPr>
          <w:cantSplit/>
          <w:jc w:val="center"/>
        </w:trPr>
        <w:tc>
          <w:tcPr>
            <w:tcW w:w="1666" w:type="pct"/>
            <w:shd w:val="clear" w:color="auto" w:fill="auto"/>
          </w:tcPr>
          <w:p w14:paraId="16B7D293" w14:textId="77777777" w:rsidR="00916063" w:rsidRPr="008A3DA5" w:rsidRDefault="00916063" w:rsidP="006A2E5B">
            <w:pPr>
              <w:pStyle w:val="Tablesmalltext"/>
              <w:rPr>
                <w:rFonts w:asciiTheme="minorHAnsi" w:hAnsiTheme="minorHAnsi" w:cstheme="minorHAnsi"/>
                <w:sz w:val="18"/>
                <w:szCs w:val="18"/>
              </w:rPr>
            </w:pPr>
            <w:r w:rsidRPr="008A3DA5">
              <w:rPr>
                <w:rFonts w:asciiTheme="minorHAnsi" w:hAnsiTheme="minorHAnsi" w:cstheme="minorHAnsi"/>
                <w:sz w:val="18"/>
                <w:szCs w:val="18"/>
              </w:rPr>
              <w:t>Goulburn (low reliability)</w:t>
            </w:r>
          </w:p>
        </w:tc>
        <w:tc>
          <w:tcPr>
            <w:tcW w:w="1667" w:type="pct"/>
            <w:shd w:val="clear" w:color="auto" w:fill="auto"/>
          </w:tcPr>
          <w:p w14:paraId="25161849" w14:textId="77777777" w:rsidR="00916063" w:rsidRPr="008A3DA5" w:rsidRDefault="00916063" w:rsidP="006A2E5B">
            <w:pPr>
              <w:pStyle w:val="Tablesmalltext"/>
              <w:rPr>
                <w:rFonts w:asciiTheme="minorHAnsi" w:hAnsiTheme="minorHAnsi" w:cstheme="minorHAnsi"/>
                <w:sz w:val="18"/>
                <w:szCs w:val="18"/>
              </w:rPr>
            </w:pPr>
            <w:r w:rsidRPr="008A3DA5">
              <w:rPr>
                <w:rFonts w:asciiTheme="minorHAnsi" w:hAnsiTheme="minorHAnsi" w:cstheme="minorHAnsi"/>
                <w:sz w:val="18"/>
                <w:szCs w:val="18"/>
              </w:rPr>
              <w:t>42.5</w:t>
            </w:r>
          </w:p>
        </w:tc>
        <w:tc>
          <w:tcPr>
            <w:tcW w:w="1667" w:type="pct"/>
            <w:shd w:val="clear" w:color="auto" w:fill="auto"/>
          </w:tcPr>
          <w:p w14:paraId="5BAE7BEA" w14:textId="53F5BE65" w:rsidR="00916063" w:rsidRPr="008A3DA5" w:rsidRDefault="00B476C3" w:rsidP="006A2E5B">
            <w:pPr>
              <w:pStyle w:val="Tablesmalltext"/>
              <w:rPr>
                <w:rFonts w:asciiTheme="minorHAnsi" w:hAnsiTheme="minorHAnsi" w:cstheme="minorHAnsi"/>
                <w:sz w:val="18"/>
                <w:szCs w:val="18"/>
              </w:rPr>
            </w:pPr>
            <w:r>
              <w:rPr>
                <w:rFonts w:asciiTheme="minorHAnsi" w:hAnsiTheme="minorHAnsi" w:cstheme="minorHAnsi"/>
                <w:sz w:val="18"/>
                <w:szCs w:val="18"/>
              </w:rPr>
              <w:t>24.8</w:t>
            </w:r>
          </w:p>
        </w:tc>
      </w:tr>
    </w:tbl>
    <w:p w14:paraId="09D3BA3A" w14:textId="2250758B" w:rsidR="00916063" w:rsidRPr="00323FD2" w:rsidRDefault="00916063" w:rsidP="003C58EF">
      <w:pPr>
        <w:pStyle w:val="Heading2"/>
      </w:pPr>
      <w:bookmarkStart w:id="57" w:name="_Toc430418232"/>
      <w:bookmarkStart w:id="58" w:name="_Toc465090771"/>
      <w:bookmarkStart w:id="59" w:name="_Toc500342691"/>
      <w:bookmarkStart w:id="60" w:name="_Toc32303483"/>
      <w:bookmarkStart w:id="61" w:name="_Toc84416080"/>
      <w:bookmarkStart w:id="62" w:name="_Toc84417321"/>
      <w:bookmarkStart w:id="63" w:name="_Toc84475667"/>
      <w:r w:rsidRPr="00323FD2">
        <w:t xml:space="preserve">Environmental water delivered in </w:t>
      </w:r>
      <w:r w:rsidR="00B76FF3" w:rsidRPr="00323FD2">
        <w:t>20</w:t>
      </w:r>
      <w:r w:rsidR="00CB063C" w:rsidRPr="00323FD2">
        <w:t>20</w:t>
      </w:r>
      <w:r w:rsidR="00B76FF3" w:rsidRPr="00323FD2">
        <w:t>-2</w:t>
      </w:r>
      <w:bookmarkEnd w:id="57"/>
      <w:bookmarkEnd w:id="58"/>
      <w:bookmarkEnd w:id="59"/>
      <w:bookmarkEnd w:id="60"/>
      <w:r w:rsidR="00CB063C" w:rsidRPr="00323FD2">
        <w:t>1</w:t>
      </w:r>
      <w:bookmarkEnd w:id="61"/>
      <w:bookmarkEnd w:id="62"/>
      <w:bookmarkEnd w:id="63"/>
    </w:p>
    <w:p w14:paraId="21BDD8E5" w14:textId="78644CFD" w:rsidR="00CB063C" w:rsidRPr="00BA2632" w:rsidRDefault="00CB063C" w:rsidP="00CB063C">
      <w:pPr>
        <w:rPr>
          <w:noProof/>
        </w:rPr>
      </w:pPr>
      <w:r w:rsidRPr="00BA2632">
        <w:t xml:space="preserve">High priority watering actions planned for </w:t>
      </w:r>
      <w:r w:rsidRPr="00BA2632">
        <w:rPr>
          <w:lang w:eastAsia="en-AU"/>
        </w:rPr>
        <w:t>20</w:t>
      </w:r>
      <w:r>
        <w:rPr>
          <w:lang w:eastAsia="en-AU"/>
        </w:rPr>
        <w:t>20</w:t>
      </w:r>
      <w:r w:rsidRPr="00BA2632">
        <w:rPr>
          <w:lang w:eastAsia="en-AU"/>
        </w:rPr>
        <w:t>–2</w:t>
      </w:r>
      <w:r>
        <w:rPr>
          <w:lang w:eastAsia="en-AU"/>
        </w:rPr>
        <w:t>1</w:t>
      </w:r>
      <w:r w:rsidRPr="00BA2632">
        <w:t xml:space="preserve"> in </w:t>
      </w:r>
      <w:r w:rsidR="009F6795">
        <w:t xml:space="preserve">the lower Goulburn (Reaches 4 and 5) </w:t>
      </w:r>
      <w:r w:rsidRPr="00BA2632">
        <w:t xml:space="preserve">included: continuous baseflows throughout the year to support habitat; </w:t>
      </w:r>
      <w:r w:rsidR="009F6795">
        <w:t xml:space="preserve">variable winter baseflows, continuing an approach first trialled in 2018–19; and freshes in winter, </w:t>
      </w:r>
      <w:proofErr w:type="gramStart"/>
      <w:r w:rsidR="009F6795">
        <w:t>spring</w:t>
      </w:r>
      <w:proofErr w:type="gramEnd"/>
      <w:r w:rsidR="009F6795">
        <w:t xml:space="preserve"> and autumn primarily to support bank </w:t>
      </w:r>
      <w:r w:rsidR="009F6795" w:rsidRPr="00F55B4C">
        <w:t>vegetation</w:t>
      </w:r>
      <w:r w:rsidR="00243FE7">
        <w:t xml:space="preserve"> </w:t>
      </w:r>
      <w:r w:rsidR="00243FE7">
        <w:rPr>
          <w:noProof/>
        </w:rPr>
        <w:t>(CEWO 2020a, GBCMA 2021)</w:t>
      </w:r>
      <w:r w:rsidR="00243FE7">
        <w:t>.</w:t>
      </w:r>
    </w:p>
    <w:p w14:paraId="0B368DFB" w14:textId="2AE03EFC" w:rsidR="00CB063C" w:rsidRPr="00BA2632" w:rsidRDefault="00CB063C" w:rsidP="00CB063C">
      <w:pPr>
        <w:rPr>
          <w:noProof/>
        </w:rPr>
      </w:pPr>
      <w:r w:rsidRPr="00BA2632">
        <w:t xml:space="preserve">During </w:t>
      </w:r>
      <w:r w:rsidRPr="00BA2632">
        <w:rPr>
          <w:lang w:eastAsia="en-AU"/>
        </w:rPr>
        <w:t>20</w:t>
      </w:r>
      <w:r>
        <w:rPr>
          <w:lang w:eastAsia="en-AU"/>
        </w:rPr>
        <w:t>20</w:t>
      </w:r>
      <w:r w:rsidRPr="00BA2632">
        <w:rPr>
          <w:lang w:eastAsia="en-AU"/>
        </w:rPr>
        <w:t>–2</w:t>
      </w:r>
      <w:r>
        <w:rPr>
          <w:lang w:eastAsia="en-AU"/>
        </w:rPr>
        <w:t>1</w:t>
      </w:r>
      <w:r w:rsidRPr="00BA2632">
        <w:t xml:space="preserve"> around </w:t>
      </w:r>
      <w:r w:rsidR="000A0587">
        <w:t>239</w:t>
      </w:r>
      <w:r w:rsidRPr="00BA2632">
        <w:t xml:space="preserve"> GL of environmental water was delivered in the lower Goulburn River; the CEWO contributed </w:t>
      </w:r>
      <w:r>
        <w:t>15</w:t>
      </w:r>
      <w:r w:rsidR="000A0587">
        <w:t>1</w:t>
      </w:r>
      <w:r w:rsidRPr="00BA2632">
        <w:t xml:space="preserve"> GL to this total </w:t>
      </w:r>
      <w:r w:rsidR="00243FE7">
        <w:rPr>
          <w:noProof/>
        </w:rPr>
        <w:t>(CEWO 2020b)</w:t>
      </w:r>
      <w:r w:rsidRPr="00BA2632">
        <w:t xml:space="preserve"> (</w:t>
      </w:r>
      <w:r w:rsidR="005F1C21" w:rsidRPr="005D4284">
        <w:t xml:space="preserve">Figure </w:t>
      </w:r>
      <w:r w:rsidR="005F1C21">
        <w:rPr>
          <w:noProof/>
        </w:rPr>
        <w:t>3</w:t>
      </w:r>
      <w:r w:rsidR="005F1C21">
        <w:rPr>
          <w:noProof/>
        </w:rPr>
        <w:noBreakHyphen/>
        <w:t>1</w:t>
      </w:r>
      <w:r w:rsidRPr="00BA2632">
        <w:t>). Interim operating arrangements introduced by the Victori</w:t>
      </w:r>
      <w:r>
        <w:t>an</w:t>
      </w:r>
      <w:r w:rsidRPr="00BA2632">
        <w:t xml:space="preserve"> Water Minister limited IVT delivery volumes to around </w:t>
      </w:r>
      <w:r>
        <w:t>4</w:t>
      </w:r>
      <w:r w:rsidRPr="00BA2632">
        <w:t xml:space="preserve">0 GL/month over the </w:t>
      </w:r>
      <w:r>
        <w:t>2020</w:t>
      </w:r>
      <w:r w:rsidRPr="00BA2632">
        <w:t>-2</w:t>
      </w:r>
      <w:r>
        <w:t>1</w:t>
      </w:r>
      <w:r w:rsidRPr="00BA2632">
        <w:t xml:space="preserve"> summer</w:t>
      </w:r>
      <w:r>
        <w:t xml:space="preserve"> and planned for delivery as an average baseflow around 1,300ML/day. IVTs also contributed to the late spring fresh for golden perch spawning and the Autumn fresh</w:t>
      </w:r>
      <w:r w:rsidRPr="00BA2632">
        <w:t xml:space="preserve">. Total IVT flows of </w:t>
      </w:r>
      <w:r>
        <w:t>216</w:t>
      </w:r>
      <w:r w:rsidRPr="00BA2632">
        <w:t xml:space="preserve"> GL were released, </w:t>
      </w:r>
      <w:r>
        <w:t>more than the 162 GL delivered in 2019-20,</w:t>
      </w:r>
      <w:r w:rsidRPr="00BA2632">
        <w:t xml:space="preserve"> </w:t>
      </w:r>
      <w:r>
        <w:t xml:space="preserve">but less than </w:t>
      </w:r>
      <w:r w:rsidRPr="00BA2632">
        <w:t xml:space="preserve">the 387 delivered in 2018-19 and 258 GL in </w:t>
      </w:r>
      <w:r w:rsidRPr="00BA2632">
        <w:rPr>
          <w:lang w:eastAsia="en-AU"/>
        </w:rPr>
        <w:t>2017–18</w:t>
      </w:r>
      <w:r w:rsidRPr="00BA2632">
        <w:t>.</w:t>
      </w:r>
      <w:r>
        <w:t xml:space="preserve"> Apart from a minor contribution to the spring and autumn freshes</w:t>
      </w:r>
      <w:r w:rsidRPr="00BA2632">
        <w:t xml:space="preserve"> </w:t>
      </w:r>
      <w:r>
        <w:t>I</w:t>
      </w:r>
      <w:r w:rsidRPr="00BA2632">
        <w:t>VT</w:t>
      </w:r>
      <w:r>
        <w:t xml:space="preserve"> </w:t>
      </w:r>
      <w:r w:rsidRPr="00BA2632">
        <w:t>prevented the delivery of environmental water</w:t>
      </w:r>
      <w:r w:rsidRPr="00BA2632">
        <w:rPr>
          <w:noProof/>
        </w:rPr>
        <w:t xml:space="preserve"> over the period between </w:t>
      </w:r>
      <w:r>
        <w:rPr>
          <w:noProof/>
        </w:rPr>
        <w:t xml:space="preserve">November </w:t>
      </w:r>
      <w:r w:rsidRPr="00BA2632">
        <w:rPr>
          <w:noProof/>
        </w:rPr>
        <w:t>and M</w:t>
      </w:r>
      <w:r>
        <w:rPr>
          <w:noProof/>
        </w:rPr>
        <w:t>ay,</w:t>
      </w:r>
      <w:r w:rsidRPr="00BA2632">
        <w:rPr>
          <w:noProof/>
        </w:rPr>
        <w:t xml:space="preserve"> but were released in a pulsed way to reduce the amount of damage caused to lower banks and riparian vegetation </w:t>
      </w:r>
      <w:r w:rsidR="0018467D">
        <w:rPr>
          <w:noProof/>
        </w:rPr>
        <w:t>(VEWH 2020)</w:t>
      </w:r>
      <w:r w:rsidRPr="00BA2632">
        <w:rPr>
          <w:noProof/>
        </w:rPr>
        <w:t xml:space="preserve">. Unregulated high flow events in winter </w:t>
      </w:r>
      <w:r>
        <w:rPr>
          <w:noProof/>
        </w:rPr>
        <w:t xml:space="preserve">and early spring </w:t>
      </w:r>
      <w:r w:rsidRPr="00BA2632">
        <w:rPr>
          <w:noProof/>
        </w:rPr>
        <w:t>provided greater than normal flow volumes in the lower Goulburn River over th</w:t>
      </w:r>
      <w:r>
        <w:rPr>
          <w:noProof/>
        </w:rPr>
        <w:t>is</w:t>
      </w:r>
      <w:r w:rsidRPr="00BA2632">
        <w:rPr>
          <w:noProof/>
        </w:rPr>
        <w:t xml:space="preserve"> period. Environmental water was used to slow </w:t>
      </w:r>
      <w:r>
        <w:rPr>
          <w:noProof/>
        </w:rPr>
        <w:t xml:space="preserve">the </w:t>
      </w:r>
      <w:r w:rsidRPr="00BA2632">
        <w:rPr>
          <w:noProof/>
        </w:rPr>
        <w:t xml:space="preserve">recession </w:t>
      </w:r>
      <w:r>
        <w:rPr>
          <w:noProof/>
        </w:rPr>
        <w:t>of an event in September and then deliver an early spring fresh</w:t>
      </w:r>
      <w:r w:rsidRPr="00BA2632">
        <w:rPr>
          <w:noProof/>
        </w:rPr>
        <w:t xml:space="preserve"> (</w:t>
      </w:r>
      <w:r w:rsidR="005F1C21" w:rsidRPr="005D4284">
        <w:t xml:space="preserve">Figure </w:t>
      </w:r>
      <w:r w:rsidR="005F1C21">
        <w:rPr>
          <w:noProof/>
        </w:rPr>
        <w:t>3</w:t>
      </w:r>
      <w:r w:rsidR="005F1C21">
        <w:rPr>
          <w:noProof/>
        </w:rPr>
        <w:noBreakHyphen/>
        <w:t>1</w:t>
      </w:r>
      <w:r w:rsidRPr="00BA2632">
        <w:t>).</w:t>
      </w:r>
    </w:p>
    <w:p w14:paraId="46F17FEB" w14:textId="393E3918" w:rsidR="00CB063C" w:rsidRPr="00BA2632" w:rsidRDefault="00CB063C" w:rsidP="00CB063C">
      <w:pPr>
        <w:rPr>
          <w:noProof/>
        </w:rPr>
      </w:pPr>
      <w:r w:rsidRPr="00BA2632">
        <w:rPr>
          <w:noProof/>
        </w:rPr>
        <w:t>The planned delivery for environmental water in 20</w:t>
      </w:r>
      <w:r>
        <w:rPr>
          <w:noProof/>
        </w:rPr>
        <w:t>20</w:t>
      </w:r>
      <w:r w:rsidRPr="00BA2632">
        <w:rPr>
          <w:noProof/>
        </w:rPr>
        <w:t>-2</w:t>
      </w:r>
      <w:r>
        <w:rPr>
          <w:noProof/>
        </w:rPr>
        <w:t>1</w:t>
      </w:r>
      <w:r w:rsidRPr="00BA2632">
        <w:rPr>
          <w:noProof/>
        </w:rPr>
        <w:t xml:space="preserve"> is summarised </w:t>
      </w:r>
      <w:r w:rsidR="004441D7">
        <w:rPr>
          <w:noProof/>
        </w:rPr>
        <w:t xml:space="preserve">in </w:t>
      </w:r>
      <w:r w:rsidR="005F1C21" w:rsidRPr="001763A1">
        <w:t xml:space="preserve">Table </w:t>
      </w:r>
      <w:r w:rsidR="005F1C21">
        <w:rPr>
          <w:noProof/>
        </w:rPr>
        <w:t>3</w:t>
      </w:r>
      <w:r w:rsidR="005F1C21">
        <w:rPr>
          <w:noProof/>
        </w:rPr>
        <w:noBreakHyphen/>
        <w:t>2</w:t>
      </w:r>
      <w:r w:rsidR="004441D7" w:rsidRPr="00EF740B">
        <w:rPr>
          <w:noProof/>
        </w:rPr>
        <w:t>.</w:t>
      </w:r>
      <w:r w:rsidR="004441D7">
        <w:rPr>
          <w:noProof/>
        </w:rPr>
        <w:t xml:space="preserve"> Information on planned delivery and expected outcomes from</w:t>
      </w:r>
      <w:r w:rsidR="00222AEA">
        <w:rPr>
          <w:noProof/>
        </w:rPr>
        <w:t xml:space="preserve"> </w:t>
      </w:r>
      <w:r w:rsidR="00243FE7">
        <w:rPr>
          <w:noProof/>
        </w:rPr>
        <w:t xml:space="preserve">(CEWO 2020a) </w:t>
      </w:r>
      <w:r w:rsidR="004D2C5A">
        <w:rPr>
          <w:noProof/>
        </w:rPr>
        <w:t xml:space="preserve">and </w:t>
      </w:r>
      <w:r w:rsidR="00513803" w:rsidRPr="00EF740B">
        <w:rPr>
          <w:noProof/>
        </w:rPr>
        <w:t>GBCMA (2021)</w:t>
      </w:r>
      <w:r w:rsidR="004D2C5A" w:rsidRPr="00EF740B">
        <w:t>,</w:t>
      </w:r>
      <w:r w:rsidR="004D2C5A">
        <w:rPr>
          <w:noProof/>
        </w:rPr>
        <w:t xml:space="preserve"> </w:t>
      </w:r>
      <w:r w:rsidRPr="00BA2632">
        <w:rPr>
          <w:noProof/>
        </w:rPr>
        <w:t>which also outlines the actual deliver</w:t>
      </w:r>
      <w:r>
        <w:rPr>
          <w:noProof/>
        </w:rPr>
        <w:t>ies</w:t>
      </w:r>
      <w:r w:rsidRPr="00BA2632">
        <w:rPr>
          <w:noProof/>
        </w:rPr>
        <w:t xml:space="preserve"> and the conditions that influenced use decisions during the year. </w:t>
      </w:r>
      <w:r w:rsidRPr="00906A99">
        <w:t>Appendix A</w:t>
      </w:r>
      <w:r w:rsidRPr="00BA2632">
        <w:rPr>
          <w:noProof/>
        </w:rPr>
        <w:t xml:space="preserve"> provides a detailed breakdown of volumes used to deliver each planned event.</w:t>
      </w:r>
    </w:p>
    <w:p w14:paraId="530A5741" w14:textId="77777777" w:rsidR="00916063" w:rsidRPr="00BA2632" w:rsidRDefault="00916063" w:rsidP="00916063">
      <w:pPr>
        <w:pStyle w:val="Para0"/>
        <w:rPr>
          <w:noProof/>
        </w:rPr>
      </w:pPr>
    </w:p>
    <w:p w14:paraId="4EC22AE2" w14:textId="77777777" w:rsidR="00916063" w:rsidRPr="00BA2632" w:rsidRDefault="00916063" w:rsidP="00916063">
      <w:pPr>
        <w:pStyle w:val="Para0"/>
        <w:rPr>
          <w:noProof/>
        </w:rPr>
        <w:sectPr w:rsidR="00916063" w:rsidRPr="00BA2632" w:rsidSect="00D94869">
          <w:footerReference w:type="default" r:id="rId20"/>
          <w:pgSz w:w="11901" w:h="16840" w:code="9"/>
          <w:pgMar w:top="567" w:right="851" w:bottom="851" w:left="1134" w:header="567" w:footer="369" w:gutter="0"/>
          <w:pgNumType w:start="1"/>
          <w:cols w:space="0"/>
          <w:formProt w:val="0"/>
          <w:docGrid w:linePitch="360"/>
        </w:sectPr>
      </w:pPr>
    </w:p>
    <w:p w14:paraId="5F8FCCA6" w14:textId="191C8C61" w:rsidR="009F7948" w:rsidRDefault="009F7948" w:rsidP="009F7948">
      <w:pPr>
        <w:pStyle w:val="Caption"/>
        <w:jc w:val="center"/>
      </w:pPr>
      <w:bookmarkStart w:id="64" w:name="_Ref46490288"/>
      <w:bookmarkStart w:id="65" w:name="_Toc83907732"/>
      <w:bookmarkStart w:id="66" w:name="_Toc84475633"/>
      <w:bookmarkStart w:id="67" w:name="_Ref46917414"/>
      <w:bookmarkStart w:id="68" w:name="_Ref469994663"/>
      <w:bookmarkStart w:id="69" w:name="_Toc500342925"/>
      <w:r>
        <w:rPr>
          <w:noProof/>
          <w:lang w:val="en-GB"/>
        </w:rPr>
        <w:lastRenderedPageBreak/>
        <w:drawing>
          <wp:inline distT="0" distB="0" distL="0" distR="0" wp14:anchorId="77421A6F" wp14:editId="3655E07B">
            <wp:extent cx="9432925" cy="54698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9432925" cy="5469890"/>
                    </a:xfrm>
                    <a:prstGeom prst="rect">
                      <a:avLst/>
                    </a:prstGeom>
                  </pic:spPr>
                </pic:pic>
              </a:graphicData>
            </a:graphic>
          </wp:inline>
        </w:drawing>
      </w:r>
    </w:p>
    <w:p w14:paraId="5B85A11C" w14:textId="3DA73BA5" w:rsidR="003B2967" w:rsidRPr="00BA2632" w:rsidRDefault="003B2967" w:rsidP="003B2967">
      <w:pPr>
        <w:pStyle w:val="Caption"/>
        <w:sectPr w:rsidR="003B2967" w:rsidRPr="00BA2632" w:rsidSect="00D94869">
          <w:pgSz w:w="16840" w:h="11901" w:orient="landscape" w:code="9"/>
          <w:pgMar w:top="567" w:right="851" w:bottom="851" w:left="1134" w:header="567" w:footer="369" w:gutter="0"/>
          <w:cols w:space="0"/>
          <w:formProt w:val="0"/>
          <w:docGrid w:linePitch="360"/>
        </w:sectPr>
      </w:pPr>
      <w:r w:rsidRPr="005D4284">
        <w:t xml:space="preserve">Figure </w:t>
      </w:r>
      <w:r w:rsidR="000962AB">
        <w:rPr>
          <w:noProof/>
        </w:rPr>
        <w:t>3</w:t>
      </w:r>
      <w:r w:rsidR="00B85158">
        <w:noBreakHyphen/>
      </w:r>
      <w:r w:rsidR="000962AB">
        <w:rPr>
          <w:noProof/>
        </w:rPr>
        <w:t>1</w:t>
      </w:r>
      <w:bookmarkEnd w:id="64"/>
      <w:r w:rsidRPr="005D4284">
        <w:t xml:space="preserve"> Relative sources of water contributing to total Goulburn River flows in 20</w:t>
      </w:r>
      <w:r w:rsidR="005D4284" w:rsidRPr="005D4284">
        <w:t>20</w:t>
      </w:r>
      <w:r w:rsidRPr="005D4284">
        <w:t>-2</w:t>
      </w:r>
      <w:r w:rsidR="005D4284" w:rsidRPr="005D4284">
        <w:t>1</w:t>
      </w:r>
      <w:r w:rsidRPr="005D4284">
        <w:t xml:space="preserve"> at McCoy’s Bridge (</w:t>
      </w:r>
      <w:r w:rsidRPr="00946134">
        <w:t>https://fchMcCoy’s.hydronet.com/</w:t>
      </w:r>
      <w:r w:rsidRPr="005D4284">
        <w:t>).</w:t>
      </w:r>
      <w:bookmarkEnd w:id="65"/>
      <w:bookmarkEnd w:id="66"/>
      <w:r w:rsidR="00AC410C">
        <w:t xml:space="preserve"> </w:t>
      </w:r>
    </w:p>
    <w:p w14:paraId="5F6DA53D" w14:textId="2F6EA66F" w:rsidR="003B2967" w:rsidRDefault="003B2967" w:rsidP="003B2967">
      <w:pPr>
        <w:pStyle w:val="Caption"/>
      </w:pPr>
      <w:bookmarkStart w:id="70" w:name="_Ref83738799"/>
      <w:bookmarkStart w:id="71" w:name="_Toc95391455"/>
      <w:bookmarkEnd w:id="67"/>
      <w:bookmarkEnd w:id="68"/>
      <w:bookmarkEnd w:id="69"/>
      <w:r w:rsidRPr="001763A1">
        <w:lastRenderedPageBreak/>
        <w:t xml:space="preserve">Table </w:t>
      </w:r>
      <w:r w:rsidR="000B75AF">
        <w:rPr>
          <w:noProof/>
        </w:rPr>
        <w:t>3</w:t>
      </w:r>
      <w:r w:rsidR="000B75AF">
        <w:noBreakHyphen/>
      </w:r>
      <w:r w:rsidR="000B75AF">
        <w:rPr>
          <w:noProof/>
        </w:rPr>
        <w:t>2</w:t>
      </w:r>
      <w:bookmarkEnd w:id="70"/>
      <w:r w:rsidRPr="001763A1">
        <w:t xml:space="preserve"> </w:t>
      </w:r>
      <w:r w:rsidR="001763A1" w:rsidRPr="00BA2632">
        <w:t xml:space="preserve">Summary of planned and actual environmental flows for the lower Goulburn River </w:t>
      </w:r>
      <w:r w:rsidR="00906A99" w:rsidRPr="00BA2632">
        <w:t>20</w:t>
      </w:r>
      <w:r w:rsidR="00906A99">
        <w:t>20</w:t>
      </w:r>
      <w:r w:rsidR="001763A1" w:rsidRPr="00BA2632">
        <w:t>–</w:t>
      </w:r>
      <w:r w:rsidR="00906A99" w:rsidRPr="00BA2632">
        <w:t>2</w:t>
      </w:r>
      <w:r w:rsidR="00906A99">
        <w:t>1</w:t>
      </w:r>
      <w:r w:rsidR="001763A1" w:rsidRPr="00BA2632">
        <w:t xml:space="preserve">. Information on planned delivery and expected outcomes from </w:t>
      </w:r>
      <w:r w:rsidR="00E32F9F">
        <w:rPr>
          <w:noProof/>
        </w:rPr>
        <w:t>(CEWO 2020a)</w:t>
      </w:r>
      <w:r w:rsidR="00E32F9F">
        <w:t xml:space="preserve"> </w:t>
      </w:r>
      <w:r w:rsidR="001763A1" w:rsidRPr="00BA2632">
        <w:t>and</w:t>
      </w:r>
      <w:r w:rsidR="00E32F9F">
        <w:t xml:space="preserve"> </w:t>
      </w:r>
      <w:r w:rsidR="00E32F9F">
        <w:rPr>
          <w:noProof/>
        </w:rPr>
        <w:t>(GBCMA 2021)</w:t>
      </w:r>
      <w:r w:rsidR="00132AEE">
        <w:t xml:space="preserve">. </w:t>
      </w:r>
      <w:r w:rsidR="001763A1" w:rsidRPr="00BA2632">
        <w:t xml:space="preserve">Information on actual delivery provided by </w:t>
      </w:r>
      <w:r w:rsidR="00243FE7">
        <w:rPr>
          <w:noProof/>
        </w:rPr>
        <w:t>CEWO (2020b)</w:t>
      </w:r>
      <w:r w:rsidR="001763A1" w:rsidRPr="00BA2632">
        <w:t xml:space="preserve">.  More details </w:t>
      </w:r>
      <w:r w:rsidR="001763A1">
        <w:t>o</w:t>
      </w:r>
      <w:r w:rsidR="001763A1" w:rsidRPr="00BA2632">
        <w:t xml:space="preserve">n specific volumes delivered from various sources </w:t>
      </w:r>
      <w:r w:rsidR="001763A1" w:rsidRPr="00906A99">
        <w:t>is provided in Appendix A.</w:t>
      </w:r>
      <w:bookmarkEnd w:id="71"/>
    </w:p>
    <w:tbl>
      <w:tblPr>
        <w:tblStyle w:val="LightList-Accent11"/>
        <w:tblW w:w="9913" w:type="dxa"/>
        <w:jc w:val="center"/>
        <w:tblLook w:val="00A0" w:firstRow="1" w:lastRow="0" w:firstColumn="1" w:lastColumn="0" w:noHBand="0" w:noVBand="0"/>
      </w:tblPr>
      <w:tblGrid>
        <w:gridCol w:w="2258"/>
        <w:gridCol w:w="2977"/>
        <w:gridCol w:w="4678"/>
      </w:tblGrid>
      <w:tr w:rsidR="00521321" w:rsidRPr="00136A4C" w14:paraId="37B8A78C" w14:textId="77777777" w:rsidTr="008A5A94">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258" w:type="dxa"/>
            <w:vAlign w:val="center"/>
          </w:tcPr>
          <w:p w14:paraId="408F7C0E" w14:textId="77777777" w:rsidR="00521321" w:rsidRPr="00136A4C" w:rsidRDefault="00521321" w:rsidP="00E26D3C">
            <w:pPr>
              <w:pStyle w:val="Tablesmalltext"/>
              <w:jc w:val="left"/>
              <w:rPr>
                <w:rFonts w:asciiTheme="minorHAnsi" w:hAnsiTheme="minorHAnsi" w:cstheme="minorHAnsi"/>
                <w:sz w:val="18"/>
                <w:szCs w:val="18"/>
              </w:rPr>
            </w:pPr>
            <w:r w:rsidRPr="00136A4C">
              <w:rPr>
                <w:rFonts w:asciiTheme="minorHAnsi" w:hAnsiTheme="minorHAnsi" w:cstheme="minorHAnsi"/>
                <w:sz w:val="18"/>
                <w:szCs w:val="18"/>
              </w:rPr>
              <w:t xml:space="preserve">Flow component type and </w:t>
            </w:r>
            <w:r w:rsidRPr="00136A4C">
              <w:rPr>
                <w:rFonts w:asciiTheme="minorHAnsi" w:hAnsiTheme="minorHAnsi" w:cstheme="minorHAnsi"/>
                <w:sz w:val="18"/>
                <w:szCs w:val="18"/>
                <w:u w:val="single"/>
              </w:rPr>
              <w:t xml:space="preserve">planned </w:t>
            </w:r>
            <w:r w:rsidRPr="00136A4C">
              <w:rPr>
                <w:rFonts w:asciiTheme="minorHAnsi" w:hAnsiTheme="minorHAnsi" w:cstheme="minorHAnsi"/>
                <w:sz w:val="18"/>
                <w:szCs w:val="18"/>
              </w:rPr>
              <w:t>magnitude, duration, timing</w:t>
            </w:r>
          </w:p>
        </w:tc>
        <w:tc>
          <w:tcPr>
            <w:cnfStyle w:val="000010000000" w:firstRow="0" w:lastRow="0" w:firstColumn="0" w:lastColumn="0" w:oddVBand="1" w:evenVBand="0" w:oddHBand="0" w:evenHBand="0" w:firstRowFirstColumn="0" w:firstRowLastColumn="0" w:lastRowFirstColumn="0" w:lastRowLastColumn="0"/>
            <w:tcW w:w="2977" w:type="dxa"/>
            <w:vAlign w:val="center"/>
          </w:tcPr>
          <w:p w14:paraId="5B96E945" w14:textId="77777777" w:rsidR="00521321" w:rsidRPr="00136A4C" w:rsidRDefault="00521321" w:rsidP="00E26D3C">
            <w:pPr>
              <w:pStyle w:val="Tablesmalltext"/>
              <w:jc w:val="left"/>
              <w:rPr>
                <w:rFonts w:asciiTheme="minorHAnsi" w:hAnsiTheme="minorHAnsi" w:cstheme="minorHAnsi"/>
                <w:sz w:val="18"/>
                <w:szCs w:val="18"/>
              </w:rPr>
            </w:pPr>
            <w:r w:rsidRPr="00136A4C">
              <w:rPr>
                <w:rFonts w:asciiTheme="minorHAnsi" w:hAnsiTheme="minorHAnsi" w:cstheme="minorHAnsi"/>
                <w:sz w:val="18"/>
                <w:szCs w:val="18"/>
              </w:rPr>
              <w:t xml:space="preserve">Expected outcomes </w:t>
            </w:r>
          </w:p>
          <w:p w14:paraId="477FE125" w14:textId="77777777" w:rsidR="00521321" w:rsidRPr="00136A4C" w:rsidRDefault="00521321" w:rsidP="00E26D3C">
            <w:pPr>
              <w:pStyle w:val="Tablesmalltext"/>
              <w:jc w:val="left"/>
              <w:rPr>
                <w:rFonts w:asciiTheme="minorHAnsi" w:hAnsiTheme="minorHAnsi" w:cstheme="minorHAnsi"/>
                <w:color w:val="2F88F0" w:themeColor="text2" w:themeTint="99"/>
                <w:sz w:val="18"/>
                <w:szCs w:val="18"/>
              </w:rPr>
            </w:pPr>
            <w:r w:rsidRPr="00136A4C">
              <w:rPr>
                <w:rFonts w:asciiTheme="minorHAnsi" w:hAnsiTheme="minorHAnsi" w:cstheme="minorHAnsi"/>
                <w:sz w:val="18"/>
                <w:szCs w:val="18"/>
              </w:rPr>
              <w:t xml:space="preserve">(primary and secondary </w:t>
            </w:r>
            <w:r w:rsidRPr="00136A4C">
              <w:rPr>
                <w:rFonts w:asciiTheme="minorHAnsi" w:hAnsiTheme="minorHAnsi" w:cstheme="minorHAnsi"/>
                <w:sz w:val="18"/>
                <w:szCs w:val="18"/>
                <w:u w:val="single"/>
              </w:rPr>
              <w:t>as at delivery</w:t>
            </w:r>
            <w:r w:rsidRPr="00136A4C">
              <w:rPr>
                <w:rFonts w:asciiTheme="minorHAnsi" w:hAnsiTheme="minorHAnsi" w:cstheme="minorHAnsi"/>
                <w:sz w:val="18"/>
                <w:szCs w:val="18"/>
              </w:rPr>
              <w:t>)</w:t>
            </w:r>
          </w:p>
        </w:tc>
        <w:tc>
          <w:tcPr>
            <w:tcW w:w="4678" w:type="dxa"/>
            <w:vAlign w:val="center"/>
          </w:tcPr>
          <w:p w14:paraId="0FED238F" w14:textId="77777777" w:rsidR="00521321" w:rsidRPr="00136A4C" w:rsidRDefault="00521321" w:rsidP="00E26D3C">
            <w:pPr>
              <w:pStyle w:val="Tablesmalltext"/>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70C0"/>
                <w:sz w:val="18"/>
                <w:szCs w:val="18"/>
              </w:rPr>
            </w:pPr>
            <w:r w:rsidRPr="00136A4C">
              <w:rPr>
                <w:rFonts w:asciiTheme="minorHAnsi" w:hAnsiTheme="minorHAnsi" w:cstheme="minorHAnsi"/>
                <w:sz w:val="18"/>
                <w:szCs w:val="18"/>
                <w:u w:val="single"/>
              </w:rPr>
              <w:t>Actual</w:t>
            </w:r>
            <w:r w:rsidRPr="00136A4C">
              <w:rPr>
                <w:rFonts w:asciiTheme="minorHAnsi" w:hAnsiTheme="minorHAnsi" w:cstheme="minorHAnsi"/>
                <w:sz w:val="18"/>
                <w:szCs w:val="18"/>
              </w:rPr>
              <w:t xml:space="preserve"> delivery details and any operational issues that may have affected expected outcomes </w:t>
            </w:r>
          </w:p>
          <w:p w14:paraId="1779D3A2" w14:textId="77777777" w:rsidR="00521321" w:rsidRPr="00136A4C" w:rsidRDefault="00521321" w:rsidP="00E26D3C">
            <w:pPr>
              <w:pStyle w:val="Tablesmalltext"/>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u w:val="single"/>
              </w:rPr>
            </w:pPr>
            <w:r w:rsidRPr="00136A4C">
              <w:rPr>
                <w:rFonts w:asciiTheme="minorHAnsi" w:hAnsiTheme="minorHAnsi" w:cstheme="minorHAnsi"/>
                <w:sz w:val="18"/>
                <w:szCs w:val="18"/>
              </w:rPr>
              <w:t>Comments</w:t>
            </w:r>
          </w:p>
        </w:tc>
      </w:tr>
      <w:tr w:rsidR="00521321" w:rsidRPr="00136A4C" w14:paraId="419EA3E7" w14:textId="77777777" w:rsidTr="008A5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8" w:type="dxa"/>
            <w:vAlign w:val="center"/>
          </w:tcPr>
          <w:p w14:paraId="42007A74" w14:textId="77777777" w:rsidR="00521321" w:rsidRPr="00136A4C" w:rsidRDefault="00521321" w:rsidP="00E26D3C">
            <w:pPr>
              <w:pStyle w:val="Tablesmalltext"/>
              <w:jc w:val="left"/>
              <w:rPr>
                <w:rFonts w:asciiTheme="minorHAnsi" w:hAnsiTheme="minorHAnsi" w:cstheme="minorHAnsi"/>
                <w:sz w:val="18"/>
                <w:szCs w:val="18"/>
              </w:rPr>
            </w:pPr>
            <w:r w:rsidRPr="00136A4C">
              <w:rPr>
                <w:rFonts w:asciiTheme="minorHAnsi" w:hAnsiTheme="minorHAnsi" w:cstheme="minorHAnsi"/>
                <w:sz w:val="18"/>
                <w:szCs w:val="18"/>
              </w:rPr>
              <w:t xml:space="preserve">Provide a minimum baseflow of 500/540 ML/day at Murchison/McCoy’s </w:t>
            </w:r>
          </w:p>
        </w:tc>
        <w:tc>
          <w:tcPr>
            <w:cnfStyle w:val="000010000000" w:firstRow="0" w:lastRow="0" w:firstColumn="0" w:lastColumn="0" w:oddVBand="1" w:evenVBand="0" w:oddHBand="0" w:evenHBand="0" w:firstRowFirstColumn="0" w:firstRowLastColumn="0" w:lastRowFirstColumn="0" w:lastRowLastColumn="0"/>
            <w:tcW w:w="2977" w:type="dxa"/>
            <w:vAlign w:val="center"/>
          </w:tcPr>
          <w:p w14:paraId="276690C1" w14:textId="77777777" w:rsidR="00521321" w:rsidRPr="00136A4C" w:rsidRDefault="00521321" w:rsidP="00E26D3C">
            <w:pPr>
              <w:pStyle w:val="Tablesmalltext"/>
              <w:jc w:val="left"/>
              <w:rPr>
                <w:rFonts w:asciiTheme="minorHAnsi" w:hAnsiTheme="minorHAnsi" w:cstheme="minorHAnsi"/>
                <w:sz w:val="18"/>
                <w:szCs w:val="18"/>
              </w:rPr>
            </w:pPr>
            <w:r w:rsidRPr="00136A4C">
              <w:rPr>
                <w:rFonts w:asciiTheme="minorHAnsi" w:hAnsiTheme="minorHAnsi" w:cstheme="minorHAnsi"/>
                <w:sz w:val="18"/>
                <w:szCs w:val="18"/>
              </w:rPr>
              <w:t>Provide baseflows all year: to maintain water quality and provide minimum recommended habitat and food resources for native fish and macroinvertebrate and to water bank vegetation.</w:t>
            </w:r>
          </w:p>
        </w:tc>
        <w:tc>
          <w:tcPr>
            <w:tcW w:w="4678" w:type="dxa"/>
            <w:vAlign w:val="center"/>
          </w:tcPr>
          <w:p w14:paraId="24CC0313" w14:textId="77777777" w:rsidR="00521321" w:rsidRPr="00136A4C" w:rsidRDefault="00521321"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36A4C">
              <w:rPr>
                <w:rFonts w:asciiTheme="minorHAnsi" w:hAnsiTheme="minorHAnsi" w:cstheme="minorHAnsi"/>
                <w:sz w:val="18"/>
                <w:szCs w:val="18"/>
              </w:rPr>
              <w:t xml:space="preserve">Minimum baseflow targets were met all year either by unregulated flows, environmental water or IVT delivery. Average flow conditions led to sufficient volumes of environmental water to target the higher baseflow levels. </w:t>
            </w:r>
          </w:p>
        </w:tc>
      </w:tr>
      <w:tr w:rsidR="00521321" w:rsidRPr="00136A4C" w14:paraId="774C3DD2" w14:textId="77777777" w:rsidTr="008A5A94">
        <w:trPr>
          <w:jc w:val="center"/>
        </w:trPr>
        <w:tc>
          <w:tcPr>
            <w:cnfStyle w:val="001000000000" w:firstRow="0" w:lastRow="0" w:firstColumn="1" w:lastColumn="0" w:oddVBand="0" w:evenVBand="0" w:oddHBand="0" w:evenHBand="0" w:firstRowFirstColumn="0" w:firstRowLastColumn="0" w:lastRowFirstColumn="0" w:lastRowLastColumn="0"/>
            <w:tcW w:w="2258" w:type="dxa"/>
            <w:vAlign w:val="center"/>
          </w:tcPr>
          <w:p w14:paraId="782680EF" w14:textId="77777777" w:rsidR="00E87521" w:rsidRDefault="00521321" w:rsidP="00E26D3C">
            <w:pPr>
              <w:snapToGrid w:val="0"/>
              <w:jc w:val="left"/>
              <w:rPr>
                <w:rFonts w:cstheme="minorHAnsi"/>
                <w:b w:val="0"/>
                <w:bCs w:val="0"/>
                <w:sz w:val="18"/>
                <w:szCs w:val="18"/>
              </w:rPr>
            </w:pPr>
            <w:r w:rsidRPr="00136A4C">
              <w:rPr>
                <w:rFonts w:cstheme="minorHAnsi"/>
                <w:sz w:val="18"/>
                <w:szCs w:val="18"/>
              </w:rPr>
              <w:t xml:space="preserve">Provide at least one winter/spring fresh </w:t>
            </w:r>
            <w:r w:rsidR="00E87521" w:rsidRPr="00765E7C">
              <w:rPr>
                <w:rFonts w:asciiTheme="minorHAnsi" w:hAnsiTheme="minorHAnsi"/>
                <w:sz w:val="18"/>
                <w:szCs w:val="18"/>
              </w:rPr>
              <w:t>(July-Oct)</w:t>
            </w:r>
            <w:r w:rsidR="00E87521" w:rsidRPr="00136A4C">
              <w:rPr>
                <w:rFonts w:cstheme="minorHAnsi"/>
                <w:sz w:val="18"/>
                <w:szCs w:val="18"/>
              </w:rPr>
              <w:t xml:space="preserve"> </w:t>
            </w:r>
          </w:p>
          <w:p w14:paraId="4957172F" w14:textId="553B4282" w:rsidR="00521321" w:rsidRDefault="00521321" w:rsidP="00E26D3C">
            <w:pPr>
              <w:snapToGrid w:val="0"/>
              <w:jc w:val="left"/>
              <w:rPr>
                <w:rFonts w:cstheme="minorHAnsi"/>
                <w:b w:val="0"/>
                <w:bCs w:val="0"/>
                <w:sz w:val="18"/>
                <w:szCs w:val="18"/>
              </w:rPr>
            </w:pPr>
            <w:r w:rsidRPr="00136A4C">
              <w:rPr>
                <w:rFonts w:cstheme="minorHAnsi"/>
                <w:sz w:val="18"/>
                <w:szCs w:val="18"/>
              </w:rPr>
              <w:t>&gt;6,600 ML for 14 days</w:t>
            </w:r>
          </w:p>
          <w:p w14:paraId="6E1C9702" w14:textId="77777777" w:rsidR="00F56615" w:rsidRDefault="00F56615" w:rsidP="00E26D3C">
            <w:pPr>
              <w:snapToGrid w:val="0"/>
              <w:jc w:val="left"/>
              <w:rPr>
                <w:rFonts w:cstheme="minorHAnsi"/>
                <w:b w:val="0"/>
                <w:bCs w:val="0"/>
                <w:color w:val="000000" w:themeColor="text1"/>
                <w:sz w:val="18"/>
                <w:szCs w:val="18"/>
              </w:rPr>
            </w:pPr>
          </w:p>
          <w:p w14:paraId="59DA1040" w14:textId="77777777" w:rsidR="00F56615" w:rsidRPr="00765E7C" w:rsidRDefault="00F56615" w:rsidP="000A0587">
            <w:pPr>
              <w:jc w:val="left"/>
              <w:rPr>
                <w:rFonts w:asciiTheme="minorHAnsi" w:hAnsiTheme="minorHAnsi"/>
                <w:sz w:val="18"/>
                <w:szCs w:val="18"/>
              </w:rPr>
            </w:pPr>
            <w:r w:rsidRPr="00765E7C">
              <w:rPr>
                <w:rFonts w:asciiTheme="minorHAnsi" w:hAnsiTheme="minorHAnsi"/>
                <w:sz w:val="18"/>
                <w:szCs w:val="18"/>
              </w:rPr>
              <w:t xml:space="preserve">Deliver using tributary flows where possible, rather than releases from Eildon. </w:t>
            </w:r>
          </w:p>
          <w:p w14:paraId="1DAE5014" w14:textId="77777777" w:rsidR="00F56615" w:rsidRPr="00CD4C08" w:rsidRDefault="00F56615" w:rsidP="00F56615">
            <w:pPr>
              <w:rPr>
                <w:rFonts w:asciiTheme="minorHAnsi" w:hAnsiTheme="minorHAnsi"/>
                <w:sz w:val="18"/>
                <w:szCs w:val="18"/>
              </w:rPr>
            </w:pPr>
          </w:p>
          <w:p w14:paraId="7E02B100" w14:textId="7BCFF545" w:rsidR="00F56615" w:rsidRPr="00136A4C" w:rsidRDefault="00F56615" w:rsidP="00F56615">
            <w:pPr>
              <w:snapToGrid w:val="0"/>
              <w:jc w:val="left"/>
              <w:rPr>
                <w:rFonts w:cstheme="minorHAnsi"/>
                <w:color w:val="000000" w:themeColor="text1"/>
                <w:sz w:val="18"/>
                <w:szCs w:val="18"/>
              </w:rPr>
            </w:pPr>
            <w:r w:rsidRPr="00CD4C08">
              <w:rPr>
                <w:rFonts w:asciiTheme="minorHAnsi" w:hAnsiTheme="minorHAnsi"/>
                <w:sz w:val="18"/>
                <w:szCs w:val="18"/>
              </w:rPr>
              <w:t xml:space="preserve">If there is no natural </w:t>
            </w:r>
            <w:proofErr w:type="gramStart"/>
            <w:r w:rsidRPr="00CD4C08">
              <w:rPr>
                <w:rFonts w:asciiTheme="minorHAnsi" w:hAnsiTheme="minorHAnsi"/>
                <w:sz w:val="18"/>
                <w:szCs w:val="18"/>
              </w:rPr>
              <w:t>event</w:t>
            </w:r>
            <w:proofErr w:type="gramEnd"/>
            <w:r w:rsidRPr="00CD4C08">
              <w:rPr>
                <w:rFonts w:asciiTheme="minorHAnsi" w:hAnsiTheme="minorHAnsi"/>
                <w:sz w:val="18"/>
                <w:szCs w:val="18"/>
              </w:rPr>
              <w:t xml:space="preserve"> then deliver as a managed event in Sept/Oct</w:t>
            </w:r>
            <w:r>
              <w:rPr>
                <w:rFonts w:asciiTheme="minorHAnsi" w:hAnsiTheme="minorHAnsi"/>
                <w:sz w:val="18"/>
                <w:szCs w:val="18"/>
              </w:rPr>
              <w:t xml:space="preserve"> 2020.</w:t>
            </w:r>
          </w:p>
        </w:tc>
        <w:tc>
          <w:tcPr>
            <w:cnfStyle w:val="000010000000" w:firstRow="0" w:lastRow="0" w:firstColumn="0" w:lastColumn="0" w:oddVBand="1" w:evenVBand="0" w:oddHBand="0" w:evenHBand="0" w:firstRowFirstColumn="0" w:firstRowLastColumn="0" w:lastRowFirstColumn="0" w:lastRowLastColumn="0"/>
            <w:tcW w:w="2977" w:type="dxa"/>
            <w:vAlign w:val="center"/>
          </w:tcPr>
          <w:p w14:paraId="484D5645" w14:textId="77777777" w:rsidR="00521321" w:rsidRPr="00136A4C" w:rsidRDefault="00521321" w:rsidP="00E26D3C">
            <w:pPr>
              <w:pStyle w:val="Tablesmalltext"/>
              <w:jc w:val="left"/>
              <w:rPr>
                <w:rFonts w:asciiTheme="minorHAnsi" w:hAnsiTheme="minorHAnsi" w:cstheme="minorHAnsi"/>
                <w:sz w:val="18"/>
                <w:szCs w:val="18"/>
              </w:rPr>
            </w:pPr>
            <w:r w:rsidRPr="00136A4C">
              <w:rPr>
                <w:rFonts w:asciiTheme="minorHAnsi" w:hAnsiTheme="minorHAnsi" w:cstheme="minorHAnsi"/>
                <w:sz w:val="18"/>
                <w:szCs w:val="18"/>
              </w:rPr>
              <w:t xml:space="preserve">Contribute to long-duration freshes in winter/spring: to inundate vegetation on benches and the lower banks to facilitate recruitment, sustain growth, and encourage flowering, seed development and distribution. </w:t>
            </w:r>
          </w:p>
          <w:p w14:paraId="59F365EA" w14:textId="77777777" w:rsidR="00521321" w:rsidRPr="00136A4C" w:rsidRDefault="00521321" w:rsidP="00E26D3C">
            <w:pPr>
              <w:pStyle w:val="Tablesmalltext"/>
              <w:jc w:val="left"/>
              <w:rPr>
                <w:rFonts w:asciiTheme="minorHAnsi" w:hAnsiTheme="minorHAnsi" w:cstheme="minorHAnsi"/>
                <w:color w:val="000000" w:themeColor="text1"/>
                <w:sz w:val="18"/>
                <w:szCs w:val="18"/>
              </w:rPr>
            </w:pPr>
            <w:r w:rsidRPr="00136A4C">
              <w:rPr>
                <w:rFonts w:asciiTheme="minorHAnsi" w:hAnsiTheme="minorHAnsi" w:cstheme="minorHAnsi"/>
                <w:color w:val="000000" w:themeColor="text1"/>
                <w:sz w:val="18"/>
                <w:szCs w:val="18"/>
              </w:rPr>
              <w:t>Stimulate golden perch spawning if also delivered in Nov-Dec.</w:t>
            </w:r>
          </w:p>
        </w:tc>
        <w:tc>
          <w:tcPr>
            <w:tcW w:w="4678" w:type="dxa"/>
            <w:vAlign w:val="center"/>
          </w:tcPr>
          <w:p w14:paraId="69999B78" w14:textId="04F4E882" w:rsidR="00521321" w:rsidRPr="00136A4C" w:rsidRDefault="00521321" w:rsidP="00E26D3C">
            <w:pPr>
              <w:pStyle w:val="Tablesmallt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36A4C">
              <w:rPr>
                <w:rFonts w:asciiTheme="minorHAnsi" w:hAnsiTheme="minorHAnsi" w:cstheme="minorHAnsi"/>
                <w:sz w:val="18"/>
                <w:szCs w:val="18"/>
              </w:rPr>
              <w:t>High unregulated flows from tributaries downstream of lake Eildon provided several winter freshes with a peak flow of 12,</w:t>
            </w:r>
            <w:r w:rsidR="000A0587">
              <w:rPr>
                <w:rFonts w:asciiTheme="minorHAnsi" w:hAnsiTheme="minorHAnsi" w:cstheme="minorHAnsi"/>
                <w:sz w:val="18"/>
                <w:szCs w:val="18"/>
              </w:rPr>
              <w:t>618</w:t>
            </w:r>
            <w:r w:rsidRPr="00136A4C">
              <w:rPr>
                <w:rFonts w:asciiTheme="minorHAnsi" w:hAnsiTheme="minorHAnsi" w:cstheme="minorHAnsi"/>
                <w:sz w:val="18"/>
                <w:szCs w:val="18"/>
              </w:rPr>
              <w:t xml:space="preserve"> ML/day in late August. Environmental water was used to slow the recession of the August event to meet the recommendations of bank inundation time for the winter fresh. </w:t>
            </w:r>
          </w:p>
          <w:p w14:paraId="44EE4627" w14:textId="4D665654" w:rsidR="00521321" w:rsidRPr="00136A4C" w:rsidRDefault="00521321" w:rsidP="00E26D3C">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36A4C">
              <w:rPr>
                <w:rFonts w:cstheme="minorHAnsi"/>
                <w:sz w:val="18"/>
                <w:szCs w:val="18"/>
              </w:rPr>
              <w:t>A spring fresh was delivered in September and October. Due to</w:t>
            </w:r>
            <w:r w:rsidRPr="00136A4C" w:rsidDel="00E90707">
              <w:rPr>
                <w:rFonts w:cstheme="minorHAnsi"/>
                <w:sz w:val="18"/>
                <w:szCs w:val="18"/>
              </w:rPr>
              <w:t xml:space="preserve"> </w:t>
            </w:r>
            <w:r w:rsidRPr="00136A4C">
              <w:rPr>
                <w:rFonts w:cstheme="minorHAnsi"/>
                <w:sz w:val="18"/>
                <w:szCs w:val="18"/>
              </w:rPr>
              <w:t>wet conditions a natural flow event occurred during delivery of this fresh with an unregulated spill at Goulburn Weir, combined with tributary flow in the lower Goulburn leading to a higher natural peak of approximately 10,</w:t>
            </w:r>
            <w:r w:rsidR="000A0587">
              <w:rPr>
                <w:rFonts w:cstheme="minorHAnsi"/>
                <w:sz w:val="18"/>
                <w:szCs w:val="18"/>
              </w:rPr>
              <w:t>7</w:t>
            </w:r>
            <w:r w:rsidRPr="00136A4C">
              <w:rPr>
                <w:rFonts w:cstheme="minorHAnsi"/>
                <w:sz w:val="18"/>
                <w:szCs w:val="18"/>
              </w:rPr>
              <w:t>00 ML/day at Shepparton, which attenuated to 9,</w:t>
            </w:r>
            <w:r w:rsidR="000A0587">
              <w:rPr>
                <w:rFonts w:cstheme="minorHAnsi"/>
                <w:sz w:val="18"/>
                <w:szCs w:val="18"/>
              </w:rPr>
              <w:t>768</w:t>
            </w:r>
            <w:r w:rsidRPr="00136A4C">
              <w:rPr>
                <w:rFonts w:cstheme="minorHAnsi"/>
                <w:sz w:val="18"/>
                <w:szCs w:val="18"/>
              </w:rPr>
              <w:t xml:space="preserve"> ML/day at McCoy’s Bridge.  </w:t>
            </w:r>
          </w:p>
          <w:p w14:paraId="04060DCE" w14:textId="4685121D" w:rsidR="00521321" w:rsidRPr="00136A4C" w:rsidRDefault="00521321" w:rsidP="00E26D3C">
            <w:pPr>
              <w:pStyle w:val="Tablesmallt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36A4C">
              <w:rPr>
                <w:rFonts w:asciiTheme="minorHAnsi" w:eastAsia="Times New Roman" w:hAnsiTheme="minorHAnsi" w:cstheme="minorHAnsi"/>
                <w:sz w:val="18"/>
                <w:szCs w:val="18"/>
                <w:lang w:val="en-GB" w:eastAsia="en-AU"/>
              </w:rPr>
              <w:t xml:space="preserve">At both locations (McCoy’s and Murchison) there were </w:t>
            </w:r>
            <w:r w:rsidR="000A0587">
              <w:rPr>
                <w:rFonts w:asciiTheme="minorHAnsi" w:eastAsia="Times New Roman" w:hAnsiTheme="minorHAnsi" w:cstheme="minorHAnsi"/>
                <w:sz w:val="18"/>
                <w:szCs w:val="18"/>
                <w:lang w:val="en-GB" w:eastAsia="en-AU"/>
              </w:rPr>
              <w:t>7</w:t>
            </w:r>
            <w:r w:rsidRPr="00136A4C">
              <w:rPr>
                <w:rFonts w:asciiTheme="minorHAnsi" w:eastAsia="Times New Roman" w:hAnsiTheme="minorHAnsi" w:cstheme="minorHAnsi"/>
                <w:sz w:val="18"/>
                <w:szCs w:val="18"/>
                <w:lang w:val="en-GB" w:eastAsia="en-AU"/>
              </w:rPr>
              <w:t xml:space="preserve"> days over 6,</w:t>
            </w:r>
            <w:r w:rsidR="000A0587">
              <w:rPr>
                <w:rFonts w:asciiTheme="minorHAnsi" w:eastAsia="Times New Roman" w:hAnsiTheme="minorHAnsi" w:cstheme="minorHAnsi"/>
                <w:sz w:val="18"/>
                <w:szCs w:val="18"/>
                <w:lang w:val="en-GB" w:eastAsia="en-AU"/>
              </w:rPr>
              <w:t>000</w:t>
            </w:r>
            <w:r w:rsidRPr="00136A4C">
              <w:rPr>
                <w:rFonts w:asciiTheme="minorHAnsi" w:eastAsia="Times New Roman" w:hAnsiTheme="minorHAnsi" w:cstheme="minorHAnsi"/>
                <w:sz w:val="18"/>
                <w:szCs w:val="18"/>
                <w:lang w:val="en-GB" w:eastAsia="en-AU"/>
              </w:rPr>
              <w:t xml:space="preserve"> ML/day.</w:t>
            </w:r>
          </w:p>
        </w:tc>
      </w:tr>
      <w:tr w:rsidR="00521321" w:rsidRPr="00136A4C" w14:paraId="1160990E" w14:textId="77777777" w:rsidTr="008A5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8" w:type="dxa"/>
            <w:vAlign w:val="center"/>
          </w:tcPr>
          <w:p w14:paraId="42ECA503" w14:textId="77777777" w:rsidR="00521321" w:rsidRPr="00136A4C" w:rsidRDefault="00521321" w:rsidP="00E26D3C">
            <w:pPr>
              <w:pStyle w:val="Tablesmalltext"/>
              <w:jc w:val="left"/>
              <w:rPr>
                <w:rFonts w:asciiTheme="minorHAnsi" w:hAnsiTheme="minorHAnsi" w:cstheme="minorHAnsi"/>
                <w:sz w:val="18"/>
                <w:szCs w:val="18"/>
              </w:rPr>
            </w:pPr>
            <w:r w:rsidRPr="00136A4C">
              <w:rPr>
                <w:rFonts w:asciiTheme="minorHAnsi" w:hAnsiTheme="minorHAnsi" w:cstheme="minorHAnsi"/>
                <w:sz w:val="18"/>
                <w:szCs w:val="18"/>
              </w:rPr>
              <w:t>Higher Baseflow (April-Jun) 830/940 ML/day at Murchison / McCoy’s</w:t>
            </w:r>
          </w:p>
        </w:tc>
        <w:tc>
          <w:tcPr>
            <w:cnfStyle w:val="000010000000" w:firstRow="0" w:lastRow="0" w:firstColumn="0" w:lastColumn="0" w:oddVBand="1" w:evenVBand="0" w:oddHBand="0" w:evenHBand="0" w:firstRowFirstColumn="0" w:firstRowLastColumn="0" w:lastRowFirstColumn="0" w:lastRowLastColumn="0"/>
            <w:tcW w:w="2977" w:type="dxa"/>
            <w:vAlign w:val="center"/>
          </w:tcPr>
          <w:p w14:paraId="0B834A85" w14:textId="77777777" w:rsidR="00521321" w:rsidRPr="00136A4C" w:rsidRDefault="00521321" w:rsidP="00E26D3C">
            <w:pPr>
              <w:pStyle w:val="Tablesmalltext"/>
              <w:jc w:val="left"/>
              <w:rPr>
                <w:rFonts w:asciiTheme="minorHAnsi" w:hAnsiTheme="minorHAnsi" w:cstheme="minorHAnsi"/>
                <w:sz w:val="18"/>
                <w:szCs w:val="18"/>
              </w:rPr>
            </w:pPr>
            <w:r w:rsidRPr="00136A4C">
              <w:rPr>
                <w:rFonts w:asciiTheme="minorHAnsi" w:hAnsiTheme="minorHAnsi" w:cstheme="minorHAnsi"/>
                <w:sz w:val="18"/>
                <w:szCs w:val="18"/>
              </w:rPr>
              <w:t>Contribute to higher baseflows: to maintain water quality and provide suitable habitat and food resources for native fish and macroinvertebrate and to water bank vegetation higher on the bank.</w:t>
            </w:r>
          </w:p>
        </w:tc>
        <w:tc>
          <w:tcPr>
            <w:tcW w:w="4678" w:type="dxa"/>
            <w:vAlign w:val="center"/>
          </w:tcPr>
          <w:p w14:paraId="46CE8F68" w14:textId="77777777" w:rsidR="00521321" w:rsidRPr="00136A4C" w:rsidRDefault="00521321"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36A4C">
              <w:rPr>
                <w:rFonts w:asciiTheme="minorHAnsi" w:hAnsiTheme="minorHAnsi" w:cstheme="minorHAnsi"/>
                <w:sz w:val="18"/>
                <w:szCs w:val="18"/>
              </w:rPr>
              <w:t xml:space="preserve">Due to the planned delivery of a native fish spawning event in November, environmental water delivery was intentionally used to inundate the lower bank to delay vegetation germination until after the fresh. </w:t>
            </w:r>
          </w:p>
          <w:p w14:paraId="7D60605E" w14:textId="77777777" w:rsidR="00521321" w:rsidRPr="00136A4C" w:rsidRDefault="00521321"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36A4C">
              <w:rPr>
                <w:rFonts w:asciiTheme="minorHAnsi" w:hAnsiTheme="minorHAnsi" w:cstheme="minorHAnsi"/>
                <w:sz w:val="18"/>
                <w:szCs w:val="18"/>
              </w:rPr>
              <w:t xml:space="preserve">Unregulated water or delivery of freshes led to flows exceeding 1,100 ML/day until the </w:t>
            </w:r>
            <w:proofErr w:type="gramStart"/>
            <w:r w:rsidRPr="00136A4C">
              <w:rPr>
                <w:rFonts w:asciiTheme="minorHAnsi" w:hAnsiTheme="minorHAnsi" w:cstheme="minorHAnsi"/>
                <w:sz w:val="18"/>
                <w:szCs w:val="18"/>
              </w:rPr>
              <w:t>6</w:t>
            </w:r>
            <w:r w:rsidRPr="00136A4C">
              <w:rPr>
                <w:rFonts w:asciiTheme="minorHAnsi" w:hAnsiTheme="minorHAnsi" w:cstheme="minorHAnsi"/>
                <w:sz w:val="18"/>
                <w:szCs w:val="18"/>
                <w:vertAlign w:val="superscript"/>
              </w:rPr>
              <w:t>th</w:t>
            </w:r>
            <w:proofErr w:type="gramEnd"/>
            <w:r w:rsidRPr="00136A4C">
              <w:rPr>
                <w:rFonts w:asciiTheme="minorHAnsi" w:hAnsiTheme="minorHAnsi" w:cstheme="minorHAnsi"/>
                <w:sz w:val="18"/>
                <w:szCs w:val="18"/>
              </w:rPr>
              <w:t xml:space="preserve"> December. Flows dropped below 1,000 ML/day for one week and then delivery of IVTs led to flows exceeding baseflow recommendation for the remainder of summer.</w:t>
            </w:r>
          </w:p>
          <w:p w14:paraId="755E034F" w14:textId="77777777" w:rsidR="00521321" w:rsidRPr="00136A4C" w:rsidRDefault="00521321"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36A4C">
              <w:rPr>
                <w:rFonts w:asciiTheme="minorHAnsi" w:hAnsiTheme="minorHAnsi" w:cstheme="minorHAnsi"/>
                <w:sz w:val="18"/>
                <w:szCs w:val="18"/>
              </w:rPr>
              <w:t>Interim operating arrangements introduced by the Victorian Water Minister limited IVT delivery volumes to around 40 GL/month over the 2020-21 summer and Autumn period.</w:t>
            </w:r>
          </w:p>
          <w:p w14:paraId="32B1F5FF" w14:textId="77777777" w:rsidR="00521321" w:rsidRPr="00136A4C" w:rsidRDefault="00521321"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val="en-GB" w:eastAsia="en-AU"/>
              </w:rPr>
            </w:pPr>
            <w:proofErr w:type="gramStart"/>
            <w:r w:rsidRPr="00136A4C">
              <w:rPr>
                <w:rFonts w:asciiTheme="minorHAnsi" w:hAnsiTheme="minorHAnsi" w:cstheme="minorHAnsi"/>
                <w:sz w:val="18"/>
                <w:szCs w:val="18"/>
              </w:rPr>
              <w:t>In an attempt to</w:t>
            </w:r>
            <w:proofErr w:type="gramEnd"/>
            <w:r w:rsidRPr="00136A4C">
              <w:rPr>
                <w:rFonts w:asciiTheme="minorHAnsi" w:hAnsiTheme="minorHAnsi" w:cstheme="minorHAnsi"/>
                <w:sz w:val="18"/>
                <w:szCs w:val="18"/>
              </w:rPr>
              <w:t xml:space="preserve"> minimise the risk of ecological damage from prolonged high summer/autumn flows, the GBCMA advised the IVT delivery pattern to vary between 1,000-1,500 ML/day to avoid notching and provide an average flow of approximately 1,300 ML/day.  </w:t>
            </w:r>
          </w:p>
          <w:p w14:paraId="7036FAB2" w14:textId="77777777" w:rsidR="00521321" w:rsidRPr="00136A4C" w:rsidRDefault="00521321"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val="en-GB" w:eastAsia="en-AU"/>
              </w:rPr>
            </w:pPr>
            <w:r w:rsidRPr="00136A4C">
              <w:rPr>
                <w:rFonts w:asciiTheme="minorHAnsi" w:eastAsia="Times New Roman" w:hAnsiTheme="minorHAnsi" w:cstheme="minorHAnsi"/>
                <w:sz w:val="18"/>
                <w:szCs w:val="18"/>
                <w:lang w:val="en-GB" w:eastAsia="en-AU"/>
              </w:rPr>
              <w:t>This pattern of IVT delivery was met between December and April and only varied to provide a couple of short pulses up to 2,000 ML/day to reduce the risk of blackwater during summer rainfall events. This also allowed flows to drop below 1000ML/day briefly to allow monitoring to occur.</w:t>
            </w:r>
          </w:p>
          <w:p w14:paraId="083C6E50" w14:textId="77777777" w:rsidR="00521321" w:rsidRPr="00136A4C" w:rsidRDefault="00521321"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36A4C">
              <w:rPr>
                <w:rFonts w:asciiTheme="minorHAnsi" w:eastAsia="Times New Roman" w:hAnsiTheme="minorHAnsi" w:cstheme="minorHAnsi"/>
                <w:sz w:val="18"/>
                <w:szCs w:val="18"/>
                <w:lang w:val="en-GB" w:eastAsia="en-AU"/>
              </w:rPr>
              <w:t>Following the Autumn fresh, environmental water and IVT was delivered to meet the higher baseflow recommendation of 830 ML/day at Murchison. Flow from the lower Goulburn tributaries led to higher flow at McCoy’s bridge.</w:t>
            </w:r>
          </w:p>
        </w:tc>
      </w:tr>
      <w:tr w:rsidR="00521321" w:rsidRPr="00136A4C" w14:paraId="10665CF2" w14:textId="77777777" w:rsidTr="008A5A94">
        <w:trPr>
          <w:jc w:val="center"/>
        </w:trPr>
        <w:tc>
          <w:tcPr>
            <w:cnfStyle w:val="001000000000" w:firstRow="0" w:lastRow="0" w:firstColumn="1" w:lastColumn="0" w:oddVBand="0" w:evenVBand="0" w:oddHBand="0" w:evenHBand="0" w:firstRowFirstColumn="0" w:firstRowLastColumn="0" w:lastRowFirstColumn="0" w:lastRowLastColumn="0"/>
            <w:tcW w:w="2258" w:type="dxa"/>
            <w:vAlign w:val="center"/>
          </w:tcPr>
          <w:p w14:paraId="3E180FAA" w14:textId="77777777" w:rsidR="00E87521" w:rsidRPr="001F0491" w:rsidRDefault="00521321" w:rsidP="00E87521">
            <w:pPr>
              <w:rPr>
                <w:rFonts w:asciiTheme="minorHAnsi" w:hAnsiTheme="minorHAnsi"/>
                <w:sz w:val="18"/>
                <w:szCs w:val="18"/>
              </w:rPr>
            </w:pPr>
            <w:r w:rsidRPr="00136A4C">
              <w:rPr>
                <w:rFonts w:asciiTheme="minorHAnsi" w:hAnsiTheme="minorHAnsi" w:cstheme="minorHAnsi"/>
                <w:sz w:val="18"/>
                <w:szCs w:val="18"/>
              </w:rPr>
              <w:t>Following natural flows</w:t>
            </w:r>
            <w:r w:rsidR="00E87521">
              <w:rPr>
                <w:rFonts w:asciiTheme="minorHAnsi" w:hAnsiTheme="minorHAnsi" w:cstheme="minorHAnsi"/>
                <w:sz w:val="18"/>
                <w:szCs w:val="18"/>
              </w:rPr>
              <w:t xml:space="preserve"> </w:t>
            </w:r>
            <w:r w:rsidR="00E87521" w:rsidRPr="001F0491">
              <w:rPr>
                <w:rFonts w:asciiTheme="minorHAnsi" w:hAnsiTheme="minorHAnsi"/>
                <w:sz w:val="18"/>
                <w:szCs w:val="18"/>
              </w:rPr>
              <w:t>(all year)</w:t>
            </w:r>
          </w:p>
          <w:p w14:paraId="41DC6515" w14:textId="3C1DAEFF" w:rsidR="00521321" w:rsidRPr="00136A4C" w:rsidRDefault="00E87521" w:rsidP="00E87521">
            <w:pPr>
              <w:pStyle w:val="Tablesmalltext"/>
              <w:jc w:val="left"/>
              <w:rPr>
                <w:rFonts w:asciiTheme="minorHAnsi" w:hAnsiTheme="minorHAnsi" w:cstheme="minorHAnsi"/>
                <w:sz w:val="18"/>
                <w:szCs w:val="18"/>
              </w:rPr>
            </w:pPr>
            <w:r w:rsidRPr="001F0491">
              <w:rPr>
                <w:rFonts w:asciiTheme="minorHAnsi" w:hAnsiTheme="minorHAnsi"/>
                <w:sz w:val="18"/>
                <w:szCs w:val="18"/>
              </w:rPr>
              <w:t xml:space="preserve">Provide water for a slower recession or add pulses </w:t>
            </w:r>
            <w:r w:rsidRPr="001F0491">
              <w:rPr>
                <w:rFonts w:asciiTheme="minorHAnsi" w:hAnsiTheme="minorHAnsi"/>
                <w:sz w:val="18"/>
                <w:szCs w:val="18"/>
              </w:rPr>
              <w:lastRenderedPageBreak/>
              <w:t>following natural cues/unregulated flows.</w:t>
            </w:r>
          </w:p>
        </w:tc>
        <w:tc>
          <w:tcPr>
            <w:cnfStyle w:val="000010000000" w:firstRow="0" w:lastRow="0" w:firstColumn="0" w:lastColumn="0" w:oddVBand="1" w:evenVBand="0" w:oddHBand="0" w:evenHBand="0" w:firstRowFirstColumn="0" w:firstRowLastColumn="0" w:lastRowFirstColumn="0" w:lastRowLastColumn="0"/>
            <w:tcW w:w="2977" w:type="dxa"/>
            <w:vAlign w:val="center"/>
          </w:tcPr>
          <w:p w14:paraId="3F1EBCE8" w14:textId="77777777" w:rsidR="00521321" w:rsidRPr="00136A4C" w:rsidRDefault="00521321" w:rsidP="00E26D3C">
            <w:pPr>
              <w:pStyle w:val="Tablesmalltext"/>
              <w:jc w:val="left"/>
              <w:rPr>
                <w:rFonts w:asciiTheme="minorHAnsi" w:hAnsiTheme="minorHAnsi" w:cstheme="minorHAnsi"/>
                <w:sz w:val="18"/>
                <w:szCs w:val="18"/>
              </w:rPr>
            </w:pPr>
            <w:r w:rsidRPr="00136A4C">
              <w:rPr>
                <w:rFonts w:asciiTheme="minorHAnsi" w:hAnsiTheme="minorHAnsi" w:cstheme="minorHAnsi"/>
                <w:sz w:val="18"/>
                <w:szCs w:val="18"/>
              </w:rPr>
              <w:lastRenderedPageBreak/>
              <w:t xml:space="preserve">Provide water for a slower recession or add pulses following natural cues/unregulated flows to minimise </w:t>
            </w:r>
            <w:r w:rsidRPr="00136A4C">
              <w:rPr>
                <w:rFonts w:asciiTheme="minorHAnsi" w:hAnsiTheme="minorHAnsi" w:cstheme="minorHAnsi"/>
                <w:sz w:val="18"/>
                <w:szCs w:val="18"/>
              </w:rPr>
              <w:lastRenderedPageBreak/>
              <w:t>the risk of bank erosion and hypoxic blackwater.</w:t>
            </w:r>
          </w:p>
        </w:tc>
        <w:tc>
          <w:tcPr>
            <w:tcW w:w="4678" w:type="dxa"/>
            <w:vAlign w:val="center"/>
          </w:tcPr>
          <w:p w14:paraId="1941E7CD" w14:textId="77777777" w:rsidR="00521321" w:rsidRPr="00136A4C" w:rsidRDefault="00521321" w:rsidP="00E26D3C">
            <w:pPr>
              <w:pStyle w:val="Tablesmallt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val="en-GB" w:eastAsia="en-AU"/>
              </w:rPr>
            </w:pPr>
            <w:r w:rsidRPr="00136A4C">
              <w:rPr>
                <w:rFonts w:asciiTheme="minorHAnsi" w:eastAsia="Times New Roman" w:hAnsiTheme="minorHAnsi" w:cstheme="minorHAnsi"/>
                <w:sz w:val="18"/>
                <w:szCs w:val="18"/>
                <w:lang w:val="en-GB" w:eastAsia="en-AU"/>
              </w:rPr>
              <w:lastRenderedPageBreak/>
              <w:t xml:space="preserve">Environmental water was used to slow the recession of a natural event in August to meet the recommendations of bank inundation time for the winter fresh. Most of the water came from tributary flows in the Mid Goulburn. This </w:t>
            </w:r>
            <w:r w:rsidRPr="00136A4C">
              <w:rPr>
                <w:rFonts w:asciiTheme="minorHAnsi" w:eastAsia="Times New Roman" w:hAnsiTheme="minorHAnsi" w:cstheme="minorHAnsi"/>
                <w:sz w:val="18"/>
                <w:szCs w:val="18"/>
                <w:lang w:val="en-GB" w:eastAsia="en-AU"/>
              </w:rPr>
              <w:lastRenderedPageBreak/>
              <w:t xml:space="preserve">delivered sediment and seeds as well as delaying germination of vegetation on the lower banks so that it would not be affected by subsequent spring </w:t>
            </w:r>
            <w:proofErr w:type="spellStart"/>
            <w:r w:rsidRPr="00136A4C">
              <w:rPr>
                <w:rFonts w:asciiTheme="minorHAnsi" w:eastAsia="Times New Roman" w:hAnsiTheme="minorHAnsi" w:cstheme="minorHAnsi"/>
                <w:sz w:val="18"/>
                <w:szCs w:val="18"/>
                <w:lang w:val="en-GB" w:eastAsia="en-AU"/>
              </w:rPr>
              <w:t>freshes</w:t>
            </w:r>
            <w:proofErr w:type="spellEnd"/>
            <w:r w:rsidRPr="00136A4C">
              <w:rPr>
                <w:rFonts w:asciiTheme="minorHAnsi" w:eastAsia="Times New Roman" w:hAnsiTheme="minorHAnsi" w:cstheme="minorHAnsi"/>
                <w:sz w:val="18"/>
                <w:szCs w:val="18"/>
                <w:lang w:val="en-GB" w:eastAsia="en-AU"/>
              </w:rPr>
              <w:t>.</w:t>
            </w:r>
          </w:p>
        </w:tc>
      </w:tr>
      <w:tr w:rsidR="00521321" w:rsidRPr="00136A4C" w14:paraId="5C474B13" w14:textId="77777777" w:rsidTr="008A5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8" w:type="dxa"/>
            <w:vAlign w:val="center"/>
          </w:tcPr>
          <w:p w14:paraId="7AD8D7B2" w14:textId="77777777" w:rsidR="00E87521" w:rsidRDefault="00521321" w:rsidP="00E26D3C">
            <w:pPr>
              <w:pStyle w:val="Tablesmalltext"/>
              <w:jc w:val="left"/>
              <w:rPr>
                <w:rFonts w:asciiTheme="minorHAnsi" w:hAnsiTheme="minorHAnsi" w:cstheme="minorHAnsi"/>
                <w:b w:val="0"/>
                <w:bCs w:val="0"/>
                <w:sz w:val="18"/>
                <w:szCs w:val="18"/>
              </w:rPr>
            </w:pPr>
            <w:r w:rsidRPr="00136A4C">
              <w:rPr>
                <w:rFonts w:asciiTheme="minorHAnsi" w:hAnsiTheme="minorHAnsi" w:cstheme="minorHAnsi"/>
                <w:sz w:val="18"/>
                <w:szCs w:val="18"/>
              </w:rPr>
              <w:lastRenderedPageBreak/>
              <w:t xml:space="preserve">Spring/summer low flow </w:t>
            </w:r>
            <w:r w:rsidR="00E87521">
              <w:rPr>
                <w:rFonts w:asciiTheme="minorHAnsi" w:hAnsiTheme="minorHAnsi" w:cstheme="minorHAnsi"/>
                <w:sz w:val="18"/>
                <w:szCs w:val="18"/>
              </w:rPr>
              <w:t>(</w:t>
            </w:r>
            <w:r w:rsidRPr="00136A4C">
              <w:rPr>
                <w:rFonts w:asciiTheme="minorHAnsi" w:hAnsiTheme="minorHAnsi" w:cstheme="minorHAnsi"/>
                <w:sz w:val="18"/>
                <w:szCs w:val="18"/>
              </w:rPr>
              <w:t>after a spring fresh</w:t>
            </w:r>
            <w:r w:rsidR="00E87521">
              <w:rPr>
                <w:rFonts w:asciiTheme="minorHAnsi" w:hAnsiTheme="minorHAnsi" w:cstheme="minorHAnsi"/>
                <w:sz w:val="18"/>
                <w:szCs w:val="18"/>
              </w:rPr>
              <w:t>)</w:t>
            </w:r>
          </w:p>
          <w:p w14:paraId="2013D07D" w14:textId="3B67F13B" w:rsidR="00521321" w:rsidRPr="00136A4C" w:rsidRDefault="00521321" w:rsidP="00E26D3C">
            <w:pPr>
              <w:pStyle w:val="Tablesmalltext"/>
              <w:jc w:val="left"/>
              <w:rPr>
                <w:rFonts w:asciiTheme="minorHAnsi" w:hAnsiTheme="minorHAnsi" w:cstheme="minorHAnsi"/>
                <w:sz w:val="18"/>
                <w:szCs w:val="18"/>
              </w:rPr>
            </w:pPr>
            <w:r w:rsidRPr="00136A4C">
              <w:rPr>
                <w:rFonts w:asciiTheme="minorHAnsi" w:hAnsiTheme="minorHAnsi" w:cstheme="minorHAnsi"/>
                <w:sz w:val="18"/>
                <w:szCs w:val="18"/>
              </w:rPr>
              <w:t xml:space="preserve">&lt;1000 ML/day for 5–6 weeks. </w:t>
            </w:r>
          </w:p>
        </w:tc>
        <w:tc>
          <w:tcPr>
            <w:cnfStyle w:val="000010000000" w:firstRow="0" w:lastRow="0" w:firstColumn="0" w:lastColumn="0" w:oddVBand="1" w:evenVBand="0" w:oddHBand="0" w:evenHBand="0" w:firstRowFirstColumn="0" w:firstRowLastColumn="0" w:lastRowFirstColumn="0" w:lastRowLastColumn="0"/>
            <w:tcW w:w="2977" w:type="dxa"/>
            <w:vAlign w:val="center"/>
          </w:tcPr>
          <w:p w14:paraId="33320255" w14:textId="77777777" w:rsidR="00521321" w:rsidRPr="00136A4C" w:rsidRDefault="00521321" w:rsidP="00E26D3C">
            <w:pPr>
              <w:pStyle w:val="Tablesmalltext"/>
              <w:jc w:val="left"/>
              <w:rPr>
                <w:rFonts w:asciiTheme="minorHAnsi" w:hAnsiTheme="minorHAnsi" w:cstheme="minorHAnsi"/>
                <w:sz w:val="18"/>
                <w:szCs w:val="18"/>
              </w:rPr>
            </w:pPr>
            <w:r w:rsidRPr="00136A4C">
              <w:rPr>
                <w:rFonts w:asciiTheme="minorHAnsi" w:hAnsiTheme="minorHAnsi" w:cstheme="minorHAnsi"/>
                <w:sz w:val="18"/>
                <w:szCs w:val="18"/>
              </w:rPr>
              <w:t xml:space="preserve">Contribute to flows &lt;1000 ML/day for 5–6 weeks: to allow newly grown plants to establish, provide bank stability, and provide habitat for small-bodied fish and </w:t>
            </w:r>
            <w:proofErr w:type="spellStart"/>
            <w:r w:rsidRPr="00136A4C">
              <w:rPr>
                <w:rFonts w:asciiTheme="minorHAnsi" w:hAnsiTheme="minorHAnsi" w:cstheme="minorHAnsi"/>
                <w:sz w:val="18"/>
                <w:szCs w:val="18"/>
              </w:rPr>
              <w:t>waterbugs</w:t>
            </w:r>
            <w:proofErr w:type="spellEnd"/>
            <w:r w:rsidRPr="00136A4C">
              <w:rPr>
                <w:rFonts w:asciiTheme="minorHAnsi" w:hAnsiTheme="minorHAnsi" w:cstheme="minorHAnsi"/>
                <w:sz w:val="18"/>
                <w:szCs w:val="18"/>
              </w:rPr>
              <w:t>.</w:t>
            </w:r>
          </w:p>
        </w:tc>
        <w:tc>
          <w:tcPr>
            <w:tcW w:w="4678" w:type="dxa"/>
            <w:vAlign w:val="center"/>
          </w:tcPr>
          <w:p w14:paraId="20905631" w14:textId="77777777" w:rsidR="00521321" w:rsidRPr="00136A4C" w:rsidRDefault="00521321"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36A4C">
              <w:rPr>
                <w:rFonts w:asciiTheme="minorHAnsi" w:hAnsiTheme="minorHAnsi" w:cstheme="minorHAnsi"/>
                <w:sz w:val="18"/>
                <w:szCs w:val="18"/>
              </w:rPr>
              <w:t xml:space="preserve">This objective was deliberately not met this year to enable delivery of the late spring fresh for golden perch spawning. Environmental deliveries for the winter recession and early spring fresh were designed to delay germination of vegetation on the lower banks so that it would not be affected by delivery of the late spring freshes for native fish spawning.   </w:t>
            </w:r>
          </w:p>
        </w:tc>
      </w:tr>
      <w:tr w:rsidR="00521321" w:rsidRPr="00136A4C" w14:paraId="3876E385" w14:textId="77777777" w:rsidTr="008A5A94">
        <w:trPr>
          <w:jc w:val="center"/>
        </w:trPr>
        <w:tc>
          <w:tcPr>
            <w:cnfStyle w:val="001000000000" w:firstRow="0" w:lastRow="0" w:firstColumn="1" w:lastColumn="0" w:oddVBand="0" w:evenVBand="0" w:oddHBand="0" w:evenHBand="0" w:firstRowFirstColumn="0" w:firstRowLastColumn="0" w:lastRowFirstColumn="0" w:lastRowLastColumn="0"/>
            <w:tcW w:w="2258" w:type="dxa"/>
            <w:vAlign w:val="center"/>
          </w:tcPr>
          <w:p w14:paraId="5FABB2AE" w14:textId="578A0235" w:rsidR="00E87521" w:rsidRPr="00D6545C" w:rsidRDefault="00E87521" w:rsidP="00E87521">
            <w:pPr>
              <w:rPr>
                <w:rFonts w:asciiTheme="minorHAnsi" w:hAnsiTheme="minorHAnsi"/>
                <w:sz w:val="18"/>
                <w:szCs w:val="18"/>
              </w:rPr>
            </w:pPr>
            <w:r w:rsidRPr="00D6545C">
              <w:rPr>
                <w:rFonts w:asciiTheme="minorHAnsi" w:hAnsiTheme="minorHAnsi"/>
                <w:sz w:val="18"/>
                <w:szCs w:val="18"/>
              </w:rPr>
              <w:t>Spring/summer</w:t>
            </w:r>
            <w:r>
              <w:rPr>
                <w:rFonts w:asciiTheme="minorHAnsi" w:hAnsiTheme="minorHAnsi"/>
                <w:sz w:val="18"/>
                <w:szCs w:val="18"/>
              </w:rPr>
              <w:t xml:space="preserve"> </w:t>
            </w:r>
            <w:r w:rsidRPr="00D6545C">
              <w:rPr>
                <w:rFonts w:asciiTheme="minorHAnsi" w:hAnsiTheme="minorHAnsi"/>
                <w:sz w:val="18"/>
                <w:szCs w:val="18"/>
              </w:rPr>
              <w:t>fresh (Nov/Dec)</w:t>
            </w:r>
          </w:p>
          <w:p w14:paraId="4559A503" w14:textId="77777777" w:rsidR="00E87521" w:rsidRDefault="00E87521" w:rsidP="00E87521">
            <w:pPr>
              <w:pStyle w:val="Tablesmalltext"/>
              <w:jc w:val="left"/>
              <w:rPr>
                <w:rFonts w:asciiTheme="minorHAnsi" w:hAnsiTheme="minorHAnsi"/>
                <w:b w:val="0"/>
                <w:bCs w:val="0"/>
                <w:sz w:val="18"/>
                <w:szCs w:val="18"/>
              </w:rPr>
            </w:pPr>
            <w:r w:rsidRPr="00D6545C">
              <w:rPr>
                <w:rFonts w:asciiTheme="minorHAnsi" w:hAnsiTheme="minorHAnsi"/>
                <w:sz w:val="18"/>
                <w:szCs w:val="18"/>
              </w:rPr>
              <w:t xml:space="preserve">When possible, &gt;6 600 for 1 day </w:t>
            </w:r>
          </w:p>
          <w:p w14:paraId="3617F75D" w14:textId="79657C2C" w:rsidR="00E87521" w:rsidRPr="00136A4C" w:rsidDel="00D41047" w:rsidRDefault="00E87521" w:rsidP="00E87521">
            <w:pPr>
              <w:pStyle w:val="Tablesmalltext"/>
              <w:jc w:val="left"/>
              <w:rPr>
                <w:rFonts w:asciiTheme="minorHAnsi" w:hAnsiTheme="minorHAnsi" w:cstheme="minorHAnsi"/>
                <w:sz w:val="18"/>
                <w:szCs w:val="18"/>
              </w:rPr>
            </w:pPr>
            <w:r w:rsidRPr="00D6545C">
              <w:rPr>
                <w:rFonts w:asciiTheme="minorHAnsi" w:hAnsiTheme="minorHAnsi"/>
                <w:sz w:val="18"/>
                <w:szCs w:val="18"/>
              </w:rPr>
              <w:t>This will not be delivered if the spring/summer 5-6 weeks low flow for vegetation has not been achieved.</w:t>
            </w:r>
          </w:p>
        </w:tc>
        <w:tc>
          <w:tcPr>
            <w:cnfStyle w:val="000010000000" w:firstRow="0" w:lastRow="0" w:firstColumn="0" w:lastColumn="0" w:oddVBand="1" w:evenVBand="0" w:oddHBand="0" w:evenHBand="0" w:firstRowFirstColumn="0" w:firstRowLastColumn="0" w:lastRowFirstColumn="0" w:lastRowLastColumn="0"/>
            <w:tcW w:w="2977" w:type="dxa"/>
            <w:vAlign w:val="center"/>
          </w:tcPr>
          <w:p w14:paraId="50796DFF" w14:textId="77777777" w:rsidR="00521321" w:rsidRPr="00136A4C" w:rsidDel="00CF5B0A" w:rsidRDefault="00521321" w:rsidP="00E26D3C">
            <w:pPr>
              <w:pStyle w:val="Tablesmalltext"/>
              <w:spacing w:after="120"/>
              <w:jc w:val="left"/>
              <w:rPr>
                <w:rFonts w:asciiTheme="minorHAnsi" w:hAnsiTheme="minorHAnsi" w:cstheme="minorHAnsi"/>
                <w:sz w:val="18"/>
                <w:szCs w:val="18"/>
              </w:rPr>
            </w:pPr>
            <w:r w:rsidRPr="00136A4C">
              <w:rPr>
                <w:rFonts w:asciiTheme="minorHAnsi" w:hAnsiTheme="minorHAnsi" w:cstheme="minorHAnsi"/>
                <w:sz w:val="18"/>
                <w:szCs w:val="18"/>
              </w:rPr>
              <w:t xml:space="preserve">Stimulate the spawning of golden and silver perch between October and December. </w:t>
            </w:r>
          </w:p>
        </w:tc>
        <w:tc>
          <w:tcPr>
            <w:tcW w:w="4678" w:type="dxa"/>
            <w:vAlign w:val="center"/>
          </w:tcPr>
          <w:p w14:paraId="5D7DA6DA" w14:textId="77777777" w:rsidR="00521321" w:rsidRPr="00136A4C" w:rsidDel="0029051C" w:rsidRDefault="00521321" w:rsidP="00E26D3C">
            <w:pPr>
              <w:pStyle w:val="Tablesmallt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36A4C">
              <w:rPr>
                <w:rFonts w:asciiTheme="minorHAnsi" w:eastAsia="Times New Roman" w:hAnsiTheme="minorHAnsi" w:cstheme="minorHAnsi"/>
                <w:sz w:val="18"/>
                <w:szCs w:val="18"/>
                <w:lang w:val="en-GB" w:eastAsia="en-AU"/>
              </w:rPr>
              <w:t xml:space="preserve">In November, a fresh was delivered to stimulate golden perch spawning. Due to Covid lockdown being removed and a request from the Victorian Fishing Authority to provide better fishing conditions for Melbourne residents, the fresh was delayed and shortened by two days to ensure it finished by Cod opening on 1 December. Part of the spawning fresh was delivered using IVT and at the end of this fresh, IVT delivery began to deliver baseflows in the lower Goulburn River.  </w:t>
            </w:r>
          </w:p>
        </w:tc>
      </w:tr>
      <w:tr w:rsidR="00521321" w:rsidRPr="00136A4C" w14:paraId="095E4AB4" w14:textId="77777777" w:rsidTr="008A5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8" w:type="dxa"/>
            <w:vAlign w:val="center"/>
          </w:tcPr>
          <w:p w14:paraId="754C427B" w14:textId="0A4B7171" w:rsidR="00E87521" w:rsidRDefault="00521321" w:rsidP="00E26D3C">
            <w:pPr>
              <w:pStyle w:val="Tablesmalltext"/>
              <w:jc w:val="left"/>
              <w:rPr>
                <w:rFonts w:asciiTheme="minorHAnsi" w:hAnsiTheme="minorHAnsi" w:cstheme="minorHAnsi"/>
                <w:b w:val="0"/>
                <w:bCs w:val="0"/>
                <w:sz w:val="18"/>
                <w:szCs w:val="18"/>
              </w:rPr>
            </w:pPr>
            <w:r w:rsidRPr="00136A4C">
              <w:rPr>
                <w:rFonts w:asciiTheme="minorHAnsi" w:hAnsiTheme="minorHAnsi" w:cstheme="minorHAnsi"/>
                <w:sz w:val="18"/>
                <w:szCs w:val="18"/>
              </w:rPr>
              <w:t>Autumn fresh (Mar to April)</w:t>
            </w:r>
          </w:p>
          <w:p w14:paraId="4403357D" w14:textId="398D9B5D" w:rsidR="00521321" w:rsidRPr="00DC6EDC" w:rsidRDefault="00E87521" w:rsidP="00E26D3C">
            <w:pPr>
              <w:pStyle w:val="Tablesmalltext"/>
              <w:jc w:val="left"/>
              <w:rPr>
                <w:rFonts w:asciiTheme="minorHAnsi" w:hAnsiTheme="minorHAnsi" w:cstheme="minorHAnsi"/>
                <w:sz w:val="18"/>
                <w:szCs w:val="18"/>
              </w:rPr>
            </w:pPr>
            <w:r w:rsidRPr="005C158C">
              <w:rPr>
                <w:rFonts w:asciiTheme="minorHAnsi" w:hAnsiTheme="minorHAnsi"/>
                <w:sz w:val="18"/>
                <w:szCs w:val="18"/>
              </w:rPr>
              <w:t xml:space="preserve">When possible </w:t>
            </w:r>
            <w:bookmarkStart w:id="72" w:name="_Hlk87784188"/>
            <w:r w:rsidRPr="005C158C">
              <w:rPr>
                <w:rFonts w:asciiTheme="minorHAnsi" w:hAnsiTheme="minorHAnsi"/>
                <w:sz w:val="18"/>
                <w:szCs w:val="18"/>
              </w:rPr>
              <w:t>&gt;5 600 ML/day for 2 day</w:t>
            </w:r>
            <w:bookmarkEnd w:id="72"/>
            <w:r w:rsidRPr="005C158C">
              <w:rPr>
                <w:rFonts w:asciiTheme="minorHAnsi" w:hAnsiTheme="minorHAnsi"/>
                <w:sz w:val="18"/>
                <w:szCs w:val="18"/>
              </w:rPr>
              <w:t>s</w:t>
            </w:r>
            <w:r>
              <w:rPr>
                <w:rFonts w:asciiTheme="minorHAnsi" w:hAnsiTheme="minorHAnsi"/>
                <w:sz w:val="18"/>
                <w:szCs w:val="18"/>
              </w:rPr>
              <w:t>.</w:t>
            </w:r>
            <w:r w:rsidRPr="005C158C">
              <w:rPr>
                <w:rFonts w:asciiTheme="minorHAnsi" w:hAnsiTheme="minorHAnsi"/>
                <w:sz w:val="18"/>
                <w:szCs w:val="18"/>
              </w:rPr>
              <w:t xml:space="preserve"> Note that delivery of the summer/autumn low flows between pulses is a trigger for this action.</w:t>
            </w:r>
          </w:p>
        </w:tc>
        <w:tc>
          <w:tcPr>
            <w:cnfStyle w:val="000010000000" w:firstRow="0" w:lastRow="0" w:firstColumn="0" w:lastColumn="0" w:oddVBand="1" w:evenVBand="0" w:oddHBand="0" w:evenHBand="0" w:firstRowFirstColumn="0" w:firstRowLastColumn="0" w:lastRowFirstColumn="0" w:lastRowLastColumn="0"/>
            <w:tcW w:w="2977" w:type="dxa"/>
            <w:vAlign w:val="center"/>
          </w:tcPr>
          <w:p w14:paraId="4A27E3E3" w14:textId="77777777" w:rsidR="00521321" w:rsidRPr="00136A4C" w:rsidRDefault="00521321" w:rsidP="00E26D3C">
            <w:pPr>
              <w:pStyle w:val="Tablesmalltext"/>
              <w:spacing w:after="120"/>
              <w:jc w:val="left"/>
              <w:rPr>
                <w:rFonts w:asciiTheme="minorHAnsi" w:hAnsiTheme="minorHAnsi" w:cstheme="minorHAnsi"/>
                <w:sz w:val="18"/>
                <w:szCs w:val="18"/>
              </w:rPr>
            </w:pPr>
            <w:r w:rsidRPr="00136A4C">
              <w:rPr>
                <w:rFonts w:asciiTheme="minorHAnsi" w:hAnsiTheme="minorHAnsi" w:cstheme="minorHAnsi"/>
                <w:sz w:val="18"/>
                <w:szCs w:val="18"/>
              </w:rPr>
              <w:t xml:space="preserve">Contribute to an autumn fresh: to encourage seed germination, reduce turbidity and mix water to improve water quality, flush fine sediment to encourage biofilm growth, and improve food and habitat for </w:t>
            </w:r>
            <w:proofErr w:type="spellStart"/>
            <w:r w:rsidRPr="00136A4C">
              <w:rPr>
                <w:rFonts w:asciiTheme="minorHAnsi" w:hAnsiTheme="minorHAnsi" w:cstheme="minorHAnsi"/>
                <w:sz w:val="18"/>
                <w:szCs w:val="18"/>
              </w:rPr>
              <w:t>waterbugs</w:t>
            </w:r>
            <w:proofErr w:type="spellEnd"/>
            <w:r w:rsidRPr="00136A4C">
              <w:rPr>
                <w:rFonts w:asciiTheme="minorHAnsi" w:hAnsiTheme="minorHAnsi" w:cstheme="minorHAnsi"/>
                <w:sz w:val="18"/>
                <w:szCs w:val="18"/>
              </w:rPr>
              <w:t xml:space="preserve">. </w:t>
            </w:r>
          </w:p>
        </w:tc>
        <w:tc>
          <w:tcPr>
            <w:tcW w:w="4678" w:type="dxa"/>
            <w:vAlign w:val="center"/>
          </w:tcPr>
          <w:p w14:paraId="78184D39" w14:textId="700FC8E4" w:rsidR="00521321" w:rsidRPr="00136A4C" w:rsidRDefault="00521321"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136A4C">
              <w:rPr>
                <w:rFonts w:asciiTheme="minorHAnsi" w:hAnsiTheme="minorHAnsi" w:cstheme="minorHAnsi"/>
                <w:sz w:val="18"/>
                <w:szCs w:val="18"/>
                <w:lang w:val="en-US"/>
              </w:rPr>
              <w:t xml:space="preserve">An Autumn fresh was delivered in late April and designed to achieve flows over </w:t>
            </w:r>
            <w:r w:rsidR="00CE4601">
              <w:rPr>
                <w:rFonts w:asciiTheme="minorHAnsi" w:hAnsiTheme="minorHAnsi" w:cstheme="minorHAnsi"/>
                <w:sz w:val="18"/>
                <w:szCs w:val="18"/>
                <w:lang w:val="en-US"/>
              </w:rPr>
              <w:t>5,6</w:t>
            </w:r>
            <w:r w:rsidRPr="00136A4C">
              <w:rPr>
                <w:rFonts w:asciiTheme="minorHAnsi" w:hAnsiTheme="minorHAnsi" w:cstheme="minorHAnsi"/>
                <w:sz w:val="18"/>
                <w:szCs w:val="18"/>
                <w:lang w:val="en-US"/>
              </w:rPr>
              <w:t xml:space="preserve">00 ML/day for </w:t>
            </w:r>
            <w:r w:rsidR="00CE4601">
              <w:rPr>
                <w:rFonts w:asciiTheme="minorHAnsi" w:hAnsiTheme="minorHAnsi" w:cstheme="minorHAnsi"/>
                <w:sz w:val="18"/>
                <w:szCs w:val="18"/>
                <w:lang w:val="en-US"/>
              </w:rPr>
              <w:t>2</w:t>
            </w:r>
            <w:r w:rsidRPr="00136A4C">
              <w:rPr>
                <w:rFonts w:asciiTheme="minorHAnsi" w:hAnsiTheme="minorHAnsi" w:cstheme="minorHAnsi"/>
                <w:sz w:val="18"/>
                <w:szCs w:val="18"/>
                <w:lang w:val="en-US"/>
              </w:rPr>
              <w:t xml:space="preserve"> days at Murchison. The event was delivered using primarily IVT.</w:t>
            </w:r>
          </w:p>
          <w:p w14:paraId="5069F60D" w14:textId="37395F2F" w:rsidR="00521321" w:rsidRPr="00483E8E" w:rsidRDefault="00521321"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136A4C">
              <w:rPr>
                <w:rFonts w:asciiTheme="minorHAnsi" w:hAnsiTheme="minorHAnsi" w:cstheme="minorHAnsi"/>
                <w:sz w:val="18"/>
                <w:szCs w:val="18"/>
                <w:lang w:val="en-US"/>
              </w:rPr>
              <w:t>Due to MDBA demand for water in the Murray River to meet Lake Victoria filling targets, the peak flows were extended by one day and the recession steepened to provide an extra 9 GL of water without extending the fresh duration.</w:t>
            </w:r>
          </w:p>
          <w:p w14:paraId="0C1128FE" w14:textId="77777777" w:rsidR="00521321" w:rsidRPr="00136A4C" w:rsidRDefault="00521321"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36A4C">
              <w:rPr>
                <w:rFonts w:asciiTheme="minorHAnsi" w:hAnsiTheme="minorHAnsi" w:cstheme="minorHAnsi"/>
                <w:sz w:val="18"/>
                <w:szCs w:val="18"/>
              </w:rPr>
              <w:t>Peak flow for the event was 6,295 ML/day at Murchison and 5,739 ML/day at McCoy’s bridge.</w:t>
            </w:r>
          </w:p>
        </w:tc>
      </w:tr>
    </w:tbl>
    <w:p w14:paraId="342C18C3" w14:textId="4536AF9D" w:rsidR="00AA03BA" w:rsidRPr="005D60FD" w:rsidRDefault="00AA03BA" w:rsidP="005F1C21">
      <w:pPr>
        <w:snapToGrid w:val="0"/>
        <w:ind w:left="142"/>
        <w:rPr>
          <w:rFonts w:ascii="Calibri" w:eastAsia="SimSun" w:hAnsi="Calibri" w:cs="Calibri"/>
          <w:sz w:val="18"/>
          <w:szCs w:val="18"/>
          <w:lang w:val="en-GB"/>
        </w:rPr>
      </w:pPr>
    </w:p>
    <w:p w14:paraId="09010698" w14:textId="07669CB6" w:rsidR="0008627B" w:rsidRPr="00BA2632" w:rsidRDefault="0008627B" w:rsidP="0008627B"/>
    <w:p w14:paraId="06969B08" w14:textId="5AC63C20" w:rsidR="0008627B" w:rsidRPr="00BA2632" w:rsidRDefault="0008627B" w:rsidP="0008627B"/>
    <w:p w14:paraId="2A8D8E67" w14:textId="77777777" w:rsidR="007C2A2C" w:rsidRDefault="007C2A2C">
      <w:pPr>
        <w:rPr>
          <w:rFonts w:ascii="Georgia" w:eastAsia="SimHei" w:hAnsi="Georgia" w:cs="Times New Roman"/>
          <w:b/>
          <w:color w:val="094183"/>
          <w:sz w:val="32"/>
          <w:szCs w:val="32"/>
          <w:lang w:eastAsia="en-US"/>
        </w:rPr>
      </w:pPr>
      <w:r>
        <w:br w:type="page"/>
      </w:r>
    </w:p>
    <w:p w14:paraId="1F475956" w14:textId="534D1905" w:rsidR="00916063" w:rsidRPr="00BA2632" w:rsidRDefault="00916063" w:rsidP="00272A33">
      <w:pPr>
        <w:pStyle w:val="Heading1"/>
      </w:pPr>
      <w:bookmarkStart w:id="73" w:name="_Toc84416081"/>
      <w:bookmarkStart w:id="74" w:name="_Toc84417322"/>
      <w:bookmarkStart w:id="75" w:name="_Toc84475668"/>
      <w:r w:rsidRPr="00BA2632">
        <w:lastRenderedPageBreak/>
        <w:t xml:space="preserve">Physical </w:t>
      </w:r>
      <w:r w:rsidR="00272A33">
        <w:t>H</w:t>
      </w:r>
      <w:r w:rsidRPr="00BA2632">
        <w:t>abitat</w:t>
      </w:r>
      <w:bookmarkEnd w:id="73"/>
      <w:bookmarkEnd w:id="74"/>
      <w:bookmarkEnd w:id="75"/>
    </w:p>
    <w:p w14:paraId="585C5B16" w14:textId="4E85812A" w:rsidR="00B61060" w:rsidRPr="00BA2632" w:rsidRDefault="00B61060" w:rsidP="003C58EF">
      <w:pPr>
        <w:pStyle w:val="Heading2"/>
      </w:pPr>
      <w:bookmarkStart w:id="76" w:name="_Toc51769666"/>
      <w:bookmarkStart w:id="77" w:name="_Toc84416082"/>
      <w:bookmarkStart w:id="78" w:name="_Toc84417323"/>
      <w:bookmarkStart w:id="79" w:name="_Toc84475669"/>
      <w:r w:rsidRPr="00BA2632">
        <w:t>Introduction</w:t>
      </w:r>
      <w:bookmarkEnd w:id="76"/>
      <w:bookmarkEnd w:id="77"/>
      <w:bookmarkEnd w:id="78"/>
      <w:bookmarkEnd w:id="79"/>
    </w:p>
    <w:p w14:paraId="10D9CE53" w14:textId="77777777" w:rsidR="00BB3C3F" w:rsidRPr="00BA2632" w:rsidRDefault="00BB3C3F" w:rsidP="00BB3C3F">
      <w:bookmarkStart w:id="80" w:name="_Toc51769667"/>
      <w:r w:rsidRPr="00BA2632">
        <w:t>Bank condition is explicitly linked to Commonwealth Environmental Water (CEW) delivery and other variable flows. The risk to</w:t>
      </w:r>
      <w:r w:rsidRPr="00BA2632" w:rsidDel="00B61060">
        <w:t xml:space="preserve"> </w:t>
      </w:r>
      <w:r w:rsidRPr="00BA2632">
        <w:t xml:space="preserve">plants and animals from changes in bank morphology and sediment liberated from erosion make bank condition an important, and explanatory variable for assessing the value of these water delivery patterns for achieving ecosystem objectives. </w:t>
      </w:r>
    </w:p>
    <w:p w14:paraId="0ECD0D43" w14:textId="77777777" w:rsidR="00BB3C3F" w:rsidRPr="00BA2632" w:rsidRDefault="00BB3C3F" w:rsidP="00BB3C3F">
      <w:r w:rsidRPr="00BA2632">
        <w:t xml:space="preserve">Riverbanks influence the velocity of flow, depth of water, and provide the sediment conditions for a range of plants and animals (biota). Riverbank condition can alter conditions for biota, and this is often related to the extent of bank activity and river flow. For example, appropriate levels of erosion provide niches for vegetation establishment, </w:t>
      </w:r>
      <w:r>
        <w:t>but</w:t>
      </w:r>
      <w:r w:rsidRPr="00BA2632">
        <w:t xml:space="preserve"> excessive erosion can lead to sediment smothering of bed habitat (as well as concerns for riparian infrastructure such as bridges and property).</w:t>
      </w:r>
    </w:p>
    <w:p w14:paraId="6B828546" w14:textId="77777777" w:rsidR="00BB3C3F" w:rsidRPr="00BA2632" w:rsidRDefault="00BB3C3F" w:rsidP="00BB3C3F">
      <w:r w:rsidRPr="00BA2632">
        <w:t xml:space="preserve">Riverbank vegetation richness and diversity are also impacted by flows, </w:t>
      </w:r>
      <w:r>
        <w:t>through</w:t>
      </w:r>
      <w:r w:rsidRPr="00BA2632">
        <w:t xml:space="preserve"> flow characteristics such as prolonged inundation, high velocities, and smothering. These vegetation changes can be independent of bank condition, or inextricably linked. There are considerable advantages to monitoring bank condition in concert with riverbank vegetation condition.</w:t>
      </w:r>
    </w:p>
    <w:p w14:paraId="093FC8A4" w14:textId="77777777" w:rsidR="00BB3C3F" w:rsidRPr="00BA2632" w:rsidRDefault="00BB3C3F" w:rsidP="00BB3C3F">
      <w:r w:rsidRPr="00BA2632">
        <w:t xml:space="preserve">Quantifying the relationship between CEW </w:t>
      </w:r>
      <w:r>
        <w:t xml:space="preserve">delivery </w:t>
      </w:r>
      <w:r w:rsidRPr="00BA2632">
        <w:t>and bank condition can assist with identifying critical flow ranges to support specific aquatic biota and ecological processes, vegetation density and resilience and the long-term condition of channel physical form.</w:t>
      </w:r>
    </w:p>
    <w:p w14:paraId="6F00F8F1" w14:textId="77777777" w:rsidR="00BB3C3F" w:rsidRPr="00BA2632" w:rsidRDefault="00BB3C3F" w:rsidP="00BB3C3F">
      <w:r w:rsidRPr="00BA2632">
        <w:t xml:space="preserve">Physical habitat monitoring, including hydraulic habitat (hydraulic modelling) and bank condition monitoring (including erosion pins) </w:t>
      </w:r>
      <w:r>
        <w:t xml:space="preserve">was </w:t>
      </w:r>
      <w:r w:rsidRPr="00BA2632">
        <w:t xml:space="preserve">undertaken as part of the Goulburn River LTIM Project over </w:t>
      </w:r>
      <w:r>
        <w:t>2014-2019</w:t>
      </w:r>
      <w:r w:rsidRPr="00BA2632">
        <w:t>. This is continuing for the Goulburn MER Program but with a change in some approaches, including using Unmanned Aerial Vehicle (UAV) technology and photogrammetry methods to generate Digital Elevation Models of Difference (DEMODs). These are produced by comparing two 3D models of bank condition at two different points in time. The output of these models enables highly accurate (&lt;1 cm</w:t>
      </w:r>
      <w:r w:rsidRPr="00BA2632">
        <w:rPr>
          <w:vertAlign w:val="superscript"/>
        </w:rPr>
        <w:t>3</w:t>
      </w:r>
      <w:r w:rsidRPr="00BA2632">
        <w:t xml:space="preserve">) </w:t>
      </w:r>
      <w:r>
        <w:t xml:space="preserve">analysis </w:t>
      </w:r>
      <w:r w:rsidRPr="00BA2632" w:rsidDel="00C83B66">
        <w:t>of</w:t>
      </w:r>
      <w:r w:rsidRPr="00BA2632">
        <w:t xml:space="preserve"> patterns of erosion and deposition on the river</w:t>
      </w:r>
      <w:r>
        <w:t xml:space="preserve">bank. </w:t>
      </w:r>
    </w:p>
    <w:p w14:paraId="3A7457E8" w14:textId="40B525EC" w:rsidR="00B61060" w:rsidRPr="00BA2632" w:rsidRDefault="00B61060" w:rsidP="003C58EF">
      <w:pPr>
        <w:pStyle w:val="Heading2"/>
      </w:pPr>
      <w:bookmarkStart w:id="81" w:name="_Toc84416083"/>
      <w:bookmarkStart w:id="82" w:name="_Toc84417324"/>
      <w:bookmarkStart w:id="83" w:name="_Toc84475670"/>
      <w:r w:rsidRPr="00BA2632">
        <w:t>Area specific evaluation questions</w:t>
      </w:r>
      <w:bookmarkEnd w:id="80"/>
      <w:bookmarkEnd w:id="81"/>
      <w:bookmarkEnd w:id="82"/>
      <w:bookmarkEnd w:id="83"/>
    </w:p>
    <w:p w14:paraId="6AEE4998" w14:textId="384EB848" w:rsidR="002F4A1E" w:rsidRDefault="00BB3C3F" w:rsidP="002F4A1E">
      <w:bookmarkStart w:id="84" w:name="_Ref46909695"/>
      <w:bookmarkStart w:id="85" w:name="_Toc51769697"/>
      <w:r w:rsidRPr="00BA2632">
        <w:t>The key basin and area-scale evaluation questions and relevant indicators for physical habitat are listed</w:t>
      </w:r>
      <w:r w:rsidR="002F4A1E" w:rsidRPr="00BA2632">
        <w:t xml:space="preserve"> in</w:t>
      </w:r>
      <w:r w:rsidR="004B743A">
        <w:t xml:space="preserve"> </w:t>
      </w:r>
      <w:r w:rsidR="000B75AF" w:rsidRPr="00BA2632">
        <w:t xml:space="preserve">Table </w:t>
      </w:r>
      <w:r w:rsidR="000B75AF">
        <w:rPr>
          <w:noProof/>
        </w:rPr>
        <w:t>4</w:t>
      </w:r>
      <w:r w:rsidR="000B75AF">
        <w:noBreakHyphen/>
      </w:r>
      <w:r w:rsidR="000B75AF">
        <w:rPr>
          <w:noProof/>
        </w:rPr>
        <w:t>1</w:t>
      </w:r>
      <w:r w:rsidR="002F4A1E" w:rsidRPr="00BA2632">
        <w:t>.</w:t>
      </w:r>
    </w:p>
    <w:p w14:paraId="60F28847" w14:textId="22A7EBAD" w:rsidR="002F4A1E" w:rsidRPr="00BA2632" w:rsidRDefault="002F4A1E" w:rsidP="002F4A1E">
      <w:pPr>
        <w:pStyle w:val="Caption"/>
        <w:rPr>
          <w:rFonts w:cstheme="minorHAnsi"/>
        </w:rPr>
      </w:pPr>
      <w:bookmarkStart w:id="86" w:name="_Ref83760379"/>
      <w:bookmarkStart w:id="87" w:name="_Toc95391456"/>
      <w:r w:rsidRPr="00BA2632">
        <w:t xml:space="preserve">Table </w:t>
      </w:r>
      <w:r w:rsidR="000B75AF">
        <w:rPr>
          <w:noProof/>
        </w:rPr>
        <w:t>4</w:t>
      </w:r>
      <w:r w:rsidR="000B75AF">
        <w:noBreakHyphen/>
      </w:r>
      <w:r w:rsidR="000B75AF">
        <w:rPr>
          <w:noProof/>
        </w:rPr>
        <w:t>1</w:t>
      </w:r>
      <w:bookmarkEnd w:id="86"/>
      <w:r w:rsidRPr="00BA2632">
        <w:t xml:space="preserve"> </w:t>
      </w:r>
      <w:r w:rsidR="00AF0257" w:rsidRPr="00BA2632">
        <w:rPr>
          <w:rFonts w:cstheme="minorHAnsi"/>
        </w:rPr>
        <w:t>Physical habitat key evaluation questions for the Goulburn selected area and associated indicators and evaluation approaches.</w:t>
      </w:r>
      <w:bookmarkEnd w:id="87"/>
    </w:p>
    <w:tbl>
      <w:tblPr>
        <w:tblStyle w:val="LightList-Accent11"/>
        <w:tblpPr w:leftFromText="180" w:rightFromText="180" w:vertAnchor="text" w:horzAnchor="margin" w:tblpXSpec="center" w:tblpY="11"/>
        <w:tblW w:w="10060" w:type="dxa"/>
        <w:tblLayout w:type="fixed"/>
        <w:tblLook w:val="04A0" w:firstRow="1" w:lastRow="0" w:firstColumn="1" w:lastColumn="0" w:noHBand="0" w:noVBand="1"/>
      </w:tblPr>
      <w:tblGrid>
        <w:gridCol w:w="3109"/>
        <w:gridCol w:w="3685"/>
        <w:gridCol w:w="3266"/>
      </w:tblGrid>
      <w:tr w:rsidR="00AF0257" w:rsidRPr="00BA2632" w14:paraId="6CEB67AD" w14:textId="77777777" w:rsidTr="002C63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dxa"/>
          </w:tcPr>
          <w:p w14:paraId="6795575B" w14:textId="77777777" w:rsidR="00AF0257" w:rsidRPr="00BA2632" w:rsidRDefault="00AF0257" w:rsidP="00E26D3C">
            <w:pPr>
              <w:jc w:val="left"/>
              <w:rPr>
                <w:rFonts w:cstheme="minorHAnsi"/>
                <w:b w:val="0"/>
                <w:sz w:val="18"/>
                <w:szCs w:val="18"/>
              </w:rPr>
            </w:pPr>
            <w:r w:rsidRPr="00BA2632">
              <w:rPr>
                <w:rFonts w:cstheme="minorHAnsi"/>
                <w:sz w:val="18"/>
                <w:szCs w:val="18"/>
              </w:rPr>
              <w:t>Key Evaluation Questions</w:t>
            </w:r>
          </w:p>
        </w:tc>
        <w:tc>
          <w:tcPr>
            <w:tcW w:w="3685" w:type="dxa"/>
          </w:tcPr>
          <w:p w14:paraId="674533D8" w14:textId="77777777" w:rsidR="00AF0257" w:rsidRPr="00BA2632" w:rsidRDefault="00AF0257" w:rsidP="00E26D3C">
            <w:pPr>
              <w:jc w:val="left"/>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BA2632">
              <w:rPr>
                <w:rFonts w:cstheme="minorHAnsi"/>
                <w:sz w:val="18"/>
                <w:szCs w:val="18"/>
              </w:rPr>
              <w:t>Indicator</w:t>
            </w:r>
          </w:p>
        </w:tc>
        <w:tc>
          <w:tcPr>
            <w:tcW w:w="3266" w:type="dxa"/>
          </w:tcPr>
          <w:p w14:paraId="64E2D3FC" w14:textId="77777777" w:rsidR="00AF0257" w:rsidRPr="00BA2632" w:rsidRDefault="00AF0257" w:rsidP="00E26D3C">
            <w:pPr>
              <w:jc w:val="left"/>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BA2632">
              <w:rPr>
                <w:rFonts w:cstheme="minorHAnsi"/>
                <w:sz w:val="18"/>
                <w:szCs w:val="18"/>
              </w:rPr>
              <w:t>Evaluation Approaches</w:t>
            </w:r>
          </w:p>
        </w:tc>
      </w:tr>
      <w:tr w:rsidR="00AF0257" w:rsidRPr="00BA2632" w14:paraId="6474282E" w14:textId="77777777" w:rsidTr="002C63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gridSpan w:val="3"/>
            <w:vAlign w:val="center"/>
          </w:tcPr>
          <w:p w14:paraId="1DF53EBA" w14:textId="77777777" w:rsidR="00AF0257" w:rsidRPr="00BA2632" w:rsidRDefault="00AF0257" w:rsidP="00E26D3C">
            <w:pPr>
              <w:jc w:val="center"/>
              <w:rPr>
                <w:rFonts w:cstheme="minorHAnsi"/>
                <w:sz w:val="18"/>
                <w:szCs w:val="18"/>
              </w:rPr>
            </w:pPr>
            <w:r w:rsidRPr="00BA2632">
              <w:rPr>
                <w:rFonts w:cstheme="minorHAnsi"/>
                <w:sz w:val="18"/>
                <w:szCs w:val="18"/>
              </w:rPr>
              <w:t>Basin Scale evaluation Questions</w:t>
            </w:r>
          </w:p>
        </w:tc>
      </w:tr>
      <w:tr w:rsidR="00AF0257" w:rsidRPr="00BA2632" w14:paraId="5AFDA135" w14:textId="77777777" w:rsidTr="002C63A8">
        <w:tc>
          <w:tcPr>
            <w:cnfStyle w:val="001000000000" w:firstRow="0" w:lastRow="0" w:firstColumn="1" w:lastColumn="0" w:oddVBand="0" w:evenVBand="0" w:oddHBand="0" w:evenHBand="0" w:firstRowFirstColumn="0" w:firstRowLastColumn="0" w:lastRowFirstColumn="0" w:lastRowLastColumn="0"/>
            <w:tcW w:w="10060" w:type="dxa"/>
            <w:gridSpan w:val="3"/>
          </w:tcPr>
          <w:p w14:paraId="573658E8" w14:textId="77777777" w:rsidR="00AF0257" w:rsidRPr="00BA2632" w:rsidRDefault="00AF0257" w:rsidP="00E26D3C">
            <w:pPr>
              <w:pStyle w:val="Tablesmalltext"/>
              <w:jc w:val="left"/>
              <w:rPr>
                <w:rFonts w:ascii="Calibri" w:hAnsi="Calibri" w:cstheme="minorHAnsi"/>
                <w:sz w:val="18"/>
                <w:szCs w:val="18"/>
              </w:rPr>
            </w:pPr>
            <w:r w:rsidRPr="00BA2632">
              <w:rPr>
                <w:rStyle w:val="Strong"/>
                <w:rFonts w:ascii="Calibri" w:hAnsi="Calibri" w:cstheme="minorHAnsi"/>
                <w:sz w:val="18"/>
                <w:szCs w:val="18"/>
              </w:rPr>
              <w:t>There are no basin-scale evaluation questions for physical habitat</w:t>
            </w:r>
          </w:p>
        </w:tc>
      </w:tr>
      <w:tr w:rsidR="00AF0257" w:rsidRPr="00BA2632" w14:paraId="5B9A8608" w14:textId="77777777" w:rsidTr="002C63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gridSpan w:val="3"/>
            <w:vAlign w:val="center"/>
          </w:tcPr>
          <w:p w14:paraId="4F1E61CB" w14:textId="77777777" w:rsidR="00AF0257" w:rsidRPr="00BA2632" w:rsidRDefault="00AF0257" w:rsidP="00E26D3C">
            <w:pPr>
              <w:jc w:val="center"/>
              <w:rPr>
                <w:rFonts w:cstheme="minorHAnsi"/>
                <w:sz w:val="18"/>
                <w:szCs w:val="18"/>
              </w:rPr>
            </w:pPr>
            <w:r w:rsidRPr="00BA2632">
              <w:rPr>
                <w:rFonts w:cstheme="minorHAnsi"/>
                <w:sz w:val="18"/>
                <w:szCs w:val="18"/>
              </w:rPr>
              <w:t>Area-Specific evaluation questions</w:t>
            </w:r>
          </w:p>
        </w:tc>
      </w:tr>
      <w:tr w:rsidR="00AF0257" w:rsidRPr="00BA2632" w14:paraId="7DA11311" w14:textId="77777777" w:rsidTr="002C63A8">
        <w:trPr>
          <w:trHeight w:val="702"/>
        </w:trPr>
        <w:tc>
          <w:tcPr>
            <w:cnfStyle w:val="001000000000" w:firstRow="0" w:lastRow="0" w:firstColumn="1" w:lastColumn="0" w:oddVBand="0" w:evenVBand="0" w:oddHBand="0" w:evenHBand="0" w:firstRowFirstColumn="0" w:firstRowLastColumn="0" w:lastRowFirstColumn="0" w:lastRowLastColumn="0"/>
            <w:tcW w:w="3109" w:type="dxa"/>
          </w:tcPr>
          <w:p w14:paraId="5214C037" w14:textId="77777777" w:rsidR="00AF0257" w:rsidRPr="00BA2632" w:rsidRDefault="00AF0257"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 xml:space="preserve">How do CEWH environmental/variable flows contribute to sustaining bank condition? </w:t>
            </w:r>
          </w:p>
        </w:tc>
        <w:tc>
          <w:tcPr>
            <w:tcW w:w="3685" w:type="dxa"/>
          </w:tcPr>
          <w:p w14:paraId="011ED99F" w14:textId="77777777" w:rsidR="00AF0257" w:rsidRPr="00BA2632" w:rsidRDefault="00AF0257"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 xml:space="preserve">Increased deposition at a bank level across the system </w:t>
            </w:r>
          </w:p>
          <w:p w14:paraId="178F61DC" w14:textId="77777777" w:rsidR="00AF0257" w:rsidRPr="00BA2632" w:rsidRDefault="00AF0257"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 xml:space="preserve">Visual evidence of repair to historic damage due to sediment deposition </w:t>
            </w:r>
          </w:p>
        </w:tc>
        <w:tc>
          <w:tcPr>
            <w:tcW w:w="3266" w:type="dxa"/>
          </w:tcPr>
          <w:p w14:paraId="72A9F822" w14:textId="77777777" w:rsidR="00AF0257" w:rsidRPr="00BA2632" w:rsidRDefault="00AF0257"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t>Vi</w:t>
            </w:r>
            <w:r w:rsidRPr="00BA2632">
              <w:t xml:space="preserve">sual interpretation of change using DEMOD outputs from drone surveys </w:t>
            </w:r>
          </w:p>
        </w:tc>
      </w:tr>
      <w:tr w:rsidR="00AF0257" w:rsidRPr="00BA2632" w14:paraId="5734D469" w14:textId="77777777" w:rsidTr="002C63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dxa"/>
          </w:tcPr>
          <w:p w14:paraId="27656C30" w14:textId="77777777" w:rsidR="00AF0257" w:rsidRPr="00BA2632" w:rsidRDefault="00AF0257"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 xml:space="preserve">Are CEWH environmental/variable flows adversely impacting the banks of the rivers? </w:t>
            </w:r>
          </w:p>
        </w:tc>
        <w:tc>
          <w:tcPr>
            <w:tcW w:w="3685" w:type="dxa"/>
          </w:tcPr>
          <w:p w14:paraId="78F42E66" w14:textId="77777777" w:rsidR="00AF0257" w:rsidRPr="00BA2632" w:rsidRDefault="00AF0257"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High erosion volume to lower bank zones</w:t>
            </w:r>
          </w:p>
          <w:p w14:paraId="4AA4EB67" w14:textId="77777777" w:rsidR="00AF0257" w:rsidRPr="00BA2632" w:rsidRDefault="00AF0257"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Indication of notching and mass-failure</w:t>
            </w:r>
            <w:r>
              <w:t xml:space="preserve"> (wide-spread bank erosion/slumping)</w:t>
            </w:r>
            <w:r w:rsidRPr="00BA2632">
              <w:t xml:space="preserve"> events</w:t>
            </w:r>
          </w:p>
        </w:tc>
        <w:tc>
          <w:tcPr>
            <w:tcW w:w="3266" w:type="dxa"/>
          </w:tcPr>
          <w:p w14:paraId="33E79B12" w14:textId="77777777" w:rsidR="00AF0257" w:rsidRPr="00BA2632" w:rsidRDefault="00AF0257"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t>Vi</w:t>
            </w:r>
            <w:r w:rsidRPr="00BA2632">
              <w:t>sual interpretation of change using DEMOD outputs from drone surveys</w:t>
            </w:r>
          </w:p>
        </w:tc>
      </w:tr>
      <w:tr w:rsidR="00AF0257" w:rsidRPr="00BA2632" w14:paraId="5A2DFBA8" w14:textId="77777777" w:rsidTr="002C63A8">
        <w:tc>
          <w:tcPr>
            <w:cnfStyle w:val="001000000000" w:firstRow="0" w:lastRow="0" w:firstColumn="1" w:lastColumn="0" w:oddVBand="0" w:evenVBand="0" w:oddHBand="0" w:evenHBand="0" w:firstRowFirstColumn="0" w:firstRowLastColumn="0" w:lastRowFirstColumn="0" w:lastRowLastColumn="0"/>
            <w:tcW w:w="3109" w:type="dxa"/>
          </w:tcPr>
          <w:p w14:paraId="20C595F1" w14:textId="77777777" w:rsidR="00AF0257" w:rsidRPr="00BA2632" w:rsidRDefault="00AF0257"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How do timing and delivery of CEWH environmental/variable flows affect bank condition of rivers?</w:t>
            </w:r>
          </w:p>
        </w:tc>
        <w:tc>
          <w:tcPr>
            <w:tcW w:w="3685" w:type="dxa"/>
          </w:tcPr>
          <w:p w14:paraId="5715F134" w14:textId="77777777" w:rsidR="00AF0257" w:rsidRPr="00BA2632" w:rsidRDefault="00AF0257"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 xml:space="preserve">Increased erosion/deposition in response to </w:t>
            </w:r>
            <w:proofErr w:type="gramStart"/>
            <w:r w:rsidRPr="00BA2632">
              <w:t>particular rates</w:t>
            </w:r>
            <w:proofErr w:type="gramEnd"/>
            <w:r w:rsidRPr="00BA2632">
              <w:t xml:space="preserve"> of rise and fall.</w:t>
            </w:r>
          </w:p>
          <w:p w14:paraId="7FD329A2" w14:textId="77777777" w:rsidR="00AF0257" w:rsidRPr="00BA2632" w:rsidRDefault="00AF0257"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Increased erosion/deposition in response to flow delivery following different events of interest</w:t>
            </w:r>
          </w:p>
        </w:tc>
        <w:tc>
          <w:tcPr>
            <w:tcW w:w="3266" w:type="dxa"/>
          </w:tcPr>
          <w:p w14:paraId="62F13292" w14:textId="77777777" w:rsidR="00AF0257" w:rsidRPr="00BA2632" w:rsidRDefault="00AF0257"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t>E</w:t>
            </w:r>
            <w:r w:rsidRPr="00BA2632">
              <w:t>xpression of change analysis on flows using different rates of rise and fall and in different sequences of delivery</w:t>
            </w:r>
          </w:p>
        </w:tc>
      </w:tr>
      <w:tr w:rsidR="00AF0257" w:rsidRPr="00BA2632" w14:paraId="21CE612D" w14:textId="77777777" w:rsidTr="002C63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dxa"/>
          </w:tcPr>
          <w:p w14:paraId="311C3619" w14:textId="77777777" w:rsidR="00AF0257" w:rsidRPr="00BA2632" w:rsidRDefault="00AF0257"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lastRenderedPageBreak/>
              <w:t>What timing and delivery of CEWH environmental/variable flows best sustain or improve bank condition for vegetation growth?</w:t>
            </w:r>
          </w:p>
        </w:tc>
        <w:tc>
          <w:tcPr>
            <w:tcW w:w="3685" w:type="dxa"/>
          </w:tcPr>
          <w:p w14:paraId="22541D4C" w14:textId="77777777" w:rsidR="00AF0257" w:rsidRPr="00BA2632" w:rsidRDefault="00AF0257"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 xml:space="preserve">Increased/decreased vegetation cover following </w:t>
            </w:r>
            <w:proofErr w:type="gramStart"/>
            <w:r w:rsidRPr="00BA2632">
              <w:t>particular flow</w:t>
            </w:r>
            <w:proofErr w:type="gramEnd"/>
            <w:r w:rsidRPr="00BA2632">
              <w:t xml:space="preserve"> events</w:t>
            </w:r>
          </w:p>
          <w:p w14:paraId="0FF4B9A4" w14:textId="77777777" w:rsidR="00AF0257" w:rsidRPr="00BA2632" w:rsidRDefault="00AF0257"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Increased/decreased density/health of existing vegetation</w:t>
            </w:r>
          </w:p>
          <w:p w14:paraId="3A827191" w14:textId="77777777" w:rsidR="00AF0257" w:rsidRPr="00BA2632" w:rsidRDefault="00AF0257"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 xml:space="preserve">Increased/decreased bank steepness following flow events </w:t>
            </w:r>
          </w:p>
        </w:tc>
        <w:tc>
          <w:tcPr>
            <w:tcW w:w="3266" w:type="dxa"/>
          </w:tcPr>
          <w:p w14:paraId="394B88DD" w14:textId="77777777" w:rsidR="00AF0257" w:rsidRPr="00BA2632" w:rsidRDefault="00AF0257"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t>E</w:t>
            </w:r>
            <w:r w:rsidRPr="00BA2632">
              <w:t xml:space="preserve">xpression of change analysis on </w:t>
            </w:r>
            <w:proofErr w:type="gramStart"/>
            <w:r w:rsidRPr="00BA2632">
              <w:t>particular bank</w:t>
            </w:r>
            <w:proofErr w:type="gramEnd"/>
            <w:r w:rsidRPr="00BA2632">
              <w:t xml:space="preserve"> zones, considering bank profile and revegetation potential following flow events</w:t>
            </w:r>
          </w:p>
        </w:tc>
      </w:tr>
      <w:tr w:rsidR="00AF0257" w:rsidRPr="00BA2632" w14:paraId="52D6ED88" w14:textId="77777777" w:rsidTr="002C63A8">
        <w:tc>
          <w:tcPr>
            <w:cnfStyle w:val="001000000000" w:firstRow="0" w:lastRow="0" w:firstColumn="1" w:lastColumn="0" w:oddVBand="0" w:evenVBand="0" w:oddHBand="0" w:evenHBand="0" w:firstRowFirstColumn="0" w:firstRowLastColumn="0" w:lastRowFirstColumn="0" w:lastRowLastColumn="0"/>
            <w:tcW w:w="3109" w:type="dxa"/>
          </w:tcPr>
          <w:p w14:paraId="0572BB7D" w14:textId="77777777" w:rsidR="00AF0257" w:rsidRPr="00BA2632" w:rsidRDefault="00AF0257"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How do vegetation responses to CEWH environmental/variable flows vary between sites with different channel features and different bank condition?</w:t>
            </w:r>
          </w:p>
        </w:tc>
        <w:tc>
          <w:tcPr>
            <w:tcW w:w="3685" w:type="dxa"/>
          </w:tcPr>
          <w:p w14:paraId="1D8F7078" w14:textId="77777777" w:rsidR="00AF0257" w:rsidRPr="00BA2632" w:rsidRDefault="00AF0257"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 xml:space="preserve"> Increased/decreased vegetation cover on benches and bars</w:t>
            </w:r>
          </w:p>
          <w:p w14:paraId="22DA7F11" w14:textId="77777777" w:rsidR="00AF0257" w:rsidRPr="00BA2632" w:rsidRDefault="00AF0257"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 xml:space="preserve">Increased/decreased vegetation cover on outside banks/inside banks </w:t>
            </w:r>
          </w:p>
          <w:p w14:paraId="33496FFD" w14:textId="77777777" w:rsidR="00AF0257" w:rsidRPr="00BA2632" w:rsidRDefault="00AF0257"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Increased/decreased vegetation cover on steep/gentle banks</w:t>
            </w:r>
          </w:p>
        </w:tc>
        <w:tc>
          <w:tcPr>
            <w:tcW w:w="3266" w:type="dxa"/>
          </w:tcPr>
          <w:p w14:paraId="235A1B52" w14:textId="77777777" w:rsidR="00AF0257" w:rsidRPr="00BA2632" w:rsidRDefault="00AF0257"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Vegetation cover analysis on different banks throughout the system</w:t>
            </w:r>
          </w:p>
        </w:tc>
      </w:tr>
      <w:tr w:rsidR="00AF0257" w:rsidRPr="00BA2632" w14:paraId="3755F60C" w14:textId="77777777" w:rsidTr="002C63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dxa"/>
          </w:tcPr>
          <w:p w14:paraId="1A6364F5" w14:textId="77777777" w:rsidR="00AF0257" w:rsidRPr="00BA2632" w:rsidRDefault="00AF0257"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Are bank erosion rates and processes impacting macroinvertebrate communities?</w:t>
            </w:r>
          </w:p>
        </w:tc>
        <w:tc>
          <w:tcPr>
            <w:tcW w:w="3685" w:type="dxa"/>
          </w:tcPr>
          <w:p w14:paraId="7224C9B7" w14:textId="77777777" w:rsidR="00AF0257" w:rsidRPr="00BA2632" w:rsidRDefault="00AF0257"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 xml:space="preserve">Increased/decreased macroinvertebrate volumes in response to banks experiencing net a) erosion b) deposition </w:t>
            </w:r>
          </w:p>
        </w:tc>
        <w:tc>
          <w:tcPr>
            <w:tcW w:w="3266" w:type="dxa"/>
          </w:tcPr>
          <w:p w14:paraId="085B72F6" w14:textId="77777777" w:rsidR="00AF0257" w:rsidRPr="00BA2632" w:rsidRDefault="00AF0257"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 xml:space="preserve">Macroinvertebrate sampling </w:t>
            </w:r>
            <w:proofErr w:type="gramStart"/>
            <w:r w:rsidRPr="00BA2632">
              <w:t>in close proximity to</w:t>
            </w:r>
            <w:proofErr w:type="gramEnd"/>
            <w:r w:rsidRPr="00BA2632">
              <w:t xml:space="preserve"> different bank types </w:t>
            </w:r>
          </w:p>
        </w:tc>
      </w:tr>
    </w:tbl>
    <w:p w14:paraId="6B0F9355" w14:textId="77777777" w:rsidR="002F4A1E" w:rsidRPr="00BA2632" w:rsidRDefault="002F4A1E" w:rsidP="002F4A1E"/>
    <w:p w14:paraId="2B20D24D" w14:textId="39BEA25A" w:rsidR="00B61060" w:rsidRPr="00BA2632" w:rsidRDefault="00B61060" w:rsidP="003C58EF">
      <w:pPr>
        <w:pStyle w:val="Heading2"/>
      </w:pPr>
      <w:bookmarkStart w:id="88" w:name="_Toc51769668"/>
      <w:bookmarkStart w:id="89" w:name="_Toc84416084"/>
      <w:bookmarkStart w:id="90" w:name="_Toc84417325"/>
      <w:bookmarkStart w:id="91" w:name="_Toc84475671"/>
      <w:bookmarkEnd w:id="84"/>
      <w:bookmarkEnd w:id="85"/>
      <w:r w:rsidRPr="00BA2632">
        <w:t>Main findings from monitoring program</w:t>
      </w:r>
      <w:bookmarkEnd w:id="88"/>
      <w:bookmarkEnd w:id="89"/>
      <w:bookmarkEnd w:id="90"/>
      <w:bookmarkEnd w:id="91"/>
    </w:p>
    <w:p w14:paraId="5BC669C9" w14:textId="77777777" w:rsidR="00AF0257" w:rsidRPr="00BA2632" w:rsidRDefault="00AF0257" w:rsidP="00AF0257">
      <w:pPr>
        <w:rPr>
          <w:lang w:eastAsia="en-US"/>
        </w:rPr>
      </w:pPr>
      <w:r w:rsidRPr="00BA2632">
        <w:rPr>
          <w:lang w:eastAsia="en-US"/>
        </w:rPr>
        <w:t>The following sections provides a high-level summary of the outcomes of the 20</w:t>
      </w:r>
      <w:r>
        <w:rPr>
          <w:lang w:eastAsia="en-US"/>
        </w:rPr>
        <w:t>20</w:t>
      </w:r>
      <w:r w:rsidRPr="00BA2632">
        <w:rPr>
          <w:lang w:eastAsia="en-US"/>
        </w:rPr>
        <w:t>-2</w:t>
      </w:r>
      <w:r>
        <w:rPr>
          <w:lang w:eastAsia="en-US"/>
        </w:rPr>
        <w:t>1</w:t>
      </w:r>
      <w:r w:rsidRPr="00BA2632">
        <w:rPr>
          <w:lang w:eastAsia="en-US"/>
        </w:rPr>
        <w:t xml:space="preserve"> monitoring and the implications of these findings to previous years outcomes.  </w:t>
      </w:r>
    </w:p>
    <w:p w14:paraId="2530929D" w14:textId="6C5EAA50" w:rsidR="00B61060" w:rsidRPr="00BA2632" w:rsidRDefault="00B61060" w:rsidP="003C58EF">
      <w:pPr>
        <w:pStyle w:val="Heading3"/>
      </w:pPr>
      <w:bookmarkStart w:id="92" w:name="_Toc84417326"/>
      <w:r w:rsidRPr="00BA2632">
        <w:t>20</w:t>
      </w:r>
      <w:r w:rsidR="00B07F74">
        <w:t>20</w:t>
      </w:r>
      <w:r w:rsidRPr="00BA2632">
        <w:t>/2</w:t>
      </w:r>
      <w:r w:rsidR="00B07F74">
        <w:t>1</w:t>
      </w:r>
      <w:r w:rsidRPr="00BA2632">
        <w:t xml:space="preserve"> findings</w:t>
      </w:r>
      <w:bookmarkEnd w:id="92"/>
    </w:p>
    <w:p w14:paraId="57C5A59E" w14:textId="77777777" w:rsidR="00AF0257" w:rsidRDefault="00AF0257" w:rsidP="00AF0257">
      <w:pPr>
        <w:rPr>
          <w:lang w:eastAsia="en-US"/>
        </w:rPr>
      </w:pPr>
      <w:r>
        <w:rPr>
          <w:lang w:eastAsia="en-US"/>
        </w:rPr>
        <w:t>The findings of the monitoring of the effects of environmental flows are discussed along with the results of the IVT flow monitoring program as both flow delivery types can have impacts on the banks and the sequencing of these different flows can be important for erosion processes.</w:t>
      </w:r>
    </w:p>
    <w:p w14:paraId="546F95C2" w14:textId="42E914C0" w:rsidR="00AF0257" w:rsidRDefault="00AF0257" w:rsidP="00DE6E94">
      <w:pPr>
        <w:pStyle w:val="ListParagraph"/>
        <w:numPr>
          <w:ilvl w:val="0"/>
          <w:numId w:val="65"/>
        </w:numPr>
        <w:rPr>
          <w:lang w:eastAsia="en-US"/>
        </w:rPr>
      </w:pPr>
      <w:r>
        <w:rPr>
          <w:lang w:eastAsia="en-US"/>
        </w:rPr>
        <w:t xml:space="preserve">Environmental Flows continue to </w:t>
      </w:r>
      <w:r w:rsidR="00EC6E6A">
        <w:rPr>
          <w:lang w:eastAsia="en-US"/>
        </w:rPr>
        <w:t xml:space="preserve">contribute </w:t>
      </w:r>
      <w:r>
        <w:rPr>
          <w:lang w:eastAsia="en-US"/>
        </w:rPr>
        <w:t xml:space="preserve">to erosion, this is however inevitable with any large flow delivery within a regulated system. The location (to areas of mid and upper bank), pattern (variable with lack of linear definition) and depth (shallow rather than deep) supports the contention that these flows are not causing damage to the </w:t>
      </w:r>
      <w:r w:rsidR="00242271">
        <w:rPr>
          <w:lang w:eastAsia="en-US"/>
        </w:rPr>
        <w:t>long-term</w:t>
      </w:r>
      <w:r>
        <w:rPr>
          <w:lang w:eastAsia="en-US"/>
        </w:rPr>
        <w:t xml:space="preserve"> physical form of the Goulburn River but rather, in the majority of cases resulting in positive outcomes to the channel form through the </w:t>
      </w:r>
      <w:r w:rsidRPr="00674F5D">
        <w:rPr>
          <w:i/>
          <w:iCs/>
          <w:lang w:eastAsia="en-US"/>
        </w:rPr>
        <w:t>resetting</w:t>
      </w:r>
      <w:r>
        <w:rPr>
          <w:lang w:eastAsia="en-US"/>
        </w:rPr>
        <w:t xml:space="preserve"> of lower bank steepening, which is a result of historic (and more recent) erosion from prolonged and invariable irrigation deliveries. </w:t>
      </w:r>
    </w:p>
    <w:p w14:paraId="57D11AE0" w14:textId="6C912EE4" w:rsidR="00AF0257" w:rsidRDefault="00AF0257" w:rsidP="00DE6E94">
      <w:pPr>
        <w:pStyle w:val="ListParagraph"/>
        <w:numPr>
          <w:ilvl w:val="0"/>
          <w:numId w:val="65"/>
        </w:numPr>
        <w:rPr>
          <w:lang w:eastAsia="en-US"/>
        </w:rPr>
      </w:pPr>
      <w:r>
        <w:rPr>
          <w:lang w:eastAsia="en-US"/>
        </w:rPr>
        <w:t>Major drivers of erosion are duration of inundation (modelling and histograms show a clear link in cases), the duration of maximum flow (longer duration above 5,000 ML/d for example leads to more change to upper bank zones) and the daily rate of rise and fall (which as demonstrated during the IVT</w:t>
      </w:r>
      <w:r w:rsidR="00B64590">
        <w:rPr>
          <w:lang w:eastAsia="en-US"/>
        </w:rPr>
        <w:t>,</w:t>
      </w:r>
      <w:r>
        <w:rPr>
          <w:lang w:eastAsia="en-US"/>
        </w:rPr>
        <w:t xml:space="preserve"> impacts the pattern of erosion). Both the Spring and Autumn Freshes resulted in flows above &gt;5,000 ML/d and thus influenced the upper bank, the Autumn Fresh however resulted in more prolonged time above this range </w:t>
      </w:r>
      <w:proofErr w:type="gramStart"/>
      <w:r>
        <w:rPr>
          <w:lang w:eastAsia="en-US"/>
        </w:rPr>
        <w:t>and also</w:t>
      </w:r>
      <w:proofErr w:type="gramEnd"/>
      <w:r>
        <w:rPr>
          <w:lang w:eastAsia="en-US"/>
        </w:rPr>
        <w:t xml:space="preserve"> was managed with a slower rate of fall,</w:t>
      </w:r>
      <w:r w:rsidR="00484C59" w:rsidRPr="00484C59">
        <w:rPr>
          <w:lang w:eastAsia="en-US"/>
        </w:rPr>
        <w:t xml:space="preserve"> </w:t>
      </w:r>
      <w:r w:rsidR="00484C59">
        <w:rPr>
          <w:lang w:eastAsia="en-US"/>
        </w:rPr>
        <w:t>that may have helped minimise any instances of major erosion in sensitive areas of the lower bank related to erosion from the prior summer IVT deliveries.</w:t>
      </w:r>
    </w:p>
    <w:p w14:paraId="0C00F6B1" w14:textId="77777777" w:rsidR="00AF0257" w:rsidRDefault="00AF0257" w:rsidP="00DE6E94">
      <w:pPr>
        <w:pStyle w:val="ListParagraph"/>
        <w:numPr>
          <w:ilvl w:val="0"/>
          <w:numId w:val="65"/>
        </w:numPr>
        <w:rPr>
          <w:lang w:val="en-US"/>
        </w:rPr>
      </w:pPr>
      <w:r w:rsidRPr="007C7507">
        <w:rPr>
          <w:lang w:eastAsia="en-US"/>
        </w:rPr>
        <w:t>Flow sequence plays an important part in erosion response and thus bank condition cannot be assessed accurately through a single flow event</w:t>
      </w:r>
      <w:r>
        <w:rPr>
          <w:lang w:eastAsia="en-US"/>
        </w:rPr>
        <w:t>,</w:t>
      </w:r>
      <w:r w:rsidRPr="007C7507">
        <w:rPr>
          <w:lang w:eastAsia="en-US"/>
        </w:rPr>
        <w:t xml:space="preserve"> </w:t>
      </w:r>
      <w:r>
        <w:rPr>
          <w:lang w:eastAsia="en-US"/>
        </w:rPr>
        <w:t xml:space="preserve">and </w:t>
      </w:r>
      <w:r w:rsidRPr="007C7507">
        <w:rPr>
          <w:lang w:eastAsia="en-US"/>
        </w:rPr>
        <w:t>prior events must be considered. This is</w:t>
      </w:r>
      <w:r w:rsidRPr="007C7507" w:rsidDel="00690174">
        <w:rPr>
          <w:lang w:eastAsia="en-US"/>
        </w:rPr>
        <w:t xml:space="preserve"> </w:t>
      </w:r>
      <w:r w:rsidRPr="007C7507">
        <w:rPr>
          <w:lang w:eastAsia="en-US"/>
        </w:rPr>
        <w:t>particularly true when considering the impact of flow events that follow summer irrigation periods (in this case the Autumn Fresh) as defined erosion on the lower bank prepares the riverbanks for future erosion events</w:t>
      </w:r>
      <w:r>
        <w:rPr>
          <w:lang w:eastAsia="en-US"/>
        </w:rPr>
        <w:t>. Additionally, flows that follow large natural events (i.e., Spring Fresh) are more likely to result in more erosion across the bank face as fresh deposits from the prior event have not been given time to set/consolidate to/with the bank face.</w:t>
      </w:r>
    </w:p>
    <w:p w14:paraId="1C04ACAF" w14:textId="179E5C99" w:rsidR="00AF0257" w:rsidRPr="00233D2E" w:rsidRDefault="00AF0257" w:rsidP="00DE6E94">
      <w:pPr>
        <w:pStyle w:val="ListParagraph"/>
        <w:numPr>
          <w:ilvl w:val="0"/>
          <w:numId w:val="65"/>
        </w:numPr>
        <w:rPr>
          <w:lang w:val="en-US"/>
        </w:rPr>
      </w:pPr>
      <w:r w:rsidRPr="007C7507">
        <w:rPr>
          <w:lang w:eastAsia="en-US"/>
        </w:rPr>
        <w:t xml:space="preserve">Prolonged dry periods to bank zones, such as those experienced with the mid/upper bank </w:t>
      </w:r>
      <w:r w:rsidR="00F4276E" w:rsidRPr="007C7507">
        <w:rPr>
          <w:lang w:eastAsia="en-US"/>
        </w:rPr>
        <w:t>(</w:t>
      </w:r>
      <w:proofErr w:type="gramStart"/>
      <w:r w:rsidR="00F4276E">
        <w:rPr>
          <w:lang w:eastAsia="en-US"/>
        </w:rPr>
        <w:t>i.e.</w:t>
      </w:r>
      <w:proofErr w:type="gramEnd"/>
      <w:r w:rsidR="00F4276E">
        <w:rPr>
          <w:lang w:eastAsia="en-US"/>
        </w:rPr>
        <w:t xml:space="preserve"> above the ~</w:t>
      </w:r>
      <w:r w:rsidR="00F4276E" w:rsidRPr="007C7507">
        <w:rPr>
          <w:lang w:eastAsia="en-US"/>
        </w:rPr>
        <w:t>4,000 ML/d</w:t>
      </w:r>
      <w:r w:rsidR="00F4276E">
        <w:rPr>
          <w:lang w:eastAsia="en-US"/>
        </w:rPr>
        <w:t xml:space="preserve"> bank height</w:t>
      </w:r>
      <w:r w:rsidR="00F4276E" w:rsidRPr="007C7507">
        <w:rPr>
          <w:lang w:eastAsia="en-US"/>
        </w:rPr>
        <w:t xml:space="preserve">) </w:t>
      </w:r>
      <w:r w:rsidRPr="007C7507">
        <w:rPr>
          <w:lang w:eastAsia="en-US"/>
        </w:rPr>
        <w:t xml:space="preserve">during the summer IVT period </w:t>
      </w:r>
      <w:r>
        <w:rPr>
          <w:lang w:eastAsia="en-US"/>
        </w:rPr>
        <w:t>give time for prior deposits in this zone to</w:t>
      </w:r>
      <w:r w:rsidRPr="007C7507">
        <w:rPr>
          <w:lang w:eastAsia="en-US"/>
        </w:rPr>
        <w:t xml:space="preserve"> consolidate</w:t>
      </w:r>
      <w:r>
        <w:rPr>
          <w:lang w:eastAsia="en-US"/>
        </w:rPr>
        <w:t xml:space="preserve"> and thus the expectation should be that erosion across this zone should be less (relative to similar events delivered in Spring</w:t>
      </w:r>
      <w:r w:rsidR="00D257E5">
        <w:rPr>
          <w:lang w:eastAsia="en-US"/>
        </w:rPr>
        <w:t>)</w:t>
      </w:r>
      <w:r>
        <w:rPr>
          <w:lang w:eastAsia="en-US"/>
        </w:rPr>
        <w:t>.</w:t>
      </w:r>
    </w:p>
    <w:p w14:paraId="7A617AE1" w14:textId="131889F3" w:rsidR="00AF0257" w:rsidRPr="00773022" w:rsidRDefault="00AF0257" w:rsidP="00DE6E94">
      <w:pPr>
        <w:pStyle w:val="ListParagraph"/>
        <w:numPr>
          <w:ilvl w:val="0"/>
          <w:numId w:val="65"/>
        </w:numPr>
        <w:rPr>
          <w:lang w:val="en-US"/>
        </w:rPr>
      </w:pPr>
      <w:r>
        <w:rPr>
          <w:lang w:eastAsia="en-US"/>
        </w:rPr>
        <w:t xml:space="preserve">Flow delivery that results in minor fluctuations to water level over an extended </w:t>
      </w:r>
      <w:proofErr w:type="gramStart"/>
      <w:r>
        <w:rPr>
          <w:lang w:eastAsia="en-US"/>
        </w:rPr>
        <w:t>period of time</w:t>
      </w:r>
      <w:proofErr w:type="gramEnd"/>
      <w:r>
        <w:rPr>
          <w:lang w:eastAsia="en-US"/>
        </w:rPr>
        <w:t xml:space="preserve"> results in a wetting/drying effect that interrupts the deposition</w:t>
      </w:r>
      <w:r w:rsidR="00C57EED">
        <w:rPr>
          <w:lang w:eastAsia="en-US"/>
        </w:rPr>
        <w:t xml:space="preserve"> -</w:t>
      </w:r>
      <w:r>
        <w:rPr>
          <w:lang w:eastAsia="en-US"/>
        </w:rPr>
        <w:t xml:space="preserve"> erosion cycle on riverbanks, expediting erosion events in these </w:t>
      </w:r>
      <w:r>
        <w:rPr>
          <w:lang w:eastAsia="en-US"/>
        </w:rPr>
        <w:lastRenderedPageBreak/>
        <w:t>zones. This process can lead to notch development and over time mass-failure events as evident in the data relating to the 2020-21 IVT delivery. Additionally, processes like this, which occur to the lower bank zone, can prepare the channel for future erosion events.</w:t>
      </w:r>
    </w:p>
    <w:p w14:paraId="3699F39A" w14:textId="632B28E2" w:rsidR="00D72929" w:rsidRDefault="00D72929" w:rsidP="00DE6E94">
      <w:pPr>
        <w:pStyle w:val="ListParagraph"/>
        <w:numPr>
          <w:ilvl w:val="0"/>
          <w:numId w:val="65"/>
        </w:numPr>
        <w:rPr>
          <w:lang w:val="en-US"/>
        </w:rPr>
      </w:pPr>
      <w:r>
        <w:rPr>
          <w:lang w:eastAsia="en-US"/>
        </w:rPr>
        <w:t xml:space="preserve">Increased deposition directly corresponds to the source and timing of the water delivery (i.e., dam versus tributary delivered water percentage). The Spring Fresh had an estimated 37% tributary flow contribution which was significantly higher than the 9% experienced during the Autumn Fresh. The deposition data clearly highlights the correlation between increased tributary flow contribution and the depth of deposition.  </w:t>
      </w:r>
    </w:p>
    <w:p w14:paraId="7E08130E" w14:textId="09CC5539" w:rsidR="00AF0257" w:rsidRPr="00C770E4" w:rsidRDefault="00AF0257" w:rsidP="00DE6E94">
      <w:pPr>
        <w:pStyle w:val="ListParagraph"/>
        <w:numPr>
          <w:ilvl w:val="0"/>
          <w:numId w:val="65"/>
        </w:numPr>
        <w:rPr>
          <w:lang w:val="en-US"/>
        </w:rPr>
      </w:pPr>
      <w:r>
        <w:rPr>
          <w:lang w:eastAsia="en-US"/>
        </w:rPr>
        <w:t>There</w:t>
      </w:r>
      <w:r w:rsidRPr="007C7507">
        <w:rPr>
          <w:lang w:eastAsia="en-US"/>
        </w:rPr>
        <w:t xml:space="preserve"> is a positive feedback loop between vegetation density/cover and riverbank resilience. Banks which showed the greatest erosion volumes lacked vegetation</w:t>
      </w:r>
      <w:r>
        <w:rPr>
          <w:lang w:eastAsia="en-US"/>
        </w:rPr>
        <w:t xml:space="preserve"> </w:t>
      </w:r>
      <w:r w:rsidRPr="007C7507">
        <w:rPr>
          <w:lang w:eastAsia="en-US"/>
        </w:rPr>
        <w:t xml:space="preserve">cover </w:t>
      </w:r>
      <w:r>
        <w:rPr>
          <w:lang w:eastAsia="en-US"/>
        </w:rPr>
        <w:t>and as a result the vegetation that remains will</w:t>
      </w:r>
      <w:r w:rsidRPr="007C7507">
        <w:rPr>
          <w:lang w:eastAsia="en-US"/>
        </w:rPr>
        <w:t xml:space="preserve"> arguably</w:t>
      </w:r>
      <w:r>
        <w:rPr>
          <w:lang w:eastAsia="en-US"/>
        </w:rPr>
        <w:t xml:space="preserve"> continue to</w:t>
      </w:r>
      <w:r w:rsidRPr="007C7507">
        <w:rPr>
          <w:lang w:eastAsia="en-US"/>
        </w:rPr>
        <w:t xml:space="preserve"> reced</w:t>
      </w:r>
      <w:r>
        <w:rPr>
          <w:lang w:eastAsia="en-US"/>
        </w:rPr>
        <w:t>e</w:t>
      </w:r>
      <w:r w:rsidRPr="007C7507">
        <w:rPr>
          <w:lang w:eastAsia="en-US"/>
        </w:rPr>
        <w:t xml:space="preserve"> as</w:t>
      </w:r>
      <w:r>
        <w:rPr>
          <w:lang w:eastAsia="en-US"/>
        </w:rPr>
        <w:t xml:space="preserve"> </w:t>
      </w:r>
      <w:r w:rsidRPr="007C7507">
        <w:rPr>
          <w:lang w:eastAsia="en-US"/>
        </w:rPr>
        <w:t xml:space="preserve">this erosion process continues. </w:t>
      </w:r>
      <w:r>
        <w:rPr>
          <w:lang w:eastAsia="en-US"/>
        </w:rPr>
        <w:t xml:space="preserve">Riverbanks with more cover gather more sediment which, if given time to consolidate to the bank face, will lead to more resilience over the longer term. </w:t>
      </w:r>
    </w:p>
    <w:p w14:paraId="16D0011E" w14:textId="77777777" w:rsidR="00AF0257" w:rsidRPr="00B21212" w:rsidRDefault="00AF0257" w:rsidP="00DE6E94">
      <w:pPr>
        <w:pStyle w:val="ListParagraph"/>
        <w:numPr>
          <w:ilvl w:val="0"/>
          <w:numId w:val="65"/>
        </w:numPr>
        <w:rPr>
          <w:lang w:val="en-US"/>
        </w:rPr>
      </w:pPr>
      <w:r>
        <w:rPr>
          <w:lang w:eastAsia="en-US"/>
        </w:rPr>
        <w:t xml:space="preserve">The increased vertical variability of sediment change, in addition to the lack of mass-failure events resulting from the two monitored environmental watering events, supports the hypothesis that flows with the appropriate rise and fall, which reach the upper bank </w:t>
      </w:r>
      <w:proofErr w:type="gramStart"/>
      <w:r>
        <w:rPr>
          <w:lang w:eastAsia="en-US"/>
        </w:rPr>
        <w:t>zones</w:t>
      </w:r>
      <w:proofErr w:type="gramEnd"/>
      <w:r>
        <w:rPr>
          <w:lang w:eastAsia="en-US"/>
        </w:rPr>
        <w:t xml:space="preserve"> and which consider prior events, will lead to positive long term results. Considerations for flow management remain the same as 2019-20 with the additional consideration that the duration of the period above 5,000 ML/d should be maximised within the recommended daily rates of rise and fall.</w:t>
      </w:r>
    </w:p>
    <w:p w14:paraId="0A69834A" w14:textId="7CA75E92" w:rsidR="00B61060" w:rsidRPr="00BA2632" w:rsidRDefault="00B61060" w:rsidP="003C58EF">
      <w:pPr>
        <w:pStyle w:val="Heading3"/>
      </w:pPr>
      <w:bookmarkStart w:id="93" w:name="_Toc84417327"/>
      <w:r w:rsidRPr="00BA2632">
        <w:t>Summary of previous findings and implications for any new finding</w:t>
      </w:r>
      <w:bookmarkEnd w:id="93"/>
      <w:r w:rsidRPr="00BA2632">
        <w:t xml:space="preserve"> </w:t>
      </w:r>
    </w:p>
    <w:p w14:paraId="34588CC8" w14:textId="3AA0FF32" w:rsidR="00AF0257" w:rsidRPr="00BA2632" w:rsidRDefault="00AF0257" w:rsidP="00AF0257">
      <w:pPr>
        <w:rPr>
          <w:b/>
          <w:bCs/>
          <w:i/>
          <w:iCs/>
          <w:lang w:eastAsia="en-US"/>
        </w:rPr>
      </w:pPr>
      <w:r w:rsidRPr="00BA2632">
        <w:rPr>
          <w:b/>
          <w:bCs/>
          <w:i/>
          <w:iCs/>
          <w:lang w:eastAsia="en-US"/>
        </w:rPr>
        <w:t>Previous findings</w:t>
      </w:r>
    </w:p>
    <w:p w14:paraId="712AE95F" w14:textId="77777777" w:rsidR="00790AC0" w:rsidRDefault="00790AC0" w:rsidP="00DE6E94">
      <w:pPr>
        <w:pStyle w:val="ListBullet"/>
        <w:numPr>
          <w:ilvl w:val="0"/>
          <w:numId w:val="96"/>
        </w:numPr>
        <w:rPr>
          <w:lang w:eastAsia="en-US"/>
        </w:rPr>
      </w:pPr>
      <w:r>
        <w:rPr>
          <w:lang w:eastAsia="en-US"/>
        </w:rPr>
        <w:t xml:space="preserve">In </w:t>
      </w:r>
      <w:proofErr w:type="gramStart"/>
      <w:r>
        <w:rPr>
          <w:lang w:eastAsia="en-US"/>
        </w:rPr>
        <w:t>the majority of</w:t>
      </w:r>
      <w:proofErr w:type="gramEnd"/>
      <w:r>
        <w:rPr>
          <w:lang w:eastAsia="en-US"/>
        </w:rPr>
        <w:t xml:space="preserve"> cases, increased bank erosion correlated with increased inundation duration. However, the pattern of a flow delivery (regarding the sequence of daily discharge volumes) is arguably a more critical factor when considering long-term bank condition. </w:t>
      </w:r>
    </w:p>
    <w:p w14:paraId="1647D6ED" w14:textId="50963943" w:rsidR="00790AC0" w:rsidRDefault="00790AC0" w:rsidP="00DE6E94">
      <w:pPr>
        <w:pStyle w:val="ListBullet"/>
        <w:numPr>
          <w:ilvl w:val="0"/>
          <w:numId w:val="96"/>
        </w:numPr>
        <w:rPr>
          <w:lang w:eastAsia="en-US"/>
        </w:rPr>
      </w:pPr>
      <w:r>
        <w:t>Current environmental flow management practices in the Goulburn River result in</w:t>
      </w:r>
      <w:r w:rsidR="003C312E">
        <w:t xml:space="preserve"> minor</w:t>
      </w:r>
      <w:r>
        <w:t xml:space="preserve"> erosion, this erosion however is relatively (to IVT deliveries) shallow in depth (&lt;3</w:t>
      </w:r>
      <w:r w:rsidR="003C312E">
        <w:t xml:space="preserve"> </w:t>
      </w:r>
      <w:r>
        <w:t>cm) and is expressed more evenly (on the vertical axis) across the bank face. With respect to the Spring Fresh, this erosion is located primarily within the upper half of the bank (correlating to flows above 3,000 ML/d) and at depths of less than 3 cm on average.</w:t>
      </w:r>
    </w:p>
    <w:p w14:paraId="5D0D0DD9" w14:textId="77777777" w:rsidR="00790AC0" w:rsidRDefault="00790AC0" w:rsidP="00DE6E94">
      <w:pPr>
        <w:pStyle w:val="ListBullet"/>
        <w:numPr>
          <w:ilvl w:val="0"/>
          <w:numId w:val="96"/>
        </w:numPr>
        <w:rPr>
          <w:lang w:eastAsia="en-US"/>
        </w:rPr>
      </w:pPr>
      <w:r>
        <w:rPr>
          <w:lang w:eastAsia="en-US"/>
        </w:rPr>
        <w:t xml:space="preserve">Deposition volume did not correspond directly with inundation duration and appears more closely related to a) bank erosion (where deposition is located beneath) </w:t>
      </w:r>
      <w:proofErr w:type="gramStart"/>
      <w:r>
        <w:rPr>
          <w:lang w:eastAsia="en-US"/>
        </w:rPr>
        <w:t>and,</w:t>
      </w:r>
      <w:proofErr w:type="gramEnd"/>
      <w:r>
        <w:rPr>
          <w:lang w:eastAsia="en-US"/>
        </w:rPr>
        <w:t xml:space="preserve"> b) seasonal variables, such as % of tributary flow contribution and sediment input resulting from rain events etc. (more apparent during Autumn Recession flow event), and c) the vegetation cover at a bank level. Vegetation cover appeared to play a major role at inside banks at Darcy’s Track and Loch Garry. </w:t>
      </w:r>
    </w:p>
    <w:p w14:paraId="58D9302C" w14:textId="3D2C8D80" w:rsidR="00790AC0" w:rsidRDefault="00790AC0" w:rsidP="00DE6E94">
      <w:pPr>
        <w:pStyle w:val="ListBullet"/>
        <w:numPr>
          <w:ilvl w:val="0"/>
          <w:numId w:val="96"/>
        </w:numPr>
        <w:rPr>
          <w:lang w:eastAsia="en-US"/>
        </w:rPr>
      </w:pPr>
      <w:r>
        <w:rPr>
          <w:lang w:eastAsia="en-US"/>
        </w:rPr>
        <w:t xml:space="preserve">Although IVT flows resulted in extensive areas (laterally) of deep, defined erosion, mass-failure events were isolated to one bank at </w:t>
      </w:r>
      <w:r w:rsidR="0051561C">
        <w:rPr>
          <w:lang w:eastAsia="en-US"/>
        </w:rPr>
        <w:t>Darcy’s</w:t>
      </w:r>
      <w:r>
        <w:rPr>
          <w:lang w:eastAsia="en-US"/>
        </w:rPr>
        <w:t xml:space="preserve"> Track (Bank D), there was no evidence of widespread mass-failure events across the system as </w:t>
      </w:r>
      <w:r w:rsidR="00167E99">
        <w:rPr>
          <w:lang w:eastAsia="en-US"/>
        </w:rPr>
        <w:t xml:space="preserve">was </w:t>
      </w:r>
      <w:r>
        <w:rPr>
          <w:lang w:eastAsia="en-US"/>
        </w:rPr>
        <w:t xml:space="preserve">identified in 2018-19. Erosion was deep (up to 20 cm) and in some cases there was evidence of the formation of notching at bank zones corresponding to the upper quartile of IVT deliveries (2,000-3,000 ML/d). This was more apparent on inside banks where vegetation had receded over the years. Erosion on outside banks was expressed with greater vertical variability in zones correlating to flows. </w:t>
      </w:r>
    </w:p>
    <w:p w14:paraId="1F19E8DE" w14:textId="77777777" w:rsidR="00790AC0" w:rsidRDefault="00790AC0" w:rsidP="00DE6E94">
      <w:pPr>
        <w:pStyle w:val="ListBullet"/>
        <w:numPr>
          <w:ilvl w:val="0"/>
          <w:numId w:val="96"/>
        </w:numPr>
        <w:rPr>
          <w:lang w:eastAsia="en-US"/>
        </w:rPr>
      </w:pPr>
      <w:r>
        <w:rPr>
          <w:lang w:eastAsia="en-US"/>
        </w:rPr>
        <w:t>Sequencing of flow events played a key role for some banks. Clearly in some cases, deposition from previous events increased the erosion recorded during the following events. Additionally, the stress put on banks during the prolonged IVT period arguably enhanced the erosion volumes recorded from the final Recession flow event.</w:t>
      </w:r>
    </w:p>
    <w:p w14:paraId="4007612B" w14:textId="3EAB08A6" w:rsidR="00790AC0" w:rsidRDefault="00790AC0" w:rsidP="00DE6E94">
      <w:pPr>
        <w:pStyle w:val="ListBullet"/>
        <w:numPr>
          <w:ilvl w:val="0"/>
          <w:numId w:val="96"/>
        </w:numPr>
        <w:rPr>
          <w:lang w:eastAsia="en-US"/>
        </w:rPr>
      </w:pPr>
      <w:r>
        <w:rPr>
          <w:lang w:eastAsia="en-US"/>
        </w:rPr>
        <w:t xml:space="preserve">The benefits of environmental flows may be offset by operational flows such as the IVT. The impact of the previous year IVT delivery (2019-20) was evident across banks monitored for all three events (Spring Fresh, IVT and Autumn Fresh), it can be assumed that this year’s IVT will also contribute to future </w:t>
      </w:r>
      <w:r w:rsidR="00167E99">
        <w:rPr>
          <w:lang w:eastAsia="en-US"/>
        </w:rPr>
        <w:t>erosion</w:t>
      </w:r>
      <w:r>
        <w:rPr>
          <w:lang w:eastAsia="en-US"/>
        </w:rPr>
        <w:t xml:space="preserve"> events in 2021 and 2022 within the system due to the defined nature of IVT related erosion and its position on the lower bank. These processes are resulting in the continued retreat of the lower bank from 2019 to 2021.</w:t>
      </w:r>
    </w:p>
    <w:p w14:paraId="76278443" w14:textId="77777777" w:rsidR="00790AC0" w:rsidRDefault="00790AC0" w:rsidP="00DE6E94">
      <w:pPr>
        <w:pStyle w:val="ListBullet"/>
        <w:numPr>
          <w:ilvl w:val="0"/>
          <w:numId w:val="96"/>
        </w:numPr>
        <w:rPr>
          <w:lang w:eastAsia="en-US"/>
        </w:rPr>
      </w:pPr>
      <w:r>
        <w:rPr>
          <w:lang w:eastAsia="en-US"/>
        </w:rPr>
        <w:t>Considerations for flow management (as noted in MER 2018-19 report) should include:</w:t>
      </w:r>
    </w:p>
    <w:p w14:paraId="6509EFC8" w14:textId="77777777" w:rsidR="00790AC0" w:rsidRDefault="00790AC0" w:rsidP="00DE6E94">
      <w:pPr>
        <w:pStyle w:val="ListBullet2"/>
        <w:numPr>
          <w:ilvl w:val="1"/>
          <w:numId w:val="96"/>
        </w:numPr>
        <w:rPr>
          <w:lang w:eastAsia="en-US"/>
        </w:rPr>
      </w:pPr>
      <w:r>
        <w:rPr>
          <w:lang w:eastAsia="en-US"/>
        </w:rPr>
        <w:t>Maintaining variability in flows and water levels to maintain bank wetting at varying levels to avoid bank notching. It was confirmed that notching occurred during the IVT flows, including lower bank recession</w:t>
      </w:r>
    </w:p>
    <w:p w14:paraId="4940A5CB" w14:textId="77777777" w:rsidR="00790AC0" w:rsidRDefault="00790AC0" w:rsidP="00DE6E94">
      <w:pPr>
        <w:pStyle w:val="ListBullet2"/>
        <w:numPr>
          <w:ilvl w:val="1"/>
          <w:numId w:val="96"/>
        </w:numPr>
        <w:rPr>
          <w:lang w:eastAsia="en-US"/>
        </w:rPr>
      </w:pPr>
      <w:r>
        <w:rPr>
          <w:lang w:eastAsia="en-US"/>
        </w:rPr>
        <w:t xml:space="preserve">Maintain ‘piggy backing’ on tributary inflows to draw upon sediment and seed supplies from tributaries. The role of tributary flows needs further analysis, but </w:t>
      </w:r>
      <w:proofErr w:type="gramStart"/>
      <w:r>
        <w:rPr>
          <w:lang w:eastAsia="en-US"/>
        </w:rPr>
        <w:t>it is clear that increases</w:t>
      </w:r>
      <w:proofErr w:type="gramEnd"/>
      <w:r>
        <w:rPr>
          <w:lang w:eastAsia="en-US"/>
        </w:rPr>
        <w:t xml:space="preserve"> in tributary percentage of flow lead to greater volumes of deposition (the data from 2019-20 supports conclusions from 2018-19)  </w:t>
      </w:r>
    </w:p>
    <w:p w14:paraId="50254A4A" w14:textId="77777777" w:rsidR="00790AC0" w:rsidRDefault="00790AC0" w:rsidP="00DE6E94">
      <w:pPr>
        <w:pStyle w:val="ListBullet2"/>
        <w:numPr>
          <w:ilvl w:val="1"/>
          <w:numId w:val="96"/>
        </w:numPr>
        <w:rPr>
          <w:lang w:eastAsia="en-US"/>
        </w:rPr>
      </w:pPr>
      <w:r>
        <w:rPr>
          <w:lang w:eastAsia="en-US"/>
        </w:rPr>
        <w:lastRenderedPageBreak/>
        <w:t xml:space="preserve">Manage maximum rates of flow recession within current levels to avoid bank surcharging and erosion and to allow mud drapes to develop. Mud drapes on banks have been associated with vegetation growth. </w:t>
      </w:r>
    </w:p>
    <w:p w14:paraId="419FE827" w14:textId="01EDA491" w:rsidR="00790AC0" w:rsidRDefault="00790AC0" w:rsidP="00DE6E94">
      <w:pPr>
        <w:pStyle w:val="ListBullet2"/>
        <w:numPr>
          <w:ilvl w:val="1"/>
          <w:numId w:val="96"/>
        </w:numPr>
        <w:rPr>
          <w:lang w:eastAsia="en-US"/>
        </w:rPr>
      </w:pPr>
      <w:r>
        <w:rPr>
          <w:lang w:eastAsia="en-US"/>
        </w:rPr>
        <w:t>Design</w:t>
      </w:r>
      <w:r w:rsidR="00C80553">
        <w:rPr>
          <w:lang w:eastAsia="en-US"/>
        </w:rPr>
        <w:t xml:space="preserve"> environmental</w:t>
      </w:r>
      <w:r>
        <w:rPr>
          <w:lang w:eastAsia="en-US"/>
        </w:rPr>
        <w:t xml:space="preserve"> flows that follow the IVT period (i.e., the Autumn Fresh) to target the upper bank zone, avoid long duration within IVT zones, and to align to the daily drawdown guidelines discussed between DELWP and the CMA.</w:t>
      </w:r>
    </w:p>
    <w:p w14:paraId="2E99EFE5" w14:textId="77777777" w:rsidR="00790AC0" w:rsidRDefault="00790AC0" w:rsidP="00DE6E94">
      <w:pPr>
        <w:pStyle w:val="ListBullet2"/>
        <w:numPr>
          <w:ilvl w:val="1"/>
          <w:numId w:val="96"/>
        </w:numPr>
        <w:rPr>
          <w:lang w:eastAsia="en-US"/>
        </w:rPr>
      </w:pPr>
      <w:r>
        <w:rPr>
          <w:lang w:eastAsia="en-US"/>
        </w:rPr>
        <w:t>Continue the modification of flow management as a collaborative effort between researchers and water managers.</w:t>
      </w:r>
    </w:p>
    <w:p w14:paraId="7A04DC73" w14:textId="4D6AF442" w:rsidR="00AF0257" w:rsidRPr="00BA2632" w:rsidRDefault="00AF0257" w:rsidP="00AF0257">
      <w:pPr>
        <w:rPr>
          <w:b/>
          <w:bCs/>
          <w:i/>
          <w:lang w:eastAsia="en-US"/>
        </w:rPr>
      </w:pPr>
      <w:r w:rsidRPr="00BA2632">
        <w:rPr>
          <w:b/>
          <w:bCs/>
          <w:i/>
          <w:lang w:eastAsia="en-US"/>
        </w:rPr>
        <w:t>Implications for new findings</w:t>
      </w:r>
    </w:p>
    <w:p w14:paraId="278A29C8" w14:textId="7365AE18" w:rsidR="00AF0257" w:rsidRPr="00B750AA" w:rsidRDefault="00AF0257" w:rsidP="0029141C">
      <w:pPr>
        <w:pStyle w:val="ListBullet"/>
        <w:rPr>
          <w:lang w:eastAsia="en-US"/>
        </w:rPr>
      </w:pPr>
      <w:r w:rsidRPr="00B750AA">
        <w:rPr>
          <w:lang w:eastAsia="en-US"/>
        </w:rPr>
        <w:t>All of these findings were supported in the data collected from the 2020-21 program</w:t>
      </w:r>
      <w:r>
        <w:rPr>
          <w:lang w:eastAsia="en-US"/>
        </w:rPr>
        <w:t>;</w:t>
      </w:r>
      <w:r w:rsidRPr="00F441A0">
        <w:rPr>
          <w:lang w:eastAsia="en-US"/>
        </w:rPr>
        <w:t xml:space="preserve"> the only major difference</w:t>
      </w:r>
      <w:r w:rsidRPr="0002470F">
        <w:rPr>
          <w:lang w:eastAsia="en-US"/>
        </w:rPr>
        <w:t>s were (1) the increased impact of preparation resulting from the IVT event to erosion to the lower bank (Darcy</w:t>
      </w:r>
      <w:r>
        <w:rPr>
          <w:lang w:eastAsia="en-US"/>
        </w:rPr>
        <w:t>’</w:t>
      </w:r>
      <w:r w:rsidRPr="0002470F">
        <w:rPr>
          <w:lang w:eastAsia="en-US"/>
        </w:rPr>
        <w:t>s Track Bank D), and (2), the clear impact of the increased tributary flow during the Spring Fresh event of 2020 on deposition depth (being greater than found in response to the Autumn Fresh</w:t>
      </w:r>
      <w:r w:rsidR="001A3BD1">
        <w:rPr>
          <w:lang w:eastAsia="en-US"/>
        </w:rPr>
        <w:t>, which had a lower tributary contribution</w:t>
      </w:r>
      <w:r w:rsidRPr="0002470F">
        <w:rPr>
          <w:lang w:eastAsia="en-US"/>
        </w:rPr>
        <w:t>)</w:t>
      </w:r>
      <w:r w:rsidR="00242271">
        <w:rPr>
          <w:lang w:eastAsia="en-US"/>
        </w:rPr>
        <w:t>.</w:t>
      </w:r>
    </w:p>
    <w:p w14:paraId="7A7196D3" w14:textId="77777777" w:rsidR="00AF0257" w:rsidRPr="00F441A0" w:rsidRDefault="00AF0257" w:rsidP="0029141C">
      <w:pPr>
        <w:pStyle w:val="ListBullet"/>
        <w:rPr>
          <w:lang w:eastAsia="en-US"/>
        </w:rPr>
      </w:pPr>
      <w:r w:rsidRPr="00B750AA">
        <w:rPr>
          <w:lang w:eastAsia="en-US"/>
        </w:rPr>
        <w:t>2020</w:t>
      </w:r>
      <w:r>
        <w:rPr>
          <w:lang w:eastAsia="en-US"/>
        </w:rPr>
        <w:t>-</w:t>
      </w:r>
      <w:r w:rsidRPr="00F441A0">
        <w:rPr>
          <w:lang w:eastAsia="en-US"/>
        </w:rPr>
        <w:t xml:space="preserve">21 monitoring supports the findings from prior years that large </w:t>
      </w:r>
      <w:r w:rsidRPr="00F441A0">
        <w:rPr>
          <w:i/>
          <w:iCs/>
          <w:lang w:eastAsia="en-US"/>
        </w:rPr>
        <w:t>freshes</w:t>
      </w:r>
      <w:r w:rsidRPr="00F441A0">
        <w:rPr>
          <w:lang w:eastAsia="en-US"/>
        </w:rPr>
        <w:t xml:space="preserve"> if delivered as advised can lead to positive results regarding channel form.</w:t>
      </w:r>
    </w:p>
    <w:p w14:paraId="57931245" w14:textId="164D07EE" w:rsidR="00B61060" w:rsidRPr="00BA2632" w:rsidRDefault="00B61060" w:rsidP="003C58EF">
      <w:pPr>
        <w:pStyle w:val="Heading3"/>
      </w:pPr>
      <w:bookmarkStart w:id="94" w:name="_Toc84417328"/>
      <w:r w:rsidRPr="00BA2632">
        <w:t>Summary of findings relevant to evaluation questions</w:t>
      </w:r>
      <w:bookmarkEnd w:id="94"/>
    </w:p>
    <w:p w14:paraId="4EDBB0C3" w14:textId="3C25A861" w:rsidR="00AF0257" w:rsidRPr="005A2F4B" w:rsidRDefault="000B75AF" w:rsidP="00AF0257">
      <w:pPr>
        <w:pStyle w:val="Caption"/>
        <w:rPr>
          <w:b w:val="0"/>
          <w:lang w:eastAsia="en-US"/>
        </w:rPr>
      </w:pPr>
      <w:bookmarkStart w:id="95" w:name="_Ref83645118"/>
      <w:r w:rsidRPr="000B75AF">
        <w:rPr>
          <w:b w:val="0"/>
          <w:lang w:eastAsia="en-US"/>
        </w:rPr>
        <w:t>Table 4</w:t>
      </w:r>
      <w:r w:rsidRPr="000B75AF">
        <w:rPr>
          <w:b w:val="0"/>
          <w:lang w:eastAsia="en-US"/>
        </w:rPr>
        <w:noBreakHyphen/>
        <w:t>2</w:t>
      </w:r>
      <w:r w:rsidR="005A2F4B">
        <w:rPr>
          <w:b w:val="0"/>
          <w:lang w:eastAsia="en-US"/>
        </w:rPr>
        <w:t xml:space="preserve"> </w:t>
      </w:r>
      <w:r w:rsidR="00AF0257" w:rsidRPr="004B71AE">
        <w:rPr>
          <w:b w:val="0"/>
          <w:lang w:eastAsia="en-US"/>
        </w:rPr>
        <w:t xml:space="preserve">provides a summary of the physical habitat findings relevant to the evaluation questions. A more detailed examination of each evaluation question is provided in section </w:t>
      </w:r>
      <w:r>
        <w:rPr>
          <w:b w:val="0"/>
          <w:lang w:eastAsia="en-US"/>
        </w:rPr>
        <w:t>4.5</w:t>
      </w:r>
      <w:r w:rsidR="00AF0257" w:rsidRPr="004B71AE">
        <w:rPr>
          <w:b w:val="0"/>
          <w:lang w:eastAsia="en-US"/>
        </w:rPr>
        <w:t>.</w:t>
      </w:r>
    </w:p>
    <w:p w14:paraId="7AD27118" w14:textId="769FAC67" w:rsidR="00482F33" w:rsidRDefault="00482F33" w:rsidP="00AF0257">
      <w:pPr>
        <w:pStyle w:val="Caption"/>
      </w:pPr>
      <w:bookmarkStart w:id="96" w:name="_Ref83760597"/>
      <w:bookmarkStart w:id="97" w:name="_Toc95391457"/>
      <w:r>
        <w:t xml:space="preserve">Table </w:t>
      </w:r>
      <w:r w:rsidR="000B75AF">
        <w:rPr>
          <w:noProof/>
        </w:rPr>
        <w:t>4</w:t>
      </w:r>
      <w:r w:rsidR="000B75AF">
        <w:noBreakHyphen/>
      </w:r>
      <w:r w:rsidR="000B75AF">
        <w:rPr>
          <w:noProof/>
        </w:rPr>
        <w:t>2</w:t>
      </w:r>
      <w:bookmarkEnd w:id="95"/>
      <w:bookmarkEnd w:id="96"/>
      <w:r>
        <w:t xml:space="preserve"> </w:t>
      </w:r>
      <w:r w:rsidRPr="0076215A">
        <w:t>Summary of physical habitat findings relevant to evaluation questions.</w:t>
      </w:r>
      <w:bookmarkEnd w:id="97"/>
    </w:p>
    <w:tbl>
      <w:tblPr>
        <w:tblStyle w:val="TableGrid"/>
        <w:tblW w:w="997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tblCellMar>
        <w:tblLook w:val="04A0" w:firstRow="1" w:lastRow="0" w:firstColumn="1" w:lastColumn="0" w:noHBand="0" w:noVBand="1"/>
      </w:tblPr>
      <w:tblGrid>
        <w:gridCol w:w="1980"/>
        <w:gridCol w:w="2126"/>
        <w:gridCol w:w="3402"/>
        <w:gridCol w:w="2467"/>
      </w:tblGrid>
      <w:tr w:rsidR="00AF0257" w:rsidRPr="00BA2632" w14:paraId="278C9689" w14:textId="77777777" w:rsidTr="005D1CBE">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FFFFFF" w:themeColor="background2"/>
            </w:tcBorders>
            <w:shd w:val="clear" w:color="auto" w:fill="00338D"/>
          </w:tcPr>
          <w:p w14:paraId="52BE3B1E" w14:textId="77777777" w:rsidR="00AF0257" w:rsidRPr="00BA2632" w:rsidRDefault="00AF0257" w:rsidP="00E26D3C">
            <w:pPr>
              <w:pStyle w:val="Tablesmalltext"/>
              <w:jc w:val="left"/>
              <w:rPr>
                <w:rFonts w:ascii="Calibri" w:hAnsi="Calibri"/>
                <w:sz w:val="18"/>
                <w:szCs w:val="18"/>
              </w:rPr>
            </w:pPr>
            <w:r w:rsidRPr="00BA2632">
              <w:rPr>
                <w:rFonts w:ascii="Calibri" w:hAnsi="Calibri"/>
                <w:sz w:val="18"/>
                <w:szCs w:val="18"/>
              </w:rPr>
              <w:t>Question</w:t>
            </w:r>
          </w:p>
        </w:tc>
        <w:tc>
          <w:tcPr>
            <w:tcW w:w="2126" w:type="dxa"/>
            <w:tcBorders>
              <w:left w:val="single" w:sz="4" w:space="0" w:color="FFFFFF" w:themeColor="background2"/>
              <w:right w:val="single" w:sz="4" w:space="0" w:color="FFFFFF" w:themeColor="background2"/>
            </w:tcBorders>
            <w:shd w:val="clear" w:color="auto" w:fill="00338D"/>
          </w:tcPr>
          <w:p w14:paraId="66EECC3B" w14:textId="77777777" w:rsidR="00AF0257" w:rsidRPr="00BA2632" w:rsidRDefault="00AF0257" w:rsidP="00E26D3C">
            <w:pPr>
              <w:pStyle w:val="Tablesmalltext"/>
              <w:jc w:val="left"/>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BA2632">
              <w:rPr>
                <w:rFonts w:ascii="Calibri" w:hAnsi="Calibri"/>
                <w:sz w:val="18"/>
                <w:szCs w:val="18"/>
              </w:rPr>
              <w:t>Were appropriate flows provided?</w:t>
            </w:r>
          </w:p>
        </w:tc>
        <w:tc>
          <w:tcPr>
            <w:tcW w:w="3402" w:type="dxa"/>
            <w:tcBorders>
              <w:left w:val="single" w:sz="4" w:space="0" w:color="FFFFFF" w:themeColor="background2"/>
              <w:right w:val="single" w:sz="4" w:space="0" w:color="FFFFFF" w:themeColor="background2"/>
            </w:tcBorders>
            <w:shd w:val="clear" w:color="auto" w:fill="00338D"/>
          </w:tcPr>
          <w:p w14:paraId="721DE792" w14:textId="77777777" w:rsidR="00AF0257" w:rsidRPr="00BA2632" w:rsidRDefault="00AF0257" w:rsidP="00E26D3C">
            <w:pPr>
              <w:pStyle w:val="Tablesmalltext"/>
              <w:jc w:val="left"/>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BA2632">
              <w:rPr>
                <w:rFonts w:ascii="Calibri" w:hAnsi="Calibri"/>
                <w:sz w:val="18"/>
                <w:szCs w:val="18"/>
              </w:rPr>
              <w:t>Effect of environmental flows</w:t>
            </w:r>
          </w:p>
        </w:tc>
        <w:tc>
          <w:tcPr>
            <w:tcW w:w="2467" w:type="dxa"/>
            <w:tcBorders>
              <w:left w:val="single" w:sz="4" w:space="0" w:color="FFFFFF" w:themeColor="background2"/>
            </w:tcBorders>
            <w:shd w:val="clear" w:color="auto" w:fill="00338D"/>
          </w:tcPr>
          <w:p w14:paraId="0049BAB6" w14:textId="77777777" w:rsidR="00AF0257" w:rsidRPr="00BA2632" w:rsidRDefault="00AF0257" w:rsidP="00E26D3C">
            <w:pPr>
              <w:pStyle w:val="Tablesmalltext"/>
              <w:jc w:val="left"/>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BA2632">
              <w:rPr>
                <w:rFonts w:ascii="Calibri" w:hAnsi="Calibri"/>
                <w:sz w:val="18"/>
                <w:szCs w:val="18"/>
              </w:rPr>
              <w:t>What information was the evaluation based on?</w:t>
            </w:r>
          </w:p>
        </w:tc>
      </w:tr>
      <w:tr w:rsidR="00AF0257" w:rsidRPr="00BA2632" w14:paraId="7B525ACF" w14:textId="77777777" w:rsidTr="005D1C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2"/>
          </w:tcPr>
          <w:p w14:paraId="5777C502" w14:textId="77777777" w:rsidR="00AF0257" w:rsidRPr="006666E2" w:rsidRDefault="00AF0257" w:rsidP="00E26D3C">
            <w:pPr>
              <w:pStyle w:val="Tablesmalltext"/>
              <w:jc w:val="left"/>
              <w:rPr>
                <w:rFonts w:ascii="Calibri" w:hAnsi="Calibri"/>
                <w:sz w:val="18"/>
                <w:szCs w:val="18"/>
              </w:rPr>
            </w:pPr>
            <w:r w:rsidRPr="006666E2">
              <w:rPr>
                <w:rStyle w:val="Strong"/>
                <w:rFonts w:ascii="Calibri" w:hAnsi="Calibri"/>
                <w:b/>
                <w:bCs w:val="0"/>
                <w:sz w:val="18"/>
                <w:szCs w:val="18"/>
              </w:rPr>
              <w:t>How do CEWH environmental/variable flows contribute to sustaining (</w:t>
            </w:r>
            <w:r w:rsidRPr="006666E2">
              <w:rPr>
                <w:rStyle w:val="Strong"/>
                <w:rFonts w:ascii="Calibri" w:hAnsi="Calibri"/>
                <w:b/>
                <w:sz w:val="18"/>
                <w:szCs w:val="18"/>
              </w:rPr>
              <w:t xml:space="preserve">or adversely impacting) </w:t>
            </w:r>
            <w:r w:rsidRPr="006666E2">
              <w:rPr>
                <w:rStyle w:val="Strong"/>
                <w:rFonts w:ascii="Calibri" w:hAnsi="Calibri"/>
                <w:b/>
                <w:bCs w:val="0"/>
                <w:sz w:val="18"/>
                <w:szCs w:val="18"/>
              </w:rPr>
              <w:t xml:space="preserve">bank condition? </w:t>
            </w:r>
          </w:p>
        </w:tc>
        <w:tc>
          <w:tcPr>
            <w:tcW w:w="2126" w:type="dxa"/>
            <w:shd w:val="clear" w:color="auto" w:fill="FFFFFF" w:themeFill="background2"/>
          </w:tcPr>
          <w:p w14:paraId="28CDD1A4" w14:textId="77777777" w:rsidR="00AF0257" w:rsidRPr="006666E2" w:rsidRDefault="00AF0257"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6666E2">
              <w:rPr>
                <w:rFonts w:ascii="Calibri" w:hAnsi="Calibri"/>
                <w:sz w:val="18"/>
                <w:szCs w:val="18"/>
              </w:rPr>
              <w:t xml:space="preserve">Spring freshes were appropriate but a longer duration for the Recession flow in April was needed to reduce the impact of the falling limb of this event on bank condition </w:t>
            </w:r>
          </w:p>
        </w:tc>
        <w:tc>
          <w:tcPr>
            <w:tcW w:w="3402" w:type="dxa"/>
            <w:shd w:val="clear" w:color="auto" w:fill="FFFFFF" w:themeFill="background2"/>
          </w:tcPr>
          <w:p w14:paraId="7AF05A57" w14:textId="77777777" w:rsidR="00AF0257" w:rsidRPr="006666E2" w:rsidRDefault="00AF0257"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6666E2">
              <w:rPr>
                <w:rFonts w:ascii="Calibri" w:hAnsi="Calibri"/>
                <w:sz w:val="18"/>
                <w:szCs w:val="18"/>
              </w:rPr>
              <w:t>Spring freshes resulted in an acceptable amount of erosion and deposition across a wide area of the vertical bank zone. Erosion to the upper bank zone is natural and helps to reset erosion (and notching) in the lower bank zone caused by irrigation flows.</w:t>
            </w:r>
          </w:p>
          <w:p w14:paraId="71C6ACAB" w14:textId="77777777" w:rsidR="00AF0257" w:rsidRPr="006666E2" w:rsidRDefault="00AF0257"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6666E2">
              <w:rPr>
                <w:rFonts w:ascii="Calibri" w:hAnsi="Calibri"/>
                <w:sz w:val="18"/>
                <w:szCs w:val="18"/>
              </w:rPr>
              <w:t xml:space="preserve">However, the April Recession flow led to increased erosion due to its sequential position (directly after the IVT period).  </w:t>
            </w:r>
          </w:p>
        </w:tc>
        <w:tc>
          <w:tcPr>
            <w:tcW w:w="2467" w:type="dxa"/>
            <w:shd w:val="clear" w:color="auto" w:fill="FFFFFF" w:themeFill="background2"/>
          </w:tcPr>
          <w:p w14:paraId="6DDB2011" w14:textId="77777777" w:rsidR="00AF0257" w:rsidRPr="006666E2" w:rsidRDefault="00AF0257"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6666E2">
              <w:rPr>
                <w:rFonts w:ascii="Calibri" w:hAnsi="Calibri"/>
                <w:sz w:val="18"/>
                <w:szCs w:val="18"/>
              </w:rPr>
              <w:t>Visual expressions of change through DEMODs</w:t>
            </w:r>
          </w:p>
          <w:p w14:paraId="0A6A2770" w14:textId="77777777" w:rsidR="00AF0257" w:rsidRPr="006666E2" w:rsidRDefault="00AF0257"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p>
          <w:p w14:paraId="25779F86" w14:textId="77777777" w:rsidR="00AF0257" w:rsidRPr="006666E2" w:rsidRDefault="00AF0257"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6666E2">
              <w:rPr>
                <w:rFonts w:ascii="Calibri" w:hAnsi="Calibri"/>
                <w:sz w:val="18"/>
                <w:szCs w:val="18"/>
              </w:rPr>
              <w:t>Statistical analysis of data</w:t>
            </w:r>
          </w:p>
          <w:p w14:paraId="792F951E" w14:textId="77777777" w:rsidR="00AF0257" w:rsidRPr="006666E2" w:rsidRDefault="00AF0257"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p>
          <w:p w14:paraId="31789E01" w14:textId="77777777" w:rsidR="00AF0257" w:rsidRPr="006666E2" w:rsidRDefault="00AF0257"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p>
        </w:tc>
      </w:tr>
      <w:tr w:rsidR="00AF0257" w:rsidRPr="00BA2632" w14:paraId="52BA752C" w14:textId="77777777" w:rsidTr="005D1CB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2"/>
          </w:tcPr>
          <w:p w14:paraId="2172BE39" w14:textId="77777777" w:rsidR="00AF0257" w:rsidRPr="006666E2" w:rsidRDefault="00AF0257" w:rsidP="00E26D3C">
            <w:pPr>
              <w:pStyle w:val="Tablesmalltext"/>
              <w:jc w:val="left"/>
              <w:rPr>
                <w:rFonts w:ascii="Calibri" w:hAnsi="Calibri"/>
                <w:sz w:val="18"/>
                <w:szCs w:val="18"/>
              </w:rPr>
            </w:pPr>
            <w:r w:rsidRPr="006666E2">
              <w:rPr>
                <w:rStyle w:val="Strong"/>
                <w:rFonts w:ascii="Calibri" w:hAnsi="Calibri"/>
                <w:b/>
                <w:bCs w:val="0"/>
                <w:sz w:val="18"/>
                <w:szCs w:val="18"/>
              </w:rPr>
              <w:t>How do timing and delivery of CEWH environmental/variable flows affect bank condition of rivers?</w:t>
            </w:r>
          </w:p>
        </w:tc>
        <w:tc>
          <w:tcPr>
            <w:tcW w:w="2126" w:type="dxa"/>
            <w:shd w:val="clear" w:color="auto" w:fill="FFFFFF" w:themeFill="background2"/>
          </w:tcPr>
          <w:p w14:paraId="49F85079" w14:textId="77777777" w:rsidR="00AF0257" w:rsidRPr="006666E2" w:rsidRDefault="00AF0257"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6666E2">
              <w:rPr>
                <w:rFonts w:ascii="Calibri" w:hAnsi="Calibri"/>
                <w:sz w:val="18"/>
                <w:szCs w:val="18"/>
              </w:rPr>
              <w:t>The Recession Flow, which followed the IVT flow period, could have been increased to peak above 3,000 ML/d rather than mirroring the IVT flows of the summer months</w:t>
            </w:r>
          </w:p>
        </w:tc>
        <w:tc>
          <w:tcPr>
            <w:tcW w:w="3402" w:type="dxa"/>
            <w:shd w:val="clear" w:color="auto" w:fill="FFFFFF" w:themeFill="background2"/>
          </w:tcPr>
          <w:p w14:paraId="5633FB89" w14:textId="77777777" w:rsidR="00AF0257" w:rsidRPr="006666E2" w:rsidRDefault="00AF0257"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6666E2">
              <w:rPr>
                <w:rFonts w:ascii="Calibri" w:hAnsi="Calibri"/>
                <w:sz w:val="18"/>
                <w:szCs w:val="18"/>
              </w:rPr>
              <w:t xml:space="preserve">As mentioned above, the Recession flows led to increased erosion (due to the preparation from the IVT flow period), but also more deposition arguably due to increased tributary flow contribution. </w:t>
            </w:r>
          </w:p>
        </w:tc>
        <w:tc>
          <w:tcPr>
            <w:tcW w:w="2467" w:type="dxa"/>
            <w:shd w:val="clear" w:color="auto" w:fill="FFFFFF" w:themeFill="background2"/>
          </w:tcPr>
          <w:p w14:paraId="23459ED9" w14:textId="77777777" w:rsidR="00AF0257" w:rsidRPr="006666E2" w:rsidRDefault="00AF0257"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6666E2">
              <w:rPr>
                <w:rFonts w:ascii="Calibri" w:hAnsi="Calibri"/>
                <w:sz w:val="18"/>
                <w:szCs w:val="18"/>
              </w:rPr>
              <w:t>Visual expressions of change through DEMODs</w:t>
            </w:r>
          </w:p>
          <w:p w14:paraId="40EBA9C6" w14:textId="77777777" w:rsidR="00AF0257" w:rsidRPr="006666E2" w:rsidRDefault="00AF0257"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p>
          <w:p w14:paraId="2BDCDA96" w14:textId="77777777" w:rsidR="00AF0257" w:rsidRPr="006666E2" w:rsidRDefault="00AF0257"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p>
        </w:tc>
      </w:tr>
      <w:tr w:rsidR="00AF0257" w:rsidRPr="00BA2632" w14:paraId="31B891C5" w14:textId="77777777" w:rsidTr="005D1C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2"/>
          </w:tcPr>
          <w:p w14:paraId="562DFA2A" w14:textId="77777777" w:rsidR="00AF0257" w:rsidRPr="006666E2" w:rsidRDefault="00AF0257" w:rsidP="00E26D3C">
            <w:pPr>
              <w:pStyle w:val="Tablesmalltext"/>
              <w:jc w:val="left"/>
              <w:rPr>
                <w:rFonts w:ascii="Calibri" w:hAnsi="Calibri"/>
                <w:sz w:val="18"/>
                <w:szCs w:val="18"/>
              </w:rPr>
            </w:pPr>
            <w:r w:rsidRPr="006666E2">
              <w:rPr>
                <w:rStyle w:val="Strong"/>
                <w:rFonts w:ascii="Calibri" w:hAnsi="Calibri"/>
                <w:b/>
                <w:bCs w:val="0"/>
                <w:sz w:val="18"/>
                <w:szCs w:val="18"/>
              </w:rPr>
              <w:t>What timing and delivery of CEWH environmental/variable flows best sustain or improve bank condition for vegetation growth?</w:t>
            </w:r>
          </w:p>
        </w:tc>
        <w:tc>
          <w:tcPr>
            <w:tcW w:w="2126" w:type="dxa"/>
            <w:shd w:val="clear" w:color="auto" w:fill="FFFFFF" w:themeFill="background2"/>
          </w:tcPr>
          <w:p w14:paraId="3CE30DA7" w14:textId="77777777" w:rsidR="00AF0257" w:rsidRPr="006666E2" w:rsidRDefault="00AF0257"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6666E2">
              <w:rPr>
                <w:rFonts w:ascii="Calibri" w:hAnsi="Calibri"/>
                <w:sz w:val="18"/>
                <w:szCs w:val="18"/>
              </w:rPr>
              <w:t>To support vegetation growth flows should be delivered prior to, during, and after the prolonged summer irrigation period</w:t>
            </w:r>
          </w:p>
        </w:tc>
        <w:tc>
          <w:tcPr>
            <w:tcW w:w="3402" w:type="dxa"/>
            <w:shd w:val="clear" w:color="auto" w:fill="FFFFFF" w:themeFill="background2"/>
          </w:tcPr>
          <w:p w14:paraId="6D8F84D3" w14:textId="77777777" w:rsidR="00AF0257" w:rsidRPr="006666E2" w:rsidRDefault="00AF0257"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6666E2">
              <w:rPr>
                <w:rFonts w:ascii="Calibri" w:hAnsi="Calibri"/>
                <w:sz w:val="18"/>
                <w:szCs w:val="18"/>
              </w:rPr>
              <w:t>Prolonged inundation to the lower-mid bank during the IVT flow period is detrimental to vegetation growth during the hot dry months. The Spring Fresh was well timed to aid vegetation health prior to summer IVT period.</w:t>
            </w:r>
          </w:p>
        </w:tc>
        <w:tc>
          <w:tcPr>
            <w:tcW w:w="2467" w:type="dxa"/>
            <w:shd w:val="clear" w:color="auto" w:fill="FFFFFF" w:themeFill="background2"/>
          </w:tcPr>
          <w:p w14:paraId="35E78598" w14:textId="77777777" w:rsidR="00AF0257" w:rsidRPr="006666E2" w:rsidRDefault="00AF0257"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6666E2">
              <w:rPr>
                <w:rFonts w:ascii="Calibri" w:hAnsi="Calibri"/>
                <w:sz w:val="18"/>
                <w:szCs w:val="18"/>
              </w:rPr>
              <w:t>Visual expressions of change through DEMODs</w:t>
            </w:r>
          </w:p>
          <w:p w14:paraId="0DFCE446" w14:textId="77777777" w:rsidR="00AF0257" w:rsidRPr="006666E2" w:rsidRDefault="00AF0257"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p>
          <w:p w14:paraId="39CE12EB" w14:textId="77777777" w:rsidR="00AF0257" w:rsidRPr="006666E2" w:rsidRDefault="00AF0257"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6666E2">
              <w:rPr>
                <w:rFonts w:ascii="Calibri" w:hAnsi="Calibri"/>
                <w:sz w:val="18"/>
                <w:szCs w:val="18"/>
              </w:rPr>
              <w:t>On-ground observations during field visits</w:t>
            </w:r>
          </w:p>
        </w:tc>
      </w:tr>
      <w:tr w:rsidR="00AF0257" w:rsidRPr="00BA2632" w14:paraId="35437687" w14:textId="77777777" w:rsidTr="005D1CB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2"/>
          </w:tcPr>
          <w:p w14:paraId="10BD0896" w14:textId="77777777" w:rsidR="00AF0257" w:rsidRPr="006666E2" w:rsidRDefault="00AF0257" w:rsidP="00E26D3C">
            <w:pPr>
              <w:pStyle w:val="Tablesmalltext"/>
              <w:jc w:val="left"/>
              <w:rPr>
                <w:rFonts w:ascii="Calibri" w:hAnsi="Calibri"/>
                <w:sz w:val="18"/>
                <w:szCs w:val="18"/>
              </w:rPr>
            </w:pPr>
            <w:r w:rsidRPr="006666E2">
              <w:rPr>
                <w:rStyle w:val="Strong"/>
                <w:rFonts w:ascii="Calibri" w:hAnsi="Calibri"/>
                <w:b/>
                <w:bCs w:val="0"/>
                <w:sz w:val="18"/>
                <w:szCs w:val="18"/>
              </w:rPr>
              <w:t>How do vegetation responses to CEWH environmental/variable flows vary between sites with different channel features and different bank condition?</w:t>
            </w:r>
          </w:p>
        </w:tc>
        <w:tc>
          <w:tcPr>
            <w:tcW w:w="2126" w:type="dxa"/>
            <w:shd w:val="clear" w:color="auto" w:fill="FFFFFF" w:themeFill="background2"/>
          </w:tcPr>
          <w:p w14:paraId="3EFF2A0D" w14:textId="77777777" w:rsidR="00AF0257" w:rsidRPr="006666E2" w:rsidRDefault="00AF0257"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6666E2">
              <w:rPr>
                <w:rFonts w:ascii="Calibri" w:hAnsi="Calibri"/>
                <w:sz w:val="18"/>
                <w:szCs w:val="18"/>
              </w:rPr>
              <w:t>NA</w:t>
            </w:r>
          </w:p>
        </w:tc>
        <w:tc>
          <w:tcPr>
            <w:tcW w:w="3402" w:type="dxa"/>
            <w:shd w:val="clear" w:color="auto" w:fill="FFFFFF" w:themeFill="background2"/>
          </w:tcPr>
          <w:p w14:paraId="5DFCFA1B" w14:textId="77777777" w:rsidR="00AF0257" w:rsidRPr="006666E2" w:rsidRDefault="00AF0257"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6666E2">
              <w:rPr>
                <w:rFonts w:ascii="Calibri" w:hAnsi="Calibri"/>
                <w:sz w:val="18"/>
                <w:szCs w:val="18"/>
              </w:rPr>
              <w:t xml:space="preserve">Inside banks collect more sediment due to reduced fluvial stresses and increased deposition. Areas of bank with existing vegetation have more resilience to the stresses of flow and conversely bare banks have less resilience. This highlights the positive feedback loop between vegetation cover and condition. </w:t>
            </w:r>
          </w:p>
        </w:tc>
        <w:tc>
          <w:tcPr>
            <w:tcW w:w="2467" w:type="dxa"/>
            <w:shd w:val="clear" w:color="auto" w:fill="FFFFFF" w:themeFill="background2"/>
          </w:tcPr>
          <w:p w14:paraId="4D13BF4A" w14:textId="77777777" w:rsidR="00AF0257" w:rsidRPr="006666E2" w:rsidRDefault="00AF0257"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6666E2">
              <w:rPr>
                <w:rFonts w:ascii="Calibri" w:hAnsi="Calibri"/>
                <w:sz w:val="18"/>
                <w:szCs w:val="18"/>
              </w:rPr>
              <w:t>Visual expressions of change through DEMODs</w:t>
            </w:r>
          </w:p>
          <w:p w14:paraId="099E5FCA" w14:textId="77777777" w:rsidR="00AF0257" w:rsidRPr="006666E2" w:rsidRDefault="00AF0257"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p>
          <w:p w14:paraId="1BCD7D0F" w14:textId="77777777" w:rsidR="00AF0257" w:rsidRPr="006666E2" w:rsidRDefault="00AF0257"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6666E2">
              <w:rPr>
                <w:rFonts w:ascii="Calibri" w:hAnsi="Calibri"/>
                <w:sz w:val="18"/>
                <w:szCs w:val="18"/>
              </w:rPr>
              <w:t>On-ground observations during field visits</w:t>
            </w:r>
          </w:p>
        </w:tc>
      </w:tr>
    </w:tbl>
    <w:p w14:paraId="66009475" w14:textId="3F4C4870" w:rsidR="003D1EA3" w:rsidRPr="00BA2632" w:rsidRDefault="003D1EA3" w:rsidP="003D1EA3"/>
    <w:p w14:paraId="409CFB33" w14:textId="29C28E44" w:rsidR="00B61060" w:rsidRDefault="00B61060" w:rsidP="003C58EF">
      <w:pPr>
        <w:pStyle w:val="Heading2"/>
      </w:pPr>
      <w:bookmarkStart w:id="98" w:name="_Toc51769669"/>
      <w:bookmarkStart w:id="99" w:name="_Toc84416085"/>
      <w:bookmarkStart w:id="100" w:name="_Toc84417329"/>
      <w:bookmarkStart w:id="101" w:name="_Toc84475672"/>
      <w:r w:rsidRPr="00BA2632">
        <w:t>Monitoring methods and analytical techniques</w:t>
      </w:r>
      <w:bookmarkEnd w:id="98"/>
      <w:bookmarkEnd w:id="99"/>
      <w:bookmarkEnd w:id="100"/>
      <w:bookmarkEnd w:id="101"/>
    </w:p>
    <w:p w14:paraId="39B14B93" w14:textId="64A38A94" w:rsidR="00E057BD" w:rsidRDefault="00E057BD" w:rsidP="006671ED">
      <w:pPr>
        <w:pStyle w:val="Heading3"/>
      </w:pPr>
      <w:bookmarkStart w:id="102" w:name="_Toc84417330"/>
      <w:r w:rsidRPr="00BA2632">
        <w:t>Site</w:t>
      </w:r>
      <w:r>
        <w:t>s</w:t>
      </w:r>
      <w:bookmarkEnd w:id="102"/>
    </w:p>
    <w:p w14:paraId="61AD0F61" w14:textId="50023C5A" w:rsidR="00E057BD" w:rsidRPr="005E50E1" w:rsidRDefault="00E057BD" w:rsidP="00570367">
      <w:r w:rsidRPr="005E50E1">
        <w:t>The following figures describe the location of the banks of interest at each of the Goulburn River physical habitat monitoring sites: Darcy’s Track</w:t>
      </w:r>
      <w:r w:rsidR="009802A4">
        <w:t xml:space="preserve"> (</w:t>
      </w:r>
      <w:r w:rsidR="000B75AF">
        <w:t xml:space="preserve">Figure </w:t>
      </w:r>
      <w:r w:rsidR="000B75AF">
        <w:rPr>
          <w:noProof/>
        </w:rPr>
        <w:t>4</w:t>
      </w:r>
      <w:r w:rsidR="000B75AF">
        <w:rPr>
          <w:noProof/>
        </w:rPr>
        <w:noBreakHyphen/>
        <w:t>1</w:t>
      </w:r>
      <w:r w:rsidR="009802A4">
        <w:t>)</w:t>
      </w:r>
      <w:r w:rsidRPr="005E50E1">
        <w:t>, Loch Garry</w:t>
      </w:r>
      <w:r w:rsidR="009802A4">
        <w:t xml:space="preserve"> (</w:t>
      </w:r>
      <w:r w:rsidR="000B75AF">
        <w:t xml:space="preserve">Figure </w:t>
      </w:r>
      <w:r w:rsidR="000B75AF">
        <w:rPr>
          <w:noProof/>
        </w:rPr>
        <w:t>4</w:t>
      </w:r>
      <w:r w:rsidR="000B75AF">
        <w:rPr>
          <w:noProof/>
        </w:rPr>
        <w:noBreakHyphen/>
        <w:t>2</w:t>
      </w:r>
      <w:r w:rsidR="009802A4">
        <w:t>)</w:t>
      </w:r>
      <w:r w:rsidRPr="005E50E1">
        <w:t xml:space="preserve"> and McCoy’s Bridge</w:t>
      </w:r>
      <w:r w:rsidR="00570367">
        <w:t xml:space="preserve"> (</w:t>
      </w:r>
      <w:r w:rsidR="000B75AF">
        <w:t xml:space="preserve">Figure </w:t>
      </w:r>
      <w:r w:rsidR="000B75AF">
        <w:rPr>
          <w:noProof/>
        </w:rPr>
        <w:t>4</w:t>
      </w:r>
      <w:r w:rsidR="000B75AF">
        <w:rPr>
          <w:noProof/>
        </w:rPr>
        <w:noBreakHyphen/>
        <w:t>3</w:t>
      </w:r>
      <w:r w:rsidR="00570367">
        <w:t>)</w:t>
      </w:r>
      <w:r w:rsidRPr="005E50E1">
        <w:t>. Banks are referenced with letters, such as “Bank D” and these names are used throughout the report in partnership with the site names, for example Bank D, Darcy’s Track.</w:t>
      </w:r>
    </w:p>
    <w:p w14:paraId="4733F94B" w14:textId="77777777" w:rsidR="00E057BD" w:rsidRDefault="00E057BD" w:rsidP="00896ACF">
      <w:pPr>
        <w:pStyle w:val="Para0"/>
        <w:keepNext/>
        <w:jc w:val="center"/>
      </w:pPr>
      <w:r>
        <w:rPr>
          <w:noProof/>
          <w:lang w:val="en-GB"/>
        </w:rPr>
        <w:drawing>
          <wp:inline distT="0" distB="0" distL="0" distR="0" wp14:anchorId="26AFA64C" wp14:editId="7819C641">
            <wp:extent cx="5984630" cy="4038600"/>
            <wp:effectExtent l="0" t="0" r="0" b="0"/>
            <wp:docPr id="59" name="Pictur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Map&#10;&#10;Description automatically generated"/>
                    <pic:cNvPicPr/>
                  </pic:nvPicPr>
                  <pic:blipFill>
                    <a:blip r:embed="rId22" cstate="email">
                      <a:extLst>
                        <a:ext uri="{28A0092B-C50C-407E-A947-70E740481C1C}">
                          <a14:useLocalDpi xmlns:a14="http://schemas.microsoft.com/office/drawing/2010/main"/>
                        </a:ext>
                      </a:extLst>
                    </a:blip>
                    <a:stretch>
                      <a:fillRect/>
                    </a:stretch>
                  </pic:blipFill>
                  <pic:spPr>
                    <a:xfrm>
                      <a:off x="0" y="0"/>
                      <a:ext cx="5997225" cy="4047099"/>
                    </a:xfrm>
                    <a:prstGeom prst="rect">
                      <a:avLst/>
                    </a:prstGeom>
                  </pic:spPr>
                </pic:pic>
              </a:graphicData>
            </a:graphic>
          </wp:inline>
        </w:drawing>
      </w:r>
    </w:p>
    <w:p w14:paraId="2FEF9228" w14:textId="72963A16" w:rsidR="00E057BD" w:rsidRDefault="00E057BD" w:rsidP="00E057BD">
      <w:pPr>
        <w:pStyle w:val="Caption"/>
      </w:pPr>
      <w:bookmarkStart w:id="103" w:name="_Ref83819368"/>
      <w:bookmarkStart w:id="104" w:name="_Toc83907733"/>
      <w:bookmarkStart w:id="105" w:name="_Toc84475634"/>
      <w:r>
        <w:t xml:space="preserve">Figure </w:t>
      </w:r>
      <w:r w:rsidR="00B85158">
        <w:rPr>
          <w:noProof/>
        </w:rPr>
        <w:t>4</w:t>
      </w:r>
      <w:r w:rsidR="00B85158">
        <w:noBreakHyphen/>
      </w:r>
      <w:r w:rsidR="00B85158">
        <w:rPr>
          <w:noProof/>
        </w:rPr>
        <w:t>1</w:t>
      </w:r>
      <w:bookmarkEnd w:id="103"/>
      <w:r>
        <w:t xml:space="preserve"> </w:t>
      </w:r>
      <w:r w:rsidRPr="009F49DC">
        <w:t>Location of Banks of Interest at Darcy’s Track – Goulburn River.</w:t>
      </w:r>
      <w:bookmarkEnd w:id="104"/>
      <w:bookmarkEnd w:id="105"/>
    </w:p>
    <w:p w14:paraId="14C6CF31" w14:textId="77777777" w:rsidR="00E057BD" w:rsidRDefault="00E057BD" w:rsidP="00E057BD">
      <w:pPr>
        <w:pStyle w:val="Para0"/>
      </w:pPr>
      <w:r>
        <w:t xml:space="preserve"> </w:t>
      </w:r>
    </w:p>
    <w:p w14:paraId="2A07494B" w14:textId="77777777" w:rsidR="00E057BD" w:rsidRDefault="00E057BD" w:rsidP="00896ACF">
      <w:pPr>
        <w:pStyle w:val="Caption"/>
        <w:keepNext/>
        <w:jc w:val="center"/>
      </w:pPr>
      <w:r>
        <w:rPr>
          <w:noProof/>
          <w:lang w:val="en-GB"/>
        </w:rPr>
        <w:lastRenderedPageBreak/>
        <w:drawing>
          <wp:inline distT="0" distB="0" distL="0" distR="0" wp14:anchorId="722CBB0F" wp14:editId="7A7977D7">
            <wp:extent cx="5981700" cy="4054622"/>
            <wp:effectExtent l="0" t="0" r="0" b="3175"/>
            <wp:docPr id="60" name="Picture 60" descr="A screenshot of a 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screenshot of a map&#10;&#10;Description automatically generated with low confidence"/>
                    <pic:cNvPicPr/>
                  </pic:nvPicPr>
                  <pic:blipFill>
                    <a:blip r:embed="rId23" cstate="email">
                      <a:extLst>
                        <a:ext uri="{28A0092B-C50C-407E-A947-70E740481C1C}">
                          <a14:useLocalDpi xmlns:a14="http://schemas.microsoft.com/office/drawing/2010/main"/>
                        </a:ext>
                      </a:extLst>
                    </a:blip>
                    <a:stretch>
                      <a:fillRect/>
                    </a:stretch>
                  </pic:blipFill>
                  <pic:spPr>
                    <a:xfrm>
                      <a:off x="0" y="0"/>
                      <a:ext cx="5983013" cy="4055512"/>
                    </a:xfrm>
                    <a:prstGeom prst="rect">
                      <a:avLst/>
                    </a:prstGeom>
                  </pic:spPr>
                </pic:pic>
              </a:graphicData>
            </a:graphic>
          </wp:inline>
        </w:drawing>
      </w:r>
    </w:p>
    <w:p w14:paraId="74938873" w14:textId="2750FD91" w:rsidR="00E057BD" w:rsidRDefault="00E057BD" w:rsidP="00E057BD">
      <w:pPr>
        <w:pStyle w:val="Caption"/>
        <w:keepNext/>
      </w:pPr>
      <w:bookmarkStart w:id="106" w:name="_Ref83819381"/>
      <w:bookmarkStart w:id="107" w:name="_Toc83907734"/>
      <w:bookmarkStart w:id="108" w:name="_Toc84475635"/>
      <w:r>
        <w:t xml:space="preserve">Figure </w:t>
      </w:r>
      <w:r w:rsidR="00B85158">
        <w:rPr>
          <w:noProof/>
        </w:rPr>
        <w:t>4</w:t>
      </w:r>
      <w:r w:rsidR="00B85158">
        <w:noBreakHyphen/>
      </w:r>
      <w:r w:rsidR="00B85158">
        <w:rPr>
          <w:noProof/>
        </w:rPr>
        <w:t>2</w:t>
      </w:r>
      <w:bookmarkEnd w:id="106"/>
      <w:r>
        <w:t xml:space="preserve"> Location of Bank of Interest at Loch Garry – Goulburn River.</w:t>
      </w:r>
      <w:bookmarkEnd w:id="107"/>
      <w:bookmarkEnd w:id="108"/>
    </w:p>
    <w:p w14:paraId="5AE6AB8C" w14:textId="77777777" w:rsidR="00E057BD" w:rsidRDefault="00E057BD" w:rsidP="00896ACF">
      <w:pPr>
        <w:pStyle w:val="Caption"/>
        <w:keepNext/>
        <w:jc w:val="center"/>
      </w:pPr>
      <w:r>
        <w:rPr>
          <w:noProof/>
          <w:lang w:val="en-GB"/>
        </w:rPr>
        <w:drawing>
          <wp:inline distT="0" distB="0" distL="0" distR="0" wp14:anchorId="63F265EF" wp14:editId="34F98B90">
            <wp:extent cx="5995228" cy="4053840"/>
            <wp:effectExtent l="0" t="0" r="5715" b="381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24" cstate="email">
                      <a:extLst>
                        <a:ext uri="{28A0092B-C50C-407E-A947-70E740481C1C}">
                          <a14:useLocalDpi xmlns:a14="http://schemas.microsoft.com/office/drawing/2010/main"/>
                        </a:ext>
                      </a:extLst>
                    </a:blip>
                    <a:stretch>
                      <a:fillRect/>
                    </a:stretch>
                  </pic:blipFill>
                  <pic:spPr>
                    <a:xfrm>
                      <a:off x="0" y="0"/>
                      <a:ext cx="6000246" cy="4057233"/>
                    </a:xfrm>
                    <a:prstGeom prst="rect">
                      <a:avLst/>
                    </a:prstGeom>
                  </pic:spPr>
                </pic:pic>
              </a:graphicData>
            </a:graphic>
          </wp:inline>
        </w:drawing>
      </w:r>
    </w:p>
    <w:p w14:paraId="5E4FF8CB" w14:textId="08F4BCD7" w:rsidR="00E057BD" w:rsidRPr="009B6E0E" w:rsidRDefault="00E057BD" w:rsidP="00E057BD">
      <w:pPr>
        <w:pStyle w:val="Caption"/>
      </w:pPr>
      <w:bookmarkStart w:id="109" w:name="_Ref83819395"/>
      <w:bookmarkStart w:id="110" w:name="_Toc83907735"/>
      <w:bookmarkStart w:id="111" w:name="_Toc84475636"/>
      <w:r>
        <w:t xml:space="preserve">Figure </w:t>
      </w:r>
      <w:r w:rsidR="00B85158">
        <w:rPr>
          <w:noProof/>
        </w:rPr>
        <w:t>4</w:t>
      </w:r>
      <w:r w:rsidR="00B85158">
        <w:noBreakHyphen/>
      </w:r>
      <w:r w:rsidR="00B85158">
        <w:rPr>
          <w:noProof/>
        </w:rPr>
        <w:t>3</w:t>
      </w:r>
      <w:bookmarkEnd w:id="109"/>
      <w:r>
        <w:t xml:space="preserve"> Location of Banks of Interest at McCoy’s Bridge – Goulburn River.</w:t>
      </w:r>
      <w:bookmarkEnd w:id="110"/>
      <w:bookmarkEnd w:id="111"/>
    </w:p>
    <w:p w14:paraId="3D0862E8" w14:textId="48F03140" w:rsidR="00E057BD" w:rsidRPr="00402731" w:rsidRDefault="00E057BD" w:rsidP="00E057BD">
      <w:pPr>
        <w:pStyle w:val="Heading3"/>
      </w:pPr>
      <w:bookmarkStart w:id="112" w:name="_Toc84417331"/>
      <w:r>
        <w:lastRenderedPageBreak/>
        <w:t>Methods</w:t>
      </w:r>
      <w:bookmarkEnd w:id="112"/>
    </w:p>
    <w:p w14:paraId="05C72BFC" w14:textId="77777777" w:rsidR="00E057BD" w:rsidRPr="00BA2632" w:rsidRDefault="00E057BD" w:rsidP="00E057BD">
      <w:r w:rsidRPr="00BA2632">
        <w:t>Outcomes of environmental water use were based on periodic monitoring and the resulting quantitative data combined with observations in the field</w:t>
      </w:r>
      <w:r>
        <w:t xml:space="preserve">, </w:t>
      </w:r>
      <w:r w:rsidRPr="00BA2632">
        <w:t>historic research</w:t>
      </w:r>
      <w:r>
        <w:t>,</w:t>
      </w:r>
      <w:r w:rsidRPr="00BA2632">
        <w:t xml:space="preserve"> and findings from past projects on the Goulburn.</w:t>
      </w:r>
    </w:p>
    <w:p w14:paraId="44EF23E2" w14:textId="073FEE39" w:rsidR="00E057BD" w:rsidRPr="00BA2632" w:rsidRDefault="00E057BD" w:rsidP="00E057BD">
      <w:r w:rsidRPr="00BA2632">
        <w:t>Bank erosion was assessed in the LTIM Project using erosion pins and measurements of erosion and deposition. In 2019</w:t>
      </w:r>
      <w:r>
        <w:noBreakHyphen/>
      </w:r>
      <w:r w:rsidRPr="00BA2632">
        <w:t xml:space="preserve">20 the method </w:t>
      </w:r>
      <w:r>
        <w:t>was</w:t>
      </w:r>
      <w:r w:rsidRPr="00BA2632" w:rsidDel="00063B9D">
        <w:t xml:space="preserve"> </w:t>
      </w:r>
      <w:r w:rsidRPr="00BA2632">
        <w:t>updated to use an Unmanned Aerial Vehicle (UAV)</w:t>
      </w:r>
      <w:r w:rsidR="00570367">
        <w:t xml:space="preserve"> – this method was continued in 2020-21</w:t>
      </w:r>
      <w:r w:rsidRPr="00BA2632">
        <w:t xml:space="preserve">.  Specifically, UAV flights are made before and after a flow event to create a Digital Elevation Model of Difference (DEMOD), which is the comparison of two 3D models of the same bank, before and after a flow event. The output of this method is far superior to the erosion pins method used previously, as </w:t>
      </w:r>
      <w:proofErr w:type="gramStart"/>
      <w:r w:rsidRPr="00BA2632">
        <w:t>it</w:t>
      </w:r>
      <w:proofErr w:type="gramEnd"/>
      <w:r w:rsidRPr="00BA2632">
        <w:t xml:space="preserve"> a) </w:t>
      </w:r>
      <w:r>
        <w:t>creates a</w:t>
      </w:r>
      <w:r w:rsidRPr="00BA2632">
        <w:t xml:space="preserve"> </w:t>
      </w:r>
      <w:r>
        <w:t xml:space="preserve">very high-resolution </w:t>
      </w:r>
      <w:r w:rsidRPr="00BA2632">
        <w:t>(</w:t>
      </w:r>
      <w:r>
        <w:t>tens of thousands of points per m²)</w:t>
      </w:r>
      <w:r w:rsidRPr="00BA2632">
        <w:t xml:space="preserve"> </w:t>
      </w:r>
      <w:r>
        <w:t>model of bank form across</w:t>
      </w:r>
      <w:r w:rsidRPr="00BA2632">
        <w:t xml:space="preserve"> the entire bank section being surveyed, and b) provides a visualisation of the change occurring on banks, therefore allowing the analysis of the geomorphic processes contributing to erosion and deposition in response to flow events.</w:t>
      </w:r>
    </w:p>
    <w:p w14:paraId="25407DEE" w14:textId="287A6AEE" w:rsidR="00E057BD" w:rsidRPr="00BA2632" w:rsidRDefault="00E057BD" w:rsidP="00E057BD">
      <w:r w:rsidRPr="00BA2632">
        <w:t xml:space="preserve">The infographic below in </w:t>
      </w:r>
      <w:r w:rsidR="008A34AC" w:rsidRPr="00BA2632">
        <w:t xml:space="preserve">Figure </w:t>
      </w:r>
      <w:r w:rsidR="008A34AC">
        <w:rPr>
          <w:noProof/>
        </w:rPr>
        <w:t>4</w:t>
      </w:r>
      <w:r w:rsidR="008A34AC">
        <w:rPr>
          <w:noProof/>
        </w:rPr>
        <w:noBreakHyphen/>
        <w:t>4</w:t>
      </w:r>
      <w:r w:rsidRPr="00BA2632">
        <w:t xml:space="preserve"> provides an overview of the methodology used to monitor bank condition in response to hydrological events delivered within the Goulburn system during the last 12 months. For a more detailed description of these methods refer to the DEWLP IVT Monitoring report 2019/20 </w:t>
      </w:r>
      <w:r w:rsidR="00C13F49">
        <w:rPr>
          <w:noProof/>
        </w:rPr>
        <w:t>(Streamology &amp; Arthur Rylah Institute 2020)</w:t>
      </w:r>
      <w:r w:rsidRPr="00BA2632">
        <w:t>.</w:t>
      </w:r>
      <w:r>
        <w:t xml:space="preserve"> </w:t>
      </w:r>
      <w:proofErr w:type="gramStart"/>
      <w:r>
        <w:t>A number of</w:t>
      </w:r>
      <w:proofErr w:type="gramEnd"/>
      <w:r>
        <w:t xml:space="preserve"> riverbanks were surveyed at the following sites along the Goulburn River:</w:t>
      </w:r>
      <w:r w:rsidRPr="00BA2632">
        <w:t xml:space="preserve"> Darcy’s Track, Loch Garry and McC</w:t>
      </w:r>
      <w:r>
        <w:t>oy’s Bridge.</w:t>
      </w:r>
    </w:p>
    <w:p w14:paraId="362BCB5C" w14:textId="77777777" w:rsidR="00E057BD" w:rsidRPr="00BA2632" w:rsidRDefault="00E057BD" w:rsidP="00E057BD">
      <w:pPr>
        <w:pStyle w:val="SNormalText"/>
        <w:jc w:val="center"/>
        <w:rPr>
          <w:lang w:val="en-AU"/>
        </w:rPr>
      </w:pPr>
      <w:r w:rsidRPr="00BA2632">
        <w:rPr>
          <w:noProof/>
          <w:lang w:val="en-GB" w:eastAsia="zh-CN"/>
        </w:rPr>
        <w:drawing>
          <wp:inline distT="0" distB="0" distL="0" distR="0" wp14:anchorId="7DFAFA0A" wp14:editId="20574506">
            <wp:extent cx="4364460" cy="4105275"/>
            <wp:effectExtent l="0" t="0" r="0" b="0"/>
            <wp:docPr id="74" name="Picture 7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ext&#10;&#10;Description automatically generated"/>
                    <pic:cNvPicPr/>
                  </pic:nvPicPr>
                  <pic:blipFill>
                    <a:blip r:embed="rId25" cstate="email">
                      <a:extLst>
                        <a:ext uri="{28A0092B-C50C-407E-A947-70E740481C1C}">
                          <a14:useLocalDpi xmlns:a14="http://schemas.microsoft.com/office/drawing/2010/main"/>
                        </a:ext>
                      </a:extLst>
                    </a:blip>
                    <a:stretch>
                      <a:fillRect/>
                    </a:stretch>
                  </pic:blipFill>
                  <pic:spPr>
                    <a:xfrm>
                      <a:off x="0" y="0"/>
                      <a:ext cx="4391950" cy="4131132"/>
                    </a:xfrm>
                    <a:prstGeom prst="rect">
                      <a:avLst/>
                    </a:prstGeom>
                  </pic:spPr>
                </pic:pic>
              </a:graphicData>
            </a:graphic>
          </wp:inline>
        </w:drawing>
      </w:r>
    </w:p>
    <w:p w14:paraId="49254F3B" w14:textId="6CC18A49" w:rsidR="00E057BD" w:rsidRDefault="00E057BD" w:rsidP="00E057BD">
      <w:pPr>
        <w:pStyle w:val="Caption"/>
      </w:pPr>
      <w:bookmarkStart w:id="113" w:name="_Ref52195098"/>
      <w:bookmarkStart w:id="114" w:name="_Toc51769674"/>
      <w:bookmarkStart w:id="115" w:name="_Toc49237183"/>
      <w:bookmarkStart w:id="116" w:name="_Toc83907736"/>
      <w:bookmarkStart w:id="117" w:name="_Toc84475637"/>
      <w:r w:rsidRPr="00BA2632">
        <w:t xml:space="preserve">Figure </w:t>
      </w:r>
      <w:r w:rsidR="00B85158">
        <w:rPr>
          <w:noProof/>
        </w:rPr>
        <w:t>4</w:t>
      </w:r>
      <w:r w:rsidR="00B85158">
        <w:noBreakHyphen/>
      </w:r>
      <w:r w:rsidR="00B85158">
        <w:rPr>
          <w:noProof/>
        </w:rPr>
        <w:t>4</w:t>
      </w:r>
      <w:bookmarkEnd w:id="113"/>
      <w:bookmarkEnd w:id="114"/>
      <w:bookmarkEnd w:id="115"/>
      <w:r w:rsidRPr="00BA2632">
        <w:t xml:space="preserve"> Infographic providing an over-view of the methodology applied to bank and vegetation condition analysis using UAV technology </w:t>
      </w:r>
      <w:r w:rsidR="00C13F49">
        <w:rPr>
          <w:noProof/>
        </w:rPr>
        <w:t>(Streamology &amp; Arthur Rylah Institute 2020)</w:t>
      </w:r>
      <w:r w:rsidRPr="00BA2632">
        <w:t>.</w:t>
      </w:r>
      <w:bookmarkEnd w:id="116"/>
      <w:bookmarkEnd w:id="117"/>
    </w:p>
    <w:p w14:paraId="375D56DC" w14:textId="6F10FE10" w:rsidR="00E057BD" w:rsidRDefault="00E057BD" w:rsidP="00E057BD">
      <w:pPr>
        <w:pStyle w:val="Heading3"/>
      </w:pPr>
      <w:bookmarkStart w:id="118" w:name="_Toc84417332"/>
      <w:r>
        <w:t>Bayesian analysis</w:t>
      </w:r>
      <w:bookmarkEnd w:id="118"/>
    </w:p>
    <w:p w14:paraId="12DA1A41" w14:textId="77777777" w:rsidR="00E057BD" w:rsidRDefault="00E057BD" w:rsidP="00E057BD">
      <w:pPr>
        <w:rPr>
          <w:lang w:eastAsia="en-US"/>
        </w:rPr>
      </w:pPr>
      <w:r>
        <w:rPr>
          <w:lang w:eastAsia="en-US"/>
        </w:rPr>
        <w:t>In addition to the descriptive results below, erosion and deposition data were analysed with a hierarchical Bayesian model that related erosion or deposition to the duration of inundation experienced by a point on the bank. For these analyses, 1000 spatial points were selected at random from each bank in the analysis and changes over time from before to after flow events were assessed. The model is presented below.</w:t>
      </w:r>
    </w:p>
    <w:p w14:paraId="542DEB68" w14:textId="410DB925" w:rsidR="00E057BD" w:rsidRPr="001745D2" w:rsidRDefault="004D2D53" w:rsidP="00E057BD">
      <w:pPr>
        <w:pStyle w:val="Para1narrowarrow"/>
        <w:keepNext/>
        <w:spacing w:after="160" w:line="259" w:lineRule="auto"/>
        <w:ind w:left="0" w:firstLine="0"/>
        <w:jc w:val="right"/>
        <w:rPr>
          <w:rFonts w:cs="Arial"/>
          <w:szCs w:val="20"/>
        </w:rPr>
      </w:pPr>
      <m:oMath>
        <m:sSub>
          <m:sSubPr>
            <m:ctrlPr>
              <w:rPr>
                <w:rFonts w:ascii="Cambria Math" w:hAnsi="Cambria Math" w:cs="Arial"/>
                <w:i/>
                <w:szCs w:val="20"/>
              </w:rPr>
            </m:ctrlPr>
          </m:sSubPr>
          <m:e>
            <m:r>
              <w:rPr>
                <w:rFonts w:ascii="Cambria Math" w:hAnsi="Cambria Math" w:cs="Arial"/>
                <w:szCs w:val="20"/>
              </w:rPr>
              <m:t>y</m:t>
            </m:r>
          </m:e>
          <m:sub>
            <m:r>
              <w:rPr>
                <w:rFonts w:ascii="Cambria Math" w:hAnsi="Cambria Math" w:cs="Arial"/>
                <w:szCs w:val="20"/>
              </w:rPr>
              <m:t>ijk</m:t>
            </m:r>
          </m:sub>
        </m:sSub>
        <m:r>
          <w:rPr>
            <w:rFonts w:ascii="Cambria Math" w:hAnsi="Cambria Math" w:cs="Arial"/>
            <w:szCs w:val="20"/>
          </w:rPr>
          <m:t xml:space="preserve"> ~ Bern</m:t>
        </m:r>
        <m:d>
          <m:dPr>
            <m:ctrlPr>
              <w:rPr>
                <w:rFonts w:ascii="Cambria Math" w:hAnsi="Cambria Math" w:cs="Arial"/>
                <w:i/>
                <w:szCs w:val="20"/>
              </w:rPr>
            </m:ctrlPr>
          </m:dPr>
          <m:e>
            <m:sSub>
              <m:sSubPr>
                <m:ctrlPr>
                  <w:rPr>
                    <w:rFonts w:ascii="Cambria Math" w:hAnsi="Cambria Math" w:cs="Arial"/>
                    <w:i/>
                    <w:szCs w:val="20"/>
                  </w:rPr>
                </m:ctrlPr>
              </m:sSubPr>
              <m:e>
                <m:r>
                  <w:rPr>
                    <w:rFonts w:ascii="Cambria Math" w:hAnsi="Cambria Math" w:cs="Arial"/>
                    <w:szCs w:val="20"/>
                  </w:rPr>
                  <m:t>p</m:t>
                </m:r>
              </m:e>
              <m:sub>
                <m:r>
                  <w:rPr>
                    <w:rFonts w:ascii="Cambria Math" w:hAnsi="Cambria Math" w:cs="Arial"/>
                    <w:szCs w:val="20"/>
                  </w:rPr>
                  <m:t>ijk</m:t>
                </m:r>
              </m:sub>
            </m:sSub>
          </m:e>
        </m:d>
      </m:oMath>
      <w:r w:rsidR="00E057BD" w:rsidRPr="001745D2">
        <w:rPr>
          <w:rFonts w:cs="Arial"/>
          <w:szCs w:val="20"/>
        </w:rPr>
        <w:t xml:space="preserve">                                                    </w:t>
      </w:r>
      <w:r w:rsidR="00E057BD" w:rsidRPr="007D18D3">
        <w:rPr>
          <w:rFonts w:asciiTheme="minorHAnsi" w:hAnsiTheme="minorHAnsi" w:cstheme="minorHAnsi"/>
          <w:szCs w:val="20"/>
        </w:rPr>
        <w:t xml:space="preserve">Equation </w:t>
      </w:r>
      <w:r w:rsidR="00095A1E" w:rsidRPr="007D18D3">
        <w:rPr>
          <w:rFonts w:asciiTheme="minorHAnsi" w:hAnsiTheme="minorHAnsi" w:cstheme="minorHAnsi"/>
          <w:szCs w:val="20"/>
        </w:rPr>
        <w:t>4-</w:t>
      </w:r>
      <w:r w:rsidR="00E057BD" w:rsidRPr="007D18D3">
        <w:rPr>
          <w:rFonts w:asciiTheme="minorHAnsi" w:hAnsiTheme="minorHAnsi" w:cstheme="minorHAnsi"/>
          <w:szCs w:val="20"/>
        </w:rPr>
        <w:t>1</w:t>
      </w:r>
    </w:p>
    <w:p w14:paraId="00ACCCAD" w14:textId="6581CBF6" w:rsidR="00E057BD" w:rsidRPr="001745D2" w:rsidRDefault="00E057BD" w:rsidP="00E057BD">
      <w:pPr>
        <w:jc w:val="right"/>
        <w:rPr>
          <w:rFonts w:ascii="Arial" w:eastAsia="MS Mincho" w:hAnsi="Arial" w:cs="Arial"/>
          <w:szCs w:val="20"/>
          <w:lang w:val="en-GB" w:eastAsia="en-US"/>
        </w:rPr>
      </w:pPr>
      <m:oMath>
        <m:r>
          <w:rPr>
            <w:rFonts w:ascii="Cambria Math" w:hAnsi="Cambria Math" w:cs="Arial"/>
            <w:szCs w:val="20"/>
          </w:rPr>
          <m:t>logit(</m:t>
        </m:r>
        <m:sSub>
          <m:sSubPr>
            <m:ctrlPr>
              <w:rPr>
                <w:rFonts w:ascii="Cambria Math" w:hAnsi="Cambria Math" w:cs="Arial"/>
                <w:i/>
                <w:szCs w:val="20"/>
              </w:rPr>
            </m:ctrlPr>
          </m:sSubPr>
          <m:e>
            <m:r>
              <w:rPr>
                <w:rFonts w:ascii="Cambria Math" w:hAnsi="Cambria Math" w:cs="Arial"/>
                <w:szCs w:val="20"/>
              </w:rPr>
              <m:t>p</m:t>
            </m:r>
          </m:e>
          <m:sub>
            <m:r>
              <w:rPr>
                <w:rFonts w:ascii="Cambria Math" w:hAnsi="Cambria Math" w:cs="Arial"/>
                <w:szCs w:val="20"/>
              </w:rPr>
              <m:t>ijk</m:t>
            </m:r>
          </m:sub>
        </m:sSub>
        <m:r>
          <w:rPr>
            <w:rFonts w:ascii="Cambria Math" w:hAnsi="Cambria Math" w:cs="Arial"/>
            <w:szCs w:val="20"/>
          </w:rPr>
          <m:t>)=int+</m:t>
        </m:r>
        <m:sSub>
          <m:sSubPr>
            <m:ctrlPr>
              <w:rPr>
                <w:rFonts w:ascii="Cambria Math" w:hAnsi="Cambria Math" w:cs="Arial"/>
                <w:i/>
                <w:szCs w:val="20"/>
              </w:rPr>
            </m:ctrlPr>
          </m:sSubPr>
          <m:e>
            <m:r>
              <w:rPr>
                <w:rFonts w:ascii="Cambria Math" w:hAnsi="Cambria Math" w:cs="Arial"/>
                <w:szCs w:val="20"/>
              </w:rPr>
              <m:t>eff.inund</m:t>
            </m:r>
          </m:e>
          <m:sub>
            <m:r>
              <w:rPr>
                <w:rFonts w:ascii="Cambria Math" w:hAnsi="Cambria Math" w:cs="Arial"/>
                <w:szCs w:val="20"/>
              </w:rPr>
              <m:t>k</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inund</m:t>
            </m:r>
          </m:e>
          <m:sub>
            <m:r>
              <w:rPr>
                <w:rFonts w:ascii="Cambria Math" w:hAnsi="Cambria Math" w:cs="Arial"/>
                <w:szCs w:val="20"/>
              </w:rPr>
              <m:t>ijk</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eff.survey</m:t>
            </m:r>
          </m:e>
          <m:sub>
            <m:r>
              <w:rPr>
                <w:rFonts w:ascii="Cambria Math" w:hAnsi="Cambria Math" w:cs="Arial"/>
                <w:szCs w:val="20"/>
              </w:rPr>
              <m:t>j</m:t>
            </m:r>
          </m:sub>
        </m:sSub>
        <m:r>
          <m:rPr>
            <m:sty m:val="p"/>
          </m:rPr>
          <w:rPr>
            <w:rFonts w:ascii="Cambria Math" w:hAnsi="Cambria Math" w:cs="Arial"/>
            <w:szCs w:val="20"/>
          </w:rPr>
          <m:t xml:space="preserve"> </m:t>
        </m:r>
      </m:oMath>
      <w:r w:rsidRPr="001745D2">
        <w:rPr>
          <w:rFonts w:ascii="Arial" w:hAnsi="Arial" w:cs="Arial"/>
          <w:szCs w:val="20"/>
        </w:rPr>
        <w:t xml:space="preserve">              </w:t>
      </w:r>
      <w:r w:rsidRPr="007D18D3">
        <w:rPr>
          <w:rFonts w:eastAsia="MS Mincho" w:cstheme="minorHAnsi"/>
          <w:szCs w:val="20"/>
          <w:lang w:val="en-GB" w:eastAsia="en-US"/>
        </w:rPr>
        <w:t xml:space="preserve">Equation </w:t>
      </w:r>
      <w:r w:rsidR="00095A1E" w:rsidRPr="007D18D3">
        <w:rPr>
          <w:rFonts w:eastAsia="MS Mincho" w:cstheme="minorHAnsi"/>
          <w:szCs w:val="20"/>
          <w:lang w:val="en-GB" w:eastAsia="en-US"/>
        </w:rPr>
        <w:t>4-</w:t>
      </w:r>
      <w:r w:rsidRPr="007D18D3">
        <w:rPr>
          <w:rFonts w:eastAsia="MS Mincho" w:cstheme="minorHAnsi"/>
          <w:szCs w:val="20"/>
          <w:lang w:val="en-GB" w:eastAsia="en-US"/>
        </w:rPr>
        <w:t>2</w:t>
      </w:r>
    </w:p>
    <w:p w14:paraId="0034BECD" w14:textId="4748C476" w:rsidR="00E057BD" w:rsidRPr="001745D2" w:rsidRDefault="004D2D53" w:rsidP="00E057BD">
      <w:pPr>
        <w:jc w:val="right"/>
        <w:rPr>
          <w:rFonts w:ascii="Arial" w:eastAsia="MS Mincho" w:hAnsi="Arial" w:cs="Arial"/>
          <w:szCs w:val="20"/>
          <w:lang w:val="en-GB" w:eastAsia="en-US"/>
        </w:rPr>
      </w:pPr>
      <m:oMath>
        <m:sSub>
          <m:sSubPr>
            <m:ctrlPr>
              <w:rPr>
                <w:rFonts w:ascii="Cambria Math" w:hAnsi="Cambria Math" w:cs="Arial"/>
                <w:i/>
                <w:szCs w:val="20"/>
              </w:rPr>
            </m:ctrlPr>
          </m:sSubPr>
          <m:e>
            <m:r>
              <w:rPr>
                <w:rFonts w:ascii="Cambria Math" w:hAnsi="Cambria Math" w:cs="Arial"/>
                <w:szCs w:val="20"/>
              </w:rPr>
              <m:t>eff.inund</m:t>
            </m:r>
          </m:e>
          <m:sub>
            <m:r>
              <w:rPr>
                <w:rFonts w:ascii="Cambria Math" w:hAnsi="Cambria Math" w:cs="Arial"/>
                <w:szCs w:val="20"/>
              </w:rPr>
              <m:t>k</m:t>
            </m:r>
          </m:sub>
        </m:sSub>
        <m:r>
          <w:rPr>
            <w:rFonts w:ascii="Cambria Math" w:hAnsi="Cambria Math" w:cs="Arial"/>
            <w:szCs w:val="20"/>
          </w:rPr>
          <m:t xml:space="preserve"> ~ Normal(</m:t>
        </m:r>
        <m:sSub>
          <m:sSubPr>
            <m:ctrlPr>
              <w:rPr>
                <w:rFonts w:ascii="Cambria Math" w:hAnsi="Cambria Math" w:cs="Arial"/>
                <w:i/>
                <w:szCs w:val="20"/>
              </w:rPr>
            </m:ctrlPr>
          </m:sSubPr>
          <m:e>
            <m:r>
              <w:rPr>
                <w:rFonts w:ascii="Cambria Math" w:hAnsi="Cambria Math" w:cs="Arial"/>
                <w:szCs w:val="20"/>
              </w:rPr>
              <m:t>μ_inund</m:t>
            </m:r>
          </m:e>
          <m:sub>
            <m:r>
              <w:rPr>
                <w:rFonts w:ascii="Cambria Math" w:hAnsi="Cambria Math" w:cs="Arial"/>
                <w:szCs w:val="20"/>
              </w:rPr>
              <m:t xml:space="preserve">k </m:t>
            </m:r>
          </m:sub>
        </m:sSub>
        <m:r>
          <w:rPr>
            <w:rFonts w:ascii="Cambria Math" w:hAnsi="Cambria Math" w:cs="Arial"/>
            <w:szCs w:val="20"/>
          </w:rPr>
          <m:t>,σ_inund)</m:t>
        </m:r>
      </m:oMath>
      <w:r w:rsidR="00E057BD" w:rsidRPr="001745D2">
        <w:rPr>
          <w:rFonts w:ascii="Arial" w:hAnsi="Arial" w:cs="Arial"/>
          <w:szCs w:val="20"/>
        </w:rPr>
        <w:t xml:space="preserve">                             </w:t>
      </w:r>
      <w:r w:rsidR="00E057BD" w:rsidRPr="007D18D3">
        <w:rPr>
          <w:rFonts w:eastAsia="MS Mincho" w:cstheme="minorHAnsi"/>
          <w:szCs w:val="20"/>
          <w:lang w:val="en-GB" w:eastAsia="en-US"/>
        </w:rPr>
        <w:t xml:space="preserve">Equation </w:t>
      </w:r>
      <w:r w:rsidR="00095A1E" w:rsidRPr="007D18D3">
        <w:rPr>
          <w:rFonts w:eastAsia="MS Mincho" w:cstheme="minorHAnsi"/>
          <w:szCs w:val="20"/>
          <w:lang w:val="en-GB" w:eastAsia="en-US"/>
        </w:rPr>
        <w:t>4-</w:t>
      </w:r>
      <w:r w:rsidR="00E057BD" w:rsidRPr="007D18D3">
        <w:rPr>
          <w:rFonts w:eastAsia="MS Mincho" w:cstheme="minorHAnsi"/>
          <w:szCs w:val="20"/>
          <w:lang w:val="en-GB" w:eastAsia="en-US"/>
        </w:rPr>
        <w:t>3a</w:t>
      </w:r>
    </w:p>
    <w:p w14:paraId="02886990" w14:textId="6928AA3A" w:rsidR="00E057BD" w:rsidRPr="001745D2" w:rsidRDefault="004D2D53" w:rsidP="00E057BD">
      <w:pPr>
        <w:pStyle w:val="Para1narrowarrow"/>
        <w:spacing w:after="160" w:line="259" w:lineRule="auto"/>
        <w:ind w:left="0" w:firstLine="0"/>
        <w:jc w:val="right"/>
        <w:rPr>
          <w:rFonts w:cs="Arial"/>
          <w:szCs w:val="20"/>
        </w:rPr>
      </w:pPr>
      <m:oMath>
        <m:sSub>
          <m:sSubPr>
            <m:ctrlPr>
              <w:rPr>
                <w:rFonts w:ascii="Cambria Math" w:hAnsi="Cambria Math" w:cs="Arial"/>
                <w:i/>
                <w:szCs w:val="20"/>
              </w:rPr>
            </m:ctrlPr>
          </m:sSubPr>
          <m:e>
            <m:r>
              <w:rPr>
                <w:rFonts w:ascii="Cambria Math" w:hAnsi="Cambria Math" w:cs="Arial"/>
                <w:szCs w:val="20"/>
              </w:rPr>
              <m:t>eff.survey</m:t>
            </m:r>
          </m:e>
          <m:sub>
            <m:r>
              <w:rPr>
                <w:rFonts w:ascii="Cambria Math" w:hAnsi="Cambria Math" w:cs="Arial"/>
                <w:szCs w:val="20"/>
              </w:rPr>
              <m:t>j</m:t>
            </m:r>
          </m:sub>
        </m:sSub>
        <m:r>
          <w:rPr>
            <w:rFonts w:ascii="Cambria Math" w:hAnsi="Cambria Math" w:cs="Arial"/>
            <w:szCs w:val="20"/>
          </w:rPr>
          <m:t xml:space="preserve"> ~ Normal</m:t>
        </m:r>
        <m:d>
          <m:dPr>
            <m:ctrlPr>
              <w:rPr>
                <w:rFonts w:ascii="Cambria Math" w:hAnsi="Cambria Math" w:cs="Arial"/>
                <w:i/>
                <w:szCs w:val="20"/>
              </w:rPr>
            </m:ctrlPr>
          </m:dPr>
          <m:e>
            <m:r>
              <w:rPr>
                <w:rFonts w:ascii="Cambria Math" w:hAnsi="Cambria Math" w:cs="Arial"/>
                <w:szCs w:val="20"/>
              </w:rPr>
              <m:t>0, σ_survey</m:t>
            </m:r>
          </m:e>
        </m:d>
      </m:oMath>
      <w:r w:rsidR="00E057BD" w:rsidRPr="001745D2">
        <w:rPr>
          <w:rFonts w:cs="Arial"/>
          <w:szCs w:val="20"/>
        </w:rPr>
        <w:t xml:space="preserve">                                      </w:t>
      </w:r>
      <w:r w:rsidR="00E057BD" w:rsidRPr="007D18D3">
        <w:rPr>
          <w:rFonts w:asciiTheme="minorHAnsi" w:hAnsiTheme="minorHAnsi" w:cstheme="minorHAnsi"/>
          <w:szCs w:val="20"/>
        </w:rPr>
        <w:t xml:space="preserve">Equation </w:t>
      </w:r>
      <w:r w:rsidR="00095A1E" w:rsidRPr="007D18D3">
        <w:rPr>
          <w:rFonts w:asciiTheme="minorHAnsi" w:hAnsiTheme="minorHAnsi" w:cstheme="minorHAnsi"/>
          <w:szCs w:val="20"/>
        </w:rPr>
        <w:t>4-</w:t>
      </w:r>
      <w:r w:rsidR="00E057BD" w:rsidRPr="007D18D3">
        <w:rPr>
          <w:rFonts w:asciiTheme="minorHAnsi" w:hAnsiTheme="minorHAnsi" w:cstheme="minorHAnsi"/>
          <w:szCs w:val="20"/>
        </w:rPr>
        <w:t>3c</w:t>
      </w:r>
    </w:p>
    <w:p w14:paraId="464662EF" w14:textId="77777777" w:rsidR="00E057BD" w:rsidRDefault="00E057BD" w:rsidP="00E057BD">
      <w:r w:rsidRPr="00D57BCC">
        <w:t>The occurrence of erosion or deposition (</w:t>
      </w:r>
      <w:r w:rsidRPr="00D57BCC">
        <w:rPr>
          <w:i/>
        </w:rPr>
        <w:t>y</w:t>
      </w:r>
      <w:r w:rsidRPr="00D57BCC">
        <w:t xml:space="preserve">) for observation </w:t>
      </w:r>
      <w:proofErr w:type="spellStart"/>
      <w:r w:rsidRPr="00D57BCC">
        <w:rPr>
          <w:i/>
        </w:rPr>
        <w:t>i</w:t>
      </w:r>
      <w:proofErr w:type="spellEnd"/>
      <w:r w:rsidRPr="00D57BCC">
        <w:rPr>
          <w:i/>
        </w:rPr>
        <w:t xml:space="preserve"> </w:t>
      </w:r>
      <w:r w:rsidRPr="00D57BCC">
        <w:t xml:space="preserve">at site </w:t>
      </w:r>
      <w:r w:rsidRPr="00D57BCC">
        <w:rPr>
          <w:i/>
        </w:rPr>
        <w:t>k</w:t>
      </w:r>
      <w:r w:rsidRPr="00D57BCC">
        <w:t xml:space="preserve"> during survey </w:t>
      </w:r>
      <w:r w:rsidRPr="00D57BCC">
        <w:rPr>
          <w:i/>
        </w:rPr>
        <w:t>j</w:t>
      </w:r>
      <w:r w:rsidRPr="00D57BCC">
        <w:t xml:space="preserve"> is a Bernoulli-distributed event with probability </w:t>
      </w:r>
      <w:r w:rsidRPr="00D57BCC">
        <w:rPr>
          <w:i/>
        </w:rPr>
        <w:t>p</w:t>
      </w:r>
      <w:r w:rsidRPr="00D57BCC">
        <w:t>. This is driven by a global average erosion/deposition across all sites in the absence of inundation (</w:t>
      </w:r>
      <w:r w:rsidRPr="00D57BCC">
        <w:rPr>
          <w:i/>
        </w:rPr>
        <w:t>int</w:t>
      </w:r>
      <w:r w:rsidRPr="00D57BCC">
        <w:t>), plus the effect of inundation duration (</w:t>
      </w:r>
      <w:proofErr w:type="spellStart"/>
      <w:proofErr w:type="gramStart"/>
      <w:r w:rsidRPr="00D57BCC">
        <w:rPr>
          <w:i/>
        </w:rPr>
        <w:t>eff.inund</w:t>
      </w:r>
      <w:proofErr w:type="spellEnd"/>
      <w:proofErr w:type="gramEnd"/>
      <w:r w:rsidRPr="00D57BCC">
        <w:t>) for each site, which was modelled hierarchically, multiplied by the duration of inundation (</w:t>
      </w:r>
      <w:proofErr w:type="spellStart"/>
      <w:r w:rsidRPr="00D57BCC">
        <w:rPr>
          <w:i/>
        </w:rPr>
        <w:t>inund</w:t>
      </w:r>
      <w:proofErr w:type="spellEnd"/>
      <w:r w:rsidRPr="00D57BCC">
        <w:t>). There is a random effect of survey (</w:t>
      </w:r>
      <w:proofErr w:type="spellStart"/>
      <w:proofErr w:type="gramStart"/>
      <w:r w:rsidRPr="00D57BCC">
        <w:rPr>
          <w:i/>
        </w:rPr>
        <w:t>eff.survey</w:t>
      </w:r>
      <w:proofErr w:type="spellEnd"/>
      <w:proofErr w:type="gramEnd"/>
      <w:r w:rsidRPr="00D57BCC">
        <w:t>) to capture any seasonal or other systematic differences among survey periods in erosion/deposition.</w:t>
      </w:r>
    </w:p>
    <w:p w14:paraId="154E3FF2" w14:textId="12D79A1E" w:rsidR="00E057BD" w:rsidRDefault="00E057BD" w:rsidP="00E057BD">
      <w:pPr>
        <w:rPr>
          <w:lang w:val="en-GB" w:eastAsia="en-US"/>
        </w:rPr>
      </w:pPr>
      <w:r>
        <w:rPr>
          <w:lang w:val="en-GB" w:eastAsia="en-US"/>
        </w:rPr>
        <w:t>E</w:t>
      </w:r>
      <w:r w:rsidRPr="0047029F">
        <w:rPr>
          <w:lang w:val="en-GB" w:eastAsia="en-US"/>
        </w:rPr>
        <w:t xml:space="preserve">ffect of inundation is drawn from individual distribution for each site (Equation </w:t>
      </w:r>
      <w:r w:rsidR="005E7D6E">
        <w:rPr>
          <w:lang w:val="en-GB" w:eastAsia="en-US"/>
        </w:rPr>
        <w:t>4-</w:t>
      </w:r>
      <w:r w:rsidRPr="0047029F">
        <w:rPr>
          <w:lang w:val="en-GB" w:eastAsia="en-US"/>
        </w:rPr>
        <w:t>3a).</w:t>
      </w:r>
      <w:r>
        <w:rPr>
          <w:lang w:val="en-GB" w:eastAsia="en-US"/>
        </w:rPr>
        <w:t xml:space="preserve"> </w:t>
      </w:r>
      <w:r w:rsidRPr="006E04D1">
        <w:rPr>
          <w:lang w:val="en-GB" w:eastAsia="en-US"/>
        </w:rPr>
        <w:t>Inundation duration</w:t>
      </w:r>
      <w:r>
        <w:rPr>
          <w:lang w:val="en-GB" w:eastAsia="en-US"/>
        </w:rPr>
        <w:t xml:space="preserve"> (</w:t>
      </w:r>
      <w:proofErr w:type="gramStart"/>
      <w:r>
        <w:rPr>
          <w:lang w:val="en-GB" w:eastAsia="en-US"/>
        </w:rPr>
        <w:t>i.e.</w:t>
      </w:r>
      <w:proofErr w:type="gramEnd"/>
      <w:r>
        <w:rPr>
          <w:lang w:val="en-GB" w:eastAsia="en-US"/>
        </w:rPr>
        <w:t xml:space="preserve"> </w:t>
      </w:r>
      <w:r w:rsidRPr="00524E02">
        <w:rPr>
          <w:lang w:val="en-GB" w:eastAsia="en-US"/>
        </w:rPr>
        <w:t>the number of days a point is underwater between the surveys</w:t>
      </w:r>
      <w:r>
        <w:rPr>
          <w:lang w:val="en-GB" w:eastAsia="en-US"/>
        </w:rPr>
        <w:t>) is adopted as the model predictor (</w:t>
      </w:r>
      <w:proofErr w:type="spellStart"/>
      <w:r w:rsidRPr="0047029F">
        <w:rPr>
          <w:i/>
          <w:lang w:val="en-GB" w:eastAsia="en-US"/>
        </w:rPr>
        <w:t>inund</w:t>
      </w:r>
      <w:proofErr w:type="spellEnd"/>
      <w:r w:rsidRPr="0047029F">
        <w:rPr>
          <w:lang w:val="en-GB" w:eastAsia="en-US"/>
        </w:rPr>
        <w:t xml:space="preserve"> in Equation </w:t>
      </w:r>
      <w:r w:rsidR="005E7D6E">
        <w:rPr>
          <w:lang w:val="en-GB" w:eastAsia="en-US"/>
        </w:rPr>
        <w:t>4-</w:t>
      </w:r>
      <w:r w:rsidRPr="0047029F">
        <w:rPr>
          <w:lang w:val="en-GB" w:eastAsia="en-US"/>
        </w:rPr>
        <w:t>2</w:t>
      </w:r>
      <w:r>
        <w:rPr>
          <w:lang w:val="en-GB" w:eastAsia="en-US"/>
        </w:rPr>
        <w:t>).</w:t>
      </w:r>
    </w:p>
    <w:p w14:paraId="75F7E793" w14:textId="5AD49326" w:rsidR="00E057BD" w:rsidRDefault="00E057BD" w:rsidP="00E057BD">
      <w:pPr>
        <w:rPr>
          <w:lang w:val="en-GB" w:eastAsia="en-US"/>
        </w:rPr>
      </w:pPr>
      <w:r>
        <w:rPr>
          <w:lang w:val="en-GB" w:eastAsia="en-US"/>
        </w:rPr>
        <w:t>Two sets of analyses were carried out. The first assessed the effect of the duration of inundation for any individual point in the bank. The second aimed to investigate notching. For this model, the data were prepared differently.</w:t>
      </w:r>
      <w:r w:rsidRPr="00C45864">
        <w:rPr>
          <w:lang w:val="en-GB" w:eastAsia="en-US"/>
        </w:rPr>
        <w:t xml:space="preserve"> Instead of calculating the inundation duration, we calculate</w:t>
      </w:r>
      <w:r>
        <w:rPr>
          <w:lang w:val="en-GB" w:eastAsia="en-US"/>
        </w:rPr>
        <w:t>d</w:t>
      </w:r>
      <w:r w:rsidRPr="00C45864">
        <w:rPr>
          <w:lang w:val="en-GB" w:eastAsia="en-US"/>
        </w:rPr>
        <w:t xml:space="preserve"> the number of days the water surface </w:t>
      </w:r>
      <w:r>
        <w:rPr>
          <w:lang w:val="en-GB" w:eastAsia="en-US"/>
        </w:rPr>
        <w:t>was</w:t>
      </w:r>
      <w:r w:rsidRPr="00C45864">
        <w:rPr>
          <w:lang w:val="en-GB" w:eastAsia="en-US"/>
        </w:rPr>
        <w:t xml:space="preserve"> within a small distance (±10 cm) of the point’s elevation at the start of the survey (</w:t>
      </w:r>
      <w:proofErr w:type="spellStart"/>
      <w:r w:rsidRPr="00C45864">
        <w:rPr>
          <w:i/>
          <w:lang w:val="en-GB" w:eastAsia="en-US"/>
        </w:rPr>
        <w:t>inund</w:t>
      </w:r>
      <w:proofErr w:type="spellEnd"/>
      <w:r w:rsidRPr="00C45864">
        <w:rPr>
          <w:lang w:val="en-GB" w:eastAsia="en-US"/>
        </w:rPr>
        <w:t xml:space="preserve"> in Equation </w:t>
      </w:r>
      <w:r w:rsidR="005E7D6E">
        <w:rPr>
          <w:lang w:val="en-GB" w:eastAsia="en-US"/>
        </w:rPr>
        <w:t>4-</w:t>
      </w:r>
      <w:r w:rsidRPr="00C45864">
        <w:rPr>
          <w:lang w:val="en-GB" w:eastAsia="en-US"/>
        </w:rPr>
        <w:t>2).</w:t>
      </w:r>
    </w:p>
    <w:p w14:paraId="2E5029B1" w14:textId="2E08FBF6" w:rsidR="00E057BD" w:rsidRPr="00E057BD" w:rsidRDefault="00E057BD" w:rsidP="00E057BD">
      <w:pPr>
        <w:rPr>
          <w:lang w:val="en-GB" w:eastAsia="en-US"/>
        </w:rPr>
      </w:pPr>
      <w:r>
        <w:rPr>
          <w:lang w:val="en-GB" w:eastAsia="en-US"/>
        </w:rPr>
        <w:t>We assessed three endpoints: Severe erosion was defined as erosion of greater than 30 mm from the beginning to the end of the survey. Minor erosion was defined as erosion</w:t>
      </w:r>
      <w:r w:rsidR="00613786">
        <w:rPr>
          <w:lang w:val="en-GB" w:eastAsia="en-US"/>
        </w:rPr>
        <w:t xml:space="preserve"> &lt;30 mm.</w:t>
      </w:r>
      <w:r>
        <w:rPr>
          <w:lang w:val="en-GB" w:eastAsia="en-US"/>
        </w:rPr>
        <w:t xml:space="preserve"> Deposition was defined as deposition greater than 5 mm. </w:t>
      </w:r>
    </w:p>
    <w:p w14:paraId="179FD2E7" w14:textId="7942D28C" w:rsidR="00B61060" w:rsidRDefault="00B61060" w:rsidP="003C58EF">
      <w:pPr>
        <w:pStyle w:val="Heading2"/>
      </w:pPr>
      <w:bookmarkStart w:id="119" w:name="_Toc51769670"/>
      <w:bookmarkStart w:id="120" w:name="_Ref52194408"/>
      <w:bookmarkStart w:id="121" w:name="_Toc84416086"/>
      <w:bookmarkStart w:id="122" w:name="_Toc84417333"/>
      <w:bookmarkStart w:id="123" w:name="_Toc84475673"/>
      <w:r w:rsidRPr="00BA2632">
        <w:t>Results</w:t>
      </w:r>
      <w:bookmarkEnd w:id="119"/>
      <w:bookmarkEnd w:id="120"/>
      <w:bookmarkEnd w:id="121"/>
      <w:bookmarkEnd w:id="122"/>
      <w:bookmarkEnd w:id="123"/>
    </w:p>
    <w:p w14:paraId="02F466BF" w14:textId="083470F2" w:rsidR="008F3D0B" w:rsidRPr="00BA2632" w:rsidRDefault="008F3D0B" w:rsidP="008F3D0B">
      <w:pPr>
        <w:rPr>
          <w:lang w:eastAsia="en-US"/>
        </w:rPr>
      </w:pPr>
      <w:r w:rsidRPr="00BA2632">
        <w:rPr>
          <w:lang w:eastAsia="en-US"/>
        </w:rPr>
        <w:t xml:space="preserve">Bank condition was assessed by looking at change (erosion </w:t>
      </w:r>
      <w:r>
        <w:rPr>
          <w:lang w:eastAsia="en-US"/>
        </w:rPr>
        <w:t>and</w:t>
      </w:r>
      <w:r w:rsidRPr="00BA2632">
        <w:rPr>
          <w:lang w:eastAsia="en-US"/>
        </w:rPr>
        <w:t xml:space="preserve"> deposition</w:t>
      </w:r>
      <w:r w:rsidRPr="00BA2632" w:rsidDel="005227AE">
        <w:rPr>
          <w:lang w:eastAsia="en-US"/>
        </w:rPr>
        <w:t>)</w:t>
      </w:r>
      <w:r w:rsidRPr="00BA2632">
        <w:rPr>
          <w:lang w:eastAsia="en-US"/>
        </w:rPr>
        <w:t xml:space="preserve"> in response to the three flow events captured throughout the </w:t>
      </w:r>
      <w:r>
        <w:rPr>
          <w:lang w:eastAsia="en-US"/>
        </w:rPr>
        <w:t>2020-21</w:t>
      </w:r>
      <w:r w:rsidRPr="00BA2632">
        <w:rPr>
          <w:lang w:eastAsia="en-US"/>
        </w:rPr>
        <w:t xml:space="preserve"> monitoring period (</w:t>
      </w:r>
      <w:r w:rsidR="00C13F49" w:rsidRPr="00BA2632">
        <w:t xml:space="preserve">Figure </w:t>
      </w:r>
      <w:r w:rsidR="00C13F49">
        <w:rPr>
          <w:noProof/>
        </w:rPr>
        <w:t>4</w:t>
      </w:r>
      <w:r w:rsidR="00C13F49">
        <w:rPr>
          <w:noProof/>
        </w:rPr>
        <w:noBreakHyphen/>
        <w:t>5</w:t>
      </w:r>
      <w:r>
        <w:rPr>
          <w:lang w:eastAsia="en-US"/>
        </w:rPr>
        <w:t>)</w:t>
      </w:r>
      <w:r w:rsidRPr="00BA2632">
        <w:rPr>
          <w:lang w:eastAsia="en-US"/>
        </w:rPr>
        <w:t>.</w:t>
      </w:r>
      <w:r>
        <w:rPr>
          <w:lang w:eastAsia="en-US"/>
        </w:rPr>
        <w:t xml:space="preserve"> The three flow events were the Spring Fresh, IVT Period and Autumn Fresh.</w:t>
      </w:r>
      <w:r w:rsidRPr="00BA2632">
        <w:rPr>
          <w:lang w:eastAsia="en-US"/>
        </w:rPr>
        <w:t xml:space="preserve"> </w:t>
      </w:r>
    </w:p>
    <w:p w14:paraId="75164F2D" w14:textId="328763EE" w:rsidR="008F3D0B" w:rsidRPr="00BA2632" w:rsidRDefault="008F3D0B" w:rsidP="00AF1295">
      <w:pPr>
        <w:keepNext/>
        <w:jc w:val="center"/>
      </w:pPr>
      <w:r>
        <w:rPr>
          <w:noProof/>
          <w:lang w:val="en-GB"/>
        </w:rPr>
        <w:drawing>
          <wp:inline distT="0" distB="0" distL="0" distR="0" wp14:anchorId="678799B1" wp14:editId="3328A8E2">
            <wp:extent cx="5741670" cy="2639691"/>
            <wp:effectExtent l="19050" t="19050" r="11430" b="27940"/>
            <wp:docPr id="61" name="Picture 6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10;&#10;Description automatically generated"/>
                    <pic:cNvPicPr/>
                  </pic:nvPicPr>
                  <pic:blipFill>
                    <a:blip r:embed="rId26" cstate="email">
                      <a:extLst>
                        <a:ext uri="{28A0092B-C50C-407E-A947-70E740481C1C}">
                          <a14:useLocalDpi xmlns:a14="http://schemas.microsoft.com/office/drawing/2010/main"/>
                        </a:ext>
                      </a:extLst>
                    </a:blip>
                    <a:stretch>
                      <a:fillRect/>
                    </a:stretch>
                  </pic:blipFill>
                  <pic:spPr>
                    <a:xfrm>
                      <a:off x="0" y="0"/>
                      <a:ext cx="5747790" cy="2642505"/>
                    </a:xfrm>
                    <a:prstGeom prst="rect">
                      <a:avLst/>
                    </a:prstGeom>
                    <a:ln>
                      <a:solidFill>
                        <a:schemeClr val="tx1"/>
                      </a:solidFill>
                    </a:ln>
                  </pic:spPr>
                </pic:pic>
              </a:graphicData>
            </a:graphic>
          </wp:inline>
        </w:drawing>
      </w:r>
    </w:p>
    <w:p w14:paraId="73E86E7A" w14:textId="184BB86D" w:rsidR="008F3D0B" w:rsidRPr="00BA2632" w:rsidRDefault="008F3D0B" w:rsidP="008F3D0B">
      <w:pPr>
        <w:pStyle w:val="Caption"/>
      </w:pPr>
      <w:bookmarkStart w:id="124" w:name="_Ref50040340"/>
      <w:bookmarkStart w:id="125" w:name="_Toc51769675"/>
      <w:bookmarkStart w:id="126" w:name="_Ref81301028"/>
      <w:bookmarkStart w:id="127" w:name="_Toc83907737"/>
      <w:bookmarkStart w:id="128" w:name="_Toc84475638"/>
      <w:r w:rsidRPr="00BA2632">
        <w:t xml:space="preserve">Figure </w:t>
      </w:r>
      <w:r w:rsidR="00B85158">
        <w:rPr>
          <w:noProof/>
        </w:rPr>
        <w:t>4</w:t>
      </w:r>
      <w:r w:rsidR="00B85158">
        <w:noBreakHyphen/>
      </w:r>
      <w:r w:rsidR="00B85158">
        <w:rPr>
          <w:noProof/>
        </w:rPr>
        <w:t>5</w:t>
      </w:r>
      <w:bookmarkEnd w:id="124"/>
      <w:r w:rsidRPr="00BA2632">
        <w:t xml:space="preserve"> Bank survey visits during the monitoring period in relation to daily mean discharge at McCoy’s Bridge (405232).</w:t>
      </w:r>
      <w:bookmarkEnd w:id="125"/>
      <w:bookmarkEnd w:id="126"/>
      <w:bookmarkEnd w:id="127"/>
      <w:bookmarkEnd w:id="128"/>
    </w:p>
    <w:p w14:paraId="36E33C47" w14:textId="5831FB14" w:rsidR="008F3D0B" w:rsidRPr="00BA2632" w:rsidRDefault="008F3D0B" w:rsidP="008F3D0B">
      <w:pPr>
        <w:pStyle w:val="Heading3"/>
      </w:pPr>
      <w:bookmarkStart w:id="129" w:name="_Toc84417334"/>
      <w:r w:rsidRPr="00BA2632">
        <w:t>Initial hypothesis linked to hydrology</w:t>
      </w:r>
      <w:bookmarkEnd w:id="129"/>
      <w:r w:rsidRPr="00BA2632">
        <w:t xml:space="preserve"> </w:t>
      </w:r>
    </w:p>
    <w:p w14:paraId="468C304E" w14:textId="49B01A7F" w:rsidR="008F3D0B" w:rsidRDefault="008F3D0B" w:rsidP="008F3D0B">
      <w:r w:rsidRPr="00BA2632">
        <w:rPr>
          <w:lang w:eastAsia="en-US"/>
        </w:rPr>
        <w:t>The major differences between the flow deliveries across the monitoring period</w:t>
      </w:r>
      <w:r>
        <w:rPr>
          <w:lang w:eastAsia="en-US"/>
        </w:rPr>
        <w:t xml:space="preserve"> are their duration, range of flows, and peak magnitude. </w:t>
      </w:r>
      <w:r w:rsidRPr="00BA2632">
        <w:rPr>
          <w:lang w:eastAsia="en-US"/>
        </w:rPr>
        <w:t xml:space="preserve"> </w:t>
      </w:r>
      <w:r>
        <w:rPr>
          <w:lang w:eastAsia="en-US"/>
        </w:rPr>
        <w:t>Both freshes had similar range and magnitude of</w:t>
      </w:r>
      <w:r w:rsidRPr="00BA2632">
        <w:rPr>
          <w:lang w:eastAsia="en-US"/>
        </w:rPr>
        <w:t xml:space="preserve"> flow</w:t>
      </w:r>
      <w:r>
        <w:rPr>
          <w:lang w:eastAsia="en-US"/>
        </w:rPr>
        <w:t>s at 921 – 5,376</w:t>
      </w:r>
      <w:r w:rsidRPr="00BA2632">
        <w:rPr>
          <w:lang w:eastAsia="en-US"/>
        </w:rPr>
        <w:t xml:space="preserve"> ML/d </w:t>
      </w:r>
      <w:r>
        <w:rPr>
          <w:lang w:eastAsia="en-US"/>
        </w:rPr>
        <w:t>for the Spring Fresh and 982 – 5,723</w:t>
      </w:r>
      <w:r w:rsidRPr="00BA2632">
        <w:rPr>
          <w:lang w:eastAsia="en-US"/>
        </w:rPr>
        <w:t xml:space="preserve"> ML/d </w:t>
      </w:r>
      <w:r>
        <w:rPr>
          <w:lang w:eastAsia="en-US"/>
        </w:rPr>
        <w:t>for the Autumn Fresh. The IVT flows were overall lower at 851 – 2,013 ML/d, however the duration was much longer. The</w:t>
      </w:r>
      <w:r w:rsidRPr="00BA2632">
        <w:rPr>
          <w:lang w:eastAsia="en-US"/>
        </w:rPr>
        <w:t xml:space="preserve"> </w:t>
      </w:r>
      <w:r>
        <w:rPr>
          <w:lang w:eastAsia="en-US"/>
        </w:rPr>
        <w:t xml:space="preserve">Spring and Autumn Freshes lasted 22 days and 37 days, respectively, compared with 126 days for the </w:t>
      </w:r>
      <w:r w:rsidRPr="00BA2632">
        <w:rPr>
          <w:lang w:eastAsia="en-US"/>
        </w:rPr>
        <w:t>IVT period.</w:t>
      </w:r>
      <w:r>
        <w:rPr>
          <w:lang w:eastAsia="en-US"/>
        </w:rPr>
        <w:t xml:space="preserve"> Flow duration histograms for each period are provided in </w:t>
      </w:r>
      <w:r w:rsidR="00C13F49">
        <w:t xml:space="preserve">Figure </w:t>
      </w:r>
      <w:r w:rsidR="00C13F49">
        <w:rPr>
          <w:noProof/>
        </w:rPr>
        <w:t>4</w:t>
      </w:r>
      <w:r w:rsidR="00C13F49">
        <w:noBreakHyphen/>
      </w:r>
      <w:r w:rsidR="00C13F49">
        <w:rPr>
          <w:noProof/>
        </w:rPr>
        <w:t>6</w:t>
      </w:r>
      <w:r>
        <w:rPr>
          <w:lang w:eastAsia="en-US"/>
        </w:rPr>
        <w:t>.</w:t>
      </w:r>
    </w:p>
    <w:p w14:paraId="0B26093D" w14:textId="77777777" w:rsidR="008F3D0B" w:rsidRDefault="008F3D0B" w:rsidP="00B35FC8">
      <w:pPr>
        <w:keepNext/>
        <w:jc w:val="center"/>
      </w:pPr>
      <w:r w:rsidRPr="00CF2400">
        <w:rPr>
          <w:noProof/>
          <w:lang w:val="en-GB"/>
        </w:rPr>
        <w:lastRenderedPageBreak/>
        <w:drawing>
          <wp:inline distT="0" distB="0" distL="0" distR="0" wp14:anchorId="5F50DDA0" wp14:editId="423BE730">
            <wp:extent cx="6085840" cy="3075940"/>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6085840" cy="3075940"/>
                    </a:xfrm>
                    <a:prstGeom prst="rect">
                      <a:avLst/>
                    </a:prstGeom>
                    <a:noFill/>
                    <a:ln>
                      <a:noFill/>
                    </a:ln>
                  </pic:spPr>
                </pic:pic>
              </a:graphicData>
            </a:graphic>
          </wp:inline>
        </w:drawing>
      </w:r>
    </w:p>
    <w:p w14:paraId="4D3D2806" w14:textId="7D6C319D" w:rsidR="008F3D0B" w:rsidRDefault="008F3D0B" w:rsidP="008F3D0B">
      <w:pPr>
        <w:pStyle w:val="Caption"/>
      </w:pPr>
      <w:bookmarkStart w:id="130" w:name="_Ref80877930"/>
      <w:bookmarkStart w:id="131" w:name="_Toc83907738"/>
      <w:bookmarkStart w:id="132" w:name="_Toc84475639"/>
      <w:r>
        <w:t xml:space="preserve">Figure </w:t>
      </w:r>
      <w:r w:rsidR="00B85158">
        <w:rPr>
          <w:noProof/>
        </w:rPr>
        <w:t>4</w:t>
      </w:r>
      <w:r w:rsidR="00B85158">
        <w:noBreakHyphen/>
      </w:r>
      <w:r w:rsidR="00B85158">
        <w:rPr>
          <w:noProof/>
        </w:rPr>
        <w:t>6</w:t>
      </w:r>
      <w:bookmarkEnd w:id="130"/>
      <w:r>
        <w:t xml:space="preserve"> Histograms of flow duration for the three different flow delivery periods. Note the different vertical axis scales.</w:t>
      </w:r>
      <w:bookmarkEnd w:id="131"/>
      <w:bookmarkEnd w:id="132"/>
    </w:p>
    <w:p w14:paraId="3E35573B" w14:textId="24523CD6" w:rsidR="008F3D0B" w:rsidRPr="00A033D8" w:rsidRDefault="008F3D0B" w:rsidP="008F3D0B">
      <w:pPr>
        <w:rPr>
          <w:b/>
          <w:bCs/>
          <w:i/>
          <w:iCs/>
        </w:rPr>
      </w:pPr>
      <w:r w:rsidRPr="00A033D8">
        <w:rPr>
          <w:b/>
          <w:bCs/>
          <w:i/>
          <w:iCs/>
        </w:rPr>
        <w:t xml:space="preserve">Bank </w:t>
      </w:r>
      <w:r w:rsidR="0086177E">
        <w:rPr>
          <w:b/>
          <w:bCs/>
          <w:i/>
          <w:iCs/>
        </w:rPr>
        <w:t>z</w:t>
      </w:r>
      <w:r w:rsidRPr="00A033D8">
        <w:rPr>
          <w:b/>
          <w:bCs/>
          <w:i/>
          <w:iCs/>
        </w:rPr>
        <w:t xml:space="preserve">ones of inundation </w:t>
      </w:r>
    </w:p>
    <w:p w14:paraId="1F603F3D" w14:textId="77777777" w:rsidR="008F3D0B" w:rsidRDefault="008F3D0B" w:rsidP="008F3D0B">
      <w:r>
        <w:t>Both freshes reached maximum discharges of close to 6,000 ML/d which is high enough to reach the mid/upper bank zone at most banks monitored. The main exceptions would be large banks such as McCoy’s Bridge bank C and the Loch Garry bank C where maximum flow events would have reached what could be referred to as mid rather than mid/upper banks zones. For simplicity’s sake in the results section, we discuss bank zones which equate to flows &gt;3,000 ML/d as mid/upper bank zone.</w:t>
      </w:r>
    </w:p>
    <w:p w14:paraId="4A66C19B" w14:textId="239587EA" w:rsidR="008F3D0B" w:rsidRPr="00A033D8" w:rsidRDefault="008F3D0B" w:rsidP="008F3D0B">
      <w:pPr>
        <w:rPr>
          <w:b/>
          <w:bCs/>
          <w:i/>
          <w:iCs/>
        </w:rPr>
      </w:pPr>
      <w:r w:rsidRPr="00A033D8">
        <w:rPr>
          <w:b/>
          <w:bCs/>
          <w:i/>
          <w:iCs/>
        </w:rPr>
        <w:t xml:space="preserve">Tributary flow and </w:t>
      </w:r>
      <w:r w:rsidR="0086177E">
        <w:rPr>
          <w:b/>
          <w:bCs/>
          <w:i/>
          <w:iCs/>
        </w:rPr>
        <w:t>f</w:t>
      </w:r>
      <w:r w:rsidRPr="00A033D8">
        <w:rPr>
          <w:b/>
          <w:bCs/>
          <w:i/>
          <w:iCs/>
        </w:rPr>
        <w:t>low Sequence</w:t>
      </w:r>
    </w:p>
    <w:p w14:paraId="631E24DC" w14:textId="0E7DDADC" w:rsidR="008F3D0B" w:rsidRPr="00484A4F" w:rsidRDefault="008F3D0B" w:rsidP="008F3D0B">
      <w:r>
        <w:t>Tributary flow</w:t>
      </w:r>
      <w:r w:rsidR="00C7730E">
        <w:t xml:space="preserve"> and</w:t>
      </w:r>
      <w:r>
        <w:t xml:space="preserve"> the preceding flow events are both important variables to consider when analysing riverbank response to flow events. High contribution of tributary flow, as seen during the Spring Fresh (</w:t>
      </w:r>
      <w:r w:rsidR="00C13F49">
        <w:t xml:space="preserve">Table </w:t>
      </w:r>
      <w:r w:rsidR="00C13F49">
        <w:rPr>
          <w:noProof/>
        </w:rPr>
        <w:t>4</w:t>
      </w:r>
      <w:r w:rsidR="00C13F49">
        <w:noBreakHyphen/>
      </w:r>
      <w:r w:rsidR="00C13F49">
        <w:rPr>
          <w:noProof/>
        </w:rPr>
        <w:t>3</w:t>
      </w:r>
      <w:r>
        <w:t xml:space="preserve">), can contribute significantly to deposition events due to the increased suspended sediment load carried by these flows. Prior flow events contribute primarily to erosion events through </w:t>
      </w:r>
      <w:r w:rsidRPr="001D6E85">
        <w:rPr>
          <w:i/>
          <w:iCs/>
        </w:rPr>
        <w:t>preparation</w:t>
      </w:r>
      <w:r>
        <w:rPr>
          <w:i/>
          <w:iCs/>
        </w:rPr>
        <w:t xml:space="preserve">. </w:t>
      </w:r>
      <w:r>
        <w:t xml:space="preserve">This was found </w:t>
      </w:r>
      <w:r w:rsidR="00C7730E">
        <w:t>in 2019/20</w:t>
      </w:r>
      <w:r>
        <w:t xml:space="preserve">, where the IVT period prepared the riverbanks for erosion events during the </w:t>
      </w:r>
      <w:r w:rsidRPr="001D6E85">
        <w:rPr>
          <w:i/>
          <w:iCs/>
        </w:rPr>
        <w:t>Recession Flow</w:t>
      </w:r>
      <w:r>
        <w:t xml:space="preserve"> (or Autumn Fresh).  The same order of flows was delivered this year</w:t>
      </w:r>
      <w:r w:rsidR="001A3BD1">
        <w:t xml:space="preserve"> (2020/21)</w:t>
      </w:r>
      <w:r>
        <w:t xml:space="preserve"> with the order of deliver</w:t>
      </w:r>
      <w:r w:rsidR="001A3BD1">
        <w:t>y</w:t>
      </w:r>
      <w:r>
        <w:t xml:space="preserve"> being (1) Spring Fresh, (2) IVT and (3) Autumn Fresh (</w:t>
      </w:r>
      <w:r w:rsidR="00C13F49" w:rsidRPr="00BA2632">
        <w:t xml:space="preserve">Figure </w:t>
      </w:r>
      <w:r w:rsidR="00C13F49">
        <w:rPr>
          <w:noProof/>
        </w:rPr>
        <w:t>4</w:t>
      </w:r>
      <w:r w:rsidR="00C13F49">
        <w:noBreakHyphen/>
      </w:r>
      <w:r w:rsidR="00C13F49">
        <w:rPr>
          <w:noProof/>
        </w:rPr>
        <w:t>5</w:t>
      </w:r>
      <w:r>
        <w:t>).</w:t>
      </w:r>
    </w:p>
    <w:p w14:paraId="1678E5B0" w14:textId="5081C458" w:rsidR="008F3D0B" w:rsidRDefault="008F3D0B" w:rsidP="008F3D0B">
      <w:pPr>
        <w:pStyle w:val="Caption"/>
        <w:keepNext/>
      </w:pPr>
      <w:bookmarkStart w:id="133" w:name="_Ref81299808"/>
      <w:bookmarkStart w:id="134" w:name="_Toc95391458"/>
      <w:r>
        <w:t xml:space="preserve">Table </w:t>
      </w:r>
      <w:r w:rsidR="000B75AF">
        <w:rPr>
          <w:noProof/>
        </w:rPr>
        <w:t>4</w:t>
      </w:r>
      <w:r w:rsidR="000B75AF">
        <w:noBreakHyphen/>
      </w:r>
      <w:r w:rsidR="000B75AF">
        <w:rPr>
          <w:noProof/>
        </w:rPr>
        <w:t>3</w:t>
      </w:r>
      <w:bookmarkEnd w:id="133"/>
      <w:r>
        <w:t xml:space="preserve"> Percentage of the total flow contributed by the tributary flow by site on the Goulburn River for each flow period.</w:t>
      </w:r>
      <w:bookmarkEnd w:id="134"/>
    </w:p>
    <w:tbl>
      <w:tblPr>
        <w:tblW w:w="6714"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tblCellMar>
        <w:tblLook w:val="04A0" w:firstRow="1" w:lastRow="0" w:firstColumn="1" w:lastColumn="0" w:noHBand="0" w:noVBand="1"/>
      </w:tblPr>
      <w:tblGrid>
        <w:gridCol w:w="2178"/>
        <w:gridCol w:w="2127"/>
        <w:gridCol w:w="2409"/>
      </w:tblGrid>
      <w:tr w:rsidR="008F3D0B" w:rsidRPr="00BA2632" w14:paraId="78B88086" w14:textId="77777777" w:rsidTr="0008654A">
        <w:trPr>
          <w:trHeight w:val="204"/>
          <w:tblHeader/>
          <w:jc w:val="center"/>
        </w:trPr>
        <w:tc>
          <w:tcPr>
            <w:tcW w:w="2178"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FFFFFF" w:themeColor="background2"/>
            </w:tcBorders>
            <w:shd w:val="clear" w:color="auto" w:fill="00338D"/>
            <w:vAlign w:val="center"/>
            <w:hideMark/>
          </w:tcPr>
          <w:p w14:paraId="37105BA4" w14:textId="77777777" w:rsidR="008F3D0B" w:rsidRPr="00BA2632" w:rsidRDefault="008F3D0B" w:rsidP="00A033D8">
            <w:pPr>
              <w:spacing w:after="0"/>
              <w:jc w:val="left"/>
              <w:rPr>
                <w:rFonts w:cs="Arial"/>
                <w:b/>
                <w:color w:val="FFFFFF"/>
                <w:sz w:val="18"/>
                <w:szCs w:val="18"/>
              </w:rPr>
            </w:pPr>
            <w:r w:rsidRPr="00BA2632">
              <w:rPr>
                <w:rFonts w:cs="Arial"/>
                <w:b/>
                <w:color w:val="FFFFFF"/>
                <w:sz w:val="18"/>
                <w:szCs w:val="18"/>
              </w:rPr>
              <w:t>Monitoring Window and corresponding flow event</w:t>
            </w:r>
          </w:p>
        </w:tc>
        <w:tc>
          <w:tcPr>
            <w:tcW w:w="2127" w:type="dxa"/>
            <w:tcBorders>
              <w:top w:val="single" w:sz="4" w:space="0" w:color="808080" w:themeColor="background2" w:themeShade="80"/>
              <w:left w:val="single" w:sz="4" w:space="0" w:color="FFFFFF" w:themeColor="background2"/>
              <w:bottom w:val="single" w:sz="4" w:space="0" w:color="808080" w:themeColor="background2" w:themeShade="80"/>
              <w:right w:val="single" w:sz="4" w:space="0" w:color="FFFFFF" w:themeColor="background2"/>
            </w:tcBorders>
            <w:shd w:val="clear" w:color="auto" w:fill="00338D"/>
            <w:vAlign w:val="center"/>
            <w:hideMark/>
          </w:tcPr>
          <w:p w14:paraId="09988018" w14:textId="77777777" w:rsidR="008F3D0B" w:rsidRPr="00BA2632" w:rsidRDefault="008F3D0B" w:rsidP="00A033D8">
            <w:pPr>
              <w:pStyle w:val="Tablesmalltext"/>
              <w:spacing w:before="0"/>
              <w:jc w:val="left"/>
              <w:rPr>
                <w:rFonts w:asciiTheme="minorHAnsi" w:hAnsiTheme="minorHAnsi" w:cs="Arial"/>
                <w:b/>
                <w:color w:val="FFFFFF"/>
                <w:sz w:val="18"/>
                <w:szCs w:val="18"/>
                <w:lang w:eastAsia="en-AU"/>
              </w:rPr>
            </w:pPr>
            <w:r>
              <w:rPr>
                <w:rFonts w:asciiTheme="minorHAnsi" w:hAnsiTheme="minorHAnsi" w:cs="Arial"/>
                <w:b/>
                <w:color w:val="FFFFFF"/>
                <w:sz w:val="18"/>
                <w:szCs w:val="18"/>
                <w:lang w:eastAsia="en-AU"/>
              </w:rPr>
              <w:t>% Tributary Flow at Darcy’s track</w:t>
            </w:r>
          </w:p>
        </w:tc>
        <w:tc>
          <w:tcPr>
            <w:tcW w:w="2409" w:type="dxa"/>
            <w:tcBorders>
              <w:top w:val="single" w:sz="4" w:space="0" w:color="808080" w:themeColor="background2" w:themeShade="80"/>
              <w:left w:val="single" w:sz="4" w:space="0" w:color="FFFFFF" w:themeColor="background2"/>
              <w:bottom w:val="single" w:sz="4" w:space="0" w:color="808080" w:themeColor="background2" w:themeShade="80"/>
              <w:right w:val="single" w:sz="4" w:space="0" w:color="FFFFFF" w:themeColor="background2"/>
            </w:tcBorders>
            <w:shd w:val="clear" w:color="auto" w:fill="00338D"/>
            <w:vAlign w:val="center"/>
          </w:tcPr>
          <w:p w14:paraId="3A76C035" w14:textId="77777777" w:rsidR="008F3D0B" w:rsidRDefault="008F3D0B" w:rsidP="00A033D8">
            <w:pPr>
              <w:pStyle w:val="Tablesmalltext"/>
              <w:spacing w:before="0"/>
              <w:jc w:val="left"/>
              <w:rPr>
                <w:rFonts w:asciiTheme="minorHAnsi" w:hAnsiTheme="minorHAnsi" w:cs="Arial"/>
                <w:b/>
                <w:color w:val="FFFFFF"/>
                <w:sz w:val="18"/>
                <w:szCs w:val="18"/>
                <w:lang w:eastAsia="en-AU"/>
              </w:rPr>
            </w:pPr>
            <w:r>
              <w:rPr>
                <w:rFonts w:asciiTheme="minorHAnsi" w:hAnsiTheme="minorHAnsi" w:cs="Arial"/>
                <w:b/>
                <w:color w:val="FFFFFF"/>
                <w:sz w:val="18"/>
                <w:szCs w:val="18"/>
                <w:lang w:eastAsia="en-AU"/>
              </w:rPr>
              <w:t>% Tributary Flow at Loch Garry &amp; McCoy’s Bridge</w:t>
            </w:r>
          </w:p>
        </w:tc>
      </w:tr>
      <w:tr w:rsidR="008F3D0B" w:rsidRPr="00BA2632" w14:paraId="65A45027" w14:textId="77777777" w:rsidTr="0008654A">
        <w:trPr>
          <w:trHeight w:val="279"/>
          <w:jc w:val="center"/>
        </w:trPr>
        <w:tc>
          <w:tcPr>
            <w:tcW w:w="2178"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vAlign w:val="center"/>
            <w:hideMark/>
          </w:tcPr>
          <w:p w14:paraId="59279BA0" w14:textId="77777777" w:rsidR="008F3D0B" w:rsidRPr="00BA2632" w:rsidRDefault="008F3D0B" w:rsidP="00A033D8">
            <w:pPr>
              <w:pStyle w:val="Tablesmalltext"/>
              <w:jc w:val="left"/>
              <w:rPr>
                <w:rFonts w:asciiTheme="minorHAnsi" w:hAnsiTheme="minorHAnsi"/>
                <w:sz w:val="18"/>
                <w:szCs w:val="18"/>
              </w:rPr>
            </w:pPr>
            <w:r w:rsidRPr="00BA2632">
              <w:rPr>
                <w:rFonts w:asciiTheme="minorHAnsi" w:hAnsiTheme="minorHAnsi"/>
                <w:sz w:val="18"/>
                <w:szCs w:val="18"/>
              </w:rPr>
              <w:t>Spring Fresh (v1 – v2)</w:t>
            </w:r>
          </w:p>
        </w:tc>
        <w:tc>
          <w:tcPr>
            <w:tcW w:w="2127"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vAlign w:val="center"/>
            <w:hideMark/>
          </w:tcPr>
          <w:p w14:paraId="5F8A2835" w14:textId="77777777" w:rsidR="008F3D0B" w:rsidRPr="00BA2632" w:rsidRDefault="008F3D0B" w:rsidP="00A033D8">
            <w:pPr>
              <w:pStyle w:val="Tablesmalltext"/>
              <w:jc w:val="left"/>
              <w:rPr>
                <w:rFonts w:asciiTheme="minorHAnsi" w:hAnsiTheme="minorHAnsi"/>
                <w:sz w:val="18"/>
                <w:szCs w:val="18"/>
              </w:rPr>
            </w:pPr>
            <w:r>
              <w:rPr>
                <w:rFonts w:asciiTheme="minorHAnsi" w:hAnsiTheme="minorHAnsi"/>
                <w:sz w:val="18"/>
                <w:szCs w:val="18"/>
              </w:rPr>
              <w:t>38%</w:t>
            </w:r>
          </w:p>
        </w:tc>
        <w:tc>
          <w:tcPr>
            <w:tcW w:w="2409"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vAlign w:val="center"/>
          </w:tcPr>
          <w:p w14:paraId="52356659" w14:textId="77777777" w:rsidR="008F3D0B" w:rsidRPr="00BA2632" w:rsidRDefault="008F3D0B" w:rsidP="00A033D8">
            <w:pPr>
              <w:pStyle w:val="Tablesmalltext"/>
              <w:jc w:val="left"/>
              <w:rPr>
                <w:rFonts w:asciiTheme="minorHAnsi" w:hAnsiTheme="minorHAnsi"/>
                <w:sz w:val="18"/>
                <w:szCs w:val="18"/>
              </w:rPr>
            </w:pPr>
            <w:r>
              <w:rPr>
                <w:rFonts w:asciiTheme="minorHAnsi" w:hAnsiTheme="minorHAnsi"/>
                <w:sz w:val="18"/>
                <w:szCs w:val="18"/>
              </w:rPr>
              <w:t>35%</w:t>
            </w:r>
          </w:p>
        </w:tc>
      </w:tr>
      <w:tr w:rsidR="008F3D0B" w:rsidRPr="00BA2632" w14:paraId="62BB8D0C" w14:textId="77777777" w:rsidTr="0008654A">
        <w:trPr>
          <w:trHeight w:val="279"/>
          <w:jc w:val="center"/>
        </w:trPr>
        <w:tc>
          <w:tcPr>
            <w:tcW w:w="2178"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vAlign w:val="center"/>
            <w:hideMark/>
          </w:tcPr>
          <w:p w14:paraId="6BA3D09E" w14:textId="77777777" w:rsidR="008F3D0B" w:rsidRPr="00BA2632" w:rsidRDefault="008F3D0B" w:rsidP="00A033D8">
            <w:pPr>
              <w:pStyle w:val="Tablesmalltext"/>
              <w:jc w:val="left"/>
              <w:rPr>
                <w:rFonts w:asciiTheme="minorHAnsi" w:hAnsiTheme="minorHAnsi"/>
                <w:sz w:val="18"/>
                <w:szCs w:val="18"/>
              </w:rPr>
            </w:pPr>
            <w:r w:rsidRPr="00BA2632">
              <w:rPr>
                <w:rFonts w:asciiTheme="minorHAnsi" w:hAnsiTheme="minorHAnsi"/>
                <w:sz w:val="18"/>
                <w:szCs w:val="18"/>
              </w:rPr>
              <w:t>IVT Period (v2 – v3)</w:t>
            </w:r>
          </w:p>
        </w:tc>
        <w:tc>
          <w:tcPr>
            <w:tcW w:w="2127"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vAlign w:val="center"/>
            <w:hideMark/>
          </w:tcPr>
          <w:p w14:paraId="06871F2F" w14:textId="77777777" w:rsidR="008F3D0B" w:rsidRPr="00BA2632" w:rsidRDefault="008F3D0B" w:rsidP="00A033D8">
            <w:pPr>
              <w:pStyle w:val="Tablesmalltext"/>
              <w:jc w:val="left"/>
              <w:rPr>
                <w:rFonts w:asciiTheme="minorHAnsi" w:hAnsiTheme="minorHAnsi"/>
                <w:sz w:val="18"/>
                <w:szCs w:val="18"/>
              </w:rPr>
            </w:pPr>
            <w:r>
              <w:rPr>
                <w:rFonts w:asciiTheme="minorHAnsi" w:hAnsiTheme="minorHAnsi"/>
                <w:sz w:val="18"/>
                <w:szCs w:val="18"/>
              </w:rPr>
              <w:t>30%</w:t>
            </w:r>
          </w:p>
        </w:tc>
        <w:tc>
          <w:tcPr>
            <w:tcW w:w="2409"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vAlign w:val="center"/>
          </w:tcPr>
          <w:p w14:paraId="08C40334" w14:textId="77777777" w:rsidR="008F3D0B" w:rsidRPr="00BA2632" w:rsidRDefault="008F3D0B" w:rsidP="00A033D8">
            <w:pPr>
              <w:pStyle w:val="Tablesmalltext"/>
              <w:jc w:val="left"/>
              <w:rPr>
                <w:rFonts w:asciiTheme="minorHAnsi" w:hAnsiTheme="minorHAnsi"/>
                <w:sz w:val="18"/>
                <w:szCs w:val="18"/>
              </w:rPr>
            </w:pPr>
            <w:r>
              <w:rPr>
                <w:rFonts w:asciiTheme="minorHAnsi" w:hAnsiTheme="minorHAnsi"/>
                <w:sz w:val="18"/>
                <w:szCs w:val="18"/>
              </w:rPr>
              <w:t>29%</w:t>
            </w:r>
          </w:p>
        </w:tc>
      </w:tr>
      <w:tr w:rsidR="008F3D0B" w:rsidRPr="00BA2632" w14:paraId="7F94B07A" w14:textId="77777777" w:rsidTr="0008654A">
        <w:trPr>
          <w:trHeight w:val="279"/>
          <w:jc w:val="center"/>
        </w:trPr>
        <w:tc>
          <w:tcPr>
            <w:tcW w:w="2178"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vAlign w:val="center"/>
            <w:hideMark/>
          </w:tcPr>
          <w:p w14:paraId="501EF72D" w14:textId="77777777" w:rsidR="008F3D0B" w:rsidRPr="00BA2632" w:rsidRDefault="008F3D0B" w:rsidP="00A033D8">
            <w:pPr>
              <w:pStyle w:val="Tablesmalltext"/>
              <w:jc w:val="left"/>
              <w:rPr>
                <w:rFonts w:asciiTheme="minorHAnsi" w:hAnsiTheme="minorHAnsi"/>
                <w:sz w:val="18"/>
                <w:szCs w:val="18"/>
              </w:rPr>
            </w:pPr>
            <w:r>
              <w:rPr>
                <w:rFonts w:asciiTheme="minorHAnsi" w:hAnsiTheme="minorHAnsi"/>
                <w:sz w:val="18"/>
                <w:szCs w:val="18"/>
              </w:rPr>
              <w:t>Autumn Fresh</w:t>
            </w:r>
            <w:r w:rsidRPr="00BA2632">
              <w:rPr>
                <w:rFonts w:asciiTheme="minorHAnsi" w:hAnsiTheme="minorHAnsi"/>
                <w:sz w:val="18"/>
                <w:szCs w:val="18"/>
              </w:rPr>
              <w:t xml:space="preserve"> (v3 – v4)</w:t>
            </w:r>
          </w:p>
        </w:tc>
        <w:tc>
          <w:tcPr>
            <w:tcW w:w="2127"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vAlign w:val="center"/>
            <w:hideMark/>
          </w:tcPr>
          <w:p w14:paraId="4EFD4FD0" w14:textId="77777777" w:rsidR="008F3D0B" w:rsidRPr="00BA2632" w:rsidRDefault="008F3D0B" w:rsidP="00A033D8">
            <w:pPr>
              <w:pStyle w:val="Tablesmalltext"/>
              <w:jc w:val="left"/>
              <w:rPr>
                <w:rFonts w:asciiTheme="minorHAnsi" w:hAnsiTheme="minorHAnsi"/>
                <w:sz w:val="18"/>
                <w:szCs w:val="18"/>
              </w:rPr>
            </w:pPr>
            <w:r>
              <w:rPr>
                <w:rFonts w:asciiTheme="minorHAnsi" w:hAnsiTheme="minorHAnsi"/>
                <w:sz w:val="18"/>
                <w:szCs w:val="18"/>
              </w:rPr>
              <w:t>9%</w:t>
            </w:r>
          </w:p>
        </w:tc>
        <w:tc>
          <w:tcPr>
            <w:tcW w:w="2409"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vAlign w:val="center"/>
          </w:tcPr>
          <w:p w14:paraId="66EBCFED" w14:textId="77777777" w:rsidR="008F3D0B" w:rsidRPr="00BA2632" w:rsidRDefault="008F3D0B" w:rsidP="00A033D8">
            <w:pPr>
              <w:pStyle w:val="Tablesmalltext"/>
              <w:jc w:val="left"/>
              <w:rPr>
                <w:rFonts w:asciiTheme="minorHAnsi" w:hAnsiTheme="minorHAnsi"/>
                <w:sz w:val="18"/>
                <w:szCs w:val="18"/>
              </w:rPr>
            </w:pPr>
            <w:r>
              <w:rPr>
                <w:rFonts w:asciiTheme="minorHAnsi" w:hAnsiTheme="minorHAnsi"/>
                <w:sz w:val="18"/>
                <w:szCs w:val="18"/>
              </w:rPr>
              <w:t>9%</w:t>
            </w:r>
          </w:p>
        </w:tc>
      </w:tr>
    </w:tbl>
    <w:p w14:paraId="0643426B" w14:textId="77777777" w:rsidR="008F3D0B" w:rsidRPr="001326D2" w:rsidRDefault="008F3D0B" w:rsidP="008F3D0B">
      <w:pPr>
        <w:rPr>
          <w:b/>
          <w:bCs/>
        </w:rPr>
      </w:pPr>
    </w:p>
    <w:p w14:paraId="5D57AD5B" w14:textId="3796FBA3" w:rsidR="008F3D0B" w:rsidRPr="00BA2632" w:rsidRDefault="008F3D0B" w:rsidP="008F3D0B">
      <w:pPr>
        <w:rPr>
          <w:lang w:eastAsia="en-US"/>
        </w:rPr>
      </w:pPr>
      <w:r w:rsidRPr="00BA2632">
        <w:rPr>
          <w:lang w:eastAsia="en-US"/>
        </w:rPr>
        <w:t>Previous results have shown that</w:t>
      </w:r>
      <w:r>
        <w:rPr>
          <w:lang w:eastAsia="en-US"/>
        </w:rPr>
        <w:t xml:space="preserve"> the long duration IVT flows result in more severe erosion to the lower bank, versus shorter, higher magnitude freshes. The outcome is that IVT flows lead to steeper and less stable bank profiles. Shorter duration, higher peak flow freshes vary over a wider swath of bank and have</w:t>
      </w:r>
      <w:r w:rsidR="001A3BD1">
        <w:rPr>
          <w:lang w:eastAsia="en-US"/>
        </w:rPr>
        <w:t>,</w:t>
      </w:r>
      <w:r>
        <w:rPr>
          <w:lang w:eastAsia="en-US"/>
        </w:rPr>
        <w:t xml:space="preserve"> in the past</w:t>
      </w:r>
      <w:r w:rsidR="001A3BD1">
        <w:rPr>
          <w:lang w:eastAsia="en-US"/>
        </w:rPr>
        <w:t>,</w:t>
      </w:r>
      <w:r>
        <w:rPr>
          <w:lang w:eastAsia="en-US"/>
        </w:rPr>
        <w:t xml:space="preserve"> resulted in erosion of the upper bank and deposition on the lower bank, working to counteract the steepening effect of IVT flows on the bank. Our hypotheses for the 2020-21 monitoring are based on these observations, and consideration of historic results. These hypotheses are detailed in </w:t>
      </w:r>
      <w:r w:rsidR="00420BF7" w:rsidRPr="00BA2632">
        <w:t xml:space="preserve">Table </w:t>
      </w:r>
      <w:r w:rsidR="00420BF7">
        <w:rPr>
          <w:noProof/>
        </w:rPr>
        <w:t>4</w:t>
      </w:r>
      <w:r w:rsidR="00420BF7">
        <w:noBreakHyphen/>
      </w:r>
      <w:r w:rsidR="00420BF7">
        <w:rPr>
          <w:noProof/>
        </w:rPr>
        <w:t>4</w:t>
      </w:r>
      <w:r>
        <w:rPr>
          <w:lang w:eastAsia="en-US"/>
        </w:rPr>
        <w:t>.</w:t>
      </w:r>
    </w:p>
    <w:p w14:paraId="112B85A0" w14:textId="14E6DDA3" w:rsidR="00CA58DE" w:rsidRDefault="00CA58DE" w:rsidP="008F3D0B">
      <w:pPr>
        <w:rPr>
          <w:lang w:eastAsia="en-US"/>
        </w:rPr>
      </w:pPr>
    </w:p>
    <w:p w14:paraId="77D16C4F" w14:textId="77777777" w:rsidR="00CA58DE" w:rsidRPr="00BA2632" w:rsidRDefault="00CA58DE" w:rsidP="008F3D0B">
      <w:pPr>
        <w:rPr>
          <w:lang w:eastAsia="en-US"/>
        </w:rPr>
      </w:pPr>
    </w:p>
    <w:p w14:paraId="07A25587" w14:textId="615BE3FF" w:rsidR="008F3D0B" w:rsidRPr="00BA2632" w:rsidRDefault="008F3D0B" w:rsidP="008F3D0B">
      <w:pPr>
        <w:pStyle w:val="Caption"/>
      </w:pPr>
      <w:bookmarkStart w:id="135" w:name="_Ref52195839"/>
      <w:bookmarkStart w:id="136" w:name="_Ref80878830"/>
      <w:bookmarkStart w:id="137" w:name="_Toc51769700"/>
      <w:bookmarkStart w:id="138" w:name="_Toc95391459"/>
      <w:r w:rsidRPr="00BA2632">
        <w:lastRenderedPageBreak/>
        <w:t xml:space="preserve">Table </w:t>
      </w:r>
      <w:r w:rsidR="000B75AF">
        <w:rPr>
          <w:noProof/>
        </w:rPr>
        <w:t>4</w:t>
      </w:r>
      <w:r w:rsidR="000B75AF">
        <w:noBreakHyphen/>
      </w:r>
      <w:r w:rsidR="000B75AF">
        <w:rPr>
          <w:noProof/>
        </w:rPr>
        <w:t>4</w:t>
      </w:r>
      <w:bookmarkEnd w:id="135"/>
      <w:bookmarkEnd w:id="136"/>
      <w:r w:rsidRPr="00BA2632">
        <w:t xml:space="preserve"> Hypothes</w:t>
      </w:r>
      <w:r>
        <w:t>e</w:t>
      </w:r>
      <w:r w:rsidRPr="00BA2632">
        <w:t>s relating to hydrology summarised</w:t>
      </w:r>
      <w:bookmarkEnd w:id="137"/>
      <w:r w:rsidRPr="00BA2632">
        <w:t>.</w:t>
      </w:r>
      <w:bookmarkEnd w:id="138"/>
    </w:p>
    <w:tbl>
      <w:tblPr>
        <w:tblW w:w="9124"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tblCellMar>
        <w:tblLook w:val="04A0" w:firstRow="1" w:lastRow="0" w:firstColumn="1" w:lastColumn="0" w:noHBand="0" w:noVBand="1"/>
      </w:tblPr>
      <w:tblGrid>
        <w:gridCol w:w="2320"/>
        <w:gridCol w:w="6804"/>
      </w:tblGrid>
      <w:tr w:rsidR="008F3D0B" w:rsidRPr="00BA2632" w14:paraId="53890814" w14:textId="77777777" w:rsidTr="0008654A">
        <w:trPr>
          <w:trHeight w:val="204"/>
          <w:tblHeader/>
          <w:jc w:val="center"/>
        </w:trPr>
        <w:tc>
          <w:tcPr>
            <w:tcW w:w="2320"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FFFFFF" w:themeColor="background2"/>
            </w:tcBorders>
            <w:shd w:val="clear" w:color="auto" w:fill="00338D"/>
            <w:vAlign w:val="center"/>
            <w:hideMark/>
          </w:tcPr>
          <w:p w14:paraId="79B7CADF" w14:textId="4E6992B8" w:rsidR="008F3D0B" w:rsidRPr="00BA2632" w:rsidRDefault="008F3D0B" w:rsidP="00E26D3C">
            <w:pPr>
              <w:spacing w:after="0"/>
              <w:rPr>
                <w:rFonts w:cs="Arial"/>
                <w:b/>
                <w:color w:val="FFFFFF"/>
                <w:sz w:val="18"/>
                <w:szCs w:val="18"/>
              </w:rPr>
            </w:pPr>
            <w:r w:rsidRPr="00BA2632">
              <w:rPr>
                <w:rFonts w:cs="Arial"/>
                <w:b/>
                <w:color w:val="FFFFFF"/>
                <w:sz w:val="18"/>
                <w:szCs w:val="18"/>
              </w:rPr>
              <w:t xml:space="preserve">Monitoring </w:t>
            </w:r>
            <w:r w:rsidR="00A76D1C">
              <w:rPr>
                <w:rFonts w:cs="Arial"/>
                <w:b/>
                <w:color w:val="FFFFFF"/>
                <w:sz w:val="18"/>
                <w:szCs w:val="18"/>
              </w:rPr>
              <w:t>w</w:t>
            </w:r>
            <w:r w:rsidRPr="00BA2632">
              <w:rPr>
                <w:rFonts w:cs="Arial"/>
                <w:b/>
                <w:color w:val="FFFFFF"/>
                <w:sz w:val="18"/>
                <w:szCs w:val="18"/>
              </w:rPr>
              <w:t>indow and corresponding flow event</w:t>
            </w:r>
          </w:p>
        </w:tc>
        <w:tc>
          <w:tcPr>
            <w:tcW w:w="6804" w:type="dxa"/>
            <w:tcBorders>
              <w:top w:val="single" w:sz="4" w:space="0" w:color="808080" w:themeColor="background2" w:themeShade="80"/>
              <w:left w:val="single" w:sz="4" w:space="0" w:color="FFFFFF" w:themeColor="background2"/>
              <w:bottom w:val="single" w:sz="4" w:space="0" w:color="808080" w:themeColor="background2" w:themeShade="80"/>
              <w:right w:val="single" w:sz="4" w:space="0" w:color="FFFFFF" w:themeColor="background2"/>
            </w:tcBorders>
            <w:shd w:val="clear" w:color="auto" w:fill="00338D"/>
            <w:vAlign w:val="center"/>
            <w:hideMark/>
          </w:tcPr>
          <w:p w14:paraId="1AEEBB02" w14:textId="77777777" w:rsidR="008F3D0B" w:rsidRPr="00BA2632" w:rsidRDefault="008F3D0B" w:rsidP="00E26D3C">
            <w:pPr>
              <w:pStyle w:val="Tablesmalltext"/>
              <w:spacing w:before="0"/>
              <w:rPr>
                <w:rFonts w:asciiTheme="minorHAnsi" w:hAnsiTheme="minorHAnsi" w:cs="Arial"/>
                <w:b/>
                <w:color w:val="FFFFFF"/>
                <w:sz w:val="18"/>
                <w:szCs w:val="18"/>
                <w:lang w:eastAsia="en-AU"/>
              </w:rPr>
            </w:pPr>
            <w:r w:rsidRPr="00BA2632">
              <w:rPr>
                <w:rFonts w:asciiTheme="minorHAnsi" w:hAnsiTheme="minorHAnsi" w:cs="Arial"/>
                <w:b/>
                <w:color w:val="FFFFFF"/>
                <w:sz w:val="18"/>
                <w:szCs w:val="18"/>
                <w:lang w:eastAsia="en-AU"/>
              </w:rPr>
              <w:t xml:space="preserve">Hypothesis </w:t>
            </w:r>
          </w:p>
        </w:tc>
      </w:tr>
      <w:tr w:rsidR="008F3D0B" w:rsidRPr="00BA2632" w14:paraId="518E8AEF" w14:textId="77777777" w:rsidTr="00A76D1C">
        <w:trPr>
          <w:trHeight w:val="279"/>
          <w:jc w:val="center"/>
        </w:trPr>
        <w:tc>
          <w:tcPr>
            <w:tcW w:w="2320"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hideMark/>
          </w:tcPr>
          <w:p w14:paraId="4B07C4A0" w14:textId="77777777" w:rsidR="008F3D0B" w:rsidRPr="00BA2632" w:rsidRDefault="008F3D0B" w:rsidP="00E26D3C">
            <w:pPr>
              <w:pStyle w:val="Tablesmalltext"/>
              <w:rPr>
                <w:rFonts w:asciiTheme="minorHAnsi" w:hAnsiTheme="minorHAnsi"/>
                <w:sz w:val="18"/>
                <w:szCs w:val="18"/>
              </w:rPr>
            </w:pPr>
            <w:r w:rsidRPr="00BA2632">
              <w:rPr>
                <w:rFonts w:asciiTheme="minorHAnsi" w:hAnsiTheme="minorHAnsi"/>
                <w:sz w:val="18"/>
                <w:szCs w:val="18"/>
              </w:rPr>
              <w:t>Spring Fresh (v1 – v2)</w:t>
            </w:r>
          </w:p>
        </w:tc>
        <w:tc>
          <w:tcPr>
            <w:tcW w:w="6804"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hideMark/>
          </w:tcPr>
          <w:p w14:paraId="040F1468" w14:textId="77777777" w:rsidR="008F3D0B" w:rsidRPr="00BA2632" w:rsidRDefault="008F3D0B" w:rsidP="00E26D3C">
            <w:pPr>
              <w:pStyle w:val="Tablesmalltext"/>
              <w:rPr>
                <w:rFonts w:asciiTheme="minorHAnsi" w:hAnsiTheme="minorHAnsi"/>
                <w:sz w:val="18"/>
                <w:szCs w:val="18"/>
              </w:rPr>
            </w:pPr>
            <w:r>
              <w:rPr>
                <w:rFonts w:asciiTheme="minorHAnsi" w:hAnsiTheme="minorHAnsi"/>
                <w:sz w:val="18"/>
                <w:szCs w:val="18"/>
              </w:rPr>
              <w:t xml:space="preserve">Relatively high flows (50% of days &gt;2,200 ML/d) will lead to a pattern of change in which erosion dominates higher on the bank, with deposition across the mid/lower bank being extensive </w:t>
            </w:r>
            <w:proofErr w:type="gramStart"/>
            <w:r>
              <w:rPr>
                <w:rFonts w:asciiTheme="minorHAnsi" w:hAnsiTheme="minorHAnsi"/>
                <w:sz w:val="18"/>
                <w:szCs w:val="18"/>
              </w:rPr>
              <w:t>as a result of</w:t>
            </w:r>
            <w:proofErr w:type="gramEnd"/>
            <w:r>
              <w:rPr>
                <w:rFonts w:asciiTheme="minorHAnsi" w:hAnsiTheme="minorHAnsi"/>
                <w:sz w:val="18"/>
                <w:szCs w:val="18"/>
              </w:rPr>
              <w:t xml:space="preserve"> high percentage contribution from tributary flows (38% &amp; 35%).</w:t>
            </w:r>
          </w:p>
        </w:tc>
      </w:tr>
      <w:tr w:rsidR="008F3D0B" w:rsidRPr="00BA2632" w14:paraId="3C511B38" w14:textId="77777777" w:rsidTr="00A76D1C">
        <w:trPr>
          <w:trHeight w:val="279"/>
          <w:jc w:val="center"/>
        </w:trPr>
        <w:tc>
          <w:tcPr>
            <w:tcW w:w="2320"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hideMark/>
          </w:tcPr>
          <w:p w14:paraId="6474D2A8" w14:textId="77777777" w:rsidR="008F3D0B" w:rsidRPr="00BA2632" w:rsidRDefault="008F3D0B" w:rsidP="00E26D3C">
            <w:pPr>
              <w:pStyle w:val="Tablesmalltext"/>
              <w:rPr>
                <w:rFonts w:asciiTheme="minorHAnsi" w:hAnsiTheme="minorHAnsi"/>
                <w:sz w:val="18"/>
                <w:szCs w:val="18"/>
              </w:rPr>
            </w:pPr>
            <w:r w:rsidRPr="00BA2632">
              <w:rPr>
                <w:rFonts w:asciiTheme="minorHAnsi" w:hAnsiTheme="minorHAnsi"/>
                <w:sz w:val="18"/>
                <w:szCs w:val="18"/>
              </w:rPr>
              <w:t>IVT Period (v2 – v3)</w:t>
            </w:r>
          </w:p>
        </w:tc>
        <w:tc>
          <w:tcPr>
            <w:tcW w:w="6804"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hideMark/>
          </w:tcPr>
          <w:p w14:paraId="70C25D15" w14:textId="77777777" w:rsidR="008F3D0B" w:rsidRDefault="008F3D0B" w:rsidP="00E26D3C">
            <w:pPr>
              <w:pStyle w:val="Tablesmalltext"/>
              <w:rPr>
                <w:rFonts w:asciiTheme="minorHAnsi" w:hAnsiTheme="minorHAnsi"/>
                <w:sz w:val="18"/>
                <w:szCs w:val="18"/>
              </w:rPr>
            </w:pPr>
            <w:r>
              <w:rPr>
                <w:rFonts w:asciiTheme="minorHAnsi" w:hAnsiTheme="minorHAnsi"/>
                <w:sz w:val="18"/>
                <w:szCs w:val="18"/>
              </w:rPr>
              <w:t xml:space="preserve">Long duration of relatively low </w:t>
            </w:r>
            <w:r w:rsidRPr="00BA2632">
              <w:rPr>
                <w:rFonts w:asciiTheme="minorHAnsi" w:hAnsiTheme="minorHAnsi"/>
                <w:sz w:val="18"/>
                <w:szCs w:val="18"/>
              </w:rPr>
              <w:t>flow</w:t>
            </w:r>
            <w:r>
              <w:rPr>
                <w:rFonts w:asciiTheme="minorHAnsi" w:hAnsiTheme="minorHAnsi"/>
                <w:sz w:val="18"/>
                <w:szCs w:val="18"/>
              </w:rPr>
              <w:t>s</w:t>
            </w:r>
            <w:r w:rsidRPr="00BA2632">
              <w:rPr>
                <w:rFonts w:asciiTheme="minorHAnsi" w:hAnsiTheme="minorHAnsi"/>
                <w:sz w:val="18"/>
                <w:szCs w:val="18"/>
              </w:rPr>
              <w:t xml:space="preserve"> (</w:t>
            </w:r>
            <w:r>
              <w:rPr>
                <w:rFonts w:asciiTheme="minorHAnsi" w:hAnsiTheme="minorHAnsi"/>
                <w:sz w:val="18"/>
                <w:szCs w:val="18"/>
              </w:rPr>
              <w:t>126</w:t>
            </w:r>
            <w:r w:rsidRPr="00BA2632">
              <w:rPr>
                <w:rFonts w:asciiTheme="minorHAnsi" w:hAnsiTheme="minorHAnsi"/>
                <w:sz w:val="18"/>
                <w:szCs w:val="18"/>
              </w:rPr>
              <w:t xml:space="preserve"> days</w:t>
            </w:r>
            <w:r>
              <w:rPr>
                <w:rFonts w:asciiTheme="minorHAnsi" w:hAnsiTheme="minorHAnsi"/>
                <w:sz w:val="18"/>
                <w:szCs w:val="18"/>
              </w:rPr>
              <w:t xml:space="preserve"> in total, all below 2,200 ML/d) will result in both more severe erosion and less deposition on the lower bank. Minimal change will occur on the upper bank.</w:t>
            </w:r>
          </w:p>
          <w:p w14:paraId="6B79D79A" w14:textId="77777777" w:rsidR="008F3D0B" w:rsidRPr="00BA2632" w:rsidRDefault="008F3D0B" w:rsidP="00E26D3C">
            <w:pPr>
              <w:pStyle w:val="Tablesmalltext"/>
              <w:rPr>
                <w:rFonts w:asciiTheme="minorHAnsi" w:hAnsiTheme="minorHAnsi"/>
                <w:sz w:val="18"/>
                <w:szCs w:val="18"/>
              </w:rPr>
            </w:pPr>
            <w:r w:rsidRPr="00BA2632">
              <w:rPr>
                <w:rFonts w:asciiTheme="minorHAnsi" w:hAnsiTheme="minorHAnsi"/>
                <w:sz w:val="18"/>
                <w:szCs w:val="18"/>
              </w:rPr>
              <w:t xml:space="preserve">Where historic notching in the system is present, this will result in </w:t>
            </w:r>
            <w:r>
              <w:rPr>
                <w:rFonts w:asciiTheme="minorHAnsi" w:hAnsiTheme="minorHAnsi"/>
                <w:sz w:val="18"/>
                <w:szCs w:val="18"/>
              </w:rPr>
              <w:t xml:space="preserve">a large amount of </w:t>
            </w:r>
            <w:r w:rsidRPr="00BA2632">
              <w:rPr>
                <w:rFonts w:asciiTheme="minorHAnsi" w:hAnsiTheme="minorHAnsi"/>
                <w:sz w:val="18"/>
                <w:szCs w:val="18"/>
              </w:rPr>
              <w:t>erosion and low deposition (due to cyclical nature of delivery)</w:t>
            </w:r>
            <w:r>
              <w:rPr>
                <w:rFonts w:asciiTheme="minorHAnsi" w:hAnsiTheme="minorHAnsi"/>
                <w:sz w:val="18"/>
                <w:szCs w:val="18"/>
              </w:rPr>
              <w:t>.</w:t>
            </w:r>
            <w:r w:rsidRPr="00BA2632">
              <w:rPr>
                <w:rFonts w:asciiTheme="minorHAnsi" w:hAnsiTheme="minorHAnsi"/>
                <w:sz w:val="18"/>
                <w:szCs w:val="18"/>
              </w:rPr>
              <w:t xml:space="preserve">  </w:t>
            </w:r>
          </w:p>
        </w:tc>
      </w:tr>
      <w:tr w:rsidR="008F3D0B" w:rsidRPr="00BA2632" w14:paraId="15E5EB4D" w14:textId="77777777" w:rsidTr="00A76D1C">
        <w:trPr>
          <w:trHeight w:val="279"/>
          <w:jc w:val="center"/>
        </w:trPr>
        <w:tc>
          <w:tcPr>
            <w:tcW w:w="2320"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hideMark/>
          </w:tcPr>
          <w:p w14:paraId="0E8DF8F5" w14:textId="77777777" w:rsidR="008F3D0B" w:rsidRPr="00BA2632" w:rsidRDefault="008F3D0B" w:rsidP="00E26D3C">
            <w:pPr>
              <w:pStyle w:val="Tablesmalltext"/>
              <w:rPr>
                <w:rFonts w:asciiTheme="minorHAnsi" w:hAnsiTheme="minorHAnsi"/>
                <w:sz w:val="18"/>
                <w:szCs w:val="18"/>
              </w:rPr>
            </w:pPr>
            <w:r>
              <w:rPr>
                <w:rFonts w:asciiTheme="minorHAnsi" w:hAnsiTheme="minorHAnsi"/>
                <w:sz w:val="18"/>
                <w:szCs w:val="18"/>
              </w:rPr>
              <w:t>Autumn Fresh</w:t>
            </w:r>
            <w:r w:rsidRPr="00BA2632">
              <w:rPr>
                <w:rFonts w:asciiTheme="minorHAnsi" w:hAnsiTheme="minorHAnsi"/>
                <w:sz w:val="18"/>
                <w:szCs w:val="18"/>
              </w:rPr>
              <w:t xml:space="preserve"> (v3 – v4)</w:t>
            </w:r>
          </w:p>
        </w:tc>
        <w:tc>
          <w:tcPr>
            <w:tcW w:w="6804" w:type="dxa"/>
            <w:tcBorders>
              <w:top w:val="single" w:sz="4" w:space="0" w:color="808080" w:themeColor="background2" w:themeShade="80"/>
              <w:left w:val="single" w:sz="4" w:space="0" w:color="808080" w:themeColor="background2" w:themeShade="80"/>
              <w:bottom w:val="single" w:sz="4" w:space="0" w:color="808080" w:themeColor="background2" w:themeShade="80"/>
              <w:right w:val="single" w:sz="4" w:space="0" w:color="808080" w:themeColor="background2" w:themeShade="80"/>
            </w:tcBorders>
            <w:shd w:val="clear" w:color="auto" w:fill="FFFFFF" w:themeFill="background2"/>
            <w:hideMark/>
          </w:tcPr>
          <w:p w14:paraId="779478A9" w14:textId="77777777" w:rsidR="008F3D0B" w:rsidRPr="00BA2632" w:rsidRDefault="008F3D0B" w:rsidP="00E26D3C">
            <w:pPr>
              <w:pStyle w:val="Tablesmalltext"/>
              <w:rPr>
                <w:rFonts w:asciiTheme="minorHAnsi" w:hAnsiTheme="minorHAnsi"/>
                <w:sz w:val="18"/>
                <w:szCs w:val="18"/>
              </w:rPr>
            </w:pPr>
            <w:r>
              <w:rPr>
                <w:rFonts w:asciiTheme="minorHAnsi" w:hAnsiTheme="minorHAnsi"/>
                <w:sz w:val="18"/>
                <w:szCs w:val="18"/>
              </w:rPr>
              <w:t>Similar flow pattern to Spring Fresh (43% of days &gt;2,200 ML/d) therefore hypothesis is the same: erosion dominating on the upper bank, deposition on the mid/lower bank but to a lesser extent due to the reduced tributary flow contribution (9%).</w:t>
            </w:r>
          </w:p>
        </w:tc>
      </w:tr>
    </w:tbl>
    <w:p w14:paraId="30809ED9" w14:textId="77777777" w:rsidR="008F3D0B" w:rsidRPr="00BA2632" w:rsidRDefault="008F3D0B" w:rsidP="008F3D0B">
      <w:pPr>
        <w:rPr>
          <w:lang w:eastAsia="en-US"/>
        </w:rPr>
      </w:pPr>
    </w:p>
    <w:p w14:paraId="515AB54F" w14:textId="2455A5A3" w:rsidR="008F3D0B" w:rsidRPr="00BA2632" w:rsidRDefault="008F3D0B" w:rsidP="008F3D0B">
      <w:pPr>
        <w:pStyle w:val="Heading3"/>
      </w:pPr>
      <w:bookmarkStart w:id="139" w:name="_Ref51124617"/>
      <w:bookmarkStart w:id="140" w:name="_Ref51157316"/>
      <w:bookmarkStart w:id="141" w:name="_Toc84417335"/>
      <w:r>
        <w:t>Bank condition modelling</w:t>
      </w:r>
      <w:bookmarkEnd w:id="139"/>
      <w:bookmarkEnd w:id="140"/>
      <w:bookmarkEnd w:id="141"/>
    </w:p>
    <w:p w14:paraId="1FEA86AC" w14:textId="4D4DA070" w:rsidR="008F3D0B" w:rsidRDefault="008F3D0B" w:rsidP="008F3D0B">
      <w:r>
        <w:t xml:space="preserve">The probability of erosion or deposition occurring at each site was modelled using subsampled data from the bank condition DEMODs for the last two years of drone monitoring (2019-21). The modelling calculated the probability of erosion or deposition </w:t>
      </w:r>
      <w:proofErr w:type="gramStart"/>
      <w:r>
        <w:t>as a result of</w:t>
      </w:r>
      <w:proofErr w:type="gramEnd"/>
      <w:r>
        <w:t xml:space="preserve"> either the absolute duration of inundation or the duration of the period where the point on the bank was within ± 10 cm of the water surface (aimed at assessing notching). The probability of erosion (or deposition) and notching was also modelled under a counterfactual scenario, in which environmental flows did not occur. The key insights can be found in the sections below, for additional supporting information for the modelling of bank change related to Environmental Flows and notching analysis go to the </w:t>
      </w:r>
      <w:r w:rsidRPr="00906A99">
        <w:t xml:space="preserve">Appendix </w:t>
      </w:r>
      <w:r w:rsidR="006C03B7">
        <w:t>B</w:t>
      </w:r>
      <w:r>
        <w:t>.</w:t>
      </w:r>
    </w:p>
    <w:p w14:paraId="033D2857" w14:textId="77777777" w:rsidR="008F3D0B" w:rsidRPr="00037617" w:rsidRDefault="008F3D0B" w:rsidP="008F3D0B">
      <w:pPr>
        <w:rPr>
          <w:b/>
          <w:bCs/>
          <w:i/>
          <w:iCs/>
        </w:rPr>
      </w:pPr>
      <w:r w:rsidRPr="00037617">
        <w:rPr>
          <w:b/>
          <w:bCs/>
          <w:i/>
          <w:iCs/>
        </w:rPr>
        <w:t>With environmental flows</w:t>
      </w:r>
    </w:p>
    <w:p w14:paraId="5C413964" w14:textId="77777777" w:rsidR="008F3D0B" w:rsidRPr="00083F55" w:rsidRDefault="008F3D0B" w:rsidP="008F3D0B">
      <w:pPr>
        <w:rPr>
          <w:i/>
          <w:iCs/>
          <w:u w:val="single"/>
        </w:rPr>
      </w:pPr>
      <w:r w:rsidRPr="00083F55">
        <w:rPr>
          <w:i/>
          <w:iCs/>
          <w:u w:val="single"/>
        </w:rPr>
        <w:t>Inundation duration impact on probability of erosion or deposition</w:t>
      </w:r>
    </w:p>
    <w:p w14:paraId="4D439C7A" w14:textId="0A43DD6B" w:rsidR="008F3D0B" w:rsidRPr="00BA2632" w:rsidRDefault="008F3D0B" w:rsidP="008F3D0B">
      <w:r>
        <w:t>The probabilities of severe erosion, minor erosion and deposition are all increased with an increasing duration of inundation (</w:t>
      </w:r>
      <w:r w:rsidR="00420BF7">
        <w:t xml:space="preserve">Figure </w:t>
      </w:r>
      <w:r w:rsidR="00420BF7">
        <w:rPr>
          <w:noProof/>
        </w:rPr>
        <w:t>4</w:t>
      </w:r>
      <w:r w:rsidR="00420BF7">
        <w:noBreakHyphen/>
      </w:r>
      <w:r w:rsidR="00420BF7">
        <w:rPr>
          <w:noProof/>
        </w:rPr>
        <w:t>7</w:t>
      </w:r>
      <w:r>
        <w:t xml:space="preserve">), although the effect was not ‘significant’ (95% credible intervals of the regression slope estimates crossed zero) for severe erosion at McCoy’s Bridge and minor erosion at Darcy’s Track. The magnitude of the effect was largest at Loch Garry for all three endpoints </w:t>
      </w:r>
    </w:p>
    <w:p w14:paraId="35D6DB6C" w14:textId="77777777" w:rsidR="008F3D0B" w:rsidRDefault="008F3D0B" w:rsidP="008F3D0B">
      <w:pPr>
        <w:keepNext/>
        <w:jc w:val="center"/>
      </w:pPr>
      <w:r>
        <w:rPr>
          <w:noProof/>
          <w:lang w:val="en-GB"/>
        </w:rPr>
        <w:lastRenderedPageBreak/>
        <w:drawing>
          <wp:inline distT="0" distB="0" distL="0" distR="0" wp14:anchorId="5D346E43" wp14:editId="731ECE37">
            <wp:extent cx="5692781" cy="5074920"/>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700252" cy="5081580"/>
                    </a:xfrm>
                    <a:prstGeom prst="rect">
                      <a:avLst/>
                    </a:prstGeom>
                    <a:noFill/>
                  </pic:spPr>
                </pic:pic>
              </a:graphicData>
            </a:graphic>
          </wp:inline>
        </w:drawing>
      </w:r>
    </w:p>
    <w:p w14:paraId="0EAC95AE" w14:textId="4351C142" w:rsidR="008F3D0B" w:rsidRPr="00BA2632" w:rsidRDefault="008F3D0B" w:rsidP="008F3D0B">
      <w:pPr>
        <w:pStyle w:val="Caption"/>
      </w:pPr>
      <w:bookmarkStart w:id="142" w:name="_Ref81233393"/>
      <w:bookmarkStart w:id="143" w:name="_Toc83907739"/>
      <w:bookmarkStart w:id="144" w:name="_Toc84475640"/>
      <w:r>
        <w:t xml:space="preserve">Figure </w:t>
      </w:r>
      <w:r w:rsidR="00B85158">
        <w:rPr>
          <w:noProof/>
        </w:rPr>
        <w:t>4</w:t>
      </w:r>
      <w:r w:rsidR="00B85158">
        <w:noBreakHyphen/>
      </w:r>
      <w:r w:rsidR="00B85158">
        <w:rPr>
          <w:noProof/>
        </w:rPr>
        <w:t>7</w:t>
      </w:r>
      <w:bookmarkEnd w:id="142"/>
      <w:r>
        <w:t xml:space="preserve"> </w:t>
      </w:r>
      <w:r w:rsidRPr="00C20E8D">
        <w:t xml:space="preserve">Site inundation effects on the probability of erosion. (a) significant erosion: &gt; 30 mm; (b) erosion: &gt; 5 mm; (c) deposition: </w:t>
      </w:r>
      <w:r>
        <w:t>&gt;</w:t>
      </w:r>
      <w:r w:rsidRPr="00C20E8D">
        <w:t xml:space="preserve"> 5 mm. For each erosion level, results are shown for three sites (Darcy’s Track, Loch Garry, and McCoy’s Bridge).</w:t>
      </w:r>
      <w:r>
        <w:t xml:space="preserve"> Note that the results for deposition (c) have been ‘inverted’ relative to model output. Deposition data are recorded as negative numbers in the data set, and so an increase in deposition associated with an increase in inundation is manifested as a negative parameter estimate. By inverting the result, the output is more intuitive (</w:t>
      </w:r>
      <w:proofErr w:type="gramStart"/>
      <w:r>
        <w:t>i.e.</w:t>
      </w:r>
      <w:proofErr w:type="gramEnd"/>
      <w:r>
        <w:t xml:space="preserve"> more inundation leads to more deposition).</w:t>
      </w:r>
      <w:bookmarkEnd w:id="143"/>
      <w:bookmarkEnd w:id="144"/>
    </w:p>
    <w:p w14:paraId="0DF6E6B7" w14:textId="77777777" w:rsidR="008F3D0B" w:rsidRPr="00BF5C4D" w:rsidRDefault="008F3D0B" w:rsidP="008F3D0B">
      <w:pPr>
        <w:rPr>
          <w:i/>
          <w:iCs/>
          <w:u w:val="single"/>
        </w:rPr>
      </w:pPr>
      <w:r w:rsidRPr="00BF5C4D">
        <w:rPr>
          <w:i/>
          <w:iCs/>
          <w:u w:val="single"/>
        </w:rPr>
        <w:t>Inundation duration impact on probability of notching</w:t>
      </w:r>
    </w:p>
    <w:p w14:paraId="53FDBE4A" w14:textId="5710182D" w:rsidR="008F3D0B" w:rsidRPr="00E2072F" w:rsidRDefault="008F3D0B" w:rsidP="008F3D0B">
      <w:r w:rsidRPr="00236913">
        <w:t xml:space="preserve">Regarding notching analysis, the </w:t>
      </w:r>
      <w:r>
        <w:t xml:space="preserve">results were more variable. The </w:t>
      </w:r>
      <w:r w:rsidRPr="00236913">
        <w:t xml:space="preserve">probability of significant erosion increases with longer duration </w:t>
      </w:r>
      <w:r>
        <w:t xml:space="preserve">of </w:t>
      </w:r>
      <w:r w:rsidRPr="00236913">
        <w:t xml:space="preserve">the water surface being within ± 10 cm of the measured point on the bank at Darcy’s Track and </w:t>
      </w:r>
      <w:proofErr w:type="gramStart"/>
      <w:r w:rsidRPr="00236913">
        <w:t>Loch Garry, but</w:t>
      </w:r>
      <w:proofErr w:type="gramEnd"/>
      <w:r w:rsidRPr="00236913">
        <w:t xml:space="preserve"> decreases at McCoy’s Bridge </w:t>
      </w:r>
      <w:r>
        <w:t>(</w:t>
      </w:r>
      <w:r w:rsidR="00420BF7">
        <w:t xml:space="preserve">Figure </w:t>
      </w:r>
      <w:r w:rsidR="00420BF7">
        <w:rPr>
          <w:noProof/>
        </w:rPr>
        <w:t>4</w:t>
      </w:r>
      <w:r w:rsidR="00420BF7">
        <w:noBreakHyphen/>
      </w:r>
      <w:r w:rsidR="00420BF7">
        <w:rPr>
          <w:noProof/>
        </w:rPr>
        <w:t>8</w:t>
      </w:r>
      <w:r>
        <w:t>a)</w:t>
      </w:r>
      <w:r w:rsidRPr="00236913">
        <w:t xml:space="preserve">. </w:t>
      </w:r>
      <w:r>
        <w:t>F</w:t>
      </w:r>
      <w:r w:rsidRPr="00236913">
        <w:t xml:space="preserve">or </w:t>
      </w:r>
      <w:r>
        <w:t xml:space="preserve">minor </w:t>
      </w:r>
      <w:r w:rsidRPr="00236913">
        <w:t xml:space="preserve">erosion and deposition, </w:t>
      </w:r>
      <w:r>
        <w:t xml:space="preserve">increases are observed at </w:t>
      </w:r>
      <w:r w:rsidRPr="00236913">
        <w:t>Loch Garry and McCoy’s Bridge</w:t>
      </w:r>
      <w:r>
        <w:t xml:space="preserve">, but a decrease at Darcy’s Track </w:t>
      </w:r>
      <w:r w:rsidRPr="00236913">
        <w:t>(</w:t>
      </w:r>
      <w:r w:rsidR="00420BF7">
        <w:t xml:space="preserve">Figure </w:t>
      </w:r>
      <w:r w:rsidR="00420BF7">
        <w:rPr>
          <w:noProof/>
        </w:rPr>
        <w:t>4</w:t>
      </w:r>
      <w:r w:rsidR="00420BF7">
        <w:noBreakHyphen/>
      </w:r>
      <w:r w:rsidR="00420BF7">
        <w:rPr>
          <w:noProof/>
        </w:rPr>
        <w:t>8</w:t>
      </w:r>
      <w:r w:rsidRPr="00236913">
        <w:t>b</w:t>
      </w:r>
      <w:r>
        <w:t>,</w:t>
      </w:r>
      <w:r w:rsidR="006C03B7">
        <w:t xml:space="preserve"> </w:t>
      </w:r>
      <w:r w:rsidRPr="00236913">
        <w:t>c).</w:t>
      </w:r>
      <w:r w:rsidRPr="00E2072F">
        <w:t xml:space="preserve"> </w:t>
      </w:r>
    </w:p>
    <w:p w14:paraId="487A057C" w14:textId="3E1CFEF5" w:rsidR="008F3D0B" w:rsidRDefault="004D2D53" w:rsidP="008F3D0B">
      <w:pPr>
        <w:pStyle w:val="Caption"/>
        <w:keepNext/>
        <w:jc w:val="center"/>
      </w:pPr>
      <w:bookmarkStart w:id="145" w:name="_Hlk81225380"/>
      <w:r>
        <w:lastRenderedPageBreak/>
        <w:pict w14:anchorId="6768E4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0.25pt;height:366.75pt">
            <v:imagedata r:id="rId29" o:title="" croptop="2652f" cropbottom="3315f" cropleft="2266f" cropright="1220f"/>
          </v:shape>
        </w:pict>
      </w:r>
    </w:p>
    <w:p w14:paraId="0C312F68" w14:textId="4175092A" w:rsidR="008F3D0B" w:rsidRDefault="008F3D0B" w:rsidP="008F3D0B">
      <w:pPr>
        <w:pStyle w:val="Caption"/>
      </w:pPr>
      <w:bookmarkStart w:id="146" w:name="_Ref81233549"/>
      <w:bookmarkStart w:id="147" w:name="_Toc83907740"/>
      <w:bookmarkStart w:id="148" w:name="_Toc84475641"/>
      <w:r>
        <w:t xml:space="preserve">Figure </w:t>
      </w:r>
      <w:r w:rsidR="00B85158">
        <w:rPr>
          <w:noProof/>
        </w:rPr>
        <w:t>4</w:t>
      </w:r>
      <w:r w:rsidR="00B85158">
        <w:noBreakHyphen/>
      </w:r>
      <w:r w:rsidR="00B85158">
        <w:rPr>
          <w:noProof/>
        </w:rPr>
        <w:t>8</w:t>
      </w:r>
      <w:bookmarkEnd w:id="146"/>
      <w:r>
        <w:t xml:space="preserve"> </w:t>
      </w:r>
      <w:r w:rsidRPr="00655043">
        <w:t>Site inundation effects on the probability of notching. (a) significant erosion: &gt; 30 mm; (b) erosion: &gt; 5 mm; (c) deposition: &lt; 5 mm. For each erosion level, results are shown for three sites (Darcy’s Track, Loch Garry, and McCoy’s Bridge).</w:t>
      </w:r>
      <w:r>
        <w:t xml:space="preserve"> As with Figure 1c, panel (c) is inverted relative to analysis output.</w:t>
      </w:r>
      <w:bookmarkEnd w:id="147"/>
      <w:bookmarkEnd w:id="148"/>
    </w:p>
    <w:bookmarkEnd w:id="145"/>
    <w:p w14:paraId="55F45596" w14:textId="77777777" w:rsidR="008F3D0B" w:rsidRPr="00A507A6" w:rsidRDefault="008F3D0B" w:rsidP="008F3D0B">
      <w:pPr>
        <w:pStyle w:val="Caption"/>
        <w:rPr>
          <w:i/>
          <w:iCs w:val="0"/>
        </w:rPr>
      </w:pPr>
      <w:r w:rsidRPr="00A507A6">
        <w:rPr>
          <w:i/>
          <w:iCs w:val="0"/>
        </w:rPr>
        <w:t>Without environmental flows (counterfactual)</w:t>
      </w:r>
    </w:p>
    <w:p w14:paraId="19844D29" w14:textId="77777777" w:rsidR="008F3D0B" w:rsidRDefault="008F3D0B" w:rsidP="008F3D0B">
      <w:r>
        <w:t xml:space="preserve">By running the models with and without the environmental flows delivered from 2019 to 2021, we can see the predicted difference in probability of erosion at different points on the bank. </w:t>
      </w:r>
    </w:p>
    <w:p w14:paraId="0390E66E" w14:textId="2727408E" w:rsidR="008F3D0B" w:rsidRDefault="008F3D0B" w:rsidP="008F3D0B">
      <w:r>
        <w:t>With a reduction in flows, we expect to see less erosion and deposition, and this is borne out in the results (</w:t>
      </w:r>
      <w:r w:rsidR="0031570C">
        <w:t xml:space="preserve">Figure </w:t>
      </w:r>
      <w:r w:rsidR="0031570C">
        <w:rPr>
          <w:noProof/>
        </w:rPr>
        <w:t>C</w:t>
      </w:r>
      <w:r w:rsidR="0031570C">
        <w:noBreakHyphen/>
      </w:r>
      <w:r w:rsidR="0031570C">
        <w:rPr>
          <w:noProof/>
        </w:rPr>
        <w:t>2</w:t>
      </w:r>
      <w:r w:rsidRPr="00906A99">
        <w:t>, Appendix C</w:t>
      </w:r>
      <w:r>
        <w:t>). However, the variable effects of inundation seen at the three different sites on erosion lead to varying results when models are run with an</w:t>
      </w:r>
      <w:r w:rsidR="00A507A6">
        <w:t>d</w:t>
      </w:r>
      <w:r>
        <w:t xml:space="preserve"> without environmental </w:t>
      </w:r>
      <w:proofErr w:type="gramStart"/>
      <w:r>
        <w:t>flows;</w:t>
      </w:r>
      <w:proofErr w:type="gramEnd"/>
      <w:r>
        <w:t xml:space="preserve"> almost no difference at McCoy’s Bridge for severe erosion and only small differences at Darcy’s Track for minor erosion. We can see that the major changes are seen low on the bank. This makes sense because it is these areas that would see the greatest changes in flow regimes with the removal of environmental flows.</w:t>
      </w:r>
    </w:p>
    <w:p w14:paraId="68E4B6D7" w14:textId="6BCC59C4" w:rsidR="008F3D0B" w:rsidRDefault="008F3D0B" w:rsidP="008F3D0B">
      <w:r w:rsidRPr="00394D02">
        <w:t>The change in the probability of notching-related erosion and deposition with and without environmental flows shows that increases in erosion are confined to the lower levels of the banks, to elevations inundated by baseflows and the higher baseflows of IVT season</w:t>
      </w:r>
      <w:r>
        <w:t xml:space="preserve"> (</w:t>
      </w:r>
      <w:r w:rsidR="0031570C">
        <w:t xml:space="preserve">Figure </w:t>
      </w:r>
      <w:r w:rsidR="0031570C">
        <w:rPr>
          <w:noProof/>
        </w:rPr>
        <w:t>C</w:t>
      </w:r>
      <w:r w:rsidR="0031570C">
        <w:noBreakHyphen/>
      </w:r>
      <w:r w:rsidR="0031570C">
        <w:rPr>
          <w:noProof/>
        </w:rPr>
        <w:t>4</w:t>
      </w:r>
      <w:r>
        <w:t xml:space="preserve">, </w:t>
      </w:r>
      <w:r w:rsidRPr="00906A99">
        <w:t>Appendix C</w:t>
      </w:r>
      <w:r>
        <w:t>)</w:t>
      </w:r>
      <w:r w:rsidRPr="00394D02">
        <w:t xml:space="preserve">. There is less sign of enhanced deposition, </w:t>
      </w:r>
      <w:proofErr w:type="gramStart"/>
      <w:r w:rsidRPr="00394D02">
        <w:t>with the exception of</w:t>
      </w:r>
      <w:proofErr w:type="gramEnd"/>
      <w:r w:rsidRPr="00394D02">
        <w:t xml:space="preserve"> Loch Garry. The presence of negative changes in probabilities for erosion and deposition reflect the fact that removal of environmental flows will expose some portions of the bank to longer durations of ‘near surface’ inundation, but probably lower on the bank. It is also worth noting that the removal of environmental flows does not affect the delivery of IVT flows. In future it would be possible to run a counterfactual version of this analysis that removes IVTs from the hydrograph rather than environmental water.</w:t>
      </w:r>
    </w:p>
    <w:p w14:paraId="29474EBE" w14:textId="77777777" w:rsidR="008F3D0B" w:rsidRPr="00BA2632" w:rsidRDefault="008F3D0B" w:rsidP="008F3D0B">
      <w:pPr>
        <w:rPr>
          <w:lang w:eastAsia="en-US"/>
        </w:rPr>
      </w:pPr>
    </w:p>
    <w:p w14:paraId="2FA4936F" w14:textId="2968C5A0" w:rsidR="008F3D0B" w:rsidRPr="00BA2632" w:rsidRDefault="008F3D0B" w:rsidP="008F3D0B">
      <w:pPr>
        <w:pStyle w:val="Heading3"/>
      </w:pPr>
      <w:bookmarkStart w:id="149" w:name="_Toc84417336"/>
      <w:r w:rsidRPr="00BA2632">
        <w:lastRenderedPageBreak/>
        <w:t>Analysis of geomorphic processes relating to flow events</w:t>
      </w:r>
      <w:bookmarkEnd w:id="149"/>
      <w:r w:rsidRPr="00BA2632">
        <w:t xml:space="preserve"> </w:t>
      </w:r>
    </w:p>
    <w:p w14:paraId="57B8DCF1" w14:textId="5A1B0B76" w:rsidR="008F3D0B" w:rsidRDefault="008F3D0B" w:rsidP="008F3D0B">
      <w:r w:rsidRPr="00BA2632">
        <w:t>Digital Elevation Models of Difference (DEMODs) w</w:t>
      </w:r>
      <w:r>
        <w:t>ere</w:t>
      </w:r>
      <w:r w:rsidRPr="00BA2632">
        <w:t xml:space="preserve"> used to assess</w:t>
      </w:r>
      <w:r>
        <w:t xml:space="preserve"> the</w:t>
      </w:r>
      <w:r w:rsidRPr="00BA2632">
        <w:t xml:space="preserve"> magnitude of erosion and deposition in response to freshes</w:t>
      </w:r>
      <w:r>
        <w:t xml:space="preserve"> and</w:t>
      </w:r>
      <w:r w:rsidRPr="00BA2632">
        <w:t xml:space="preserve"> IVT flows.</w:t>
      </w:r>
      <w:r w:rsidRPr="00BA2632" w:rsidDel="00E4321F">
        <w:t xml:space="preserve"> </w:t>
      </w:r>
      <w:r w:rsidRPr="00BA2632">
        <w:t xml:space="preserve">Detailed analytical results are present in </w:t>
      </w:r>
      <w:r w:rsidRPr="0056456F">
        <w:t xml:space="preserve">Appendix </w:t>
      </w:r>
      <w:r w:rsidR="006C03B7">
        <w:t>C</w:t>
      </w:r>
      <w:r w:rsidRPr="00BA2632">
        <w:t xml:space="preserve"> and summarised below. Sites are</w:t>
      </w:r>
      <w:r>
        <w:t xml:space="preserve"> presented</w:t>
      </w:r>
      <w:r w:rsidRPr="00BA2632">
        <w:t xml:space="preserve"> from upstream to downstream (Darcy’s Track, Loch </w:t>
      </w:r>
      <w:proofErr w:type="gramStart"/>
      <w:r w:rsidRPr="00BA2632">
        <w:t>Gar</w:t>
      </w:r>
      <w:r>
        <w:t>r</w:t>
      </w:r>
      <w:r w:rsidRPr="00BA2632">
        <w:t>y</w:t>
      </w:r>
      <w:proofErr w:type="gramEnd"/>
      <w:r w:rsidRPr="00BA2632">
        <w:t xml:space="preserve"> and McCoy’s Bridge).</w:t>
      </w:r>
      <w:r>
        <w:t xml:space="preserve"> A summary of key patterns of change revealed by the DEMODs for each bank period is provided in </w:t>
      </w:r>
      <w:r w:rsidR="00420BF7">
        <w:t xml:space="preserve">Table </w:t>
      </w:r>
      <w:r w:rsidR="00420BF7">
        <w:rPr>
          <w:noProof/>
        </w:rPr>
        <w:t>4</w:t>
      </w:r>
      <w:r w:rsidR="00420BF7">
        <w:noBreakHyphen/>
      </w:r>
      <w:r w:rsidR="00420BF7">
        <w:rPr>
          <w:noProof/>
        </w:rPr>
        <w:t>5</w:t>
      </w:r>
      <w:r>
        <w:t xml:space="preserve">, with further detail for the different flow types provided below. </w:t>
      </w:r>
    </w:p>
    <w:p w14:paraId="433695ED" w14:textId="43BEDB44" w:rsidR="008F3D0B" w:rsidRDefault="008F3D0B" w:rsidP="008F3D0B">
      <w:pPr>
        <w:pStyle w:val="Caption"/>
        <w:keepNext/>
      </w:pPr>
      <w:bookmarkStart w:id="150" w:name="_Ref80799464"/>
      <w:bookmarkStart w:id="151" w:name="_Toc95391460"/>
      <w:r>
        <w:t xml:space="preserve">Table </w:t>
      </w:r>
      <w:r w:rsidR="000B75AF">
        <w:rPr>
          <w:noProof/>
        </w:rPr>
        <w:t>4</w:t>
      </w:r>
      <w:r w:rsidR="000B75AF">
        <w:noBreakHyphen/>
      </w:r>
      <w:r w:rsidR="000B75AF">
        <w:rPr>
          <w:noProof/>
        </w:rPr>
        <w:t>5</w:t>
      </w:r>
      <w:bookmarkEnd w:id="150"/>
      <w:r>
        <w:t xml:space="preserve"> Summary of results from DEMODs</w:t>
      </w:r>
      <w:r w:rsidR="009667C5">
        <w:t>.</w:t>
      </w:r>
      <w:bookmarkEnd w:id="151"/>
    </w:p>
    <w:tbl>
      <w:tblPr>
        <w:tblStyle w:val="TableGrid1"/>
        <w:tblW w:w="9549"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tblCellMar>
        <w:tblLook w:val="04A0" w:firstRow="1" w:lastRow="0" w:firstColumn="1" w:lastColumn="0" w:noHBand="0" w:noVBand="1"/>
      </w:tblPr>
      <w:tblGrid>
        <w:gridCol w:w="1980"/>
        <w:gridCol w:w="2410"/>
        <w:gridCol w:w="2409"/>
        <w:gridCol w:w="2750"/>
      </w:tblGrid>
      <w:tr w:rsidR="008F3D0B" w:rsidRPr="00F61088" w14:paraId="131FB563" w14:textId="77777777" w:rsidTr="00420BF7">
        <w:trPr>
          <w:cnfStyle w:val="100000000000" w:firstRow="1" w:lastRow="0" w:firstColumn="0" w:lastColumn="0" w:oddVBand="0" w:evenVBand="0" w:oddHBand="0" w:evenHBand="0" w:firstRowFirstColumn="0" w:firstRowLastColumn="0" w:lastRowFirstColumn="0" w:lastRowLastColumn="0"/>
          <w:trHeight w:val="204"/>
          <w:tblHeader/>
          <w:jc w:val="center"/>
        </w:trPr>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FFFFFF"/>
            </w:tcBorders>
            <w:shd w:val="clear" w:color="auto" w:fill="00338D"/>
          </w:tcPr>
          <w:p w14:paraId="20227A98" w14:textId="77777777" w:rsidR="008F3D0B" w:rsidRPr="00F61088" w:rsidRDefault="008F3D0B" w:rsidP="007C126D">
            <w:pPr>
              <w:pStyle w:val="Tablesmalltext"/>
              <w:spacing w:after="60"/>
              <w:jc w:val="left"/>
            </w:pPr>
            <w:r w:rsidRPr="00F61088">
              <w:t>Site and Bank</w:t>
            </w:r>
          </w:p>
        </w:tc>
        <w:tc>
          <w:tcPr>
            <w:tcW w:w="2410" w:type="dxa"/>
            <w:tcBorders>
              <w:left w:val="single" w:sz="4" w:space="0" w:color="FFFFFF"/>
              <w:right w:val="single" w:sz="4" w:space="0" w:color="FFFFFF"/>
            </w:tcBorders>
            <w:shd w:val="clear" w:color="auto" w:fill="00338D"/>
          </w:tcPr>
          <w:p w14:paraId="65C5D65C" w14:textId="77777777" w:rsidR="008F3D0B" w:rsidRPr="00F61088" w:rsidRDefault="008F3D0B" w:rsidP="007C126D">
            <w:pPr>
              <w:pStyle w:val="Tablesmalltext"/>
              <w:spacing w:after="60"/>
              <w:jc w:val="left"/>
              <w:cnfStyle w:val="100000000000" w:firstRow="1" w:lastRow="0" w:firstColumn="0" w:lastColumn="0" w:oddVBand="0" w:evenVBand="0" w:oddHBand="0" w:evenHBand="0" w:firstRowFirstColumn="0" w:firstRowLastColumn="0" w:lastRowFirstColumn="0" w:lastRowLastColumn="0"/>
            </w:pPr>
            <w:r w:rsidRPr="00F61088">
              <w:t xml:space="preserve">Spring Fresh </w:t>
            </w:r>
          </w:p>
        </w:tc>
        <w:tc>
          <w:tcPr>
            <w:tcW w:w="2409" w:type="dxa"/>
            <w:tcBorders>
              <w:left w:val="single" w:sz="4" w:space="0" w:color="FFFFFF"/>
              <w:right w:val="single" w:sz="4" w:space="0" w:color="FFFFFF"/>
            </w:tcBorders>
            <w:shd w:val="clear" w:color="auto" w:fill="00338D"/>
          </w:tcPr>
          <w:p w14:paraId="71BD69A6" w14:textId="77777777" w:rsidR="008F3D0B" w:rsidRPr="00F61088" w:rsidRDefault="008F3D0B" w:rsidP="007C126D">
            <w:pPr>
              <w:pStyle w:val="Tablesmalltext"/>
              <w:spacing w:after="60"/>
              <w:jc w:val="left"/>
              <w:cnfStyle w:val="100000000000" w:firstRow="1" w:lastRow="0" w:firstColumn="0" w:lastColumn="0" w:oddVBand="0" w:evenVBand="0" w:oddHBand="0" w:evenHBand="0" w:firstRowFirstColumn="0" w:firstRowLastColumn="0" w:lastRowFirstColumn="0" w:lastRowLastColumn="0"/>
            </w:pPr>
            <w:r w:rsidRPr="00F61088">
              <w:t>IVT</w:t>
            </w:r>
          </w:p>
        </w:tc>
        <w:tc>
          <w:tcPr>
            <w:tcW w:w="2750" w:type="dxa"/>
            <w:tcBorders>
              <w:left w:val="single" w:sz="4" w:space="0" w:color="FFFFFF"/>
              <w:right w:val="single" w:sz="4" w:space="0" w:color="FFFFFF"/>
            </w:tcBorders>
            <w:shd w:val="clear" w:color="auto" w:fill="00338D"/>
          </w:tcPr>
          <w:p w14:paraId="0A8B0A88" w14:textId="77777777" w:rsidR="008F3D0B" w:rsidRPr="00F61088" w:rsidRDefault="008F3D0B" w:rsidP="007C126D">
            <w:pPr>
              <w:pStyle w:val="Tablesmalltext"/>
              <w:spacing w:after="60"/>
              <w:jc w:val="left"/>
              <w:cnfStyle w:val="100000000000" w:firstRow="1" w:lastRow="0" w:firstColumn="0" w:lastColumn="0" w:oddVBand="0" w:evenVBand="0" w:oddHBand="0" w:evenHBand="0" w:firstRowFirstColumn="0" w:firstRowLastColumn="0" w:lastRowFirstColumn="0" w:lastRowLastColumn="0"/>
            </w:pPr>
            <w:r w:rsidRPr="00F61088">
              <w:t>Autumn Fresh</w:t>
            </w:r>
          </w:p>
        </w:tc>
      </w:tr>
      <w:tr w:rsidR="008F3D0B" w:rsidRPr="00F61088" w14:paraId="59696E01" w14:textId="77777777" w:rsidTr="00420BF7">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1980" w:type="dxa"/>
          </w:tcPr>
          <w:p w14:paraId="427E505C" w14:textId="77777777" w:rsidR="008F3D0B" w:rsidRPr="00F61088" w:rsidRDefault="008F3D0B" w:rsidP="007C126D">
            <w:pPr>
              <w:pStyle w:val="Tablesmalltext"/>
              <w:spacing w:after="60"/>
              <w:jc w:val="left"/>
            </w:pPr>
            <w:r w:rsidRPr="00F61088">
              <w:t>Darcy’s Track Bank B</w:t>
            </w:r>
          </w:p>
        </w:tc>
        <w:tc>
          <w:tcPr>
            <w:tcW w:w="2410" w:type="dxa"/>
            <w:shd w:val="clear" w:color="auto" w:fill="F2F2F2"/>
          </w:tcPr>
          <w:p w14:paraId="02DDB883" w14:textId="77777777" w:rsidR="008F3D0B" w:rsidRPr="00F61088" w:rsidRDefault="008F3D0B" w:rsidP="007C126D">
            <w:pPr>
              <w:pStyle w:val="Tablesmalltext"/>
              <w:spacing w:after="60"/>
              <w:jc w:val="left"/>
              <w:cnfStyle w:val="000000100000" w:firstRow="0" w:lastRow="0" w:firstColumn="0" w:lastColumn="0" w:oddVBand="0" w:evenVBand="0" w:oddHBand="1" w:evenHBand="0" w:firstRowFirstColumn="0" w:firstRowLastColumn="0" w:lastRowFirstColumn="0" w:lastRowLastColumn="0"/>
            </w:pPr>
            <w:r w:rsidRPr="00F61088">
              <w:t>No data</w:t>
            </w:r>
          </w:p>
        </w:tc>
        <w:tc>
          <w:tcPr>
            <w:tcW w:w="2409" w:type="dxa"/>
            <w:shd w:val="clear" w:color="auto" w:fill="F2F2F2"/>
          </w:tcPr>
          <w:p w14:paraId="0EFC19F6" w14:textId="77777777" w:rsidR="008F3D0B" w:rsidRPr="00F61088" w:rsidRDefault="008F3D0B" w:rsidP="007C126D">
            <w:pPr>
              <w:pStyle w:val="Tablesmalltext"/>
              <w:spacing w:after="60"/>
              <w:jc w:val="left"/>
              <w:cnfStyle w:val="000000100000" w:firstRow="0" w:lastRow="0" w:firstColumn="0" w:lastColumn="0" w:oddVBand="0" w:evenVBand="0" w:oddHBand="1" w:evenHBand="0" w:firstRowFirstColumn="0" w:firstRowLastColumn="0" w:lastRowFirstColumn="0" w:lastRowLastColumn="0"/>
            </w:pPr>
            <w:r w:rsidRPr="00F61088">
              <w:t>No data</w:t>
            </w:r>
          </w:p>
        </w:tc>
        <w:tc>
          <w:tcPr>
            <w:tcW w:w="2750" w:type="dxa"/>
          </w:tcPr>
          <w:p w14:paraId="787CB7D3" w14:textId="77777777" w:rsidR="008F3D0B" w:rsidRPr="007C126D" w:rsidRDefault="008F3D0B" w:rsidP="00DE6E94">
            <w:pPr>
              <w:pStyle w:val="Tablesmalltext"/>
              <w:numPr>
                <w:ilvl w:val="0"/>
                <w:numId w:val="88"/>
              </w:numPr>
              <w:jc w:val="left"/>
              <w:cnfStyle w:val="000000100000" w:firstRow="0" w:lastRow="0" w:firstColumn="0" w:lastColumn="0" w:oddVBand="0" w:evenVBand="0" w:oddHBand="1" w:evenHBand="0" w:firstRowFirstColumn="0" w:firstRowLastColumn="0" w:lastRowFirstColumn="0" w:lastRowLastColumn="0"/>
            </w:pPr>
            <w:r w:rsidRPr="007C126D">
              <w:t>Erosion dominates lower bank upstream.</w:t>
            </w:r>
          </w:p>
          <w:p w14:paraId="4FC0F999" w14:textId="77777777" w:rsidR="008F3D0B" w:rsidRPr="007C126D" w:rsidRDefault="008F3D0B" w:rsidP="00DE6E94">
            <w:pPr>
              <w:pStyle w:val="Tablesmalltext"/>
              <w:numPr>
                <w:ilvl w:val="0"/>
                <w:numId w:val="88"/>
              </w:numPr>
              <w:jc w:val="left"/>
              <w:cnfStyle w:val="000000100000" w:firstRow="0" w:lastRow="0" w:firstColumn="0" w:lastColumn="0" w:oddVBand="0" w:evenVBand="0" w:oddHBand="1" w:evenHBand="0" w:firstRowFirstColumn="0" w:firstRowLastColumn="0" w:lastRowFirstColumn="0" w:lastRowLastColumn="0"/>
            </w:pPr>
            <w:r w:rsidRPr="007C126D">
              <w:t xml:space="preserve">Deposition dominates lower bank downstream. </w:t>
            </w:r>
          </w:p>
          <w:p w14:paraId="25661CBE" w14:textId="77777777" w:rsidR="008F3D0B" w:rsidRPr="007C126D" w:rsidRDefault="008F3D0B" w:rsidP="007C126D">
            <w:pPr>
              <w:pStyle w:val="Tablesmalltext"/>
              <w:spacing w:after="60"/>
              <w:jc w:val="left"/>
              <w:cnfStyle w:val="000000100000" w:firstRow="0" w:lastRow="0" w:firstColumn="0" w:lastColumn="0" w:oddVBand="0" w:evenVBand="0" w:oddHBand="1" w:evenHBand="0" w:firstRowFirstColumn="0" w:firstRowLastColumn="0" w:lastRowFirstColumn="0" w:lastRowLastColumn="0"/>
              <w:rPr>
                <w:b/>
              </w:rPr>
            </w:pPr>
            <w:r w:rsidRPr="007C126D">
              <w:rPr>
                <w:b/>
              </w:rPr>
              <w:t>Hypothesis supported: Partly</w:t>
            </w:r>
          </w:p>
        </w:tc>
      </w:tr>
      <w:tr w:rsidR="008F3D0B" w:rsidRPr="00F61088" w14:paraId="72CBA085" w14:textId="77777777" w:rsidTr="00420BF7">
        <w:trPr>
          <w:cnfStyle w:val="000000010000" w:firstRow="0" w:lastRow="0" w:firstColumn="0" w:lastColumn="0" w:oddVBand="0" w:evenVBand="0" w:oddHBand="0" w:evenHBand="1"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cPr>
          <w:p w14:paraId="3CADF30E" w14:textId="77777777" w:rsidR="008F3D0B" w:rsidRPr="00F61088" w:rsidRDefault="008F3D0B" w:rsidP="007C126D">
            <w:pPr>
              <w:pStyle w:val="Tablesmalltext"/>
              <w:spacing w:after="60"/>
              <w:jc w:val="left"/>
            </w:pPr>
            <w:r w:rsidRPr="00F61088">
              <w:t>Darcy’s Track Bank D</w:t>
            </w:r>
          </w:p>
        </w:tc>
        <w:tc>
          <w:tcPr>
            <w:tcW w:w="2410" w:type="dxa"/>
            <w:shd w:val="clear" w:color="auto" w:fill="FFFFFF"/>
          </w:tcPr>
          <w:p w14:paraId="78523FFE"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 xml:space="preserve">Erosion dominates across whole bank but more severe on lower bank. </w:t>
            </w:r>
          </w:p>
          <w:p w14:paraId="4042822D"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Minimal deposition</w:t>
            </w:r>
          </w:p>
          <w:p w14:paraId="640E82F7" w14:textId="77777777" w:rsidR="008F3D0B" w:rsidRPr="007C126D" w:rsidRDefault="008F3D0B" w:rsidP="007C126D">
            <w:pPr>
              <w:pStyle w:val="Tablesmalltext"/>
              <w:spacing w:after="60"/>
              <w:jc w:val="left"/>
              <w:cnfStyle w:val="000000010000" w:firstRow="0" w:lastRow="0" w:firstColumn="0" w:lastColumn="0" w:oddVBand="0" w:evenVBand="0" w:oddHBand="0" w:evenHBand="1" w:firstRowFirstColumn="0" w:firstRowLastColumn="0" w:lastRowFirstColumn="0" w:lastRowLastColumn="0"/>
              <w:rPr>
                <w:b/>
                <w:bCs/>
              </w:rPr>
            </w:pPr>
            <w:r w:rsidRPr="007C126D">
              <w:rPr>
                <w:b/>
                <w:bCs/>
              </w:rPr>
              <w:t>Hypothesis supported: No</w:t>
            </w:r>
          </w:p>
        </w:tc>
        <w:tc>
          <w:tcPr>
            <w:tcW w:w="2409" w:type="dxa"/>
            <w:shd w:val="clear" w:color="auto" w:fill="FFFFFF"/>
          </w:tcPr>
          <w:p w14:paraId="1BC31D0B"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Erosion dominates, including severe erosion on the lower bank.</w:t>
            </w:r>
          </w:p>
          <w:p w14:paraId="0C6B0A87" w14:textId="77777777" w:rsidR="007C126D" w:rsidRPr="007C126D"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Deposition more common on the upper bank.</w:t>
            </w:r>
          </w:p>
          <w:p w14:paraId="1833B4D5" w14:textId="77777777" w:rsidR="008F3D0B" w:rsidRPr="007C126D" w:rsidRDefault="008F3D0B" w:rsidP="007C126D">
            <w:pPr>
              <w:pStyle w:val="Tablesmalltext"/>
              <w:spacing w:after="60"/>
              <w:jc w:val="left"/>
              <w:cnfStyle w:val="000000010000" w:firstRow="0" w:lastRow="0" w:firstColumn="0" w:lastColumn="0" w:oddVBand="0" w:evenVBand="0" w:oddHBand="0" w:evenHBand="1" w:firstRowFirstColumn="0" w:firstRowLastColumn="0" w:lastRowFirstColumn="0" w:lastRowLastColumn="0"/>
              <w:rPr>
                <w:b/>
                <w:bCs/>
              </w:rPr>
            </w:pPr>
            <w:r w:rsidRPr="007C126D">
              <w:rPr>
                <w:b/>
                <w:bCs/>
              </w:rPr>
              <w:t>Hypothesis supported: Yes</w:t>
            </w:r>
          </w:p>
        </w:tc>
        <w:tc>
          <w:tcPr>
            <w:tcW w:w="2750" w:type="dxa"/>
            <w:shd w:val="clear" w:color="auto" w:fill="FFFFFF"/>
          </w:tcPr>
          <w:p w14:paraId="12AD1358"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Erosion widespread but more severe on lower-mid bank.</w:t>
            </w:r>
          </w:p>
          <w:p w14:paraId="6968B5EA" w14:textId="77777777" w:rsidR="007C126D" w:rsidRPr="007C126D"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Deposition widespread but more severe on mid-upper bank.</w:t>
            </w:r>
          </w:p>
          <w:p w14:paraId="7117CCB3" w14:textId="77777777" w:rsidR="007C126D" w:rsidRDefault="007C126D" w:rsidP="007C126D">
            <w:pPr>
              <w:pStyle w:val="Tablesmalltext"/>
              <w:spacing w:after="60"/>
              <w:jc w:val="left"/>
              <w:cnfStyle w:val="000000010000" w:firstRow="0" w:lastRow="0" w:firstColumn="0" w:lastColumn="0" w:oddVBand="0" w:evenVBand="0" w:oddHBand="0" w:evenHBand="1" w:firstRowFirstColumn="0" w:firstRowLastColumn="0" w:lastRowFirstColumn="0" w:lastRowLastColumn="0"/>
            </w:pPr>
          </w:p>
          <w:p w14:paraId="3914ECC2" w14:textId="77777777" w:rsidR="008F3D0B" w:rsidRPr="007C126D" w:rsidRDefault="008F3D0B" w:rsidP="007C126D">
            <w:pPr>
              <w:pStyle w:val="Tablesmalltext"/>
              <w:spacing w:after="60"/>
              <w:jc w:val="left"/>
              <w:cnfStyle w:val="000000010000" w:firstRow="0" w:lastRow="0" w:firstColumn="0" w:lastColumn="0" w:oddVBand="0" w:evenVBand="0" w:oddHBand="0" w:evenHBand="1" w:firstRowFirstColumn="0" w:firstRowLastColumn="0" w:lastRowFirstColumn="0" w:lastRowLastColumn="0"/>
              <w:rPr>
                <w:b/>
                <w:bCs/>
              </w:rPr>
            </w:pPr>
            <w:r w:rsidRPr="007C126D">
              <w:rPr>
                <w:b/>
                <w:bCs/>
              </w:rPr>
              <w:t>Hypothesis supported: No</w:t>
            </w:r>
          </w:p>
        </w:tc>
      </w:tr>
      <w:tr w:rsidR="008F3D0B" w:rsidRPr="00F61088" w14:paraId="08D2D150" w14:textId="77777777" w:rsidTr="00420BF7">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1980" w:type="dxa"/>
          </w:tcPr>
          <w:p w14:paraId="08DA0A8D" w14:textId="5F71E168" w:rsidR="008F3D0B" w:rsidRPr="00F61088" w:rsidRDefault="008F3D0B" w:rsidP="007C126D">
            <w:pPr>
              <w:pStyle w:val="Tablesmalltext"/>
              <w:spacing w:after="60"/>
              <w:jc w:val="left"/>
            </w:pPr>
            <w:r w:rsidRPr="00F61088">
              <w:t>Loch Ga</w:t>
            </w:r>
            <w:r w:rsidR="00155FEF" w:rsidRPr="00F61088">
              <w:t>r</w:t>
            </w:r>
            <w:r w:rsidRPr="00F61088">
              <w:t>ry Bank C</w:t>
            </w:r>
          </w:p>
        </w:tc>
        <w:tc>
          <w:tcPr>
            <w:tcW w:w="2410" w:type="dxa"/>
          </w:tcPr>
          <w:p w14:paraId="2FD37CFE" w14:textId="77777777" w:rsidR="008F3D0B" w:rsidRPr="00F61088" w:rsidRDefault="008F3D0B" w:rsidP="00DE6E94">
            <w:pPr>
              <w:pStyle w:val="Tablesmalltext"/>
              <w:numPr>
                <w:ilvl w:val="0"/>
                <w:numId w:val="88"/>
              </w:numPr>
              <w:jc w:val="left"/>
              <w:cnfStyle w:val="000000100000" w:firstRow="0" w:lastRow="0" w:firstColumn="0" w:lastColumn="0" w:oddVBand="0" w:evenVBand="0" w:oddHBand="1" w:evenHBand="0" w:firstRowFirstColumn="0" w:firstRowLastColumn="0" w:lastRowFirstColumn="0" w:lastRowLastColumn="0"/>
            </w:pPr>
            <w:r w:rsidRPr="00F61088">
              <w:t>Deposition dominates across upper and lower bank.</w:t>
            </w:r>
          </w:p>
          <w:p w14:paraId="3F26A53C" w14:textId="77777777" w:rsidR="008F3D0B" w:rsidRPr="00F61088" w:rsidRDefault="008F3D0B" w:rsidP="00DE6E94">
            <w:pPr>
              <w:pStyle w:val="Tablesmalltext"/>
              <w:numPr>
                <w:ilvl w:val="0"/>
                <w:numId w:val="88"/>
              </w:numPr>
              <w:jc w:val="left"/>
              <w:cnfStyle w:val="000000100000" w:firstRow="0" w:lastRow="0" w:firstColumn="0" w:lastColumn="0" w:oddVBand="0" w:evenVBand="0" w:oddHBand="1" w:evenHBand="0" w:firstRowFirstColumn="0" w:firstRowLastColumn="0" w:lastRowFirstColumn="0" w:lastRowLastColumn="0"/>
            </w:pPr>
            <w:r w:rsidRPr="00F61088">
              <w:t>Minimal erosion.</w:t>
            </w:r>
          </w:p>
          <w:p w14:paraId="6560E6D4" w14:textId="77777777" w:rsidR="008F3D0B" w:rsidRPr="007C126D" w:rsidRDefault="008F3D0B" w:rsidP="007C126D">
            <w:pPr>
              <w:pStyle w:val="Tablesmalltext"/>
              <w:spacing w:after="60"/>
              <w:jc w:val="left"/>
              <w:cnfStyle w:val="000000100000" w:firstRow="0" w:lastRow="0" w:firstColumn="0" w:lastColumn="0" w:oddVBand="0" w:evenVBand="0" w:oddHBand="1" w:evenHBand="0" w:firstRowFirstColumn="0" w:firstRowLastColumn="0" w:lastRowFirstColumn="0" w:lastRowLastColumn="0"/>
              <w:rPr>
                <w:b/>
                <w:bCs/>
              </w:rPr>
            </w:pPr>
            <w:r w:rsidRPr="007C126D">
              <w:rPr>
                <w:b/>
                <w:bCs/>
              </w:rPr>
              <w:t>Hypothesis supported: Partly</w:t>
            </w:r>
          </w:p>
        </w:tc>
        <w:tc>
          <w:tcPr>
            <w:tcW w:w="2409" w:type="dxa"/>
          </w:tcPr>
          <w:p w14:paraId="518440DC" w14:textId="77777777" w:rsidR="008F3D0B" w:rsidRPr="00F61088" w:rsidRDefault="008F3D0B" w:rsidP="00DE6E94">
            <w:pPr>
              <w:pStyle w:val="Tablesmalltext"/>
              <w:numPr>
                <w:ilvl w:val="0"/>
                <w:numId w:val="88"/>
              </w:numPr>
              <w:jc w:val="left"/>
              <w:cnfStyle w:val="000000100000" w:firstRow="0" w:lastRow="0" w:firstColumn="0" w:lastColumn="0" w:oddVBand="0" w:evenVBand="0" w:oddHBand="1" w:evenHBand="0" w:firstRowFirstColumn="0" w:firstRowLastColumn="0" w:lastRowFirstColumn="0" w:lastRowLastColumn="0"/>
            </w:pPr>
            <w:r w:rsidRPr="00F61088">
              <w:t>Erosion dominates, especially on lower bank.</w:t>
            </w:r>
          </w:p>
          <w:p w14:paraId="2D8EE4A2" w14:textId="77777777" w:rsidR="008F3D0B" w:rsidRPr="00F61088" w:rsidRDefault="008F3D0B" w:rsidP="00DE6E94">
            <w:pPr>
              <w:pStyle w:val="Tablesmalltext"/>
              <w:numPr>
                <w:ilvl w:val="0"/>
                <w:numId w:val="88"/>
              </w:numPr>
              <w:jc w:val="left"/>
              <w:cnfStyle w:val="000000100000" w:firstRow="0" w:lastRow="0" w:firstColumn="0" w:lastColumn="0" w:oddVBand="0" w:evenVBand="0" w:oddHBand="1" w:evenHBand="0" w:firstRowFirstColumn="0" w:firstRowLastColumn="0" w:lastRowFirstColumn="0" w:lastRowLastColumn="0"/>
            </w:pPr>
            <w:r w:rsidRPr="00F61088">
              <w:t>Minimal deposition.</w:t>
            </w:r>
          </w:p>
          <w:p w14:paraId="55E9AA03" w14:textId="77777777" w:rsidR="008F3D0B" w:rsidRPr="007C126D" w:rsidRDefault="008F3D0B" w:rsidP="007C126D">
            <w:pPr>
              <w:pStyle w:val="Tablesmalltext"/>
              <w:spacing w:after="60"/>
              <w:jc w:val="left"/>
              <w:cnfStyle w:val="000000100000" w:firstRow="0" w:lastRow="0" w:firstColumn="0" w:lastColumn="0" w:oddVBand="0" w:evenVBand="0" w:oddHBand="1" w:evenHBand="0" w:firstRowFirstColumn="0" w:firstRowLastColumn="0" w:lastRowFirstColumn="0" w:lastRowLastColumn="0"/>
              <w:rPr>
                <w:b/>
                <w:bCs/>
              </w:rPr>
            </w:pPr>
            <w:r w:rsidRPr="007C126D">
              <w:rPr>
                <w:b/>
                <w:bCs/>
              </w:rPr>
              <w:t>Hypothesis supported: Yes</w:t>
            </w:r>
          </w:p>
        </w:tc>
        <w:tc>
          <w:tcPr>
            <w:tcW w:w="2750" w:type="dxa"/>
          </w:tcPr>
          <w:p w14:paraId="002C17C6" w14:textId="77777777" w:rsidR="008F3D0B" w:rsidRPr="00F61088" w:rsidRDefault="008F3D0B" w:rsidP="00DE6E94">
            <w:pPr>
              <w:pStyle w:val="Tablesmalltext"/>
              <w:numPr>
                <w:ilvl w:val="0"/>
                <w:numId w:val="88"/>
              </w:numPr>
              <w:jc w:val="left"/>
              <w:cnfStyle w:val="000000100000" w:firstRow="0" w:lastRow="0" w:firstColumn="0" w:lastColumn="0" w:oddVBand="0" w:evenVBand="0" w:oddHBand="1" w:evenHBand="0" w:firstRowFirstColumn="0" w:firstRowLastColumn="0" w:lastRowFirstColumn="0" w:lastRowLastColumn="0"/>
            </w:pPr>
            <w:r w:rsidRPr="00F61088">
              <w:t>Minor deposition dominates on lower bank.</w:t>
            </w:r>
          </w:p>
          <w:p w14:paraId="1D78CAD8" w14:textId="77777777" w:rsidR="008F3D0B" w:rsidRPr="00F61088" w:rsidRDefault="008F3D0B" w:rsidP="00DE6E94">
            <w:pPr>
              <w:pStyle w:val="Tablesmalltext"/>
              <w:numPr>
                <w:ilvl w:val="0"/>
                <w:numId w:val="88"/>
              </w:numPr>
              <w:jc w:val="left"/>
              <w:cnfStyle w:val="000000100000" w:firstRow="0" w:lastRow="0" w:firstColumn="0" w:lastColumn="0" w:oddVBand="0" w:evenVBand="0" w:oddHBand="1" w:evenHBand="0" w:firstRowFirstColumn="0" w:firstRowLastColumn="0" w:lastRowFirstColumn="0" w:lastRowLastColumn="0"/>
            </w:pPr>
            <w:r w:rsidRPr="00F61088">
              <w:t>Minor erosion on upper bank.</w:t>
            </w:r>
          </w:p>
          <w:p w14:paraId="33596DB7" w14:textId="77777777" w:rsidR="008F3D0B" w:rsidRPr="007C126D" w:rsidRDefault="008F3D0B" w:rsidP="007C126D">
            <w:pPr>
              <w:pStyle w:val="Tablesmalltext"/>
              <w:spacing w:after="60"/>
              <w:jc w:val="left"/>
              <w:cnfStyle w:val="000000100000" w:firstRow="0" w:lastRow="0" w:firstColumn="0" w:lastColumn="0" w:oddVBand="0" w:evenVBand="0" w:oddHBand="1" w:evenHBand="0" w:firstRowFirstColumn="0" w:firstRowLastColumn="0" w:lastRowFirstColumn="0" w:lastRowLastColumn="0"/>
              <w:rPr>
                <w:b/>
                <w:bCs/>
              </w:rPr>
            </w:pPr>
            <w:r w:rsidRPr="007C126D">
              <w:rPr>
                <w:b/>
                <w:bCs/>
              </w:rPr>
              <w:t>Hypothesis supported: Yes</w:t>
            </w:r>
          </w:p>
        </w:tc>
      </w:tr>
      <w:tr w:rsidR="008F3D0B" w:rsidRPr="00F61088" w14:paraId="7017E0A1" w14:textId="77777777" w:rsidTr="00420BF7">
        <w:trPr>
          <w:cnfStyle w:val="000000010000" w:firstRow="0" w:lastRow="0" w:firstColumn="0" w:lastColumn="0" w:oddVBand="0" w:evenVBand="0" w:oddHBand="0" w:evenHBand="1"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cPr>
          <w:p w14:paraId="1AB496A6" w14:textId="77777777" w:rsidR="008F3D0B" w:rsidRPr="00F61088" w:rsidRDefault="008F3D0B" w:rsidP="007C126D">
            <w:pPr>
              <w:pStyle w:val="Tablesmalltext"/>
              <w:spacing w:after="60"/>
              <w:jc w:val="left"/>
            </w:pPr>
            <w:r w:rsidRPr="00F61088">
              <w:t>McCoy’s Bridge Bank C</w:t>
            </w:r>
          </w:p>
        </w:tc>
        <w:tc>
          <w:tcPr>
            <w:tcW w:w="2410" w:type="dxa"/>
          </w:tcPr>
          <w:p w14:paraId="1D0414B5" w14:textId="77777777" w:rsidR="008F3D0B" w:rsidRPr="00F61088" w:rsidRDefault="008F3D0B" w:rsidP="007C126D">
            <w:pPr>
              <w:pStyle w:val="Tablesmalltext"/>
              <w:spacing w:after="60"/>
              <w:jc w:val="left"/>
              <w:cnfStyle w:val="000000010000" w:firstRow="0" w:lastRow="0" w:firstColumn="0" w:lastColumn="0" w:oddVBand="0" w:evenVBand="0" w:oddHBand="0" w:evenHBand="1" w:firstRowFirstColumn="0" w:firstRowLastColumn="0" w:lastRowFirstColumn="0" w:lastRowLastColumn="0"/>
            </w:pPr>
            <w:r w:rsidRPr="00F61088">
              <w:t>No data</w:t>
            </w:r>
          </w:p>
        </w:tc>
        <w:tc>
          <w:tcPr>
            <w:tcW w:w="2409" w:type="dxa"/>
            <w:shd w:val="clear" w:color="auto" w:fill="FFFFFF"/>
          </w:tcPr>
          <w:p w14:paraId="409B1249"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Erosion dominates lower bank.</w:t>
            </w:r>
          </w:p>
          <w:p w14:paraId="1D9E0C6B"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Deposition dominates upper bank (due to accumulated debris).</w:t>
            </w:r>
          </w:p>
          <w:p w14:paraId="1CB37C84" w14:textId="77777777" w:rsidR="008F3D0B" w:rsidRPr="007C126D" w:rsidRDefault="008F3D0B" w:rsidP="007C126D">
            <w:pPr>
              <w:pStyle w:val="Tablesmalltext"/>
              <w:spacing w:after="60"/>
              <w:jc w:val="left"/>
              <w:cnfStyle w:val="000000010000" w:firstRow="0" w:lastRow="0" w:firstColumn="0" w:lastColumn="0" w:oddVBand="0" w:evenVBand="0" w:oddHBand="0" w:evenHBand="1" w:firstRowFirstColumn="0" w:firstRowLastColumn="0" w:lastRowFirstColumn="0" w:lastRowLastColumn="0"/>
              <w:rPr>
                <w:b/>
                <w:bCs/>
              </w:rPr>
            </w:pPr>
            <w:r w:rsidRPr="007C126D">
              <w:rPr>
                <w:b/>
                <w:bCs/>
              </w:rPr>
              <w:t>Hypothesis supported: Yes</w:t>
            </w:r>
          </w:p>
        </w:tc>
        <w:tc>
          <w:tcPr>
            <w:tcW w:w="2750" w:type="dxa"/>
            <w:shd w:val="clear" w:color="auto" w:fill="FFFFFF"/>
          </w:tcPr>
          <w:p w14:paraId="2CBC8ACD"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 xml:space="preserve">Minimal erosion or deposition. </w:t>
            </w:r>
          </w:p>
          <w:p w14:paraId="3949B552"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No discernible pattern.</w:t>
            </w:r>
          </w:p>
          <w:p w14:paraId="1FC1FD1C" w14:textId="77777777" w:rsidR="008F3D0B" w:rsidRPr="007C126D" w:rsidRDefault="008F3D0B" w:rsidP="007C126D">
            <w:pPr>
              <w:pStyle w:val="Tablesmalltext"/>
              <w:spacing w:after="60"/>
              <w:jc w:val="left"/>
              <w:cnfStyle w:val="000000010000" w:firstRow="0" w:lastRow="0" w:firstColumn="0" w:lastColumn="0" w:oddVBand="0" w:evenVBand="0" w:oddHBand="0" w:evenHBand="1" w:firstRowFirstColumn="0" w:firstRowLastColumn="0" w:lastRowFirstColumn="0" w:lastRowLastColumn="0"/>
              <w:rPr>
                <w:b/>
                <w:bCs/>
              </w:rPr>
            </w:pPr>
            <w:r w:rsidRPr="007C126D">
              <w:rPr>
                <w:b/>
                <w:bCs/>
              </w:rPr>
              <w:t>Hypothesis supported: Unknown</w:t>
            </w:r>
          </w:p>
        </w:tc>
      </w:tr>
      <w:tr w:rsidR="008F3D0B" w:rsidRPr="00F61088" w14:paraId="32B4C40C" w14:textId="77777777" w:rsidTr="00420BF7">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1980" w:type="dxa"/>
          </w:tcPr>
          <w:p w14:paraId="5F1168F0" w14:textId="77777777" w:rsidR="008F3D0B" w:rsidRPr="00F61088" w:rsidRDefault="008F3D0B" w:rsidP="007C126D">
            <w:pPr>
              <w:pStyle w:val="Tablesmalltext"/>
              <w:spacing w:after="60"/>
              <w:jc w:val="left"/>
            </w:pPr>
            <w:r w:rsidRPr="00F61088">
              <w:t>McCoy’s Bridge Bank D</w:t>
            </w:r>
          </w:p>
        </w:tc>
        <w:tc>
          <w:tcPr>
            <w:tcW w:w="2410" w:type="dxa"/>
            <w:shd w:val="clear" w:color="auto" w:fill="F2F2F2"/>
          </w:tcPr>
          <w:p w14:paraId="39F3A11F" w14:textId="77777777" w:rsidR="008F3D0B" w:rsidRPr="00F61088" w:rsidRDefault="008F3D0B" w:rsidP="007C126D">
            <w:pPr>
              <w:pStyle w:val="Tablesmalltext"/>
              <w:spacing w:after="60"/>
              <w:jc w:val="left"/>
              <w:cnfStyle w:val="000000100000" w:firstRow="0" w:lastRow="0" w:firstColumn="0" w:lastColumn="0" w:oddVBand="0" w:evenVBand="0" w:oddHBand="1" w:evenHBand="0" w:firstRowFirstColumn="0" w:firstRowLastColumn="0" w:lastRowFirstColumn="0" w:lastRowLastColumn="0"/>
            </w:pPr>
            <w:r w:rsidRPr="00F61088">
              <w:t>No data</w:t>
            </w:r>
          </w:p>
        </w:tc>
        <w:tc>
          <w:tcPr>
            <w:tcW w:w="2409" w:type="dxa"/>
          </w:tcPr>
          <w:p w14:paraId="5278E53F" w14:textId="77777777" w:rsidR="008F3D0B" w:rsidRPr="00F61088" w:rsidRDefault="008F3D0B" w:rsidP="00DE6E94">
            <w:pPr>
              <w:pStyle w:val="Tablesmalltext"/>
              <w:numPr>
                <w:ilvl w:val="0"/>
                <w:numId w:val="88"/>
              </w:numPr>
              <w:jc w:val="left"/>
              <w:cnfStyle w:val="000000100000" w:firstRow="0" w:lastRow="0" w:firstColumn="0" w:lastColumn="0" w:oddVBand="0" w:evenVBand="0" w:oddHBand="1" w:evenHBand="0" w:firstRowFirstColumn="0" w:firstRowLastColumn="0" w:lastRowFirstColumn="0" w:lastRowLastColumn="0"/>
            </w:pPr>
            <w:r w:rsidRPr="00F61088">
              <w:t>Deposition dominates lower-mid and is more severe on lower bank.</w:t>
            </w:r>
          </w:p>
          <w:p w14:paraId="207386A3" w14:textId="77777777" w:rsidR="008F3D0B" w:rsidRPr="00F61088" w:rsidRDefault="008F3D0B" w:rsidP="00DE6E94">
            <w:pPr>
              <w:pStyle w:val="Tablesmalltext"/>
              <w:numPr>
                <w:ilvl w:val="0"/>
                <w:numId w:val="88"/>
              </w:numPr>
              <w:jc w:val="left"/>
              <w:cnfStyle w:val="000000100000" w:firstRow="0" w:lastRow="0" w:firstColumn="0" w:lastColumn="0" w:oddVBand="0" w:evenVBand="0" w:oddHBand="1" w:evenHBand="0" w:firstRowFirstColumn="0" w:firstRowLastColumn="0" w:lastRowFirstColumn="0" w:lastRowLastColumn="0"/>
            </w:pPr>
            <w:r w:rsidRPr="00F61088">
              <w:t>Some erosion on lower bank but mostly mid-upper bank.</w:t>
            </w:r>
          </w:p>
          <w:p w14:paraId="3D281562" w14:textId="77777777" w:rsidR="008F3D0B" w:rsidRPr="007C126D" w:rsidRDefault="008F3D0B" w:rsidP="007C126D">
            <w:pPr>
              <w:pStyle w:val="Tablesmalltext"/>
              <w:spacing w:after="60"/>
              <w:jc w:val="left"/>
              <w:cnfStyle w:val="000000100000" w:firstRow="0" w:lastRow="0" w:firstColumn="0" w:lastColumn="0" w:oddVBand="0" w:evenVBand="0" w:oddHBand="1" w:evenHBand="0" w:firstRowFirstColumn="0" w:firstRowLastColumn="0" w:lastRowFirstColumn="0" w:lastRowLastColumn="0"/>
              <w:rPr>
                <w:b/>
                <w:bCs/>
              </w:rPr>
            </w:pPr>
            <w:r w:rsidRPr="007C126D">
              <w:rPr>
                <w:b/>
                <w:bCs/>
              </w:rPr>
              <w:t>Hypothesis supported: No</w:t>
            </w:r>
          </w:p>
        </w:tc>
        <w:tc>
          <w:tcPr>
            <w:tcW w:w="2750" w:type="dxa"/>
          </w:tcPr>
          <w:p w14:paraId="45C932E8" w14:textId="77777777" w:rsidR="008F3D0B" w:rsidRPr="00F61088" w:rsidRDefault="008F3D0B" w:rsidP="00DE6E94">
            <w:pPr>
              <w:pStyle w:val="Tablesmalltext"/>
              <w:numPr>
                <w:ilvl w:val="0"/>
                <w:numId w:val="88"/>
              </w:numPr>
              <w:jc w:val="left"/>
              <w:cnfStyle w:val="000000100000" w:firstRow="0" w:lastRow="0" w:firstColumn="0" w:lastColumn="0" w:oddVBand="0" w:evenVBand="0" w:oddHBand="1" w:evenHBand="0" w:firstRowFirstColumn="0" w:firstRowLastColumn="0" w:lastRowFirstColumn="0" w:lastRowLastColumn="0"/>
            </w:pPr>
            <w:r w:rsidRPr="00F61088">
              <w:t xml:space="preserve">Deposition dominates, mostly on lower-mid bank. </w:t>
            </w:r>
          </w:p>
          <w:p w14:paraId="31800A3E" w14:textId="77777777" w:rsidR="008F3D0B" w:rsidRPr="00F61088" w:rsidRDefault="008F3D0B" w:rsidP="00DE6E94">
            <w:pPr>
              <w:pStyle w:val="Tablesmalltext"/>
              <w:numPr>
                <w:ilvl w:val="0"/>
                <w:numId w:val="88"/>
              </w:numPr>
              <w:jc w:val="left"/>
              <w:cnfStyle w:val="000000100000" w:firstRow="0" w:lastRow="0" w:firstColumn="0" w:lastColumn="0" w:oddVBand="0" w:evenVBand="0" w:oddHBand="1" w:evenHBand="0" w:firstRowFirstColumn="0" w:firstRowLastColumn="0" w:lastRowFirstColumn="0" w:lastRowLastColumn="0"/>
            </w:pPr>
            <w:r w:rsidRPr="00F61088">
              <w:t>Erosion worse on upper bank.</w:t>
            </w:r>
          </w:p>
          <w:p w14:paraId="15427CA7" w14:textId="77777777" w:rsidR="008F3D0B" w:rsidRPr="007C126D" w:rsidRDefault="008F3D0B" w:rsidP="007C126D">
            <w:pPr>
              <w:pStyle w:val="Tablesmalltext"/>
              <w:spacing w:after="60"/>
              <w:jc w:val="left"/>
              <w:cnfStyle w:val="000000100000" w:firstRow="0" w:lastRow="0" w:firstColumn="0" w:lastColumn="0" w:oddVBand="0" w:evenVBand="0" w:oddHBand="1" w:evenHBand="0" w:firstRowFirstColumn="0" w:firstRowLastColumn="0" w:lastRowFirstColumn="0" w:lastRowLastColumn="0"/>
              <w:rPr>
                <w:b/>
                <w:bCs/>
              </w:rPr>
            </w:pPr>
            <w:r w:rsidRPr="007C126D">
              <w:rPr>
                <w:b/>
                <w:bCs/>
              </w:rPr>
              <w:t>Hypothesis supported: Yes</w:t>
            </w:r>
          </w:p>
        </w:tc>
      </w:tr>
      <w:tr w:rsidR="008F3D0B" w:rsidRPr="00F61088" w14:paraId="75120CEA" w14:textId="77777777" w:rsidTr="00420BF7">
        <w:trPr>
          <w:cnfStyle w:val="000000010000" w:firstRow="0" w:lastRow="0" w:firstColumn="0" w:lastColumn="0" w:oddVBand="0" w:evenVBand="0" w:oddHBand="0" w:evenHBand="1"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cPr>
          <w:p w14:paraId="5BD1CEBC" w14:textId="77777777" w:rsidR="008F3D0B" w:rsidRPr="00F61088" w:rsidRDefault="008F3D0B" w:rsidP="007C126D">
            <w:pPr>
              <w:pStyle w:val="Tablesmalltext"/>
              <w:spacing w:after="60"/>
              <w:jc w:val="left"/>
            </w:pPr>
            <w:r w:rsidRPr="00F61088">
              <w:t>McCoy’s Bridge Bank E</w:t>
            </w:r>
          </w:p>
        </w:tc>
        <w:tc>
          <w:tcPr>
            <w:tcW w:w="2410" w:type="dxa"/>
            <w:shd w:val="clear" w:color="auto" w:fill="FFFFFF"/>
          </w:tcPr>
          <w:p w14:paraId="1AF4DBFD"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Deposition dominates upstream and on the lower bank.</w:t>
            </w:r>
          </w:p>
          <w:p w14:paraId="572B6792"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Erosion dominated upstream and on the mid bank.</w:t>
            </w:r>
          </w:p>
          <w:p w14:paraId="776C6D88" w14:textId="77777777" w:rsidR="008F3D0B" w:rsidRPr="007C126D" w:rsidRDefault="008F3D0B" w:rsidP="007C126D">
            <w:pPr>
              <w:pStyle w:val="Tablesmalltext"/>
              <w:spacing w:after="60"/>
              <w:jc w:val="left"/>
              <w:cnfStyle w:val="000000010000" w:firstRow="0" w:lastRow="0" w:firstColumn="0" w:lastColumn="0" w:oddVBand="0" w:evenVBand="0" w:oddHBand="0" w:evenHBand="1" w:firstRowFirstColumn="0" w:firstRowLastColumn="0" w:lastRowFirstColumn="0" w:lastRowLastColumn="0"/>
              <w:rPr>
                <w:b/>
                <w:bCs/>
              </w:rPr>
            </w:pPr>
            <w:r w:rsidRPr="007C126D">
              <w:rPr>
                <w:b/>
                <w:bCs/>
              </w:rPr>
              <w:t>Hypothesis supported: Yes</w:t>
            </w:r>
          </w:p>
        </w:tc>
        <w:tc>
          <w:tcPr>
            <w:tcW w:w="2409" w:type="dxa"/>
            <w:shd w:val="clear" w:color="auto" w:fill="FFFFFF"/>
          </w:tcPr>
          <w:p w14:paraId="15B2EF99"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 xml:space="preserve">Both erosion and deposition on lower bank. </w:t>
            </w:r>
          </w:p>
          <w:p w14:paraId="3655AF6E"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Negligible change on upper bank.</w:t>
            </w:r>
          </w:p>
          <w:p w14:paraId="4D6C00D0" w14:textId="77777777" w:rsidR="008F3D0B" w:rsidRPr="007C126D" w:rsidRDefault="008F3D0B" w:rsidP="007C126D">
            <w:pPr>
              <w:pStyle w:val="Tablesmalltext"/>
              <w:spacing w:after="60"/>
              <w:jc w:val="left"/>
              <w:cnfStyle w:val="000000010000" w:firstRow="0" w:lastRow="0" w:firstColumn="0" w:lastColumn="0" w:oddVBand="0" w:evenVBand="0" w:oddHBand="0" w:evenHBand="1" w:firstRowFirstColumn="0" w:firstRowLastColumn="0" w:lastRowFirstColumn="0" w:lastRowLastColumn="0"/>
              <w:rPr>
                <w:b/>
                <w:bCs/>
              </w:rPr>
            </w:pPr>
            <w:r w:rsidRPr="007C126D">
              <w:rPr>
                <w:b/>
                <w:bCs/>
              </w:rPr>
              <w:t>Hypothesis supported: Partly</w:t>
            </w:r>
          </w:p>
        </w:tc>
        <w:tc>
          <w:tcPr>
            <w:tcW w:w="2750" w:type="dxa"/>
            <w:shd w:val="clear" w:color="auto" w:fill="FFFFFF"/>
          </w:tcPr>
          <w:p w14:paraId="43681C2E"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Deposition dominates, mostly on the upper bank.</w:t>
            </w:r>
          </w:p>
          <w:p w14:paraId="0CF49483" w14:textId="77777777" w:rsidR="008F3D0B" w:rsidRPr="00F61088" w:rsidRDefault="008F3D0B" w:rsidP="00DE6E94">
            <w:pPr>
              <w:pStyle w:val="Tablesmalltext"/>
              <w:numPr>
                <w:ilvl w:val="0"/>
                <w:numId w:val="88"/>
              </w:numPr>
              <w:jc w:val="left"/>
              <w:cnfStyle w:val="000000010000" w:firstRow="0" w:lastRow="0" w:firstColumn="0" w:lastColumn="0" w:oddVBand="0" w:evenVBand="0" w:oddHBand="0" w:evenHBand="1" w:firstRowFirstColumn="0" w:firstRowLastColumn="0" w:lastRowFirstColumn="0" w:lastRowLastColumn="0"/>
            </w:pPr>
            <w:r w:rsidRPr="00F61088">
              <w:t>Erosion mostly on lower bank.</w:t>
            </w:r>
          </w:p>
          <w:p w14:paraId="69CCE8F6" w14:textId="77777777" w:rsidR="008F3D0B" w:rsidRPr="007C126D" w:rsidRDefault="008F3D0B" w:rsidP="007C126D">
            <w:pPr>
              <w:pStyle w:val="Tablesmalltext"/>
              <w:spacing w:after="60"/>
              <w:jc w:val="left"/>
              <w:cnfStyle w:val="000000010000" w:firstRow="0" w:lastRow="0" w:firstColumn="0" w:lastColumn="0" w:oddVBand="0" w:evenVBand="0" w:oddHBand="0" w:evenHBand="1" w:firstRowFirstColumn="0" w:firstRowLastColumn="0" w:lastRowFirstColumn="0" w:lastRowLastColumn="0"/>
              <w:rPr>
                <w:b/>
                <w:bCs/>
              </w:rPr>
            </w:pPr>
            <w:r w:rsidRPr="007C126D">
              <w:rPr>
                <w:b/>
                <w:bCs/>
              </w:rPr>
              <w:t>Hypothesis supported: No</w:t>
            </w:r>
          </w:p>
        </w:tc>
      </w:tr>
    </w:tbl>
    <w:p w14:paraId="3465F0D9" w14:textId="797EC61E" w:rsidR="009667C5" w:rsidRDefault="009667C5" w:rsidP="008F3D0B">
      <w:pPr>
        <w:rPr>
          <w:b/>
        </w:rPr>
      </w:pPr>
    </w:p>
    <w:p w14:paraId="0F835E7E" w14:textId="3DCCC956" w:rsidR="00B043E5" w:rsidRDefault="00B043E5" w:rsidP="008F3D0B">
      <w:pPr>
        <w:rPr>
          <w:b/>
        </w:rPr>
      </w:pPr>
    </w:p>
    <w:p w14:paraId="7454BF9B" w14:textId="77777777" w:rsidR="00B043E5" w:rsidRDefault="00B043E5" w:rsidP="008F3D0B">
      <w:pPr>
        <w:rPr>
          <w:b/>
        </w:rPr>
      </w:pPr>
    </w:p>
    <w:p w14:paraId="50866E42" w14:textId="25CB155D" w:rsidR="008F3D0B" w:rsidRPr="009667C5" w:rsidRDefault="008F3D0B" w:rsidP="008F3D0B">
      <w:pPr>
        <w:rPr>
          <w:b/>
          <w:i/>
          <w:iCs/>
        </w:rPr>
      </w:pPr>
      <w:r w:rsidRPr="009667C5">
        <w:rPr>
          <w:b/>
          <w:i/>
          <w:iCs/>
        </w:rPr>
        <w:lastRenderedPageBreak/>
        <w:t xml:space="preserve">Summary of </w:t>
      </w:r>
      <w:r w:rsidR="0086177E">
        <w:rPr>
          <w:b/>
          <w:i/>
          <w:iCs/>
        </w:rPr>
        <w:t>o</w:t>
      </w:r>
      <w:r w:rsidRPr="009667C5">
        <w:rPr>
          <w:b/>
          <w:i/>
          <w:iCs/>
        </w:rPr>
        <w:t>bservations from DEMODs &amp; histogram analysis</w:t>
      </w:r>
    </w:p>
    <w:p w14:paraId="5040C08D" w14:textId="7D02F6CB" w:rsidR="008F3D0B" w:rsidRDefault="008F3D0B" w:rsidP="008F3D0B">
      <w:pPr>
        <w:rPr>
          <w:i/>
          <w:u w:val="single"/>
        </w:rPr>
      </w:pPr>
      <w:bookmarkStart w:id="152" w:name="_Hlk51251711"/>
      <w:r w:rsidRPr="009C6B92">
        <w:rPr>
          <w:i/>
          <w:u w:val="single"/>
        </w:rPr>
        <w:t>Spring Fresh</w:t>
      </w:r>
    </w:p>
    <w:p w14:paraId="5F27D49C" w14:textId="77777777" w:rsidR="008F3D0B" w:rsidRPr="00AB0188" w:rsidRDefault="008F3D0B" w:rsidP="00DE6E94">
      <w:pPr>
        <w:pStyle w:val="ListParagraph"/>
        <w:numPr>
          <w:ilvl w:val="0"/>
          <w:numId w:val="50"/>
        </w:numPr>
        <w:rPr>
          <w:iCs/>
        </w:rPr>
      </w:pPr>
      <w:r>
        <w:rPr>
          <w:iCs/>
        </w:rPr>
        <w:t>Erosion was apparent on the mid/upper bank zones and zones relating to historic IVT erosion events. Deposition was primarily more apparent on the lower banks and of greater depths compared to other events.</w:t>
      </w:r>
    </w:p>
    <w:p w14:paraId="16145A63" w14:textId="0DEA9949" w:rsidR="008F3D0B" w:rsidRPr="009C6B92" w:rsidRDefault="008F3D0B" w:rsidP="00DE6E94">
      <w:pPr>
        <w:pStyle w:val="ListBullet"/>
        <w:numPr>
          <w:ilvl w:val="0"/>
          <w:numId w:val="50"/>
        </w:numPr>
      </w:pPr>
      <w:r w:rsidRPr="009C6B92">
        <w:t>Erosion</w:t>
      </w:r>
      <w:r>
        <w:t xml:space="preserve"> was generally minor for the Spring Fresh at </w:t>
      </w:r>
      <w:r w:rsidRPr="009C6B92">
        <w:t xml:space="preserve">Loch </w:t>
      </w:r>
      <w:r w:rsidR="00155FEF">
        <w:t>Garry</w:t>
      </w:r>
      <w:r w:rsidRPr="009C6B92">
        <w:t xml:space="preserve"> </w:t>
      </w:r>
      <w:r>
        <w:t>B</w:t>
      </w:r>
      <w:r w:rsidRPr="009C6B92">
        <w:t xml:space="preserve">ank </w:t>
      </w:r>
      <w:proofErr w:type="gramStart"/>
      <w:r w:rsidRPr="009C6B92">
        <w:t>C</w:t>
      </w:r>
      <w:r>
        <w:t>, and</w:t>
      </w:r>
      <w:proofErr w:type="gramEnd"/>
      <w:r>
        <w:t xml:space="preserve"> was roughly balanced with deposition at </w:t>
      </w:r>
      <w:r w:rsidRPr="009C6B92">
        <w:t xml:space="preserve">McCoy’s Bridge </w:t>
      </w:r>
      <w:r>
        <w:t>B</w:t>
      </w:r>
      <w:r w:rsidRPr="009C6B92">
        <w:t>ank E</w:t>
      </w:r>
      <w:r>
        <w:t xml:space="preserve">, both of </w:t>
      </w:r>
      <w:r w:rsidR="00ED7D85">
        <w:t>which</w:t>
      </w:r>
      <w:r>
        <w:t xml:space="preserve"> showed minimal erosion on the lower bank</w:t>
      </w:r>
      <w:r w:rsidRPr="009C6B92">
        <w:t xml:space="preserve">, providing partial support for the hypothesis. </w:t>
      </w:r>
      <w:r>
        <w:t xml:space="preserve">Erosion was the </w:t>
      </w:r>
      <w:r w:rsidRPr="009C6B92">
        <w:t>domin</w:t>
      </w:r>
      <w:r>
        <w:t xml:space="preserve">ant process </w:t>
      </w:r>
      <w:r w:rsidRPr="009C6B92">
        <w:t xml:space="preserve">at one site (Darcy’s Track </w:t>
      </w:r>
      <w:r>
        <w:t>B</w:t>
      </w:r>
      <w:r w:rsidRPr="009C6B92">
        <w:t xml:space="preserve">ank D), where it was more severe on the lower bank, thereby </w:t>
      </w:r>
      <w:r>
        <w:t xml:space="preserve">partially supporting the hypothesis in that historic IVT zones are likely to be eroded by freshes. </w:t>
      </w:r>
    </w:p>
    <w:p w14:paraId="25DC4928" w14:textId="5B97A420" w:rsidR="008F3D0B" w:rsidRDefault="008F3D0B" w:rsidP="00DE6E94">
      <w:pPr>
        <w:pStyle w:val="ListBullet"/>
        <w:numPr>
          <w:ilvl w:val="0"/>
          <w:numId w:val="50"/>
        </w:numPr>
      </w:pPr>
      <w:r w:rsidRPr="009C6B92">
        <w:t xml:space="preserve">Deposition dominated at </w:t>
      </w:r>
      <w:r>
        <w:t>one</w:t>
      </w:r>
      <w:r w:rsidRPr="009C6B92">
        <w:t xml:space="preserve"> site, Loch </w:t>
      </w:r>
      <w:r w:rsidR="00155FEF">
        <w:t>Garry</w:t>
      </w:r>
      <w:r w:rsidRPr="009C6B92">
        <w:t xml:space="preserve"> </w:t>
      </w:r>
      <w:r>
        <w:t>B</w:t>
      </w:r>
      <w:r w:rsidRPr="009C6B92">
        <w:t>ank C</w:t>
      </w:r>
      <w:r>
        <w:t xml:space="preserve">, and covered the entire bank. At </w:t>
      </w:r>
      <w:r w:rsidRPr="009C6B92">
        <w:t xml:space="preserve">McCoy’s Bridge </w:t>
      </w:r>
      <w:r>
        <w:t>B</w:t>
      </w:r>
      <w:r w:rsidRPr="009C6B92">
        <w:t xml:space="preserve">ank E, </w:t>
      </w:r>
      <w:r>
        <w:t>there was a</w:t>
      </w:r>
      <w:r w:rsidRPr="009C6B92">
        <w:t xml:space="preserve"> greater magnitude of deposition on the lower bank, which is in line with the hypothesis. At Darcy’s Track </w:t>
      </w:r>
      <w:r>
        <w:t>B</w:t>
      </w:r>
      <w:r w:rsidRPr="009C6B92">
        <w:t xml:space="preserve">ank D, deposition was </w:t>
      </w:r>
      <w:r>
        <w:t>low in volume</w:t>
      </w:r>
      <w:r w:rsidRPr="009C6B92">
        <w:t xml:space="preserve"> and concentrated around areas with increased roughness (roots or vegetation)</w:t>
      </w:r>
      <w:r>
        <w:t xml:space="preserve"> across a broad range of vertical bank – partially supporting the hypothesis related to deposition range.</w:t>
      </w:r>
      <w:r w:rsidRPr="009C6B92">
        <w:t xml:space="preserve"> </w:t>
      </w:r>
    </w:p>
    <w:p w14:paraId="0EEF380F" w14:textId="362FAA9C" w:rsidR="008F3D0B" w:rsidRPr="00170E8E" w:rsidRDefault="008F3D0B" w:rsidP="00DE6E94">
      <w:pPr>
        <w:pStyle w:val="ListBullet"/>
        <w:numPr>
          <w:ilvl w:val="0"/>
          <w:numId w:val="50"/>
        </w:numPr>
      </w:pPr>
      <w:r w:rsidRPr="00170E8E">
        <w:t>Histograms illustrate that the Spring fresh resulted in higher volumes of deeper deposition than the other flow events</w:t>
      </w:r>
      <w:r w:rsidR="00C30B39">
        <w:t xml:space="preserve"> (see Section </w:t>
      </w:r>
      <w:r w:rsidR="00E555FD">
        <w:t>4.5.4</w:t>
      </w:r>
      <w:r w:rsidR="00C30B39">
        <w:t>)</w:t>
      </w:r>
      <w:r>
        <w:t>.</w:t>
      </w:r>
    </w:p>
    <w:p w14:paraId="0A465797" w14:textId="75C2C021" w:rsidR="008F3D0B" w:rsidRDefault="008F3D0B" w:rsidP="008F3D0B">
      <w:pPr>
        <w:pStyle w:val="BodyTextL2UoM"/>
        <w:ind w:left="0"/>
        <w:rPr>
          <w:rFonts w:asciiTheme="minorHAnsi" w:eastAsiaTheme="minorEastAsia" w:hAnsiTheme="minorHAnsi" w:cstheme="minorBidi"/>
          <w:i/>
          <w:iCs/>
          <w:szCs w:val="22"/>
          <w:u w:val="single"/>
          <w:lang w:eastAsia="zh-CN"/>
        </w:rPr>
      </w:pPr>
      <w:r w:rsidRPr="00F776AA">
        <w:rPr>
          <w:rFonts w:asciiTheme="minorHAnsi" w:eastAsiaTheme="minorEastAsia" w:hAnsiTheme="minorHAnsi" w:cstheme="minorBidi"/>
          <w:i/>
          <w:iCs/>
          <w:szCs w:val="22"/>
          <w:u w:val="single"/>
          <w:lang w:eastAsia="zh-CN"/>
        </w:rPr>
        <w:t>Autumn Fresh</w:t>
      </w:r>
    </w:p>
    <w:p w14:paraId="479B01EA" w14:textId="3D462BD0" w:rsidR="008F3D0B" w:rsidRPr="00170E8E" w:rsidRDefault="00E86CEE" w:rsidP="00DE6E94">
      <w:pPr>
        <w:pStyle w:val="BodyTextL2UoM"/>
        <w:numPr>
          <w:ilvl w:val="0"/>
          <w:numId w:val="66"/>
        </w:numPr>
        <w:rPr>
          <w:rFonts w:asciiTheme="minorHAnsi" w:eastAsiaTheme="minorEastAsia" w:hAnsiTheme="minorHAnsi" w:cstheme="minorBidi"/>
          <w:szCs w:val="22"/>
          <w:lang w:eastAsia="zh-CN"/>
        </w:rPr>
      </w:pPr>
      <w:r>
        <w:rPr>
          <w:rFonts w:asciiTheme="minorHAnsi" w:eastAsiaTheme="minorEastAsia" w:hAnsiTheme="minorHAnsi" w:cstheme="minorBidi"/>
          <w:szCs w:val="22"/>
          <w:lang w:eastAsia="zh-CN"/>
        </w:rPr>
        <w:t>Minor</w:t>
      </w:r>
      <w:r w:rsidR="008F3D0B">
        <w:rPr>
          <w:rFonts w:asciiTheme="minorHAnsi" w:eastAsiaTheme="minorEastAsia" w:hAnsiTheme="minorHAnsi" w:cstheme="minorBidi"/>
          <w:szCs w:val="22"/>
          <w:lang w:eastAsia="zh-CN"/>
        </w:rPr>
        <w:t xml:space="preserve"> erosion and deposition </w:t>
      </w:r>
      <w:r>
        <w:rPr>
          <w:rFonts w:asciiTheme="minorHAnsi" w:eastAsiaTheme="minorEastAsia" w:hAnsiTheme="minorHAnsi" w:cstheme="minorBidi"/>
          <w:szCs w:val="22"/>
          <w:lang w:eastAsia="zh-CN"/>
        </w:rPr>
        <w:t xml:space="preserve">(&lt;30 mm) </w:t>
      </w:r>
      <w:r w:rsidR="008F3D0B">
        <w:rPr>
          <w:rFonts w:asciiTheme="minorHAnsi" w:eastAsiaTheme="minorEastAsia" w:hAnsiTheme="minorHAnsi" w:cstheme="minorBidi"/>
          <w:szCs w:val="22"/>
          <w:lang w:eastAsia="zh-CN"/>
        </w:rPr>
        <w:t>were more dominant in response to the Autumn fresh than the Spring Fresh and in some cases even the IVT period. Both were found at an extensive vertical range of bank, linking to flow.</w:t>
      </w:r>
    </w:p>
    <w:p w14:paraId="20A5417B" w14:textId="48E17F23" w:rsidR="008F3D0B" w:rsidRPr="00F776AA" w:rsidRDefault="008F3D0B" w:rsidP="00DE6E94">
      <w:pPr>
        <w:pStyle w:val="ListBullet"/>
        <w:numPr>
          <w:ilvl w:val="0"/>
          <w:numId w:val="51"/>
        </w:numPr>
      </w:pPr>
      <w:r w:rsidRPr="00F776AA">
        <w:t xml:space="preserve">Erosion was minor overall for the Autumn Fresh but dominated the upper bank at two sites (Loch </w:t>
      </w:r>
      <w:r w:rsidR="00155FEF">
        <w:t>Garry</w:t>
      </w:r>
      <w:r w:rsidRPr="00F776AA">
        <w:t xml:space="preserve"> Bank C and McCoy’s Bridge Bank D), supporting the hypothesis. However, at two other sites (Darcy’s Track Bank D and McCoy’s Bridge Bank E) erosion was more severe on the lower bank</w:t>
      </w:r>
      <w:r>
        <w:t>, linking to preceding IVT erosion zones</w:t>
      </w:r>
      <w:r w:rsidRPr="00F776AA">
        <w:t>. At the remaining two sites the pattern of change was ambiguous, with Darcy’s Track Bank B displaying minor erosion at one end (but deposition at the other) and McCoy’s Bridge Bank C showing negligible change of any sort</w:t>
      </w:r>
      <w:r>
        <w:t xml:space="preserve">. </w:t>
      </w:r>
    </w:p>
    <w:p w14:paraId="7ECDCC7E" w14:textId="13347DDC" w:rsidR="008F3D0B" w:rsidRDefault="008F3D0B" w:rsidP="00DE6E94">
      <w:pPr>
        <w:pStyle w:val="ListBullet"/>
        <w:numPr>
          <w:ilvl w:val="0"/>
          <w:numId w:val="51"/>
        </w:numPr>
      </w:pPr>
      <w:r w:rsidRPr="00F776AA">
        <w:t xml:space="preserve">Deposition dominated the lower bank at two sites (Loch </w:t>
      </w:r>
      <w:r w:rsidR="00155FEF">
        <w:t>Garry</w:t>
      </w:r>
      <w:r w:rsidRPr="00F776AA">
        <w:t xml:space="preserve"> Bank C and McCoy’s Bridge Bank D)</w:t>
      </w:r>
      <w:r>
        <w:t xml:space="preserve"> and was shallower in depth than change linked to the Spring Fresh.</w:t>
      </w:r>
      <w:r w:rsidRPr="00F776AA">
        <w:t xml:space="preserve"> Darcy’s Track Bank D and McCoy’s Bridge Bank E, deposition was more common on the upper bank</w:t>
      </w:r>
      <w:r>
        <w:t>, both findings support the hypotheses relating to deposition depth and location</w:t>
      </w:r>
      <w:r w:rsidRPr="00F776AA">
        <w:t xml:space="preserve">. At one site (McCoy’s Bridge – Bank E) deposition was concentrated around areas </w:t>
      </w:r>
      <w:r w:rsidRPr="009A54F8">
        <w:t>of roughness.</w:t>
      </w:r>
      <w:r>
        <w:t xml:space="preserve"> </w:t>
      </w:r>
    </w:p>
    <w:p w14:paraId="382B028C" w14:textId="3AA03ABF" w:rsidR="008F3D0B" w:rsidRPr="009A54F8" w:rsidRDefault="008F3D0B" w:rsidP="00DE6E94">
      <w:pPr>
        <w:pStyle w:val="ListBullet"/>
        <w:numPr>
          <w:ilvl w:val="0"/>
          <w:numId w:val="51"/>
        </w:numPr>
      </w:pPr>
      <w:r>
        <w:t xml:space="preserve">Histograms illustrate that deep deposition was greater at Darcy’s Track Bank D than other time periods and fine deposition (on </w:t>
      </w:r>
      <w:proofErr w:type="gramStart"/>
      <w:r>
        <w:t>the majority of</w:t>
      </w:r>
      <w:proofErr w:type="gramEnd"/>
      <w:r>
        <w:t xml:space="preserve"> banks) was greater than seen related to other flow events</w:t>
      </w:r>
      <w:r w:rsidR="00C30B39">
        <w:t xml:space="preserve"> (see Section </w:t>
      </w:r>
      <w:r w:rsidR="00E555FD">
        <w:t>4.5.4</w:t>
      </w:r>
      <w:r w:rsidR="00C30B39">
        <w:t>).</w:t>
      </w:r>
      <w:r>
        <w:t xml:space="preserve"> </w:t>
      </w:r>
    </w:p>
    <w:p w14:paraId="650D899A" w14:textId="18225411" w:rsidR="008F3D0B" w:rsidRPr="009A54F8" w:rsidRDefault="008F3D0B" w:rsidP="008F3D0B">
      <w:pPr>
        <w:pStyle w:val="BodyTextL2UoM"/>
        <w:ind w:left="0"/>
        <w:rPr>
          <w:rFonts w:asciiTheme="minorHAnsi" w:eastAsiaTheme="minorEastAsia" w:hAnsiTheme="minorHAnsi" w:cstheme="minorBidi"/>
          <w:i/>
          <w:szCs w:val="22"/>
          <w:u w:val="single"/>
          <w:lang w:eastAsia="zh-CN"/>
        </w:rPr>
      </w:pPr>
      <w:bookmarkStart w:id="153" w:name="_Hlk51251684"/>
      <w:bookmarkEnd w:id="152"/>
      <w:r w:rsidRPr="009A54F8">
        <w:rPr>
          <w:rFonts w:asciiTheme="minorHAnsi" w:eastAsiaTheme="minorEastAsia" w:hAnsiTheme="minorHAnsi" w:cstheme="minorBidi"/>
          <w:i/>
          <w:szCs w:val="22"/>
          <w:u w:val="single"/>
          <w:lang w:eastAsia="zh-CN"/>
        </w:rPr>
        <w:t>IVT</w:t>
      </w:r>
    </w:p>
    <w:p w14:paraId="5364C37E" w14:textId="4C4BE39D" w:rsidR="008F3D0B" w:rsidRDefault="008F3D0B" w:rsidP="00DE6E94">
      <w:pPr>
        <w:pStyle w:val="ListBullet"/>
        <w:numPr>
          <w:ilvl w:val="0"/>
          <w:numId w:val="52"/>
        </w:numPr>
      </w:pPr>
      <w:r>
        <w:t>Defined erosion to lower bank at varying depths was the primary process visible across banks. This was apparent at all banks except McCoy’s Bank E</w:t>
      </w:r>
      <w:r w:rsidR="00863016">
        <w:t xml:space="preserve"> where there is more vegetation</w:t>
      </w:r>
      <w:r>
        <w:t xml:space="preserve">. </w:t>
      </w:r>
    </w:p>
    <w:p w14:paraId="5BAC9DDA" w14:textId="1E18CA73" w:rsidR="008F3D0B" w:rsidRPr="009A54F8" w:rsidRDefault="008F3D0B" w:rsidP="00DE6E94">
      <w:pPr>
        <w:pStyle w:val="ListBullet"/>
        <w:numPr>
          <w:ilvl w:val="0"/>
          <w:numId w:val="52"/>
        </w:numPr>
      </w:pPr>
      <w:r w:rsidRPr="009A54F8">
        <w:t xml:space="preserve">Erosion overall </w:t>
      </w:r>
      <w:r>
        <w:t xml:space="preserve">was </w:t>
      </w:r>
      <w:r w:rsidRPr="009A54F8">
        <w:t xml:space="preserve">more severe during the IVT period compared with the Spring and Autumn Freshes. At three sites (Darcy’s Track Bank D, Loch </w:t>
      </w:r>
      <w:r w:rsidR="00155FEF">
        <w:t>Garry</w:t>
      </w:r>
      <w:r w:rsidRPr="009A54F8">
        <w:t xml:space="preserve"> Bank C, and McCoy’s Bridge Bank C) it was the dominant process on the lower bank, supporting the hypothesis for IVT flows.</w:t>
      </w:r>
      <w:r>
        <w:t xml:space="preserve"> Deep, </w:t>
      </w:r>
      <w:proofErr w:type="gramStart"/>
      <w:r>
        <w:t>defined</w:t>
      </w:r>
      <w:proofErr w:type="gramEnd"/>
      <w:r>
        <w:t xml:space="preserve"> and extensive erosion at Darcy’s Track Bank D appears to be leading to minor notching and mass-failure with depths of erosion </w:t>
      </w:r>
      <w:r w:rsidR="0067635B">
        <w:t xml:space="preserve">up to </w:t>
      </w:r>
      <w:r>
        <w:t xml:space="preserve">0.2m in depth, extensively across the lower bank face. </w:t>
      </w:r>
      <w:r w:rsidRPr="009A54F8">
        <w:t>For one site (McCoy’s Bridge Bank D)</w:t>
      </w:r>
      <w:r>
        <w:t>,</w:t>
      </w:r>
      <w:r w:rsidRPr="009A54F8">
        <w:t xml:space="preserve"> the pattern </w:t>
      </w:r>
      <w:r>
        <w:t>of erosion was diverse with erosion apparent at the lower/mid and mid-bank zone, with deposition above and below, illustrating dynamic sediment movement related to flow at this inside bank.</w:t>
      </w:r>
      <w:r w:rsidRPr="009A54F8">
        <w:t xml:space="preserve"> At McCoy’s Bridge Bank E there was similar amounts of erosion and deposition on the lower bank, and minimal change on the upper bank, providing partial support for the hypothesis.</w:t>
      </w:r>
    </w:p>
    <w:p w14:paraId="08308F50" w14:textId="2ECA559F" w:rsidR="008F3D0B" w:rsidRDefault="008F3D0B" w:rsidP="00DE6E94">
      <w:pPr>
        <w:pStyle w:val="ListBullet"/>
        <w:numPr>
          <w:ilvl w:val="0"/>
          <w:numId w:val="52"/>
        </w:numPr>
      </w:pPr>
      <w:r w:rsidRPr="009A54F8">
        <w:t xml:space="preserve">Deposition was generally minor during the IVT period. It was minimal on the upper bank for three sites (Darcy’s Track Bank D, Loch </w:t>
      </w:r>
      <w:r w:rsidR="00155FEF">
        <w:t>Garry</w:t>
      </w:r>
      <w:r w:rsidRPr="009A54F8">
        <w:t xml:space="preserve"> Bank C, and McCoy’s Bridge Bank E), as hypothesised for this flow type. Despite relatively low peak flows for the IVT (87% of days &lt;2,000 ML/d), McCoy’s Bridge Bank C showed greater than expected deposition on the upper bank, where flows would not have reached. This apparent deposition is explained by an accumulation of leaf litter and other organic debris.</w:t>
      </w:r>
      <w:r>
        <w:t xml:space="preserve"> In some </w:t>
      </w:r>
      <w:proofErr w:type="gramStart"/>
      <w:r>
        <w:t>cases</w:t>
      </w:r>
      <w:proofErr w:type="gramEnd"/>
      <w:r>
        <w:t xml:space="preserve"> apparent deposition also appears to link to erosion locations higher on the bank face.</w:t>
      </w:r>
    </w:p>
    <w:p w14:paraId="1534BF16" w14:textId="1398CB0C" w:rsidR="008F3D0B" w:rsidRDefault="008F3D0B" w:rsidP="00DE6E94">
      <w:pPr>
        <w:pStyle w:val="ListBullet"/>
        <w:numPr>
          <w:ilvl w:val="0"/>
          <w:numId w:val="52"/>
        </w:numPr>
      </w:pPr>
      <w:r>
        <w:t xml:space="preserve">Histograms showed both </w:t>
      </w:r>
      <w:r w:rsidR="0067635B">
        <w:t>minor and severe</w:t>
      </w:r>
      <w:r>
        <w:t xml:space="preserve"> </w:t>
      </w:r>
      <w:r w:rsidR="0067635B">
        <w:t xml:space="preserve">(&gt;30 mm) </w:t>
      </w:r>
      <w:r>
        <w:t xml:space="preserve">erosion was more apparent on banks related to the IVT flow period in all cases but </w:t>
      </w:r>
      <w:r w:rsidR="00BD5F78">
        <w:t>McCoy’s</w:t>
      </w:r>
      <w:r>
        <w:t xml:space="preserve"> Bridge Bank E</w:t>
      </w:r>
      <w:r w:rsidR="00C30B39">
        <w:t xml:space="preserve"> (see Section </w:t>
      </w:r>
      <w:r w:rsidR="00E555FD">
        <w:t>4.5.4</w:t>
      </w:r>
      <w:r w:rsidR="00C30B39">
        <w:t>).</w:t>
      </w:r>
    </w:p>
    <w:p w14:paraId="23935D3A" w14:textId="77777777" w:rsidR="008F3D0B" w:rsidRDefault="008F3D0B" w:rsidP="008F3D0B">
      <w:pPr>
        <w:pStyle w:val="Heading3"/>
      </w:pPr>
      <w:bookmarkStart w:id="154" w:name="_Ref83822845"/>
      <w:bookmarkStart w:id="155" w:name="_Toc84417337"/>
      <w:r>
        <w:lastRenderedPageBreak/>
        <w:t>Histogram</w:t>
      </w:r>
      <w:r w:rsidRPr="00BA2632">
        <w:t xml:space="preserve"> analysis </w:t>
      </w:r>
      <w:r>
        <w:t>of different flow periods</w:t>
      </w:r>
      <w:bookmarkEnd w:id="154"/>
      <w:bookmarkEnd w:id="155"/>
    </w:p>
    <w:p w14:paraId="676C3051" w14:textId="4DBD96C1" w:rsidR="008F3D0B" w:rsidRDefault="008F3D0B" w:rsidP="008F3D0B">
      <w:r w:rsidRPr="000D4597">
        <w:t>Histograms of change were computed for the three banks where all flow periods were captured (</w:t>
      </w:r>
      <w:r>
        <w:t xml:space="preserve">Darcy’s Track Bank D, Loch </w:t>
      </w:r>
      <w:r w:rsidR="00155FEF">
        <w:t>Garry</w:t>
      </w:r>
      <w:r>
        <w:t xml:space="preserve"> Bank C, and McCoy’s Bridge Bank E). The plots below display the prevalence of erosion and deposition for each</w:t>
      </w:r>
      <w:r w:rsidR="00D87076">
        <w:t xml:space="preserve"> flow event</w:t>
      </w:r>
      <w:r>
        <w:t xml:space="preserve"> and period (vertical axis) and the severity of that change (horizontal axis). The prevalence represents the percentage of points in the DEMOD point cloud where change of a given magnitude (up to a maximum of 0.1m erosion or deposition).</w:t>
      </w:r>
    </w:p>
    <w:p w14:paraId="3C8680BF" w14:textId="77777777" w:rsidR="008F3D0B" w:rsidRDefault="008F3D0B" w:rsidP="008F3D0B">
      <w:pPr>
        <w:rPr>
          <w:i/>
          <w:iCs/>
          <w:u w:val="single"/>
        </w:rPr>
      </w:pPr>
      <w:r w:rsidRPr="000D4597">
        <w:rPr>
          <w:i/>
          <w:iCs/>
          <w:u w:val="single"/>
        </w:rPr>
        <w:t>Darcy’s Track Bank D</w:t>
      </w:r>
    </w:p>
    <w:p w14:paraId="734B16D6" w14:textId="27792136" w:rsidR="008F3D0B" w:rsidRDefault="008F3D0B" w:rsidP="007C1384">
      <w:r>
        <w:t>The curves for the two freshes have similar shape, but the Spring Fresh is shifted to the right, indicating that erosion was the dominant process during that period, and that there was a greater prevalence of higher magnitude erosion (</w:t>
      </w:r>
      <w:r w:rsidR="00E555FD">
        <w:t xml:space="preserve">Figure </w:t>
      </w:r>
      <w:r w:rsidR="00E555FD">
        <w:rPr>
          <w:noProof/>
        </w:rPr>
        <w:t>4</w:t>
      </w:r>
      <w:r w:rsidR="00E555FD">
        <w:rPr>
          <w:noProof/>
        </w:rPr>
        <w:noBreakHyphen/>
        <w:t>9</w:t>
      </w:r>
      <w:r>
        <w:t>). In contrast, the Autumn Fresh curve reveals change that is more balanced between erosion and deposition. The higher peak of the IVT curve indicates a greater prevalence of low magnitude changes than for the freshes.  However, the second small peak to the right represents severe erosion was more common during the IVT period, compared with the freshes.</w:t>
      </w:r>
    </w:p>
    <w:p w14:paraId="2B4065F7" w14:textId="6AD8E426" w:rsidR="007C1384" w:rsidRDefault="007C1384" w:rsidP="008F3D0B">
      <w:pPr>
        <w:keepNext/>
        <w:jc w:val="center"/>
      </w:pPr>
      <w:r>
        <w:rPr>
          <w:noProof/>
        </w:rPr>
        <w:drawing>
          <wp:inline distT="0" distB="0" distL="0" distR="0" wp14:anchorId="1DB5644B" wp14:editId="67B70167">
            <wp:extent cx="4942899" cy="2808000"/>
            <wp:effectExtent l="0" t="0" r="0" b="0"/>
            <wp:docPr id="468" name="Picture 46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Chart&#10;&#10;Description automatically generated"/>
                    <pic:cNvPicPr/>
                  </pic:nvPicPr>
                  <pic:blipFill>
                    <a:blip r:embed="rId30" cstate="email">
                      <a:extLst>
                        <a:ext uri="{28A0092B-C50C-407E-A947-70E740481C1C}">
                          <a14:useLocalDpi xmlns:a14="http://schemas.microsoft.com/office/drawing/2010/main"/>
                        </a:ext>
                      </a:extLst>
                    </a:blip>
                    <a:stretch>
                      <a:fillRect/>
                    </a:stretch>
                  </pic:blipFill>
                  <pic:spPr>
                    <a:xfrm>
                      <a:off x="0" y="0"/>
                      <a:ext cx="4942899" cy="2808000"/>
                    </a:xfrm>
                    <a:prstGeom prst="rect">
                      <a:avLst/>
                    </a:prstGeom>
                  </pic:spPr>
                </pic:pic>
              </a:graphicData>
            </a:graphic>
          </wp:inline>
        </w:drawing>
      </w:r>
    </w:p>
    <w:p w14:paraId="22B7F2A6" w14:textId="3994F7C6" w:rsidR="008F3D0B" w:rsidRPr="004A5C6E" w:rsidRDefault="008F3D0B" w:rsidP="008F3D0B">
      <w:pPr>
        <w:pStyle w:val="Caption"/>
        <w:rPr>
          <w:bCs/>
        </w:rPr>
      </w:pPr>
      <w:bookmarkStart w:id="156" w:name="_Ref80968336"/>
      <w:bookmarkStart w:id="157" w:name="_Toc83907741"/>
      <w:bookmarkStart w:id="158" w:name="_Toc84475642"/>
      <w:r>
        <w:t xml:space="preserve">Figure </w:t>
      </w:r>
      <w:r w:rsidR="00B85158">
        <w:rPr>
          <w:noProof/>
        </w:rPr>
        <w:t>4</w:t>
      </w:r>
      <w:r w:rsidR="00B85158">
        <w:noBreakHyphen/>
      </w:r>
      <w:r w:rsidR="00B85158">
        <w:rPr>
          <w:noProof/>
        </w:rPr>
        <w:t>9</w:t>
      </w:r>
      <w:bookmarkEnd w:id="156"/>
      <w:r>
        <w:t xml:space="preserve"> Histogram showing prevalence and magnitude of change at Darcy's Track Bank D for the three flow periods.</w:t>
      </w:r>
      <w:bookmarkEnd w:id="157"/>
      <w:bookmarkEnd w:id="158"/>
    </w:p>
    <w:p w14:paraId="05E49B28" w14:textId="2641F75B" w:rsidR="008F3D0B" w:rsidRDefault="008F3D0B" w:rsidP="008F3D0B">
      <w:pPr>
        <w:rPr>
          <w:i/>
          <w:iCs/>
          <w:u w:val="single"/>
        </w:rPr>
      </w:pPr>
      <w:r w:rsidRPr="00CB5808">
        <w:rPr>
          <w:i/>
          <w:iCs/>
          <w:u w:val="single"/>
        </w:rPr>
        <w:t xml:space="preserve">Loch </w:t>
      </w:r>
      <w:r w:rsidR="00155FEF">
        <w:rPr>
          <w:i/>
          <w:iCs/>
          <w:u w:val="single"/>
        </w:rPr>
        <w:t>Garry</w:t>
      </w:r>
      <w:r w:rsidRPr="00CB5808">
        <w:rPr>
          <w:i/>
          <w:iCs/>
          <w:u w:val="single"/>
        </w:rPr>
        <w:t xml:space="preserve"> Bank C</w:t>
      </w:r>
    </w:p>
    <w:p w14:paraId="43221C0C" w14:textId="74351165" w:rsidR="008F3D0B" w:rsidRDefault="008F3D0B" w:rsidP="007C1384">
      <w:r>
        <w:t xml:space="preserve">The three flow periods resulted in more marked differences in change at Loch </w:t>
      </w:r>
      <w:r w:rsidR="00155FEF">
        <w:t>Garry</w:t>
      </w:r>
      <w:r>
        <w:t xml:space="preserve"> Bank C (</w:t>
      </w:r>
      <w:r w:rsidR="00E555FD">
        <w:t xml:space="preserve">Figure </w:t>
      </w:r>
      <w:r w:rsidR="00E555FD">
        <w:rPr>
          <w:noProof/>
        </w:rPr>
        <w:t>4</w:t>
      </w:r>
      <w:r w:rsidR="00E555FD">
        <w:noBreakHyphen/>
      </w:r>
      <w:r w:rsidR="00E555FD">
        <w:rPr>
          <w:noProof/>
        </w:rPr>
        <w:t>10</w:t>
      </w:r>
      <w:r>
        <w:t>). Both freshes are shifted</w:t>
      </w:r>
      <w:r w:rsidR="00D87076">
        <w:t xml:space="preserve"> left</w:t>
      </w:r>
      <w:r>
        <w:t xml:space="preserve">, indicating a general dominance by deposition, especially the Spring Fresh where </w:t>
      </w:r>
      <w:proofErr w:type="gramStart"/>
      <w:r>
        <w:t>the vast majority of</w:t>
      </w:r>
      <w:proofErr w:type="gramEnd"/>
      <w:r>
        <w:t xml:space="preserve"> change was deposition, and it was of higher magnitude. The Autumn Fresh resulted in overall deposition dominated change, and a higher prevalence of </w:t>
      </w:r>
      <w:r w:rsidR="00650567">
        <w:t>minor</w:t>
      </w:r>
      <w:r>
        <w:t xml:space="preserve"> change (both erosion and deposition). In contrast, compared to the freshes, the IVT period caused </w:t>
      </w:r>
      <w:r w:rsidR="00FA3C1B">
        <w:t>a higher frequency (area) of both severe and minor erosion events</w:t>
      </w:r>
      <w:r>
        <w:t>.</w:t>
      </w:r>
    </w:p>
    <w:p w14:paraId="14DB9401" w14:textId="1996BEED" w:rsidR="007C1384" w:rsidRDefault="007C1384" w:rsidP="008F3D0B">
      <w:pPr>
        <w:keepNext/>
        <w:jc w:val="center"/>
      </w:pPr>
      <w:r>
        <w:rPr>
          <w:noProof/>
        </w:rPr>
        <w:lastRenderedPageBreak/>
        <w:drawing>
          <wp:inline distT="0" distB="0" distL="0" distR="0" wp14:anchorId="472738DA" wp14:editId="526C798A">
            <wp:extent cx="4984471" cy="2808000"/>
            <wp:effectExtent l="0" t="0" r="6985" b="0"/>
            <wp:docPr id="46" name="Picture 4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line chart&#10;&#10;Description automatically generated"/>
                    <pic:cNvPicPr/>
                  </pic:nvPicPr>
                  <pic:blipFill>
                    <a:blip r:embed="rId31" cstate="email">
                      <a:extLst>
                        <a:ext uri="{28A0092B-C50C-407E-A947-70E740481C1C}">
                          <a14:useLocalDpi xmlns:a14="http://schemas.microsoft.com/office/drawing/2010/main"/>
                        </a:ext>
                      </a:extLst>
                    </a:blip>
                    <a:stretch>
                      <a:fillRect/>
                    </a:stretch>
                  </pic:blipFill>
                  <pic:spPr>
                    <a:xfrm>
                      <a:off x="0" y="0"/>
                      <a:ext cx="4984471" cy="2808000"/>
                    </a:xfrm>
                    <a:prstGeom prst="rect">
                      <a:avLst/>
                    </a:prstGeom>
                  </pic:spPr>
                </pic:pic>
              </a:graphicData>
            </a:graphic>
          </wp:inline>
        </w:drawing>
      </w:r>
    </w:p>
    <w:p w14:paraId="0E9ABFFF" w14:textId="55F49438" w:rsidR="008F3D0B" w:rsidRDefault="008F3D0B" w:rsidP="008F3D0B">
      <w:pPr>
        <w:pStyle w:val="Caption"/>
      </w:pPr>
      <w:bookmarkStart w:id="159" w:name="_Ref80970364"/>
      <w:bookmarkStart w:id="160" w:name="_Toc83907742"/>
      <w:bookmarkStart w:id="161" w:name="_Toc84475643"/>
      <w:r>
        <w:t xml:space="preserve">Figure </w:t>
      </w:r>
      <w:r w:rsidR="00B85158">
        <w:rPr>
          <w:noProof/>
        </w:rPr>
        <w:t>4</w:t>
      </w:r>
      <w:r w:rsidR="00B85158">
        <w:noBreakHyphen/>
      </w:r>
      <w:r w:rsidR="00B85158">
        <w:rPr>
          <w:noProof/>
        </w:rPr>
        <w:t>10</w:t>
      </w:r>
      <w:bookmarkEnd w:id="159"/>
      <w:r>
        <w:t xml:space="preserve"> </w:t>
      </w:r>
      <w:r w:rsidRPr="00700D6C">
        <w:t xml:space="preserve">Histogram showing prevalence and magnitude of change </w:t>
      </w:r>
      <w:r>
        <w:t xml:space="preserve">at Loch </w:t>
      </w:r>
      <w:r w:rsidR="00155FEF">
        <w:t>Garry</w:t>
      </w:r>
      <w:r w:rsidRPr="00700D6C">
        <w:t xml:space="preserve"> Bank </w:t>
      </w:r>
      <w:r>
        <w:t>C</w:t>
      </w:r>
      <w:r w:rsidRPr="00700D6C">
        <w:t xml:space="preserve"> for the three flow periods.</w:t>
      </w:r>
      <w:bookmarkEnd w:id="160"/>
      <w:bookmarkEnd w:id="161"/>
    </w:p>
    <w:p w14:paraId="0A9C62EE" w14:textId="77777777" w:rsidR="0040260E" w:rsidRPr="0040260E" w:rsidRDefault="0040260E" w:rsidP="0040260E"/>
    <w:p w14:paraId="40C9BA7C" w14:textId="77777777" w:rsidR="008F3D0B" w:rsidRDefault="008F3D0B" w:rsidP="008F3D0B">
      <w:pPr>
        <w:rPr>
          <w:i/>
          <w:iCs/>
          <w:u w:val="single"/>
        </w:rPr>
      </w:pPr>
      <w:r w:rsidRPr="00CB5808">
        <w:rPr>
          <w:i/>
          <w:iCs/>
          <w:u w:val="single"/>
        </w:rPr>
        <w:t>McCoy’s Bridge Bank E</w:t>
      </w:r>
    </w:p>
    <w:p w14:paraId="348000AB" w14:textId="2FBBD44E" w:rsidR="008F3D0B" w:rsidRDefault="008F3D0B" w:rsidP="007C1384">
      <w:r>
        <w:t>At McCoy’s Bridge Bank E</w:t>
      </w:r>
      <w:r w:rsidR="004D32A6">
        <w:t xml:space="preserve"> (</w:t>
      </w:r>
      <w:r w:rsidR="00E555FD">
        <w:t>Figure 4</w:t>
      </w:r>
      <w:r w:rsidR="00E555FD">
        <w:noBreakHyphen/>
        <w:t>11</w:t>
      </w:r>
      <w:r w:rsidR="004D32A6">
        <w:t>)</w:t>
      </w:r>
      <w:r>
        <w:t xml:space="preserve">, the Spring Fresh resulted in a greater prevalence of </w:t>
      </w:r>
      <w:r w:rsidR="00A01283">
        <w:t>major</w:t>
      </w:r>
      <w:r>
        <w:t xml:space="preserve"> magnitude change, both erosion and deposition, than the other two flow </w:t>
      </w:r>
      <w:r w:rsidR="00D87076">
        <w:t>events</w:t>
      </w:r>
      <w:r>
        <w:t xml:space="preserve">, and a slight overall dominance by deposition.  The Autumn Fresh was also slightly shifted towards deposition but with more change of a low magnitude. The IVT </w:t>
      </w:r>
      <w:r w:rsidR="00D87076">
        <w:t xml:space="preserve">event resulted in </w:t>
      </w:r>
      <w:r>
        <w:t xml:space="preserve">more deposition than erosion overall, but with a greater prevalence of </w:t>
      </w:r>
      <w:r w:rsidR="00A01283">
        <w:t>minor</w:t>
      </w:r>
      <w:r>
        <w:t xml:space="preserve"> change than for the Spring Fresh.</w:t>
      </w:r>
    </w:p>
    <w:p w14:paraId="38B3F815" w14:textId="6B1D20F4" w:rsidR="007C1384" w:rsidRDefault="007C1384" w:rsidP="008F3D0B">
      <w:pPr>
        <w:keepNext/>
        <w:jc w:val="center"/>
      </w:pPr>
      <w:r>
        <w:rPr>
          <w:noProof/>
        </w:rPr>
        <w:drawing>
          <wp:inline distT="0" distB="0" distL="0" distR="0" wp14:anchorId="5786193D" wp14:editId="340F2499">
            <wp:extent cx="4896907" cy="2772000"/>
            <wp:effectExtent l="0" t="0" r="0" b="0"/>
            <wp:docPr id="47" name="Picture 4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line chart&#10;&#10;Description automatically generated"/>
                    <pic:cNvPicPr/>
                  </pic:nvPicPr>
                  <pic:blipFill>
                    <a:blip r:embed="rId32" cstate="email">
                      <a:extLst>
                        <a:ext uri="{28A0092B-C50C-407E-A947-70E740481C1C}">
                          <a14:useLocalDpi xmlns:a14="http://schemas.microsoft.com/office/drawing/2010/main"/>
                        </a:ext>
                      </a:extLst>
                    </a:blip>
                    <a:stretch>
                      <a:fillRect/>
                    </a:stretch>
                  </pic:blipFill>
                  <pic:spPr>
                    <a:xfrm>
                      <a:off x="0" y="0"/>
                      <a:ext cx="4896907" cy="2772000"/>
                    </a:xfrm>
                    <a:prstGeom prst="rect">
                      <a:avLst/>
                    </a:prstGeom>
                  </pic:spPr>
                </pic:pic>
              </a:graphicData>
            </a:graphic>
          </wp:inline>
        </w:drawing>
      </w:r>
    </w:p>
    <w:p w14:paraId="14C7A7B6" w14:textId="6FD245BB" w:rsidR="00E057BD" w:rsidRPr="00E057BD" w:rsidRDefault="008F3D0B" w:rsidP="004D32A6">
      <w:pPr>
        <w:pStyle w:val="Caption"/>
      </w:pPr>
      <w:bookmarkStart w:id="162" w:name="_Ref83772203"/>
      <w:bookmarkStart w:id="163" w:name="_Toc83907743"/>
      <w:bookmarkStart w:id="164" w:name="_Toc84475644"/>
      <w:r>
        <w:t xml:space="preserve">Figure </w:t>
      </w:r>
      <w:r w:rsidR="00B85158">
        <w:rPr>
          <w:noProof/>
        </w:rPr>
        <w:t>4</w:t>
      </w:r>
      <w:r w:rsidR="00B85158">
        <w:noBreakHyphen/>
      </w:r>
      <w:r w:rsidR="00B85158">
        <w:rPr>
          <w:noProof/>
        </w:rPr>
        <w:t>11</w:t>
      </w:r>
      <w:bookmarkEnd w:id="162"/>
      <w:r>
        <w:t xml:space="preserve"> </w:t>
      </w:r>
      <w:r w:rsidRPr="000E0B08">
        <w:t xml:space="preserve">Histogram showing prevalence and magnitude of change at </w:t>
      </w:r>
      <w:r>
        <w:t>McCoy’s Bridge</w:t>
      </w:r>
      <w:r w:rsidRPr="000E0B08">
        <w:t xml:space="preserve"> Bank </w:t>
      </w:r>
      <w:r>
        <w:t>E</w:t>
      </w:r>
      <w:r w:rsidRPr="000E0B08">
        <w:t xml:space="preserve"> for the three flow periods.</w:t>
      </w:r>
      <w:bookmarkEnd w:id="153"/>
      <w:bookmarkEnd w:id="163"/>
      <w:bookmarkEnd w:id="164"/>
    </w:p>
    <w:p w14:paraId="3BE2AB75" w14:textId="2705BA14" w:rsidR="00B61060" w:rsidRDefault="00B61060" w:rsidP="003C58EF">
      <w:pPr>
        <w:pStyle w:val="Heading2"/>
      </w:pPr>
      <w:bookmarkStart w:id="165" w:name="_Toc51769671"/>
      <w:bookmarkStart w:id="166" w:name="_Ref52194392"/>
      <w:bookmarkStart w:id="167" w:name="_Toc84416087"/>
      <w:bookmarkStart w:id="168" w:name="_Toc84417338"/>
      <w:bookmarkStart w:id="169" w:name="_Toc84475674"/>
      <w:r w:rsidRPr="00BA2632">
        <w:t>Discussion</w:t>
      </w:r>
      <w:bookmarkEnd w:id="165"/>
      <w:bookmarkEnd w:id="166"/>
      <w:bookmarkEnd w:id="167"/>
      <w:bookmarkEnd w:id="168"/>
      <w:bookmarkEnd w:id="169"/>
    </w:p>
    <w:p w14:paraId="373432D0" w14:textId="40E23B79" w:rsidR="00F062B7" w:rsidRPr="00BA2632" w:rsidRDefault="00F062B7" w:rsidP="00F062B7">
      <w:pPr>
        <w:pStyle w:val="Heading3"/>
      </w:pPr>
      <w:bookmarkStart w:id="170" w:name="_Toc84417339"/>
      <w:r w:rsidRPr="00BA2632">
        <w:t xml:space="preserve">Summary of </w:t>
      </w:r>
      <w:r>
        <w:t>2020</w:t>
      </w:r>
      <w:r w:rsidRPr="00BA2632">
        <w:t>/2</w:t>
      </w:r>
      <w:r>
        <w:t>1</w:t>
      </w:r>
      <w:r w:rsidRPr="00BA2632">
        <w:t xml:space="preserve"> results</w:t>
      </w:r>
      <w:bookmarkEnd w:id="170"/>
    </w:p>
    <w:p w14:paraId="688E2163" w14:textId="77777777" w:rsidR="00F062B7" w:rsidRPr="0079598E" w:rsidRDefault="00F062B7" w:rsidP="00F062B7">
      <w:pPr>
        <w:rPr>
          <w:b/>
          <w:bCs/>
          <w:i/>
          <w:iCs/>
          <w:lang w:eastAsia="en-US"/>
        </w:rPr>
      </w:pPr>
      <w:r w:rsidRPr="0079598E">
        <w:rPr>
          <w:b/>
          <w:bCs/>
          <w:i/>
          <w:iCs/>
          <w:lang w:eastAsia="en-US"/>
        </w:rPr>
        <w:t>How are the two freshes producing different results?</w:t>
      </w:r>
    </w:p>
    <w:p w14:paraId="59C2A01C" w14:textId="77777777" w:rsidR="00F81234" w:rsidRDefault="00F81234" w:rsidP="00F81234">
      <w:pPr>
        <w:rPr>
          <w:lang w:eastAsia="en-US"/>
        </w:rPr>
      </w:pPr>
      <w:r>
        <w:rPr>
          <w:lang w:eastAsia="en-US"/>
        </w:rPr>
        <w:t>Both freshes resulted in similar patterns of change regarding the dominance of deposition. The main differences between the Autumn Fresh and the Spring Fresh were, (1) the location of deposition after the Autumn Fresh, in most cases, was higher on the bank resulting, and (2) the depth the deposition after the Autumn Fresh was shallower (less than 30mm). In some cases, the depth of deposition was considerably greater in response to the Spring Fresh (Loch Garry Bank C, McCoy’s Bridge Bank E) this links to the increased tributary flow contribution.</w:t>
      </w:r>
    </w:p>
    <w:p w14:paraId="39E07631" w14:textId="49153373" w:rsidR="00F062B7" w:rsidRDefault="00F062B7" w:rsidP="00F062B7">
      <w:pPr>
        <w:rPr>
          <w:lang w:eastAsia="en-US"/>
        </w:rPr>
      </w:pPr>
      <w:r>
        <w:rPr>
          <w:lang w:eastAsia="en-US"/>
        </w:rPr>
        <w:lastRenderedPageBreak/>
        <w:t>The flow duration histograms illustrate that the riverbanks were inundated for considerably more time during the Autumn Fresh than the Spring Fresh</w:t>
      </w:r>
      <w:r w:rsidR="00811A2A">
        <w:rPr>
          <w:lang w:eastAsia="en-US"/>
        </w:rPr>
        <w:t>,</w:t>
      </w:r>
      <w:r>
        <w:rPr>
          <w:lang w:eastAsia="en-US"/>
        </w:rPr>
        <w:t xml:space="preserve"> which would counter the findings, however the increased tributary flow percentage experienced during the Spring Fresh supports the idea that the deposition volumes would be greater due to increased suspended sediment in flows.  </w:t>
      </w:r>
    </w:p>
    <w:p w14:paraId="73230AB1" w14:textId="77777777" w:rsidR="00F062B7" w:rsidRPr="0079598E" w:rsidRDefault="00F062B7" w:rsidP="00F062B7">
      <w:pPr>
        <w:rPr>
          <w:i/>
          <w:iCs/>
          <w:lang w:eastAsia="en-US"/>
        </w:rPr>
      </w:pPr>
      <w:r w:rsidRPr="0079598E">
        <w:rPr>
          <w:b/>
          <w:bCs/>
          <w:i/>
          <w:iCs/>
          <w:lang w:eastAsia="en-US"/>
        </w:rPr>
        <w:t>Is the order of flow events playing a role in terms of preparation?</w:t>
      </w:r>
      <w:r w:rsidRPr="0079598E">
        <w:rPr>
          <w:i/>
          <w:iCs/>
          <w:lang w:eastAsia="en-US"/>
        </w:rPr>
        <w:t xml:space="preserve"> </w:t>
      </w:r>
    </w:p>
    <w:p w14:paraId="225E20CA" w14:textId="77777777" w:rsidR="00F062B7" w:rsidRDefault="00F062B7" w:rsidP="00F062B7">
      <w:pPr>
        <w:rPr>
          <w:lang w:eastAsia="en-US"/>
        </w:rPr>
      </w:pPr>
      <w:r>
        <w:rPr>
          <w:lang w:eastAsia="en-US"/>
        </w:rPr>
        <w:t xml:space="preserve">The large natural flow events which occurred prior to the Spring Fresh appear to have prepared some banks for large erosion events due to the ease of removal of fresh deposits (from prior events) in vulnerable bank zones. This would explain the erosion across mid/upper bank zones seen at </w:t>
      </w:r>
      <w:proofErr w:type="gramStart"/>
      <w:r>
        <w:rPr>
          <w:lang w:eastAsia="en-US"/>
        </w:rPr>
        <w:t>the majority of</w:t>
      </w:r>
      <w:proofErr w:type="gramEnd"/>
      <w:r>
        <w:rPr>
          <w:lang w:eastAsia="en-US"/>
        </w:rPr>
        <w:t xml:space="preserve"> banks.</w:t>
      </w:r>
    </w:p>
    <w:p w14:paraId="101C9BDC" w14:textId="06412979" w:rsidR="00F062B7" w:rsidRDefault="00F062B7" w:rsidP="00F062B7">
      <w:pPr>
        <w:rPr>
          <w:lang w:eastAsia="en-US"/>
        </w:rPr>
      </w:pPr>
      <w:r>
        <w:rPr>
          <w:lang w:eastAsia="en-US"/>
        </w:rPr>
        <w:t>The IVT event appears to have – as was seen last year – prepared areas of the lower bank zone at sites for increased erosion</w:t>
      </w:r>
      <w:r w:rsidR="00811A2A">
        <w:rPr>
          <w:lang w:eastAsia="en-US"/>
        </w:rPr>
        <w:t>. T</w:t>
      </w:r>
      <w:r>
        <w:rPr>
          <w:lang w:eastAsia="en-US"/>
        </w:rPr>
        <w:t xml:space="preserve">his is mainly apparent at </w:t>
      </w:r>
      <w:r w:rsidR="00AF66AE">
        <w:rPr>
          <w:lang w:eastAsia="en-US"/>
        </w:rPr>
        <w:t>McCoy’s</w:t>
      </w:r>
      <w:r>
        <w:rPr>
          <w:lang w:eastAsia="en-US"/>
        </w:rPr>
        <w:t xml:space="preserve"> Bank E and </w:t>
      </w:r>
      <w:r w:rsidR="00AF66AE">
        <w:rPr>
          <w:lang w:eastAsia="en-US"/>
        </w:rPr>
        <w:t>Darcy’s</w:t>
      </w:r>
      <w:r>
        <w:rPr>
          <w:lang w:eastAsia="en-US"/>
        </w:rPr>
        <w:t xml:space="preserve"> Bank D. Historic findings would support that the Spring/Summer IVT period, with its lack of inundation above bank zones relating to &gt;3,000 ML/d, led to the drying of previous deposits across the upper area of the bank, and thus there was less malleable sediment (from recent deposits) in this zone and thus the erosion measured was shallower in depth.</w:t>
      </w:r>
    </w:p>
    <w:p w14:paraId="3493FC6C" w14:textId="77777777" w:rsidR="00F062B7" w:rsidRPr="0079598E" w:rsidRDefault="00F062B7" w:rsidP="00F062B7">
      <w:pPr>
        <w:rPr>
          <w:b/>
          <w:bCs/>
          <w:i/>
          <w:iCs/>
          <w:lang w:eastAsia="en-US"/>
        </w:rPr>
      </w:pPr>
      <w:r w:rsidRPr="0079598E">
        <w:rPr>
          <w:b/>
          <w:bCs/>
          <w:i/>
          <w:iCs/>
          <w:lang w:eastAsia="en-US"/>
        </w:rPr>
        <w:t>How does this compare to findings from IVT flows?</w:t>
      </w:r>
    </w:p>
    <w:p w14:paraId="2C47893C" w14:textId="263ECA94" w:rsidR="00F062B7" w:rsidRDefault="00F062B7" w:rsidP="00F062B7">
      <w:pPr>
        <w:rPr>
          <w:lang w:eastAsia="en-US"/>
        </w:rPr>
      </w:pPr>
      <w:r>
        <w:rPr>
          <w:lang w:eastAsia="en-US"/>
        </w:rPr>
        <w:t xml:space="preserve">In general, the IVT flows resulted in a greater prevalence of erosion, and more severe erosion to the lower bank relating to the flow period (flow primarily related to </w:t>
      </w:r>
      <w:r w:rsidR="00811A2A">
        <w:rPr>
          <w:lang w:eastAsia="en-US"/>
        </w:rPr>
        <w:t>the band</w:t>
      </w:r>
      <w:r>
        <w:rPr>
          <w:lang w:eastAsia="en-US"/>
        </w:rPr>
        <w:t xml:space="preserve"> 1,000 – 2,000 ML/d), compared with the freshes. This erosion was more defined and thus deeper (up to 0.2</w:t>
      </w:r>
      <w:r w:rsidR="001B17A3">
        <w:rPr>
          <w:lang w:eastAsia="en-US"/>
        </w:rPr>
        <w:t xml:space="preserve"> </w:t>
      </w:r>
      <w:r>
        <w:rPr>
          <w:lang w:eastAsia="en-US"/>
        </w:rPr>
        <w:t>m in one case) and there are signs of notch development and minor mass-failure</w:t>
      </w:r>
      <w:r w:rsidR="001B17A3">
        <w:rPr>
          <w:lang w:eastAsia="en-US"/>
        </w:rPr>
        <w:t xml:space="preserve"> events</w:t>
      </w:r>
      <w:r>
        <w:rPr>
          <w:lang w:eastAsia="en-US"/>
        </w:rPr>
        <w:t xml:space="preserve"> at Darcy’s Track Bank D. The following factors are contributing to these processes: (1) prolonged, relatively consistent flows impacting the same lower part of the bank, (2) the longer </w:t>
      </w:r>
      <w:proofErr w:type="gramStart"/>
      <w:r>
        <w:rPr>
          <w:lang w:eastAsia="en-US"/>
        </w:rPr>
        <w:t>time period</w:t>
      </w:r>
      <w:proofErr w:type="gramEnd"/>
      <w:r>
        <w:rPr>
          <w:lang w:eastAsia="en-US"/>
        </w:rPr>
        <w:t xml:space="preserve"> over which change was able to occur (from December 2020 to March 2021), and (3) the hot summer weather (leading to the rapid wetting and drying of clay-rich sediment, which can lead to cracking and rapid destabilisation of bank material).</w:t>
      </w:r>
    </w:p>
    <w:p w14:paraId="4F68A002" w14:textId="6ACE0630" w:rsidR="00F062B7" w:rsidRPr="00F575D7" w:rsidRDefault="00E555FD" w:rsidP="00F062B7">
      <w:pPr>
        <w:rPr>
          <w:lang w:eastAsia="en-US"/>
        </w:rPr>
      </w:pPr>
      <w:r w:rsidRPr="00BA2632">
        <w:t xml:space="preserve">Table </w:t>
      </w:r>
      <w:r>
        <w:rPr>
          <w:noProof/>
        </w:rPr>
        <w:t>4</w:t>
      </w:r>
      <w:r>
        <w:noBreakHyphen/>
      </w:r>
      <w:r>
        <w:rPr>
          <w:noProof/>
        </w:rPr>
        <w:t>6</w:t>
      </w:r>
      <w:r w:rsidR="00F062B7" w:rsidRPr="00F575D7">
        <w:rPr>
          <w:lang w:eastAsia="en-US"/>
        </w:rPr>
        <w:t xml:space="preserve"> provides a summary of outcomes associated with each event in relation to stated hypotheses.</w:t>
      </w:r>
    </w:p>
    <w:p w14:paraId="7BCF4510" w14:textId="4DC202D6" w:rsidR="00F062B7" w:rsidRPr="00BA2632" w:rsidRDefault="00F062B7" w:rsidP="00F062B7">
      <w:pPr>
        <w:pStyle w:val="Caption"/>
        <w:keepNext/>
      </w:pPr>
      <w:bookmarkStart w:id="171" w:name="_Ref83056311"/>
      <w:bookmarkStart w:id="172" w:name="_Toc95391461"/>
      <w:r w:rsidRPr="00BA2632">
        <w:t xml:space="preserve">Table </w:t>
      </w:r>
      <w:r w:rsidR="000B75AF">
        <w:rPr>
          <w:noProof/>
        </w:rPr>
        <w:t>4</w:t>
      </w:r>
      <w:r w:rsidR="000B75AF">
        <w:noBreakHyphen/>
      </w:r>
      <w:r w:rsidR="000B75AF">
        <w:rPr>
          <w:noProof/>
        </w:rPr>
        <w:t>6</w:t>
      </w:r>
      <w:bookmarkEnd w:id="171"/>
      <w:r w:rsidRPr="00BA2632">
        <w:t xml:space="preserve"> Response to initial hypotheses.</w:t>
      </w:r>
      <w:bookmarkEnd w:id="172"/>
      <w:r w:rsidRPr="00BA2632">
        <w:t xml:space="preserve"> </w:t>
      </w:r>
    </w:p>
    <w:tbl>
      <w:tblPr>
        <w:tblStyle w:val="TableGrid"/>
        <w:tblW w:w="9124"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tblCellMar>
        <w:tblLook w:val="04A0" w:firstRow="1" w:lastRow="0" w:firstColumn="1" w:lastColumn="0" w:noHBand="0" w:noVBand="1"/>
      </w:tblPr>
      <w:tblGrid>
        <w:gridCol w:w="1186"/>
        <w:gridCol w:w="3402"/>
        <w:gridCol w:w="4536"/>
      </w:tblGrid>
      <w:tr w:rsidR="00F062B7" w:rsidRPr="00BA2632" w14:paraId="248D42A1" w14:textId="77777777" w:rsidTr="009971D1">
        <w:trPr>
          <w:cnfStyle w:val="100000000000" w:firstRow="1" w:lastRow="0" w:firstColumn="0" w:lastColumn="0" w:oddVBand="0" w:evenVBand="0" w:oddHBand="0" w:evenHBand="0" w:firstRowFirstColumn="0" w:firstRowLastColumn="0" w:lastRowFirstColumn="0" w:lastRowLastColumn="0"/>
          <w:trHeight w:val="204"/>
          <w:tblHeader/>
          <w:jc w:val="center"/>
        </w:trPr>
        <w:tc>
          <w:tcPr>
            <w:cnfStyle w:val="001000000000" w:firstRow="0" w:lastRow="0" w:firstColumn="1" w:lastColumn="0" w:oddVBand="0" w:evenVBand="0" w:oddHBand="0" w:evenHBand="0" w:firstRowFirstColumn="0" w:firstRowLastColumn="0" w:lastRowFirstColumn="0" w:lastRowLastColumn="0"/>
            <w:tcW w:w="1186" w:type="dxa"/>
            <w:tcBorders>
              <w:right w:val="single" w:sz="4" w:space="0" w:color="FFFFFF" w:themeColor="background1"/>
            </w:tcBorders>
            <w:shd w:val="clear" w:color="auto" w:fill="00338D"/>
          </w:tcPr>
          <w:p w14:paraId="59997CEF" w14:textId="77777777" w:rsidR="00F062B7" w:rsidRPr="00BA2632" w:rsidRDefault="00F062B7" w:rsidP="00E26D3C">
            <w:pPr>
              <w:jc w:val="left"/>
              <w:rPr>
                <w:rFonts w:ascii="Calibri" w:hAnsi="Calibri" w:cstheme="minorHAnsi"/>
                <w:bCs/>
                <w:color w:val="FFFFFF"/>
                <w:sz w:val="18"/>
                <w:szCs w:val="18"/>
              </w:rPr>
            </w:pPr>
            <w:r w:rsidRPr="00BA2632">
              <w:rPr>
                <w:rFonts w:ascii="Calibri" w:hAnsi="Calibri" w:cstheme="minorHAnsi"/>
                <w:bCs/>
                <w:color w:val="FFFFFF"/>
                <w:sz w:val="18"/>
                <w:szCs w:val="18"/>
              </w:rPr>
              <w:t>Flow event</w:t>
            </w:r>
          </w:p>
        </w:tc>
        <w:tc>
          <w:tcPr>
            <w:tcW w:w="3402" w:type="dxa"/>
            <w:tcBorders>
              <w:left w:val="single" w:sz="4" w:space="0" w:color="FFFFFF" w:themeColor="background1"/>
              <w:right w:val="single" w:sz="4" w:space="0" w:color="FFFFFF" w:themeColor="background1"/>
            </w:tcBorders>
            <w:shd w:val="clear" w:color="auto" w:fill="00338D"/>
          </w:tcPr>
          <w:p w14:paraId="705ABC0E" w14:textId="77777777" w:rsidR="00F062B7" w:rsidRPr="00BA2632" w:rsidRDefault="00F062B7" w:rsidP="00E26D3C">
            <w:pPr>
              <w:jc w:val="left"/>
              <w:cnfStyle w:val="100000000000" w:firstRow="1" w:lastRow="0" w:firstColumn="0" w:lastColumn="0" w:oddVBand="0" w:evenVBand="0" w:oddHBand="0" w:evenHBand="0" w:firstRowFirstColumn="0" w:firstRowLastColumn="0" w:lastRowFirstColumn="0" w:lastRowLastColumn="0"/>
              <w:rPr>
                <w:rFonts w:ascii="Calibri" w:hAnsi="Calibri" w:cstheme="minorHAnsi"/>
                <w:bCs/>
                <w:color w:val="FFFFFF"/>
                <w:sz w:val="18"/>
                <w:szCs w:val="18"/>
              </w:rPr>
            </w:pPr>
            <w:r w:rsidRPr="00BA2632">
              <w:rPr>
                <w:rFonts w:ascii="Calibri" w:hAnsi="Calibri" w:cstheme="minorHAnsi"/>
                <w:bCs/>
                <w:color w:val="FFFFFF"/>
                <w:sz w:val="18"/>
                <w:szCs w:val="18"/>
              </w:rPr>
              <w:t xml:space="preserve">Hypothesis </w:t>
            </w:r>
          </w:p>
        </w:tc>
        <w:tc>
          <w:tcPr>
            <w:tcW w:w="4536" w:type="dxa"/>
            <w:tcBorders>
              <w:left w:val="single" w:sz="4" w:space="0" w:color="FFFFFF" w:themeColor="background1"/>
              <w:right w:val="single" w:sz="4" w:space="0" w:color="FFFFFF" w:themeColor="background1"/>
            </w:tcBorders>
            <w:shd w:val="clear" w:color="auto" w:fill="00338D"/>
          </w:tcPr>
          <w:p w14:paraId="63ED601E" w14:textId="77777777" w:rsidR="00F062B7" w:rsidRPr="00BA2632" w:rsidRDefault="00F062B7" w:rsidP="00E26D3C">
            <w:pPr>
              <w:jc w:val="left"/>
              <w:cnfStyle w:val="100000000000" w:firstRow="1" w:lastRow="0" w:firstColumn="0" w:lastColumn="0" w:oddVBand="0" w:evenVBand="0" w:oddHBand="0" w:evenHBand="0" w:firstRowFirstColumn="0" w:firstRowLastColumn="0" w:lastRowFirstColumn="0" w:lastRowLastColumn="0"/>
              <w:rPr>
                <w:rFonts w:ascii="Calibri" w:hAnsi="Calibri" w:cstheme="minorHAnsi"/>
                <w:bCs/>
                <w:color w:val="FFFFFF"/>
                <w:sz w:val="18"/>
                <w:szCs w:val="18"/>
              </w:rPr>
            </w:pPr>
            <w:r w:rsidRPr="00BA2632">
              <w:rPr>
                <w:rFonts w:ascii="Calibri" w:hAnsi="Calibri" w:cstheme="minorHAnsi"/>
                <w:bCs/>
                <w:color w:val="FFFFFF"/>
                <w:sz w:val="18"/>
                <w:szCs w:val="18"/>
              </w:rPr>
              <w:t xml:space="preserve">Supported or rejected </w:t>
            </w:r>
          </w:p>
        </w:tc>
      </w:tr>
      <w:tr w:rsidR="00F062B7" w:rsidRPr="00BA2632" w14:paraId="4BF4C7A1" w14:textId="77777777" w:rsidTr="009971D1">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1186" w:type="dxa"/>
            <w:shd w:val="clear" w:color="auto" w:fill="FFFFFF" w:themeFill="background2"/>
          </w:tcPr>
          <w:p w14:paraId="5A41EB42" w14:textId="77777777" w:rsidR="00F062B7" w:rsidRPr="00BA2632" w:rsidRDefault="00F062B7" w:rsidP="00E26D3C">
            <w:pPr>
              <w:pStyle w:val="Tablesmalltext"/>
              <w:jc w:val="left"/>
              <w:rPr>
                <w:rFonts w:ascii="Calibri" w:hAnsi="Calibri"/>
                <w:sz w:val="18"/>
                <w:szCs w:val="18"/>
              </w:rPr>
            </w:pPr>
            <w:r w:rsidRPr="00BA2632">
              <w:rPr>
                <w:rFonts w:ascii="Calibri" w:hAnsi="Calibri"/>
                <w:sz w:val="18"/>
                <w:szCs w:val="18"/>
              </w:rPr>
              <w:t>Spring Fresh (v1 – v2)</w:t>
            </w:r>
          </w:p>
        </w:tc>
        <w:tc>
          <w:tcPr>
            <w:tcW w:w="3402" w:type="dxa"/>
            <w:shd w:val="clear" w:color="auto" w:fill="FFFFFF" w:themeFill="background2"/>
          </w:tcPr>
          <w:p w14:paraId="2DEB3BD6" w14:textId="77777777" w:rsidR="00F062B7" w:rsidRPr="00BA2632" w:rsidRDefault="00F062B7" w:rsidP="00E26D3C">
            <w:pPr>
              <w:pStyle w:val="Tablesmalltex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Pr>
                <w:rFonts w:asciiTheme="minorHAnsi" w:hAnsiTheme="minorHAnsi"/>
                <w:sz w:val="18"/>
                <w:szCs w:val="18"/>
              </w:rPr>
              <w:t>Relatively high flows (50% of days &gt;2,200 ML/d) will lead to a pattern of change in which erosion dominates higher on the bank, with deposition on the lower/mid bank</w:t>
            </w:r>
            <w:r w:rsidRPr="00BA2632">
              <w:rPr>
                <w:rFonts w:asciiTheme="minorHAnsi" w:hAnsiTheme="minorHAnsi"/>
                <w:sz w:val="18"/>
                <w:szCs w:val="18"/>
              </w:rPr>
              <w:t>.</w:t>
            </w:r>
            <w:r>
              <w:rPr>
                <w:rFonts w:asciiTheme="minorHAnsi" w:hAnsiTheme="minorHAnsi"/>
                <w:sz w:val="18"/>
                <w:szCs w:val="18"/>
              </w:rPr>
              <w:t xml:space="preserve"> Increased % tributary flows (35% &amp; 38%) encourage increased sediment deposit volume.</w:t>
            </w:r>
          </w:p>
        </w:tc>
        <w:tc>
          <w:tcPr>
            <w:tcW w:w="4536" w:type="dxa"/>
            <w:shd w:val="clear" w:color="auto" w:fill="FFFFFF" w:themeFill="background2"/>
          </w:tcPr>
          <w:p w14:paraId="34635A0F" w14:textId="77777777" w:rsidR="00F062B7" w:rsidRDefault="00F062B7" w:rsidP="00E26D3C">
            <w:pPr>
              <w:pStyle w:val="Tablesmalltex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Pr>
                <w:rFonts w:ascii="Calibri" w:hAnsi="Calibri"/>
                <w:b/>
                <w:bCs/>
                <w:sz w:val="18"/>
                <w:szCs w:val="18"/>
              </w:rPr>
              <w:t>Partly S</w:t>
            </w:r>
            <w:r w:rsidRPr="008B03DD">
              <w:rPr>
                <w:rFonts w:ascii="Calibri" w:hAnsi="Calibri"/>
                <w:b/>
                <w:bCs/>
                <w:sz w:val="18"/>
                <w:szCs w:val="18"/>
              </w:rPr>
              <w:t>upported</w:t>
            </w:r>
            <w:r>
              <w:rPr>
                <w:rFonts w:ascii="Calibri" w:hAnsi="Calibri"/>
                <w:b/>
                <w:bCs/>
                <w:sz w:val="18"/>
                <w:szCs w:val="18"/>
              </w:rPr>
              <w:t>.</w:t>
            </w:r>
            <w:r>
              <w:rPr>
                <w:rFonts w:ascii="Calibri" w:hAnsi="Calibri"/>
                <w:sz w:val="18"/>
                <w:szCs w:val="18"/>
              </w:rPr>
              <w:t xml:space="preserve"> Deposition dominated across the whole bank at 2/3 sites and was primarily deep/thick versus shallow/thin, with one displaying a greater magnitude on the lower bank. Erosion was minimal at the same sites, including on the upper bank. </w:t>
            </w:r>
          </w:p>
          <w:p w14:paraId="6282B8B4" w14:textId="77777777" w:rsidR="00F062B7" w:rsidRPr="00BA2632" w:rsidRDefault="00F062B7" w:rsidP="00E26D3C">
            <w:pPr>
              <w:pStyle w:val="Tablesmalltex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Pr>
                <w:rFonts w:ascii="Calibri" w:hAnsi="Calibri"/>
                <w:sz w:val="18"/>
                <w:szCs w:val="18"/>
              </w:rPr>
              <w:t>The third site displayed an opposite pattern (erosion dominating lower bank).</w:t>
            </w:r>
          </w:p>
        </w:tc>
      </w:tr>
      <w:tr w:rsidR="00F062B7" w:rsidRPr="00BA2632" w14:paraId="4FB5DBCC" w14:textId="77777777" w:rsidTr="009971D1">
        <w:trPr>
          <w:cnfStyle w:val="000000010000" w:firstRow="0" w:lastRow="0" w:firstColumn="0" w:lastColumn="0" w:oddVBand="0" w:evenVBand="0" w:oddHBand="0" w:evenHBand="1"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1186" w:type="dxa"/>
            <w:shd w:val="clear" w:color="auto" w:fill="FFFFFF" w:themeFill="background2"/>
          </w:tcPr>
          <w:p w14:paraId="089B3718" w14:textId="77777777" w:rsidR="00F062B7" w:rsidRPr="00BA2632" w:rsidRDefault="00F062B7" w:rsidP="00E26D3C">
            <w:pPr>
              <w:pStyle w:val="Tablesmalltext"/>
              <w:jc w:val="left"/>
              <w:rPr>
                <w:rFonts w:ascii="Calibri" w:hAnsi="Calibri"/>
                <w:b w:val="0"/>
                <w:sz w:val="18"/>
                <w:szCs w:val="18"/>
              </w:rPr>
            </w:pPr>
            <w:r w:rsidRPr="00BA2632">
              <w:rPr>
                <w:rFonts w:ascii="Calibri" w:hAnsi="Calibri"/>
                <w:sz w:val="18"/>
                <w:szCs w:val="18"/>
              </w:rPr>
              <w:t>IVT Period (v2 – v3)</w:t>
            </w:r>
          </w:p>
        </w:tc>
        <w:tc>
          <w:tcPr>
            <w:tcW w:w="3402" w:type="dxa"/>
            <w:shd w:val="clear" w:color="auto" w:fill="FFFFFF" w:themeFill="background2"/>
          </w:tcPr>
          <w:p w14:paraId="459D51C2" w14:textId="77777777" w:rsidR="00F062B7" w:rsidRPr="006003F8" w:rsidRDefault="00F062B7" w:rsidP="00E26D3C">
            <w:pPr>
              <w:pStyle w:val="Tablesmalltex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Pr>
                <w:rFonts w:ascii="Calibri" w:hAnsi="Calibri"/>
                <w:sz w:val="18"/>
                <w:szCs w:val="18"/>
              </w:rPr>
              <w:t>1.</w:t>
            </w:r>
            <w:r w:rsidRPr="006003F8">
              <w:rPr>
                <w:rFonts w:ascii="Calibri" w:hAnsi="Calibri"/>
                <w:sz w:val="18"/>
                <w:szCs w:val="18"/>
              </w:rPr>
              <w:t>Long</w:t>
            </w:r>
            <w:r w:rsidRPr="006003F8" w:rsidDel="00DC68FD">
              <w:rPr>
                <w:rFonts w:ascii="Calibri" w:hAnsi="Calibri"/>
                <w:sz w:val="18"/>
                <w:szCs w:val="18"/>
              </w:rPr>
              <w:t xml:space="preserve"> duration </w:t>
            </w:r>
            <w:r w:rsidRPr="006003F8">
              <w:rPr>
                <w:rFonts w:ascii="Calibri" w:hAnsi="Calibri"/>
                <w:sz w:val="18"/>
                <w:szCs w:val="18"/>
              </w:rPr>
              <w:t>of relatively low flows (126</w:t>
            </w:r>
            <w:r w:rsidRPr="006003F8" w:rsidDel="00DC68FD">
              <w:rPr>
                <w:rFonts w:ascii="Calibri" w:hAnsi="Calibri"/>
                <w:sz w:val="18"/>
                <w:szCs w:val="18"/>
              </w:rPr>
              <w:t xml:space="preserve"> days</w:t>
            </w:r>
            <w:r w:rsidRPr="006003F8">
              <w:rPr>
                <w:rFonts w:ascii="Calibri" w:hAnsi="Calibri"/>
                <w:sz w:val="18"/>
                <w:szCs w:val="18"/>
              </w:rPr>
              <w:t xml:space="preserve"> in total, all below</w:t>
            </w:r>
            <w:r w:rsidRPr="006003F8" w:rsidDel="00DC68FD">
              <w:rPr>
                <w:rFonts w:ascii="Calibri" w:hAnsi="Calibri"/>
                <w:sz w:val="18"/>
                <w:szCs w:val="18"/>
              </w:rPr>
              <w:t xml:space="preserve"> 2,200 ML/d</w:t>
            </w:r>
            <w:r w:rsidRPr="006003F8">
              <w:rPr>
                <w:rFonts w:ascii="Calibri" w:hAnsi="Calibri"/>
                <w:sz w:val="18"/>
                <w:szCs w:val="18"/>
              </w:rPr>
              <w:t>) will result in both more severe erosion and less deposition on the lower bank. Minimal change will occur on the upper bank.</w:t>
            </w:r>
          </w:p>
          <w:p w14:paraId="3F56689A" w14:textId="77777777" w:rsidR="00F062B7" w:rsidRDefault="00F062B7"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p>
          <w:p w14:paraId="70F7AFB6" w14:textId="77777777" w:rsidR="00F062B7" w:rsidRPr="00BA2632" w:rsidRDefault="00F062B7" w:rsidP="00E26D3C">
            <w:pPr>
              <w:pStyle w:val="Tablesmalltex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Pr>
                <w:rFonts w:asciiTheme="minorHAnsi" w:hAnsiTheme="minorHAnsi"/>
                <w:sz w:val="18"/>
                <w:szCs w:val="18"/>
              </w:rPr>
              <w:t>2</w:t>
            </w:r>
            <w:r w:rsidDel="00DC68FD">
              <w:rPr>
                <w:rFonts w:asciiTheme="minorHAnsi" w:hAnsiTheme="minorHAnsi"/>
                <w:sz w:val="18"/>
                <w:szCs w:val="18"/>
              </w:rPr>
              <w:t xml:space="preserve">. </w:t>
            </w:r>
            <w:r w:rsidRPr="00BA2632" w:rsidDel="00DC68FD">
              <w:rPr>
                <w:rFonts w:asciiTheme="minorHAnsi" w:hAnsiTheme="minorHAnsi"/>
                <w:sz w:val="18"/>
                <w:szCs w:val="18"/>
              </w:rPr>
              <w:t xml:space="preserve">Where historic notching in the system is present, this will result in </w:t>
            </w:r>
            <w:r>
              <w:rPr>
                <w:rFonts w:asciiTheme="minorHAnsi" w:hAnsiTheme="minorHAnsi"/>
                <w:sz w:val="18"/>
                <w:szCs w:val="18"/>
              </w:rPr>
              <w:t>a large amount</w:t>
            </w:r>
            <w:r w:rsidDel="00DC68FD">
              <w:rPr>
                <w:rFonts w:asciiTheme="minorHAnsi" w:hAnsiTheme="minorHAnsi"/>
                <w:sz w:val="18"/>
                <w:szCs w:val="18"/>
              </w:rPr>
              <w:t xml:space="preserve"> of </w:t>
            </w:r>
            <w:r w:rsidRPr="00BA2632" w:rsidDel="00DC68FD">
              <w:rPr>
                <w:rFonts w:asciiTheme="minorHAnsi" w:hAnsiTheme="minorHAnsi"/>
                <w:sz w:val="18"/>
                <w:szCs w:val="18"/>
              </w:rPr>
              <w:t>erosion and low deposition (due to cyclical nature of delivery</w:t>
            </w:r>
            <w:r w:rsidRPr="00BA2632">
              <w:rPr>
                <w:rFonts w:asciiTheme="minorHAnsi" w:hAnsiTheme="minorHAnsi"/>
                <w:sz w:val="18"/>
                <w:szCs w:val="18"/>
              </w:rPr>
              <w:t>)</w:t>
            </w:r>
            <w:r>
              <w:rPr>
                <w:rFonts w:asciiTheme="minorHAnsi" w:hAnsiTheme="minorHAnsi"/>
                <w:sz w:val="18"/>
                <w:szCs w:val="18"/>
              </w:rPr>
              <w:t>.</w:t>
            </w:r>
            <w:r w:rsidRPr="00BA2632">
              <w:rPr>
                <w:rFonts w:asciiTheme="minorHAnsi" w:hAnsiTheme="minorHAnsi"/>
                <w:sz w:val="18"/>
                <w:szCs w:val="18"/>
              </w:rPr>
              <w:t xml:space="preserve">  </w:t>
            </w:r>
          </w:p>
        </w:tc>
        <w:tc>
          <w:tcPr>
            <w:tcW w:w="4536" w:type="dxa"/>
            <w:shd w:val="clear" w:color="auto" w:fill="FFFFFF" w:themeFill="background2"/>
          </w:tcPr>
          <w:p w14:paraId="691CDC2A" w14:textId="77777777" w:rsidR="00F062B7" w:rsidRDefault="00F062B7" w:rsidP="00E26D3C">
            <w:pPr>
              <w:pStyle w:val="Tablesmalltex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B11E5F">
              <w:rPr>
                <w:rFonts w:ascii="Calibri" w:hAnsi="Calibri"/>
                <w:b/>
                <w:bCs/>
                <w:sz w:val="18"/>
                <w:szCs w:val="18"/>
              </w:rPr>
              <w:t>1.</w:t>
            </w:r>
            <w:r>
              <w:rPr>
                <w:rFonts w:ascii="Calibri" w:hAnsi="Calibri"/>
                <w:b/>
                <w:bCs/>
                <w:sz w:val="18"/>
                <w:szCs w:val="18"/>
              </w:rPr>
              <w:t xml:space="preserve"> </w:t>
            </w:r>
            <w:r w:rsidRPr="00DB57D9">
              <w:rPr>
                <w:rFonts w:ascii="Calibri" w:hAnsi="Calibri"/>
                <w:b/>
                <w:bCs/>
                <w:sz w:val="18"/>
                <w:szCs w:val="18"/>
              </w:rPr>
              <w:t>Supported</w:t>
            </w:r>
            <w:r>
              <w:rPr>
                <w:rFonts w:ascii="Calibri" w:hAnsi="Calibri"/>
                <w:sz w:val="18"/>
                <w:szCs w:val="18"/>
              </w:rPr>
              <w:t>. Erosion was generally more severe, including on the lower bank at 3/5 sites. Deposition was generally minimal, including on the upper bank of the same three sites. At another site similar amounts of erosion and deposition occurred on the lower bank, with negligible change to the upper bank. A single site displayed a pattern of change which displayed layers of erosion and deposition, with deposition at the toe of bank. This partly supports the hypothesis with erosion lower and deposition higher, but it is not clear-cut.</w:t>
            </w:r>
          </w:p>
          <w:p w14:paraId="13372BA0" w14:textId="77777777" w:rsidR="00F062B7" w:rsidRDefault="00F062B7" w:rsidP="00E26D3C">
            <w:pPr>
              <w:pStyle w:val="Tablesmalltex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p>
          <w:p w14:paraId="46914FF9" w14:textId="77777777" w:rsidR="00F062B7" w:rsidRPr="00BA2632" w:rsidRDefault="00F062B7" w:rsidP="00E26D3C">
            <w:pPr>
              <w:pStyle w:val="Tablesmalltex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3125E9">
              <w:rPr>
                <w:rFonts w:ascii="Calibri" w:hAnsi="Calibri"/>
                <w:b/>
                <w:bCs/>
                <w:sz w:val="18"/>
                <w:szCs w:val="18"/>
              </w:rPr>
              <w:t>2. Supported.</w:t>
            </w:r>
            <w:r>
              <w:rPr>
                <w:rFonts w:ascii="Calibri" w:hAnsi="Calibri"/>
                <w:b/>
                <w:bCs/>
                <w:sz w:val="18"/>
                <w:szCs w:val="18"/>
              </w:rPr>
              <w:t xml:space="preserve"> </w:t>
            </w:r>
            <w:r w:rsidRPr="003125E9">
              <w:rPr>
                <w:rFonts w:ascii="Calibri" w:hAnsi="Calibri"/>
                <w:sz w:val="18"/>
                <w:szCs w:val="18"/>
              </w:rPr>
              <w:t>Erosion was most severe at locations which relate to IVT erosion events from 2019-2020 IVTs</w:t>
            </w:r>
            <w:r>
              <w:rPr>
                <w:rFonts w:ascii="Calibri" w:hAnsi="Calibri"/>
                <w:sz w:val="18"/>
                <w:szCs w:val="18"/>
              </w:rPr>
              <w:t xml:space="preserve"> at 3 banks.</w:t>
            </w:r>
          </w:p>
        </w:tc>
      </w:tr>
      <w:tr w:rsidR="00F062B7" w:rsidRPr="00BA2632" w14:paraId="77EC462D" w14:textId="77777777" w:rsidTr="009971D1">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1186" w:type="dxa"/>
            <w:shd w:val="clear" w:color="auto" w:fill="FFFFFF" w:themeFill="background2"/>
          </w:tcPr>
          <w:p w14:paraId="0EBE00DF" w14:textId="77777777" w:rsidR="00F062B7" w:rsidRPr="00BA2632" w:rsidRDefault="00F062B7" w:rsidP="00E26D3C">
            <w:pPr>
              <w:pStyle w:val="Tablesmalltext"/>
              <w:jc w:val="left"/>
              <w:rPr>
                <w:rFonts w:ascii="Calibri" w:hAnsi="Calibri"/>
                <w:sz w:val="18"/>
                <w:szCs w:val="18"/>
              </w:rPr>
            </w:pPr>
            <w:r>
              <w:rPr>
                <w:rFonts w:ascii="Calibri" w:hAnsi="Calibri"/>
                <w:sz w:val="18"/>
                <w:szCs w:val="18"/>
              </w:rPr>
              <w:t>Autumn Fresh</w:t>
            </w:r>
            <w:r w:rsidRPr="00BA2632">
              <w:rPr>
                <w:rFonts w:ascii="Calibri" w:hAnsi="Calibri"/>
                <w:sz w:val="18"/>
                <w:szCs w:val="18"/>
              </w:rPr>
              <w:t xml:space="preserve"> (v3 – v4)</w:t>
            </w:r>
          </w:p>
        </w:tc>
        <w:tc>
          <w:tcPr>
            <w:tcW w:w="3402" w:type="dxa"/>
            <w:shd w:val="clear" w:color="auto" w:fill="FFFFFF" w:themeFill="background2"/>
          </w:tcPr>
          <w:p w14:paraId="2A3423BC" w14:textId="77777777" w:rsidR="00F062B7" w:rsidRDefault="00F062B7"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Pr>
                <w:rFonts w:asciiTheme="minorHAnsi" w:hAnsiTheme="minorHAnsi"/>
                <w:sz w:val="18"/>
                <w:szCs w:val="18"/>
              </w:rPr>
              <w:t xml:space="preserve">Similar flow pattern to Spring Fresh (43% of days &gt;2,200 ML/d), however longer total flow period, and more time &gt; 5,000 ML/d, prior flow event was IVT. </w:t>
            </w:r>
          </w:p>
          <w:p w14:paraId="2D4BAA08" w14:textId="77777777" w:rsidR="00F062B7" w:rsidRPr="00BA2632" w:rsidRDefault="00F062B7" w:rsidP="00E26D3C">
            <w:pPr>
              <w:pStyle w:val="Tablesmalltex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Pr>
                <w:rFonts w:asciiTheme="minorHAnsi" w:hAnsiTheme="minorHAnsi"/>
                <w:sz w:val="18"/>
                <w:szCs w:val="18"/>
              </w:rPr>
              <w:t xml:space="preserve">Expectation is that erosion is greater than Spring Fresh due to extended flow period, </w:t>
            </w:r>
            <w:r>
              <w:rPr>
                <w:rFonts w:asciiTheme="minorHAnsi" w:hAnsiTheme="minorHAnsi"/>
                <w:sz w:val="18"/>
                <w:szCs w:val="18"/>
              </w:rPr>
              <w:lastRenderedPageBreak/>
              <w:t>dominating on upper bank AND in areas of existing IVT erosion. Deposition on lower/mid bank is the same as Spring Fresh despite increased flow duration due to decreased tributary flow contribution percentage was lower (9% vs 35% &amp; 38%).</w:t>
            </w:r>
          </w:p>
        </w:tc>
        <w:tc>
          <w:tcPr>
            <w:tcW w:w="4536" w:type="dxa"/>
            <w:shd w:val="clear" w:color="auto" w:fill="FFFFFF" w:themeFill="background2"/>
          </w:tcPr>
          <w:p w14:paraId="4AC6BA5D" w14:textId="77777777" w:rsidR="00F062B7" w:rsidRDefault="00F062B7" w:rsidP="00E26D3C">
            <w:pPr>
              <w:pStyle w:val="Tablesmalltex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B86E9B">
              <w:rPr>
                <w:rFonts w:ascii="Calibri" w:hAnsi="Calibri"/>
                <w:b/>
                <w:bCs/>
                <w:sz w:val="18"/>
                <w:szCs w:val="18"/>
              </w:rPr>
              <w:lastRenderedPageBreak/>
              <w:t>Partly supported</w:t>
            </w:r>
            <w:r>
              <w:rPr>
                <w:rFonts w:ascii="Calibri" w:hAnsi="Calibri"/>
                <w:sz w:val="18"/>
                <w:szCs w:val="18"/>
              </w:rPr>
              <w:t>. Erosion was high on the bank at 2/6 sites and was found to be deeper in IVT erosion locations at 2/6 sites. The other sites showed mixtures of the two and in one case very little sign of erosion.</w:t>
            </w:r>
          </w:p>
          <w:p w14:paraId="44E86A3C" w14:textId="77777777" w:rsidR="00F062B7" w:rsidRDefault="00F062B7" w:rsidP="00E26D3C">
            <w:pPr>
              <w:pStyle w:val="Tablesmalltex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Pr>
                <w:rFonts w:ascii="Calibri" w:hAnsi="Calibri"/>
                <w:sz w:val="18"/>
                <w:szCs w:val="18"/>
              </w:rPr>
              <w:t xml:space="preserve">Deposition was located across a broad range of vertical bank including the low/mid zone as hypothesised on 4/6 banks. </w:t>
            </w:r>
          </w:p>
          <w:p w14:paraId="23406195" w14:textId="77777777" w:rsidR="00F062B7" w:rsidRPr="00BA2632" w:rsidRDefault="00F062B7" w:rsidP="00E26D3C">
            <w:pPr>
              <w:pStyle w:val="Tablesmalltex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Pr>
                <w:rFonts w:ascii="Calibri" w:hAnsi="Calibri"/>
                <w:sz w:val="18"/>
                <w:szCs w:val="18"/>
              </w:rPr>
              <w:lastRenderedPageBreak/>
              <w:t>The remaining two sites produced ambiguous results (negligible change or opposite patterns upstream vs. downstream).</w:t>
            </w:r>
            <w:r>
              <w:rPr>
                <w:rFonts w:ascii="Calibri" w:hAnsi="Calibri"/>
                <w:sz w:val="18"/>
                <w:szCs w:val="18"/>
              </w:rPr>
              <w:br/>
              <w:t>Deposition was not the same depth as seen in Spring Fresh, it was shallower/finer, but spread with more vertical range on the banks.</w:t>
            </w:r>
          </w:p>
        </w:tc>
      </w:tr>
    </w:tbl>
    <w:p w14:paraId="3E4D1D44" w14:textId="77777777" w:rsidR="00F062B7" w:rsidRDefault="00F062B7" w:rsidP="00F062B7">
      <w:pPr>
        <w:rPr>
          <w:lang w:eastAsia="en-US"/>
        </w:rPr>
      </w:pPr>
    </w:p>
    <w:p w14:paraId="2F68895A" w14:textId="77777777" w:rsidR="00F062B7" w:rsidRPr="00155FEF" w:rsidRDefault="00F062B7" w:rsidP="00F062B7">
      <w:pPr>
        <w:rPr>
          <w:b/>
          <w:bCs/>
          <w:i/>
          <w:iCs/>
          <w:lang w:eastAsia="en-US"/>
        </w:rPr>
      </w:pPr>
      <w:r w:rsidRPr="00155FEF">
        <w:rPr>
          <w:b/>
          <w:bCs/>
          <w:i/>
          <w:iCs/>
          <w:lang w:eastAsia="en-US"/>
        </w:rPr>
        <w:t xml:space="preserve">Comparison of bank condition modelling with histogram analysis </w:t>
      </w:r>
    </w:p>
    <w:p w14:paraId="586A1EC1" w14:textId="77777777" w:rsidR="00F062B7" w:rsidRPr="008B13B5" w:rsidRDefault="00F062B7" w:rsidP="00F062B7">
      <w:pPr>
        <w:rPr>
          <w:lang w:eastAsia="en-US"/>
        </w:rPr>
      </w:pPr>
      <w:r w:rsidRPr="008B13B5">
        <w:rPr>
          <w:lang w:eastAsia="en-US"/>
        </w:rPr>
        <w:t xml:space="preserve">The </w:t>
      </w:r>
      <w:r>
        <w:rPr>
          <w:lang w:eastAsia="en-US"/>
        </w:rPr>
        <w:t>findings from</w:t>
      </w:r>
      <w:r w:rsidRPr="008B13B5">
        <w:rPr>
          <w:lang w:eastAsia="en-US"/>
        </w:rPr>
        <w:t xml:space="preserve"> of t</w:t>
      </w:r>
      <w:r>
        <w:rPr>
          <w:lang w:eastAsia="en-US"/>
        </w:rPr>
        <w:t>he bank condition modelling are partially supported by the histogram analysis in the following ways:</w:t>
      </w:r>
    </w:p>
    <w:p w14:paraId="7A2AC2E1" w14:textId="36FA1CB9" w:rsidR="00F062B7" w:rsidRDefault="00F062B7" w:rsidP="00DE6E94">
      <w:pPr>
        <w:pStyle w:val="ListParagraph"/>
        <w:numPr>
          <w:ilvl w:val="0"/>
          <w:numId w:val="68"/>
        </w:numPr>
        <w:contextualSpacing/>
      </w:pPr>
      <w:r>
        <w:t xml:space="preserve">Duration of inundation is a strong predictor of change, especially for minor erosion and deposition. This is in line with the histogram analysis where there was a greater prevalence of low magnitude erosion and deposition </w:t>
      </w:r>
      <w:proofErr w:type="gramStart"/>
      <w:r>
        <w:t>as a result of</w:t>
      </w:r>
      <w:proofErr w:type="gramEnd"/>
      <w:r>
        <w:t xml:space="preserve"> the longer IVT period, than for the shorter Spring Fresh at all three sites, and Autumn Fresh at two sites (Darcy’s Track and Loch </w:t>
      </w:r>
      <w:r w:rsidR="00155FEF">
        <w:t>Garry</w:t>
      </w:r>
      <w:r>
        <w:t xml:space="preserve">). </w:t>
      </w:r>
    </w:p>
    <w:p w14:paraId="558319BD" w14:textId="3E5527D7" w:rsidR="00F062B7" w:rsidRDefault="00F062B7" w:rsidP="00DE6E94">
      <w:pPr>
        <w:pStyle w:val="ListParagraph"/>
        <w:numPr>
          <w:ilvl w:val="0"/>
          <w:numId w:val="68"/>
        </w:numPr>
        <w:contextualSpacing/>
      </w:pPr>
      <w:r>
        <w:t>Inundation duration was also a predictor of significant erosion (&gt;30 mm) at Loch Gar</w:t>
      </w:r>
      <w:r w:rsidR="00155FEF">
        <w:t>r</w:t>
      </w:r>
      <w:r>
        <w:t xml:space="preserve">y, which aligns with the histogram results that show a clear increase in the prevalence of high magnitude erosion </w:t>
      </w:r>
      <w:proofErr w:type="gramStart"/>
      <w:r>
        <w:t>as a result of</w:t>
      </w:r>
      <w:proofErr w:type="gramEnd"/>
      <w:r>
        <w:t xml:space="preserve"> the</w:t>
      </w:r>
      <w:r w:rsidR="00280712">
        <w:t xml:space="preserve"> longer duration</w:t>
      </w:r>
      <w:r>
        <w:t xml:space="preserve"> IVT, versus both freshes. </w:t>
      </w:r>
    </w:p>
    <w:p w14:paraId="217F45FF" w14:textId="77777777" w:rsidR="00F062B7" w:rsidRDefault="00F062B7" w:rsidP="00DE6E94">
      <w:pPr>
        <w:pStyle w:val="ListParagraph"/>
        <w:numPr>
          <w:ilvl w:val="0"/>
          <w:numId w:val="68"/>
        </w:numPr>
        <w:contextualSpacing/>
      </w:pPr>
      <w:r>
        <w:t>At McCoy’s Bridge the probability of significant erosion was only weakly predicted by increased inundation. This may be explained by the greater prevalence of high magnitude erosion at that site during the Spring Fresh (the shortest flow period), which was greater than the longer IVT period or Autumn Fresh.</w:t>
      </w:r>
    </w:p>
    <w:p w14:paraId="2AAD156A" w14:textId="0DA3413A" w:rsidR="00F062B7" w:rsidRDefault="00F062B7" w:rsidP="00DE6E94">
      <w:pPr>
        <w:pStyle w:val="ListParagraph"/>
        <w:numPr>
          <w:ilvl w:val="0"/>
          <w:numId w:val="68"/>
        </w:numPr>
        <w:contextualSpacing/>
      </w:pPr>
      <w:r>
        <w:t>Inundation duration was a good predictor of significant erosion at Darcy’s Track, which aligns with the histogram analysis that shows a greater prevalence of high magnitude erosion during the</w:t>
      </w:r>
      <w:r w:rsidR="00280712">
        <w:t xml:space="preserve"> longer duration</w:t>
      </w:r>
      <w:r>
        <w:t xml:space="preserve"> IVT compared with either of the shorter freshes. </w:t>
      </w:r>
    </w:p>
    <w:p w14:paraId="4D1B4BD0" w14:textId="77777777" w:rsidR="00F062B7" w:rsidRPr="00BA2632" w:rsidRDefault="00F062B7" w:rsidP="00DE6E94">
      <w:pPr>
        <w:pStyle w:val="ListParagraph"/>
        <w:numPr>
          <w:ilvl w:val="0"/>
          <w:numId w:val="68"/>
        </w:numPr>
        <w:contextualSpacing/>
        <w:rPr>
          <w:b/>
        </w:rPr>
      </w:pPr>
      <w:r>
        <w:t xml:space="preserve">The statistical modelling does not consider tributary flow in analysis of deposition volume, this is an important variable that could be considered during the modelling process next year. Nonetheless, deposition was strongly predicted by duration of inundation at all three sites.  </w:t>
      </w:r>
    </w:p>
    <w:p w14:paraId="2B384F45" w14:textId="04ED6C40" w:rsidR="00F062B7" w:rsidRPr="00BA2632" w:rsidRDefault="00F062B7" w:rsidP="00F062B7">
      <w:pPr>
        <w:pStyle w:val="Heading3"/>
      </w:pPr>
      <w:bookmarkStart w:id="173" w:name="_Toc84417340"/>
      <w:r w:rsidRPr="00BA2632">
        <w:t>Response to evaluation questions</w:t>
      </w:r>
      <w:bookmarkEnd w:id="173"/>
    </w:p>
    <w:p w14:paraId="2A45C257" w14:textId="77777777" w:rsidR="00F062B7" w:rsidRPr="003B75BB" w:rsidRDefault="00F062B7" w:rsidP="00F062B7">
      <w:pPr>
        <w:rPr>
          <w:lang w:eastAsia="en-US"/>
        </w:rPr>
      </w:pPr>
      <w:r w:rsidRPr="003B75BB">
        <w:rPr>
          <w:lang w:eastAsia="en-US"/>
        </w:rPr>
        <w:t>The following section provides a summary of specific responses to evaluation questions.</w:t>
      </w:r>
    </w:p>
    <w:p w14:paraId="513D46E4" w14:textId="77777777" w:rsidR="00F062B7" w:rsidRPr="003B75BB" w:rsidRDefault="00F062B7" w:rsidP="00F062B7">
      <w:pPr>
        <w:rPr>
          <w:b/>
          <w:bCs/>
          <w:i/>
          <w:iCs/>
        </w:rPr>
      </w:pPr>
      <w:r w:rsidRPr="003B75BB">
        <w:rPr>
          <w:b/>
          <w:bCs/>
          <w:i/>
          <w:iCs/>
        </w:rPr>
        <w:t>How do CEWH environmental/variable flows contribute to sustaining bank condition?</w:t>
      </w:r>
    </w:p>
    <w:p w14:paraId="36D57704" w14:textId="346536E9" w:rsidR="00F062B7" w:rsidRPr="002677C6" w:rsidRDefault="00F062B7" w:rsidP="00F062B7">
      <w:r w:rsidRPr="002677C6">
        <w:t xml:space="preserve">This year’s hypothesis (based on last year’s findings) was supported in the majority of cases, highlighting that </w:t>
      </w:r>
      <w:r w:rsidR="00280712">
        <w:t>f</w:t>
      </w:r>
      <w:r w:rsidRPr="002677C6">
        <w:t>reshes result in (1) erosion that is lower impact (less defined and deep)</w:t>
      </w:r>
      <w:r w:rsidR="00280712">
        <w:t xml:space="preserve"> compared to IVT events</w:t>
      </w:r>
      <w:r w:rsidRPr="002677C6">
        <w:t>, (2) erosion is more common to mid and upper bank zones rather than low zones (which IVT deliveries affect), and (3) result in considerable sediment deposits across the bank face, which are more substantial across the mid/lower bank zone (and which can work to repair damage from IVTs).</w:t>
      </w:r>
    </w:p>
    <w:p w14:paraId="3503B42C" w14:textId="1A47E625" w:rsidR="00FF590C" w:rsidRDefault="00FF590C" w:rsidP="00FF590C">
      <w:r>
        <w:t xml:space="preserve">Results this year, again support that both tributary flow contribution and prior flow events play a critical role in bank repair, and preparing banks for future erosion/deposition events, respectively. </w:t>
      </w:r>
      <w:proofErr w:type="gramStart"/>
      <w:r>
        <w:t>Th</w:t>
      </w:r>
      <w:r w:rsidR="00353535">
        <w:t>us</w:t>
      </w:r>
      <w:proofErr w:type="gramEnd"/>
      <w:r>
        <w:t xml:space="preserve"> both erosion and deposition volumes relating to freshes must continue to be consider</w:t>
      </w:r>
      <w:r w:rsidR="002821C9">
        <w:t>ed</w:t>
      </w:r>
      <w:r>
        <w:t xml:space="preserve"> when attributing changes in bank condition to isolated flow events (such as independent environmental flows).</w:t>
      </w:r>
    </w:p>
    <w:p w14:paraId="599CD1CB" w14:textId="77777777" w:rsidR="00F062B7" w:rsidRPr="002677C6" w:rsidRDefault="00F062B7" w:rsidP="00F062B7">
      <w:r w:rsidRPr="002677C6">
        <w:t xml:space="preserve">The sediment within the system (driven partly by the water source) plays a key role in providing mud-drapes, which help to (a) repair riverbanks and, (b) introduce seeds on riverbanks for potential vegetation regeneration. </w:t>
      </w:r>
    </w:p>
    <w:p w14:paraId="70293CB3" w14:textId="77777777" w:rsidR="00F062B7" w:rsidRPr="002677C6" w:rsidRDefault="00F062B7" w:rsidP="00F062B7">
      <w:pPr>
        <w:rPr>
          <w:i/>
        </w:rPr>
      </w:pPr>
      <w:r w:rsidRPr="002677C6">
        <w:t>Although the environmental flows monitored resulted in some areas of significant erosion (at some banks the highest across all events), this erosion was expressed with large vertical variability across banks, with primary areas located above the bank zone corresponding to 3,000 ML/d. Minor erosion to upper banks like this results in the resetting of steepening and in-filling of notches at the lower bank level and thus results in long term benefits to the physical form of the channel by stabilising the processes of notching and reducing future mass failure events.</w:t>
      </w:r>
    </w:p>
    <w:p w14:paraId="790A84B4" w14:textId="77777777" w:rsidR="00F062B7" w:rsidRPr="002677C6" w:rsidRDefault="00F062B7" w:rsidP="00F062B7">
      <w:r w:rsidRPr="002677C6">
        <w:t xml:space="preserve">The deposition recorded in response to environmental flows ranged from extensive and shallow to extensive/variable deep (with the Spring Fresh contributing the deepest deposition and the Autumn Fresh resulting in the shallowest deposition). In both cases this process of draping deposits over the bank face during the receding limb of the flow event works to repair </w:t>
      </w:r>
      <w:r w:rsidRPr="002677C6">
        <w:lastRenderedPageBreak/>
        <w:t>areas of past erosion on lower/mid-level banks and introduces seed to areas which aid the process of vegetation regeneration.</w:t>
      </w:r>
    </w:p>
    <w:p w14:paraId="2391D9F7" w14:textId="77777777" w:rsidR="00F062B7" w:rsidRPr="002677C6" w:rsidRDefault="00F062B7" w:rsidP="00F062B7">
      <w:pPr>
        <w:rPr>
          <w:rStyle w:val="Strong"/>
          <w:rFonts w:cstheme="minorHAnsi"/>
          <w:i/>
          <w:iCs/>
          <w:szCs w:val="20"/>
        </w:rPr>
      </w:pPr>
      <w:r w:rsidRPr="002677C6">
        <w:rPr>
          <w:rStyle w:val="Strong"/>
          <w:rFonts w:cstheme="minorHAnsi"/>
          <w:i/>
          <w:iCs/>
          <w:szCs w:val="20"/>
        </w:rPr>
        <w:t>Are CEWH environmental/variable flows adversely impacting the banks of the</w:t>
      </w:r>
      <w:r w:rsidRPr="002677C6">
        <w:rPr>
          <w:rStyle w:val="Strong"/>
          <w:rFonts w:cstheme="minorHAnsi"/>
          <w:b w:val="0"/>
          <w:i/>
          <w:iCs/>
          <w:szCs w:val="20"/>
        </w:rPr>
        <w:t xml:space="preserve"> </w:t>
      </w:r>
      <w:r w:rsidRPr="002677C6">
        <w:rPr>
          <w:rStyle w:val="Strong"/>
          <w:rFonts w:cstheme="minorHAnsi"/>
          <w:i/>
          <w:iCs/>
          <w:szCs w:val="20"/>
        </w:rPr>
        <w:t xml:space="preserve">rivers? </w:t>
      </w:r>
    </w:p>
    <w:p w14:paraId="2D6393DA" w14:textId="55DF7894" w:rsidR="00F062B7" w:rsidRPr="002677C6" w:rsidRDefault="00F062B7" w:rsidP="00F062B7">
      <w:proofErr w:type="gramStart"/>
      <w:r w:rsidRPr="002677C6">
        <w:t>The majority of</w:t>
      </w:r>
      <w:proofErr w:type="gramEnd"/>
      <w:r w:rsidRPr="002677C6">
        <w:t xml:space="preserve"> the data would support the contention that, environmental flows are not adversely impacting riverbanks. On the contrary the mud-drapes occurring across riverbanks with the sediment and seeds they carry are contributing to bank repair. The positive impact of these events is largely down to (1) the source of water and corresponding sediment content, and (2) the delivery of the fresh. The latter relates to the scale of the event and the rate of </w:t>
      </w:r>
      <w:proofErr w:type="gramStart"/>
      <w:r w:rsidRPr="002677C6">
        <w:t>fall, and</w:t>
      </w:r>
      <w:proofErr w:type="gramEnd"/>
      <w:r w:rsidRPr="002677C6">
        <w:t xml:space="preserve"> was more favourable during the Autumn Fresh due to the longer period above 5,000 ML/d and the slower rate of fall as the water level receded post-event.</w:t>
      </w:r>
    </w:p>
    <w:p w14:paraId="132BBFA1" w14:textId="6E818E37" w:rsidR="00C4099B" w:rsidRDefault="00C4099B" w:rsidP="00C4099B">
      <w:r>
        <w:t>In two cases, there is evidence that the Autumn Fresh has triggered some erosion events to areas of the lower bank which link to areas of considerable erosion responding to IVT deliveries (</w:t>
      </w:r>
      <w:proofErr w:type="gramStart"/>
      <w:r>
        <w:t>e.g.</w:t>
      </w:r>
      <w:proofErr w:type="gramEnd"/>
      <w:r>
        <w:t xml:space="preserve"> </w:t>
      </w:r>
      <w:proofErr w:type="spellStart"/>
      <w:r>
        <w:t>Darcys</w:t>
      </w:r>
      <w:proofErr w:type="spellEnd"/>
      <w:r>
        <w:t xml:space="preserve"> Track Bank D). These events can be explained by the positioning of the Autumn Fresh delivery (directly after the IVT period), these events cannot be attributed directly or </w:t>
      </w:r>
      <w:r w:rsidR="007C66D0">
        <w:t>solely</w:t>
      </w:r>
      <w:r>
        <w:t xml:space="preserve"> to the delivery of the Autumn fresh. Considerations in how freshes following the IVT period are addressed in the following sections. </w:t>
      </w:r>
    </w:p>
    <w:p w14:paraId="0C19F457" w14:textId="77777777" w:rsidR="00F062B7" w:rsidRPr="002677C6" w:rsidRDefault="00F062B7" w:rsidP="00F062B7">
      <w:pPr>
        <w:rPr>
          <w:rStyle w:val="Strong"/>
          <w:rFonts w:cstheme="minorHAnsi"/>
          <w:i/>
          <w:iCs/>
          <w:szCs w:val="20"/>
        </w:rPr>
      </w:pPr>
      <w:r w:rsidRPr="002677C6">
        <w:rPr>
          <w:rStyle w:val="Strong"/>
          <w:rFonts w:cstheme="minorHAnsi"/>
          <w:i/>
          <w:szCs w:val="20"/>
        </w:rPr>
        <w:t>And</w:t>
      </w:r>
      <w:r w:rsidRPr="002677C6">
        <w:rPr>
          <w:rStyle w:val="Strong"/>
          <w:rFonts w:cstheme="minorHAnsi"/>
          <w:b w:val="0"/>
          <w:szCs w:val="20"/>
        </w:rPr>
        <w:t>,</w:t>
      </w:r>
      <w:r w:rsidRPr="002677C6">
        <w:rPr>
          <w:rStyle w:val="Strong"/>
          <w:rFonts w:cstheme="minorHAnsi"/>
          <w:i/>
          <w:szCs w:val="20"/>
        </w:rPr>
        <w:t xml:space="preserve"> h</w:t>
      </w:r>
      <w:r w:rsidRPr="002677C6">
        <w:rPr>
          <w:rStyle w:val="Strong"/>
          <w:rFonts w:cstheme="minorHAnsi"/>
          <w:i/>
          <w:iCs/>
          <w:szCs w:val="20"/>
        </w:rPr>
        <w:t>ow do timing and delivery of CEWH environmental/variable flows affect bank condition of rivers?</w:t>
      </w:r>
    </w:p>
    <w:p w14:paraId="5ABF5551" w14:textId="77777777" w:rsidR="00F062B7" w:rsidRPr="002677C6" w:rsidRDefault="00F062B7" w:rsidP="00F062B7">
      <w:pPr>
        <w:rPr>
          <w:rStyle w:val="Strong"/>
          <w:rFonts w:cstheme="minorHAnsi"/>
          <w:b w:val="0"/>
          <w:bCs w:val="0"/>
          <w:szCs w:val="20"/>
        </w:rPr>
      </w:pPr>
      <w:r w:rsidRPr="002677C6">
        <w:rPr>
          <w:rStyle w:val="Strong"/>
          <w:rFonts w:cstheme="minorHAnsi"/>
          <w:b w:val="0"/>
          <w:bCs w:val="0"/>
          <w:szCs w:val="20"/>
        </w:rPr>
        <w:t xml:space="preserve">Environmental flows that piggy-back upon natural events are much more effective as they provide more sediment and seeds to the riverbanks for repair. This is most important after the IVT period as this is where damage is being done to the lower </w:t>
      </w:r>
      <w:proofErr w:type="gramStart"/>
      <w:r w:rsidRPr="002677C6">
        <w:rPr>
          <w:rStyle w:val="Strong"/>
          <w:rFonts w:cstheme="minorHAnsi"/>
          <w:b w:val="0"/>
          <w:bCs w:val="0"/>
          <w:szCs w:val="20"/>
        </w:rPr>
        <w:t>bank, but</w:t>
      </w:r>
      <w:proofErr w:type="gramEnd"/>
      <w:r w:rsidRPr="002677C6">
        <w:rPr>
          <w:rStyle w:val="Strong"/>
          <w:rFonts w:cstheme="minorHAnsi"/>
          <w:b w:val="0"/>
          <w:bCs w:val="0"/>
          <w:szCs w:val="20"/>
        </w:rPr>
        <w:t xml:space="preserve"> is also critical prior to the IVT as there is an opportunity for (1) the recent deposits to the mid/upper bank zones to consolidate, and (2) introduced seedlings to these mid/upper zones to establish. </w:t>
      </w:r>
      <w:proofErr w:type="gramStart"/>
      <w:r w:rsidRPr="002677C6">
        <w:rPr>
          <w:rStyle w:val="Strong"/>
          <w:rFonts w:cstheme="minorHAnsi"/>
          <w:b w:val="0"/>
          <w:bCs w:val="0"/>
          <w:szCs w:val="20"/>
        </w:rPr>
        <w:t>Both of these</w:t>
      </w:r>
      <w:proofErr w:type="gramEnd"/>
      <w:r w:rsidRPr="002677C6">
        <w:rPr>
          <w:rStyle w:val="Strong"/>
          <w:rFonts w:cstheme="minorHAnsi"/>
          <w:b w:val="0"/>
          <w:bCs w:val="0"/>
          <w:szCs w:val="20"/>
        </w:rPr>
        <w:t xml:space="preserve"> processes improve bank resilience. </w:t>
      </w:r>
    </w:p>
    <w:p w14:paraId="7938E89A" w14:textId="69B7B466" w:rsidR="00F062B7" w:rsidRPr="002677C6" w:rsidRDefault="00F062B7" w:rsidP="00F062B7">
      <w:pPr>
        <w:rPr>
          <w:rStyle w:val="Strong"/>
          <w:rFonts w:cstheme="minorHAnsi"/>
          <w:b w:val="0"/>
          <w:bCs w:val="0"/>
          <w:szCs w:val="20"/>
        </w:rPr>
      </w:pPr>
      <w:r w:rsidRPr="002677C6">
        <w:rPr>
          <w:rStyle w:val="Strong"/>
          <w:rFonts w:cstheme="minorHAnsi"/>
          <w:b w:val="0"/>
          <w:bCs w:val="0"/>
          <w:szCs w:val="20"/>
        </w:rPr>
        <w:t xml:space="preserve">Erosion events resulting from Environmental Flows that are delivered after the IVT flow period must be </w:t>
      </w:r>
      <w:r w:rsidR="0064606D">
        <w:rPr>
          <w:rStyle w:val="Strong"/>
          <w:rFonts w:cstheme="minorHAnsi"/>
          <w:b w:val="0"/>
          <w:bCs w:val="0"/>
          <w:szCs w:val="20"/>
        </w:rPr>
        <w:t>interpreted with respect to</w:t>
      </w:r>
      <w:r w:rsidRPr="002677C6">
        <w:rPr>
          <w:rStyle w:val="Strong"/>
          <w:rFonts w:cstheme="minorHAnsi"/>
          <w:b w:val="0"/>
          <w:bCs w:val="0"/>
          <w:i/>
          <w:iCs/>
          <w:szCs w:val="20"/>
        </w:rPr>
        <w:t xml:space="preserve"> IVT-driven bank preparation</w:t>
      </w:r>
      <w:r w:rsidRPr="002677C6">
        <w:rPr>
          <w:rStyle w:val="Strong"/>
          <w:rFonts w:cstheme="minorHAnsi"/>
          <w:b w:val="0"/>
          <w:bCs w:val="0"/>
          <w:szCs w:val="20"/>
        </w:rPr>
        <w:t xml:space="preserve">. This is where IVT erosion events prepare the riverbanks for </w:t>
      </w:r>
      <w:r w:rsidR="00F02F9F">
        <w:rPr>
          <w:rStyle w:val="Strong"/>
          <w:rFonts w:cstheme="minorHAnsi"/>
          <w:b w:val="0"/>
          <w:bCs w:val="0"/>
          <w:szCs w:val="20"/>
        </w:rPr>
        <w:t xml:space="preserve">further </w:t>
      </w:r>
      <w:r w:rsidRPr="002677C6">
        <w:rPr>
          <w:rStyle w:val="Strong"/>
          <w:rFonts w:cstheme="minorHAnsi"/>
          <w:b w:val="0"/>
          <w:bCs w:val="0"/>
          <w:szCs w:val="20"/>
        </w:rPr>
        <w:t>erosion</w:t>
      </w:r>
      <w:r w:rsidR="00F02F9F">
        <w:rPr>
          <w:rStyle w:val="Strong"/>
          <w:rFonts w:cstheme="minorHAnsi"/>
          <w:b w:val="0"/>
          <w:bCs w:val="0"/>
          <w:szCs w:val="20"/>
        </w:rPr>
        <w:t xml:space="preserve"> during subsequent</w:t>
      </w:r>
      <w:r w:rsidRPr="002677C6">
        <w:rPr>
          <w:rStyle w:val="Strong"/>
          <w:rFonts w:cstheme="minorHAnsi"/>
          <w:b w:val="0"/>
          <w:bCs w:val="0"/>
          <w:szCs w:val="20"/>
        </w:rPr>
        <w:t xml:space="preserve"> events</w:t>
      </w:r>
      <w:r w:rsidR="00F02F9F">
        <w:rPr>
          <w:rStyle w:val="Strong"/>
          <w:rFonts w:cstheme="minorHAnsi"/>
          <w:b w:val="0"/>
          <w:bCs w:val="0"/>
          <w:szCs w:val="20"/>
        </w:rPr>
        <w:t xml:space="preserve"> (either environmental or natural)</w:t>
      </w:r>
      <w:r w:rsidRPr="002677C6">
        <w:rPr>
          <w:rStyle w:val="Strong"/>
          <w:rFonts w:cstheme="minorHAnsi"/>
          <w:b w:val="0"/>
          <w:bCs w:val="0"/>
          <w:szCs w:val="20"/>
        </w:rPr>
        <w:t xml:space="preserve"> in the same locations.  </w:t>
      </w:r>
      <w:r w:rsidR="001A3539" w:rsidRPr="001A3539">
        <w:rPr>
          <w:rStyle w:val="Strong"/>
          <w:rFonts w:cstheme="minorHAnsi"/>
          <w:b w:val="0"/>
          <w:bCs w:val="0"/>
          <w:szCs w:val="20"/>
        </w:rPr>
        <w:t>Therefore</w:t>
      </w:r>
      <w:r w:rsidR="00E33727" w:rsidRPr="001A3539">
        <w:rPr>
          <w:rStyle w:val="Strong"/>
          <w:rFonts w:cstheme="minorHAnsi"/>
          <w:b w:val="0"/>
          <w:bCs w:val="0"/>
          <w:szCs w:val="20"/>
        </w:rPr>
        <w:t>,</w:t>
      </w:r>
      <w:r w:rsidR="001A3539" w:rsidRPr="001A3539">
        <w:rPr>
          <w:rStyle w:val="Strong"/>
          <w:rFonts w:cstheme="minorHAnsi"/>
          <w:b w:val="0"/>
          <w:bCs w:val="0"/>
          <w:szCs w:val="20"/>
        </w:rPr>
        <w:t xml:space="preserve"> erosion events that occur in response to flow events </w:t>
      </w:r>
      <w:r w:rsidR="00DA41EC">
        <w:rPr>
          <w:rStyle w:val="Strong"/>
          <w:rFonts w:cstheme="minorHAnsi"/>
          <w:b w:val="0"/>
          <w:bCs w:val="0"/>
          <w:szCs w:val="20"/>
        </w:rPr>
        <w:t>delivered</w:t>
      </w:r>
      <w:r w:rsidR="001A3539" w:rsidRPr="001A3539">
        <w:rPr>
          <w:rStyle w:val="Strong"/>
          <w:rFonts w:cstheme="minorHAnsi"/>
          <w:b w:val="0"/>
          <w:bCs w:val="0"/>
          <w:szCs w:val="20"/>
        </w:rPr>
        <w:t xml:space="preserve"> after the IVT period (Autumn Fresh 2021) need to consider the IVT period as a contributing factor and cannot be analysed independently.</w:t>
      </w:r>
      <w:r w:rsidR="001A3539">
        <w:rPr>
          <w:rStyle w:val="Strong"/>
          <w:rFonts w:cstheme="minorHAnsi"/>
        </w:rPr>
        <w:t xml:space="preserve">  </w:t>
      </w:r>
    </w:p>
    <w:p w14:paraId="3599AFEC" w14:textId="7EDBAD60" w:rsidR="001B65BC" w:rsidRDefault="00F062B7" w:rsidP="00672FFC">
      <w:pPr>
        <w:rPr>
          <w:rStyle w:val="Strong"/>
          <w:rFonts w:cstheme="minorHAnsi"/>
          <w:b w:val="0"/>
          <w:bCs w:val="0"/>
          <w:szCs w:val="20"/>
        </w:rPr>
      </w:pPr>
      <w:r w:rsidRPr="002677C6">
        <w:rPr>
          <w:rStyle w:val="Strong"/>
          <w:rFonts w:cstheme="minorHAnsi"/>
          <w:b w:val="0"/>
          <w:bCs w:val="0"/>
          <w:szCs w:val="20"/>
        </w:rPr>
        <w:t xml:space="preserve">The delivery of flows impact erosion and deposition in two major ways, (1) the scale of the flow determines the area of riverbank that can benefit from introduced sediment, and (2) the shape of the flow – </w:t>
      </w:r>
      <w:proofErr w:type="gramStart"/>
      <w:r w:rsidRPr="002677C6">
        <w:rPr>
          <w:rStyle w:val="Strong"/>
          <w:rFonts w:cstheme="minorHAnsi"/>
          <w:b w:val="0"/>
          <w:bCs w:val="0"/>
          <w:szCs w:val="20"/>
        </w:rPr>
        <w:t>with regard to</w:t>
      </w:r>
      <w:proofErr w:type="gramEnd"/>
      <w:r w:rsidRPr="002677C6">
        <w:rPr>
          <w:rStyle w:val="Strong"/>
          <w:rFonts w:cstheme="minorHAnsi"/>
          <w:b w:val="0"/>
          <w:bCs w:val="0"/>
          <w:szCs w:val="20"/>
        </w:rPr>
        <w:t xml:space="preserve"> the number of days at each bank zone (low/medium/high), in combination with the rate of fall, impacts the potential for erosion as the event is delivered. Rapid rates of fall result in erosion to vulnerable areas of bank. This is particularly relevant for the Autumn Fresh that followed the IVT flow (where erosion is most defined and severe). </w:t>
      </w:r>
      <w:r w:rsidR="00F02F9F">
        <w:rPr>
          <w:rStyle w:val="Strong"/>
          <w:rFonts w:cstheme="minorHAnsi"/>
          <w:b w:val="0"/>
          <w:bCs w:val="0"/>
          <w:szCs w:val="20"/>
        </w:rPr>
        <w:t>Hence</w:t>
      </w:r>
      <w:r w:rsidRPr="002677C6">
        <w:rPr>
          <w:rStyle w:val="Strong"/>
          <w:rFonts w:cstheme="minorHAnsi"/>
          <w:b w:val="0"/>
          <w:bCs w:val="0"/>
          <w:szCs w:val="20"/>
        </w:rPr>
        <w:t xml:space="preserve">, </w:t>
      </w:r>
      <w:r w:rsidR="00F02F9F">
        <w:rPr>
          <w:rStyle w:val="Strong"/>
          <w:rFonts w:cstheme="minorHAnsi"/>
          <w:b w:val="0"/>
          <w:bCs w:val="0"/>
          <w:szCs w:val="20"/>
        </w:rPr>
        <w:t xml:space="preserve">when planning environmental </w:t>
      </w:r>
      <w:r w:rsidRPr="002677C6">
        <w:rPr>
          <w:rStyle w:val="Strong"/>
          <w:rFonts w:cstheme="minorHAnsi"/>
          <w:b w:val="0"/>
          <w:bCs w:val="0"/>
          <w:szCs w:val="20"/>
        </w:rPr>
        <w:t xml:space="preserve">flow events </w:t>
      </w:r>
      <w:r w:rsidR="00F02F9F">
        <w:rPr>
          <w:rStyle w:val="Strong"/>
          <w:rFonts w:cstheme="minorHAnsi"/>
          <w:b w:val="0"/>
          <w:bCs w:val="0"/>
          <w:szCs w:val="20"/>
        </w:rPr>
        <w:t>environmental water managers need to</w:t>
      </w:r>
      <w:r w:rsidR="001B65BC">
        <w:rPr>
          <w:rStyle w:val="Strong"/>
          <w:rFonts w:cstheme="minorHAnsi"/>
          <w:b w:val="0"/>
          <w:bCs w:val="0"/>
          <w:szCs w:val="20"/>
        </w:rPr>
        <w:t>:</w:t>
      </w:r>
    </w:p>
    <w:p w14:paraId="63FEC660" w14:textId="2FB6C40A" w:rsidR="001B65BC" w:rsidRPr="00672FFC" w:rsidRDefault="001B65BC" w:rsidP="00672FFC">
      <w:pPr>
        <w:pStyle w:val="ListNumber"/>
        <w:rPr>
          <w:rStyle w:val="Strong"/>
          <w:b w:val="0"/>
          <w:bCs w:val="0"/>
        </w:rPr>
      </w:pPr>
      <w:r w:rsidRPr="00672FFC">
        <w:rPr>
          <w:rStyle w:val="Strong"/>
          <w:b w:val="0"/>
          <w:bCs w:val="0"/>
        </w:rPr>
        <w:t xml:space="preserve">Consider the flow volume and duration of previous events </w:t>
      </w:r>
      <w:proofErr w:type="gramStart"/>
      <w:r w:rsidR="00883223">
        <w:rPr>
          <w:rStyle w:val="Strong"/>
          <w:b w:val="0"/>
          <w:bCs w:val="0"/>
        </w:rPr>
        <w:t xml:space="preserve">so </w:t>
      </w:r>
      <w:r w:rsidRPr="00672FFC">
        <w:rPr>
          <w:rStyle w:val="Strong"/>
          <w:b w:val="0"/>
          <w:bCs w:val="0"/>
        </w:rPr>
        <w:t>as to</w:t>
      </w:r>
      <w:proofErr w:type="gramEnd"/>
      <w:r w:rsidRPr="00672FFC">
        <w:rPr>
          <w:rStyle w:val="Strong"/>
          <w:b w:val="0"/>
          <w:bCs w:val="0"/>
        </w:rPr>
        <w:t xml:space="preserve"> not inundate the same areas of bank for long periods of time. This will reduce the impact of preparation on riverbanks</w:t>
      </w:r>
      <w:r w:rsidR="00883223">
        <w:rPr>
          <w:rStyle w:val="Strong"/>
          <w:b w:val="0"/>
          <w:bCs w:val="0"/>
        </w:rPr>
        <w:t>.</w:t>
      </w:r>
    </w:p>
    <w:p w14:paraId="400D4251" w14:textId="77777777" w:rsidR="001B65BC" w:rsidRPr="00672FFC" w:rsidRDefault="001B65BC" w:rsidP="00672FFC">
      <w:pPr>
        <w:pStyle w:val="ListNumber"/>
        <w:rPr>
          <w:rStyle w:val="Strong"/>
          <w:b w:val="0"/>
          <w:bCs w:val="0"/>
        </w:rPr>
      </w:pPr>
      <w:r w:rsidRPr="00672FFC">
        <w:rPr>
          <w:rStyle w:val="Strong"/>
          <w:b w:val="0"/>
          <w:bCs w:val="0"/>
        </w:rPr>
        <w:t xml:space="preserve"> Deliver flows which gradually rise (to the upper bank zone related to flows &gt;5,000 ML/d as a minimum but ideally &gt;7,000ML/d) and gradually fall (to the lower bank zone related to flows &lt;900 ML/d) as this will (a) spread the influence of the event across a wider range of bank reducing defined erosion, and (b) allow for deposition in areas of past IVT related notching near the toe of the bank.  </w:t>
      </w:r>
    </w:p>
    <w:p w14:paraId="57B5F76A" w14:textId="77777777" w:rsidR="001B65BC" w:rsidRPr="00672FFC" w:rsidRDefault="001B65BC" w:rsidP="00672FFC">
      <w:pPr>
        <w:pStyle w:val="ListNumber"/>
      </w:pPr>
      <w:r w:rsidRPr="00672FFC">
        <w:rPr>
          <w:rStyle w:val="Strong"/>
          <w:b w:val="0"/>
          <w:bCs w:val="0"/>
        </w:rPr>
        <w:t xml:space="preserve">Attempt to increase sediment and seed content within flows by maximising natural flow events where possible.    </w:t>
      </w:r>
    </w:p>
    <w:p w14:paraId="1A44592E" w14:textId="77777777" w:rsidR="00F062B7" w:rsidRPr="002677C6" w:rsidRDefault="00F062B7" w:rsidP="00F062B7">
      <w:pPr>
        <w:rPr>
          <w:rStyle w:val="Strong"/>
          <w:rFonts w:cstheme="minorHAnsi"/>
          <w:i/>
          <w:iCs/>
          <w:szCs w:val="20"/>
        </w:rPr>
      </w:pPr>
      <w:r w:rsidRPr="002677C6">
        <w:rPr>
          <w:rStyle w:val="Strong"/>
          <w:rFonts w:cstheme="minorHAnsi"/>
          <w:i/>
          <w:iCs/>
          <w:szCs w:val="20"/>
        </w:rPr>
        <w:t>What timing and delivery of CEWH environmental/variable flows best sustain or improve bank condition for vegetation growth?</w:t>
      </w:r>
    </w:p>
    <w:p w14:paraId="4B1DEEE9" w14:textId="77777777" w:rsidR="00F062B7" w:rsidRPr="002677C6" w:rsidRDefault="00F062B7" w:rsidP="00F062B7">
      <w:pPr>
        <w:rPr>
          <w:rStyle w:val="Strong"/>
          <w:rFonts w:cstheme="minorHAnsi"/>
          <w:b w:val="0"/>
          <w:bCs w:val="0"/>
          <w:szCs w:val="20"/>
        </w:rPr>
      </w:pPr>
      <w:r w:rsidRPr="002677C6">
        <w:rPr>
          <w:rStyle w:val="Strong"/>
          <w:rFonts w:cstheme="minorHAnsi"/>
          <w:b w:val="0"/>
          <w:bCs w:val="0"/>
          <w:szCs w:val="20"/>
        </w:rPr>
        <w:t xml:space="preserve">The Spring Fresh is critical as it provides the sediment and seeds to riverbanks at a period when </w:t>
      </w:r>
      <w:proofErr w:type="gramStart"/>
      <w:r w:rsidRPr="002677C6">
        <w:rPr>
          <w:rStyle w:val="Strong"/>
          <w:rFonts w:cstheme="minorHAnsi"/>
          <w:b w:val="0"/>
          <w:bCs w:val="0"/>
          <w:szCs w:val="20"/>
        </w:rPr>
        <w:t>the majority of</w:t>
      </w:r>
      <w:proofErr w:type="gramEnd"/>
      <w:r w:rsidRPr="002677C6">
        <w:rPr>
          <w:rStyle w:val="Strong"/>
          <w:rFonts w:cstheme="minorHAnsi"/>
          <w:b w:val="0"/>
          <w:bCs w:val="0"/>
          <w:szCs w:val="20"/>
        </w:rPr>
        <w:t xml:space="preserve"> plants are in their regeneration cycle. Introduced sediment and seeds during this </w:t>
      </w:r>
      <w:proofErr w:type="gramStart"/>
      <w:r w:rsidRPr="002677C6">
        <w:rPr>
          <w:rStyle w:val="Strong"/>
          <w:rFonts w:cstheme="minorHAnsi"/>
          <w:b w:val="0"/>
          <w:bCs w:val="0"/>
          <w:szCs w:val="20"/>
        </w:rPr>
        <w:t>time period</w:t>
      </w:r>
      <w:proofErr w:type="gramEnd"/>
      <w:r w:rsidRPr="002677C6">
        <w:rPr>
          <w:rStyle w:val="Strong"/>
          <w:rFonts w:cstheme="minorHAnsi"/>
          <w:b w:val="0"/>
          <w:bCs w:val="0"/>
          <w:szCs w:val="20"/>
        </w:rPr>
        <w:t xml:space="preserve"> enable the consolidation of sediment and the bedding of seeds to areas of vulnerable bank prior to the dry summer.</w:t>
      </w:r>
    </w:p>
    <w:p w14:paraId="56633922" w14:textId="77777777" w:rsidR="00F062B7" w:rsidRPr="002677C6" w:rsidRDefault="00F062B7" w:rsidP="00F062B7">
      <w:pPr>
        <w:rPr>
          <w:rStyle w:val="Strong"/>
          <w:rFonts w:cstheme="minorHAnsi"/>
          <w:b w:val="0"/>
          <w:bCs w:val="0"/>
          <w:szCs w:val="20"/>
        </w:rPr>
      </w:pPr>
      <w:r w:rsidRPr="002677C6">
        <w:rPr>
          <w:rStyle w:val="Strong"/>
          <w:rFonts w:cstheme="minorHAnsi"/>
          <w:b w:val="0"/>
          <w:bCs w:val="0"/>
          <w:szCs w:val="20"/>
        </w:rPr>
        <w:t>The Autumn Fresh period is also important as there is the potential for this event to repair some of the damage done to the lower banks through erosion from prolonged invariable flows during hot summer months from the IVT.</w:t>
      </w:r>
    </w:p>
    <w:p w14:paraId="3793BB0C" w14:textId="18E1B339" w:rsidR="00F062B7" w:rsidRPr="002677C6" w:rsidRDefault="00F062B7" w:rsidP="00F062B7">
      <w:pPr>
        <w:rPr>
          <w:rStyle w:val="Strong"/>
          <w:rFonts w:cstheme="minorHAnsi"/>
          <w:b w:val="0"/>
          <w:bCs w:val="0"/>
          <w:szCs w:val="20"/>
        </w:rPr>
      </w:pPr>
      <w:r w:rsidRPr="002677C6">
        <w:rPr>
          <w:rStyle w:val="Strong"/>
          <w:rFonts w:cstheme="minorHAnsi"/>
          <w:b w:val="0"/>
          <w:bCs w:val="0"/>
          <w:szCs w:val="20"/>
        </w:rPr>
        <w:t xml:space="preserve">A mid-summer (IVT) flow event designed to inundate the upper bank zones may provide some </w:t>
      </w:r>
      <w:r w:rsidR="00F02F9F">
        <w:rPr>
          <w:rStyle w:val="Strong"/>
          <w:rFonts w:cstheme="minorHAnsi"/>
          <w:b w:val="0"/>
          <w:bCs w:val="0"/>
          <w:szCs w:val="20"/>
        </w:rPr>
        <w:t>benefit</w:t>
      </w:r>
      <w:r w:rsidR="00F02F9F" w:rsidRPr="002677C6">
        <w:rPr>
          <w:rStyle w:val="Strong"/>
          <w:rFonts w:cstheme="minorHAnsi"/>
          <w:b w:val="0"/>
          <w:bCs w:val="0"/>
          <w:szCs w:val="20"/>
        </w:rPr>
        <w:t xml:space="preserve"> </w:t>
      </w:r>
      <w:proofErr w:type="gramStart"/>
      <w:r w:rsidRPr="002677C6">
        <w:rPr>
          <w:rStyle w:val="Strong"/>
          <w:rFonts w:cstheme="minorHAnsi"/>
          <w:b w:val="0"/>
          <w:bCs w:val="0"/>
          <w:szCs w:val="20"/>
        </w:rPr>
        <w:t>with regard to</w:t>
      </w:r>
      <w:proofErr w:type="gramEnd"/>
      <w:r w:rsidRPr="002677C6">
        <w:rPr>
          <w:rStyle w:val="Strong"/>
          <w:rFonts w:cstheme="minorHAnsi"/>
          <w:b w:val="0"/>
          <w:bCs w:val="0"/>
          <w:szCs w:val="20"/>
        </w:rPr>
        <w:t xml:space="preserve"> </w:t>
      </w:r>
      <w:r w:rsidRPr="002677C6">
        <w:rPr>
          <w:rStyle w:val="Strong"/>
          <w:rFonts w:cstheme="minorHAnsi"/>
          <w:b w:val="0"/>
          <w:bCs w:val="0"/>
          <w:i/>
          <w:iCs/>
          <w:szCs w:val="20"/>
        </w:rPr>
        <w:t>vegetation values</w:t>
      </w:r>
      <w:r w:rsidRPr="002677C6">
        <w:rPr>
          <w:rStyle w:val="Strong"/>
          <w:rFonts w:cstheme="minorHAnsi"/>
          <w:b w:val="0"/>
          <w:bCs w:val="0"/>
          <w:szCs w:val="20"/>
        </w:rPr>
        <w:t xml:space="preserve"> within the system as this would provide more opportunity for seed establishment. If flows were dropped to below 900 ML/d after the event, this would provide the opportunity for </w:t>
      </w:r>
      <w:proofErr w:type="spellStart"/>
      <w:r w:rsidRPr="002677C6">
        <w:rPr>
          <w:rStyle w:val="Strong"/>
          <w:rFonts w:cstheme="minorHAnsi"/>
          <w:b w:val="0"/>
          <w:bCs w:val="0"/>
          <w:szCs w:val="20"/>
        </w:rPr>
        <w:t>germinants</w:t>
      </w:r>
      <w:proofErr w:type="spellEnd"/>
      <w:r w:rsidRPr="002677C6">
        <w:rPr>
          <w:rStyle w:val="Strong"/>
          <w:rFonts w:cstheme="minorHAnsi"/>
          <w:b w:val="0"/>
          <w:bCs w:val="0"/>
          <w:szCs w:val="20"/>
        </w:rPr>
        <w:t xml:space="preserve"> to become established.  </w:t>
      </w:r>
    </w:p>
    <w:p w14:paraId="397B9234" w14:textId="26D365B9" w:rsidR="00F062B7" w:rsidRPr="002677C6" w:rsidRDefault="00F062B7" w:rsidP="00F062B7">
      <w:pPr>
        <w:rPr>
          <w:rStyle w:val="Strong"/>
          <w:b w:val="0"/>
          <w:bCs w:val="0"/>
          <w:lang w:eastAsia="en-US"/>
        </w:rPr>
      </w:pPr>
      <w:r w:rsidRPr="002677C6">
        <w:rPr>
          <w:lang w:eastAsia="en-US"/>
        </w:rPr>
        <w:lastRenderedPageBreak/>
        <w:t>In all cases these deliveries should</w:t>
      </w:r>
      <w:r w:rsidRPr="002677C6" w:rsidDel="009E7C83">
        <w:rPr>
          <w:lang w:eastAsia="en-US"/>
        </w:rPr>
        <w:t xml:space="preserve"> </w:t>
      </w:r>
      <w:r w:rsidRPr="002677C6">
        <w:rPr>
          <w:lang w:eastAsia="en-US"/>
        </w:rPr>
        <w:t xml:space="preserve">result in hydrographs which gradually increase and decrease across the delivery period to reduce the hydrological stresses exerted upon riverbanks </w:t>
      </w:r>
      <w:r w:rsidR="00A60C67">
        <w:rPr>
          <w:lang w:eastAsia="en-US"/>
        </w:rPr>
        <w:t xml:space="preserve">at concentrated locations and </w:t>
      </w:r>
      <w:r w:rsidRPr="002677C6">
        <w:rPr>
          <w:lang w:eastAsia="en-US"/>
        </w:rPr>
        <w:t>through rapid changes in discharge.</w:t>
      </w:r>
    </w:p>
    <w:p w14:paraId="54A49C5F" w14:textId="77777777" w:rsidR="00F062B7" w:rsidRPr="002677C6" w:rsidRDefault="00F062B7" w:rsidP="00F062B7">
      <w:pPr>
        <w:rPr>
          <w:rStyle w:val="Strong"/>
          <w:rFonts w:cstheme="minorHAnsi"/>
          <w:i/>
          <w:iCs/>
          <w:szCs w:val="20"/>
        </w:rPr>
      </w:pPr>
      <w:r w:rsidRPr="002677C6">
        <w:rPr>
          <w:rStyle w:val="Strong"/>
          <w:rFonts w:cstheme="minorHAnsi"/>
          <w:i/>
          <w:iCs/>
          <w:szCs w:val="20"/>
        </w:rPr>
        <w:t>How do vegetation responses to CEWH environmental/variable flows vary between sites with different channel features and different bank condition?</w:t>
      </w:r>
    </w:p>
    <w:p w14:paraId="4A0FCD4A" w14:textId="77777777" w:rsidR="00F062B7" w:rsidRPr="002677C6" w:rsidRDefault="00F062B7" w:rsidP="00F062B7">
      <w:pPr>
        <w:rPr>
          <w:rFonts w:cstheme="minorHAnsi"/>
          <w:szCs w:val="20"/>
        </w:rPr>
      </w:pPr>
      <w:r w:rsidRPr="002677C6">
        <w:rPr>
          <w:rFonts w:cstheme="minorHAnsi"/>
          <w:szCs w:val="20"/>
        </w:rPr>
        <w:t>Considering that the drone monitoring did not focus on vegetation analysis the following insights are more general observations from the DEMODS:</w:t>
      </w:r>
    </w:p>
    <w:p w14:paraId="5B43757C" w14:textId="39E373DC" w:rsidR="00F062B7" w:rsidRPr="002677C6" w:rsidRDefault="00F062B7" w:rsidP="00DE6E94">
      <w:pPr>
        <w:pStyle w:val="ListParagraph"/>
        <w:numPr>
          <w:ilvl w:val="0"/>
          <w:numId w:val="67"/>
        </w:numPr>
        <w:rPr>
          <w:lang w:eastAsia="en-US"/>
        </w:rPr>
      </w:pPr>
      <w:r w:rsidRPr="002677C6">
        <w:rPr>
          <w:rFonts w:cstheme="minorHAnsi"/>
          <w:szCs w:val="20"/>
        </w:rPr>
        <w:t>B</w:t>
      </w:r>
      <w:r w:rsidRPr="002677C6">
        <w:rPr>
          <w:lang w:eastAsia="en-US"/>
        </w:rPr>
        <w:t xml:space="preserve">anks with a higher percentage of existing vegetation cover generally exhibit more stable bank conditions with the lowest magnitudes of erosion in response to environmental flows. Recent findings show that there is less evidence that managed (IVTs) and environmental flows are removing vegetation on the apex of outer bends (where fluvial stresses are generally highest); rather it is the cyclical </w:t>
      </w:r>
      <w:r w:rsidR="00A60C67">
        <w:rPr>
          <w:lang w:eastAsia="en-US"/>
        </w:rPr>
        <w:t>nature</w:t>
      </w:r>
      <w:r w:rsidR="00A60C67" w:rsidRPr="002677C6">
        <w:rPr>
          <w:lang w:eastAsia="en-US"/>
        </w:rPr>
        <w:t xml:space="preserve"> </w:t>
      </w:r>
      <w:r w:rsidRPr="002677C6">
        <w:rPr>
          <w:lang w:eastAsia="en-US"/>
        </w:rPr>
        <w:t xml:space="preserve">of rising and falling water levels, during managed flows on inside bank sections that is eroding sediment across the lower/mid bank zone and adversely impacting vegetation cover in these areas. </w:t>
      </w:r>
    </w:p>
    <w:p w14:paraId="45FEFB93" w14:textId="26FA7739" w:rsidR="00F062B7" w:rsidRPr="002677C6" w:rsidRDefault="00F062B7" w:rsidP="00DE6E94">
      <w:pPr>
        <w:pStyle w:val="ListParagraph"/>
        <w:numPr>
          <w:ilvl w:val="0"/>
          <w:numId w:val="67"/>
        </w:numPr>
        <w:rPr>
          <w:lang w:eastAsia="en-US"/>
        </w:rPr>
      </w:pPr>
      <w:r w:rsidRPr="002677C6">
        <w:rPr>
          <w:rFonts w:cstheme="minorHAnsi"/>
          <w:szCs w:val="20"/>
        </w:rPr>
        <w:t>Areas of riverbank that experienced large erosion events during the IVT season of 2018/2019 and earlier have not recovered and still are devoid of vegetation</w:t>
      </w:r>
      <w:r w:rsidR="00A60C67">
        <w:rPr>
          <w:rFonts w:cstheme="minorHAnsi"/>
          <w:szCs w:val="20"/>
        </w:rPr>
        <w:t>.</w:t>
      </w:r>
      <w:r w:rsidRPr="002677C6">
        <w:rPr>
          <w:rFonts w:cstheme="minorHAnsi"/>
          <w:szCs w:val="20"/>
        </w:rPr>
        <w:t xml:space="preserve"> </w:t>
      </w:r>
    </w:p>
    <w:p w14:paraId="1E5F040D" w14:textId="413B49D1" w:rsidR="00F062B7" w:rsidRPr="007C7507" w:rsidRDefault="00F062B7" w:rsidP="00F062B7">
      <w:pPr>
        <w:pStyle w:val="Heading3"/>
      </w:pPr>
      <w:bookmarkStart w:id="174" w:name="_Toc84417341"/>
      <w:r w:rsidRPr="007C7507">
        <w:t>Key takeaways and implications on future flow management</w:t>
      </w:r>
      <w:bookmarkStart w:id="175" w:name="_Hlk83892876"/>
      <w:bookmarkEnd w:id="174"/>
      <w:r w:rsidRPr="007C7507">
        <w:t xml:space="preserve"> </w:t>
      </w:r>
    </w:p>
    <w:p w14:paraId="4ADB2E8C" w14:textId="42E5BDA0" w:rsidR="00C42F9D" w:rsidRDefault="00C42F9D" w:rsidP="00C42F9D">
      <w:pPr>
        <w:rPr>
          <w:lang w:eastAsia="en-US"/>
        </w:rPr>
      </w:pPr>
      <w:r>
        <w:rPr>
          <w:lang w:eastAsia="en-US"/>
        </w:rPr>
        <w:t>Environmental flows appear to benefit the long-term physical form of the channel, due to the vertical variability in erosion higher on the bank face. This works to counter the steepening effect that occurs in response to consistent low invariable flows (i.e., IVTs). This is particularly true where the fresh-driven erosion occurs on the mid and upper bank zones at levels equivalent to &gt;3,000 ML/d and &gt;5,000 ML/d flows, respectively. As such, it is important that flow occurs for a significant duration above these thresholds during environmental flows on the Goulburn. Two weeks would be a good initial target (based on sediment saturation rates explored on different systems) as a threshold, however further investigation needs to be undertaken to establish a suitable timeframe for the Goulburn River specifically.</w:t>
      </w:r>
    </w:p>
    <w:p w14:paraId="55958E12" w14:textId="4B5A8336" w:rsidR="00C42F9D" w:rsidRDefault="00C42F9D" w:rsidP="00C42F9D">
      <w:pPr>
        <w:rPr>
          <w:lang w:eastAsia="en-US"/>
        </w:rPr>
      </w:pPr>
      <w:r>
        <w:rPr>
          <w:lang w:eastAsia="en-US"/>
        </w:rPr>
        <w:t xml:space="preserve">The rate of rise and fall is of equal importance as this determines the stress applied to riverbanks. When considering the environmental deliveries studied in this report, both the deliveries reached flows greater than the 5,000 ML/d day threshold and both aligned to the recommended rates of fall. The Autumn Fresh however, provided more favourable conditions in </w:t>
      </w:r>
      <w:proofErr w:type="gramStart"/>
      <w:r>
        <w:rPr>
          <w:lang w:eastAsia="en-US"/>
        </w:rPr>
        <w:t>both of these</w:t>
      </w:r>
      <w:proofErr w:type="gramEnd"/>
      <w:r>
        <w:rPr>
          <w:lang w:eastAsia="en-US"/>
        </w:rPr>
        <w:t xml:space="preserve"> areas due to its greater peak discharge rate (&gt;8,000</w:t>
      </w:r>
      <w:r w:rsidR="0001018C">
        <w:rPr>
          <w:lang w:eastAsia="en-US"/>
        </w:rPr>
        <w:t xml:space="preserve"> </w:t>
      </w:r>
      <w:r>
        <w:rPr>
          <w:lang w:eastAsia="en-US"/>
        </w:rPr>
        <w:t>ML/d) and its more prolonged re</w:t>
      </w:r>
      <w:r w:rsidR="0001018C">
        <w:rPr>
          <w:lang w:eastAsia="en-US"/>
        </w:rPr>
        <w:t>c</w:t>
      </w:r>
      <w:r>
        <w:rPr>
          <w:lang w:eastAsia="en-US"/>
        </w:rPr>
        <w:t xml:space="preserve">eding limb resulting in a slower rate of fall. The GBCMA are aware of specific guidelines related to </w:t>
      </w:r>
      <w:proofErr w:type="gramStart"/>
      <w:r>
        <w:rPr>
          <w:lang w:eastAsia="en-US"/>
        </w:rPr>
        <w:t>both of these</w:t>
      </w:r>
      <w:proofErr w:type="gramEnd"/>
      <w:r>
        <w:rPr>
          <w:lang w:eastAsia="en-US"/>
        </w:rPr>
        <w:t xml:space="preserve"> categories which were part of another investigation.   </w:t>
      </w:r>
    </w:p>
    <w:p w14:paraId="2A34FD83" w14:textId="398E3313" w:rsidR="00F062B7" w:rsidRPr="004E5C90" w:rsidRDefault="00F062B7" w:rsidP="00F062B7">
      <w:pPr>
        <w:rPr>
          <w:b/>
          <w:bCs/>
          <w:i/>
          <w:iCs/>
          <w:lang w:eastAsia="en-US"/>
        </w:rPr>
      </w:pPr>
      <w:r w:rsidRPr="004E5C90">
        <w:rPr>
          <w:b/>
          <w:bCs/>
          <w:i/>
          <w:iCs/>
          <w:lang w:eastAsia="en-US"/>
        </w:rPr>
        <w:t>Flow Sequence</w:t>
      </w:r>
    </w:p>
    <w:p w14:paraId="4DEE4808" w14:textId="77777777" w:rsidR="00F062B7" w:rsidRPr="007C7507" w:rsidRDefault="00F062B7" w:rsidP="00F062B7">
      <w:pPr>
        <w:rPr>
          <w:lang w:eastAsia="en-US"/>
        </w:rPr>
      </w:pPr>
      <w:r w:rsidRPr="007C7507">
        <w:rPr>
          <w:lang w:eastAsia="en-US"/>
        </w:rPr>
        <w:t>Flow sequence plays an important part in erosion response</w:t>
      </w:r>
      <w:r>
        <w:rPr>
          <w:lang w:eastAsia="en-US"/>
        </w:rPr>
        <w:t>,</w:t>
      </w:r>
      <w:r w:rsidRPr="007C7507">
        <w:rPr>
          <w:lang w:eastAsia="en-US"/>
        </w:rPr>
        <w:t xml:space="preserve"> and thus </w:t>
      </w:r>
      <w:r>
        <w:rPr>
          <w:lang w:eastAsia="en-US"/>
        </w:rPr>
        <w:t xml:space="preserve">prior events must be considered to understand </w:t>
      </w:r>
      <w:r w:rsidRPr="007C7507">
        <w:rPr>
          <w:lang w:eastAsia="en-US"/>
        </w:rPr>
        <w:t xml:space="preserve">bank condition </w:t>
      </w:r>
      <w:r>
        <w:rPr>
          <w:lang w:eastAsia="en-US"/>
        </w:rPr>
        <w:t xml:space="preserve">response to a </w:t>
      </w:r>
      <w:r w:rsidRPr="007C7507">
        <w:rPr>
          <w:lang w:eastAsia="en-US"/>
        </w:rPr>
        <w:t>flow event. This is</w:t>
      </w:r>
      <w:r w:rsidRPr="007C7507" w:rsidDel="00690174">
        <w:rPr>
          <w:lang w:eastAsia="en-US"/>
        </w:rPr>
        <w:t xml:space="preserve"> </w:t>
      </w:r>
      <w:r w:rsidRPr="007C7507">
        <w:rPr>
          <w:lang w:eastAsia="en-US"/>
        </w:rPr>
        <w:t>particularly true when considering the impact of flow events that follow summer irrigation periods (in this case the Autumn Fresh)</w:t>
      </w:r>
      <w:r>
        <w:rPr>
          <w:lang w:eastAsia="en-US"/>
        </w:rPr>
        <w:t>,</w:t>
      </w:r>
      <w:r w:rsidRPr="007C7507">
        <w:rPr>
          <w:lang w:eastAsia="en-US"/>
        </w:rPr>
        <w:t xml:space="preserve"> as defined erosion on the lower bank prepares the riverbanks for future erosion events. Prolonged dry periods to bank zones, such as those experienced with the mid/upper (&gt;4,000 ML/d) and upper (&gt;5,000 ML/d) bank during the summer IVT period will consolidate Spring deposits across these zones</w:t>
      </w:r>
      <w:r>
        <w:rPr>
          <w:lang w:eastAsia="en-US"/>
        </w:rPr>
        <w:t xml:space="preserve">, reducing their propensity for erosion by subsequent flows compared to (for example) </w:t>
      </w:r>
      <w:r w:rsidRPr="007C7507">
        <w:rPr>
          <w:lang w:eastAsia="en-US"/>
        </w:rPr>
        <w:t>an event that follow</w:t>
      </w:r>
      <w:r>
        <w:rPr>
          <w:lang w:eastAsia="en-US"/>
        </w:rPr>
        <w:t>s</w:t>
      </w:r>
      <w:r w:rsidRPr="007C7507">
        <w:rPr>
          <w:lang w:eastAsia="en-US"/>
        </w:rPr>
        <w:t xml:space="preserve"> winter flows. </w:t>
      </w:r>
    </w:p>
    <w:p w14:paraId="494E32A6" w14:textId="77777777" w:rsidR="00F062B7" w:rsidRPr="004E5C90" w:rsidRDefault="00F062B7" w:rsidP="00F062B7">
      <w:pPr>
        <w:rPr>
          <w:i/>
          <w:iCs/>
          <w:lang w:eastAsia="en-US"/>
        </w:rPr>
      </w:pPr>
      <w:r w:rsidRPr="004E5C90">
        <w:rPr>
          <w:b/>
          <w:bCs/>
          <w:i/>
          <w:iCs/>
          <w:lang w:eastAsia="en-US"/>
        </w:rPr>
        <w:t xml:space="preserve">Flow Variability  </w:t>
      </w:r>
    </w:p>
    <w:p w14:paraId="284A190D" w14:textId="14AC62F5" w:rsidR="00DE312E" w:rsidRDefault="00DE312E" w:rsidP="00DE312E">
      <w:pPr>
        <w:spacing w:after="0" w:line="240" w:lineRule="auto"/>
        <w:jc w:val="left"/>
        <w:rPr>
          <w:rFonts w:ascii="Times New Roman" w:eastAsiaTheme="minorHAnsi" w:hAnsi="Times New Roman" w:cs="Times New Roman"/>
          <w:sz w:val="24"/>
          <w:szCs w:val="24"/>
          <w:lang w:eastAsia="en-AU"/>
        </w:rPr>
      </w:pPr>
      <w:r>
        <w:rPr>
          <w:lang w:eastAsia="en-US"/>
        </w:rPr>
        <w:t xml:space="preserve">Non variable flow deliveries, which sit around a daily discharge level for a prolonged </w:t>
      </w:r>
      <w:proofErr w:type="gramStart"/>
      <w:r>
        <w:rPr>
          <w:lang w:eastAsia="en-US"/>
        </w:rPr>
        <w:t>period of time</w:t>
      </w:r>
      <w:proofErr w:type="gramEnd"/>
      <w:r>
        <w:rPr>
          <w:lang w:eastAsia="en-US"/>
        </w:rPr>
        <w:t xml:space="preserve"> (as seen during periods of summer low flows during the 2020-21 IVT), can be detrimental to the physical form of a channel</w:t>
      </w:r>
      <w:r w:rsidR="00FF6F5E">
        <w:rPr>
          <w:rFonts w:ascii="Times New Roman" w:eastAsiaTheme="minorHAnsi" w:hAnsi="Times New Roman" w:cs="Times New Roman"/>
          <w:sz w:val="24"/>
          <w:szCs w:val="24"/>
          <w:lang w:eastAsia="en-AU"/>
        </w:rPr>
        <w:t>.</w:t>
      </w:r>
    </w:p>
    <w:p w14:paraId="021BEB77" w14:textId="1BF78BAA" w:rsidR="006B230F" w:rsidRDefault="00F062B7" w:rsidP="006B230F">
      <w:pPr>
        <w:rPr>
          <w:b/>
          <w:bCs/>
          <w:lang w:eastAsia="en-US"/>
        </w:rPr>
      </w:pPr>
      <w:r w:rsidRPr="007C7507">
        <w:rPr>
          <w:lang w:eastAsia="en-US"/>
        </w:rPr>
        <w:t>The IVT delivery of 2020</w:t>
      </w:r>
      <w:r>
        <w:rPr>
          <w:lang w:eastAsia="en-US"/>
        </w:rPr>
        <w:t>-</w:t>
      </w:r>
      <w:r w:rsidRPr="007C7507">
        <w:rPr>
          <w:lang w:eastAsia="en-US"/>
        </w:rPr>
        <w:t xml:space="preserve">21 illustrates that flow deliveries </w:t>
      </w:r>
      <w:r>
        <w:rPr>
          <w:lang w:eastAsia="en-US"/>
        </w:rPr>
        <w:t>that</w:t>
      </w:r>
      <w:r w:rsidRPr="007C7507">
        <w:rPr>
          <w:lang w:eastAsia="en-US"/>
        </w:rPr>
        <w:t xml:space="preserve"> result in minor fluctuations in water level over a long period of time can lead to </w:t>
      </w:r>
      <w:r>
        <w:rPr>
          <w:lang w:eastAsia="en-US"/>
        </w:rPr>
        <w:t xml:space="preserve">defined and deep </w:t>
      </w:r>
      <w:r w:rsidRPr="007C7507">
        <w:rPr>
          <w:lang w:eastAsia="en-US"/>
        </w:rPr>
        <w:t>erosion (in one case &gt;0.2</w:t>
      </w:r>
      <w:r w:rsidR="0079696D">
        <w:rPr>
          <w:lang w:eastAsia="en-US"/>
        </w:rPr>
        <w:t xml:space="preserve"> </w:t>
      </w:r>
      <w:r w:rsidRPr="007C7507">
        <w:rPr>
          <w:lang w:eastAsia="en-US"/>
        </w:rPr>
        <w:t xml:space="preserve">m). This process can lead to notching and over time mass-failure events as </w:t>
      </w:r>
      <w:r w:rsidR="004A6FFF">
        <w:rPr>
          <w:lang w:eastAsia="en-US"/>
        </w:rPr>
        <w:t xml:space="preserve">subsequent </w:t>
      </w:r>
      <w:r w:rsidRPr="007C7507">
        <w:rPr>
          <w:lang w:eastAsia="en-US"/>
        </w:rPr>
        <w:t>large flow events saturate the upper bank and destabilise this sediment on drawdown (</w:t>
      </w:r>
      <w:r w:rsidR="00E555FD" w:rsidRPr="00BA2632">
        <w:t xml:space="preserve">Figure </w:t>
      </w:r>
      <w:r w:rsidR="00E555FD">
        <w:rPr>
          <w:noProof/>
        </w:rPr>
        <w:t>4</w:t>
      </w:r>
      <w:r w:rsidR="00E555FD">
        <w:rPr>
          <w:noProof/>
        </w:rPr>
        <w:noBreakHyphen/>
        <w:t>12</w:t>
      </w:r>
      <w:r w:rsidRPr="007C7507">
        <w:rPr>
          <w:lang w:eastAsia="en-US"/>
        </w:rPr>
        <w:t xml:space="preserve">). </w:t>
      </w:r>
      <w:r w:rsidR="006B230F">
        <w:rPr>
          <w:lang w:eastAsia="en-US"/>
        </w:rPr>
        <w:t>Extended durations of similar daily flow volumes and quick drawdown events must be avoided, if possible, to minimise the rate of channel widening.</w:t>
      </w:r>
    </w:p>
    <w:p w14:paraId="26FA64E7" w14:textId="77777777" w:rsidR="00F062B7" w:rsidRPr="004E5C90" w:rsidRDefault="00F062B7" w:rsidP="00F062B7">
      <w:pPr>
        <w:rPr>
          <w:b/>
          <w:bCs/>
          <w:i/>
          <w:iCs/>
          <w:lang w:eastAsia="en-US"/>
        </w:rPr>
      </w:pPr>
      <w:r w:rsidRPr="004E5C90">
        <w:rPr>
          <w:b/>
          <w:bCs/>
          <w:i/>
          <w:iCs/>
          <w:lang w:eastAsia="en-US"/>
        </w:rPr>
        <w:t xml:space="preserve">Repairing Riverbanks </w:t>
      </w:r>
    </w:p>
    <w:p w14:paraId="6EFDB5A7" w14:textId="4CD433A6" w:rsidR="00F062B7" w:rsidRPr="007C7507" w:rsidRDefault="00F062B7" w:rsidP="00F062B7">
      <w:pPr>
        <w:rPr>
          <w:lang w:eastAsia="en-US"/>
        </w:rPr>
      </w:pPr>
      <w:r w:rsidRPr="007C7507">
        <w:rPr>
          <w:lang w:eastAsia="en-US"/>
        </w:rPr>
        <w:t>Increased deposition directly corresponds to the source and timing of the water delivery (</w:t>
      </w:r>
      <w:proofErr w:type="gramStart"/>
      <w:r w:rsidRPr="007C7507">
        <w:rPr>
          <w:lang w:eastAsia="en-US"/>
        </w:rPr>
        <w:t>e.g.</w:t>
      </w:r>
      <w:proofErr w:type="gramEnd"/>
      <w:r w:rsidRPr="007C7507">
        <w:rPr>
          <w:lang w:eastAsia="en-US"/>
        </w:rPr>
        <w:t xml:space="preserve"> dam versus tributary </w:t>
      </w:r>
      <w:r>
        <w:rPr>
          <w:lang w:eastAsia="en-US"/>
        </w:rPr>
        <w:t>derived</w:t>
      </w:r>
      <w:r w:rsidRPr="007C7507">
        <w:rPr>
          <w:lang w:eastAsia="en-US"/>
        </w:rPr>
        <w:t xml:space="preserve"> water). The </w:t>
      </w:r>
      <w:r>
        <w:rPr>
          <w:lang w:eastAsia="en-US"/>
        </w:rPr>
        <w:t xml:space="preserve">comparison of </w:t>
      </w:r>
      <w:r w:rsidRPr="007C7507">
        <w:rPr>
          <w:lang w:eastAsia="en-US"/>
        </w:rPr>
        <w:t xml:space="preserve">Spring </w:t>
      </w:r>
      <w:r>
        <w:rPr>
          <w:lang w:eastAsia="en-US"/>
        </w:rPr>
        <w:t xml:space="preserve">and Autumn </w:t>
      </w:r>
      <w:r w:rsidRPr="007C7507">
        <w:rPr>
          <w:lang w:eastAsia="en-US"/>
        </w:rPr>
        <w:t>Fresh data clearly highlights the influence of increased tributary flow contribution</w:t>
      </w:r>
      <w:r w:rsidR="004A6FFF">
        <w:rPr>
          <w:lang w:eastAsia="en-US"/>
        </w:rPr>
        <w:t xml:space="preserve"> with the Spring fresh being comprised a greater proportion of tributary flow and resulting in a greater </w:t>
      </w:r>
      <w:r w:rsidRPr="007C7507">
        <w:rPr>
          <w:lang w:eastAsia="en-US"/>
        </w:rPr>
        <w:t xml:space="preserve">depth </w:t>
      </w:r>
      <w:r w:rsidRPr="007C7507">
        <w:rPr>
          <w:lang w:eastAsia="en-US"/>
        </w:rPr>
        <w:lastRenderedPageBreak/>
        <w:t xml:space="preserve">of deposition </w:t>
      </w:r>
      <w:r w:rsidR="004A6FFF">
        <w:rPr>
          <w:lang w:eastAsia="en-US"/>
        </w:rPr>
        <w:t>compared to the Autumn fresh</w:t>
      </w:r>
      <w:r>
        <w:rPr>
          <w:lang w:eastAsia="en-US"/>
        </w:rPr>
        <w:t>. This</w:t>
      </w:r>
      <w:r w:rsidRPr="007C7507">
        <w:rPr>
          <w:lang w:eastAsia="en-US"/>
        </w:rPr>
        <w:t xml:space="preserve"> highlights that piggybacking natural flow events</w:t>
      </w:r>
      <w:r w:rsidR="004A6FFF">
        <w:rPr>
          <w:lang w:eastAsia="en-US"/>
        </w:rPr>
        <w:t>,</w:t>
      </w:r>
      <w:r w:rsidRPr="007C7507">
        <w:rPr>
          <w:lang w:eastAsia="en-US"/>
        </w:rPr>
        <w:t xml:space="preserve"> where possible</w:t>
      </w:r>
      <w:r w:rsidR="004A6FFF">
        <w:rPr>
          <w:lang w:eastAsia="en-US"/>
        </w:rPr>
        <w:t>,</w:t>
      </w:r>
      <w:r w:rsidRPr="007C7507">
        <w:rPr>
          <w:lang w:eastAsia="en-US"/>
        </w:rPr>
        <w:t xml:space="preserve"> is a positive strategy to assist in repairing riverbanks</w:t>
      </w:r>
      <w:r>
        <w:rPr>
          <w:lang w:eastAsia="en-US"/>
        </w:rPr>
        <w:t>. T</w:t>
      </w:r>
      <w:r w:rsidRPr="007C7507">
        <w:rPr>
          <w:lang w:eastAsia="en-US"/>
        </w:rPr>
        <w:t xml:space="preserve">his </w:t>
      </w:r>
      <w:r>
        <w:rPr>
          <w:lang w:eastAsia="en-US"/>
        </w:rPr>
        <w:t xml:space="preserve">strategy </w:t>
      </w:r>
      <w:r w:rsidRPr="007C7507">
        <w:rPr>
          <w:lang w:eastAsia="en-US"/>
        </w:rPr>
        <w:t>would be particularly effective during the period following the IVT</w:t>
      </w:r>
      <w:r>
        <w:rPr>
          <w:lang w:eastAsia="en-US"/>
        </w:rPr>
        <w:t xml:space="preserve">; </w:t>
      </w:r>
      <w:r w:rsidRPr="007C7507">
        <w:rPr>
          <w:lang w:eastAsia="en-US"/>
        </w:rPr>
        <w:t xml:space="preserve">this could be </w:t>
      </w:r>
      <w:r>
        <w:rPr>
          <w:lang w:eastAsia="en-US"/>
        </w:rPr>
        <w:t>a</w:t>
      </w:r>
      <w:r w:rsidRPr="007C7507">
        <w:rPr>
          <w:lang w:eastAsia="en-US"/>
        </w:rPr>
        <w:t xml:space="preserve"> repair phase where sediment can be returned to the lower bank.  </w:t>
      </w:r>
    </w:p>
    <w:p w14:paraId="162EA94D" w14:textId="43BCD7A4" w:rsidR="00F062B7" w:rsidRDefault="00F062B7" w:rsidP="00F062B7">
      <w:pPr>
        <w:rPr>
          <w:lang w:eastAsia="en-US"/>
        </w:rPr>
      </w:pPr>
      <w:r w:rsidRPr="007C7507">
        <w:rPr>
          <w:lang w:eastAsia="en-US"/>
        </w:rPr>
        <w:t xml:space="preserve">There is a positive feedback loop between vegetation density/cover and riverbank resilience. Banks </w:t>
      </w:r>
      <w:r>
        <w:rPr>
          <w:lang w:eastAsia="en-US"/>
        </w:rPr>
        <w:t xml:space="preserve">experiencing </w:t>
      </w:r>
      <w:r w:rsidRPr="007C7507">
        <w:rPr>
          <w:lang w:eastAsia="en-US"/>
        </w:rPr>
        <w:t>the greatest erosion volumes lacked vegetation</w:t>
      </w:r>
      <w:r>
        <w:rPr>
          <w:lang w:eastAsia="en-US"/>
        </w:rPr>
        <w:t xml:space="preserve">. As a </w:t>
      </w:r>
      <w:r w:rsidR="004E5C90">
        <w:rPr>
          <w:lang w:eastAsia="en-US"/>
        </w:rPr>
        <w:t>result,</w:t>
      </w:r>
      <w:r>
        <w:rPr>
          <w:lang w:eastAsia="en-US"/>
        </w:rPr>
        <w:t xml:space="preserve"> the vegetation that remains will</w:t>
      </w:r>
      <w:r w:rsidRPr="007C7507">
        <w:rPr>
          <w:lang w:eastAsia="en-US"/>
        </w:rPr>
        <w:t xml:space="preserve"> </w:t>
      </w:r>
      <w:r>
        <w:rPr>
          <w:lang w:eastAsia="en-US"/>
        </w:rPr>
        <w:t>probably continue to</w:t>
      </w:r>
      <w:r w:rsidRPr="007C7507">
        <w:rPr>
          <w:lang w:eastAsia="en-US"/>
        </w:rPr>
        <w:t xml:space="preserve"> reced</w:t>
      </w:r>
      <w:r>
        <w:rPr>
          <w:lang w:eastAsia="en-US"/>
        </w:rPr>
        <w:t>e</w:t>
      </w:r>
      <w:r w:rsidRPr="007C7507">
        <w:rPr>
          <w:lang w:eastAsia="en-US"/>
        </w:rPr>
        <w:t xml:space="preserve"> as</w:t>
      </w:r>
      <w:r>
        <w:rPr>
          <w:lang w:eastAsia="en-US"/>
        </w:rPr>
        <w:t xml:space="preserve"> </w:t>
      </w:r>
      <w:r w:rsidRPr="007C7507">
        <w:rPr>
          <w:lang w:eastAsia="en-US"/>
        </w:rPr>
        <w:t>this erosion process continues.</w:t>
      </w:r>
      <w:r>
        <w:rPr>
          <w:lang w:eastAsia="en-US"/>
        </w:rPr>
        <w:t xml:space="preserve"> </w:t>
      </w:r>
      <w:r w:rsidRPr="007C7507">
        <w:rPr>
          <w:lang w:eastAsia="en-US"/>
        </w:rPr>
        <w:t xml:space="preserve">This is a clear challenge for the </w:t>
      </w:r>
      <w:r>
        <w:rPr>
          <w:lang w:eastAsia="en-US"/>
        </w:rPr>
        <w:t>GB</w:t>
      </w:r>
      <w:r w:rsidRPr="007C7507">
        <w:rPr>
          <w:lang w:eastAsia="en-US"/>
        </w:rPr>
        <w:t>CMA as these sensitive areas of bank are in the lower zone</w:t>
      </w:r>
      <w:r>
        <w:rPr>
          <w:lang w:eastAsia="en-US"/>
        </w:rPr>
        <w:t xml:space="preserve"> that</w:t>
      </w:r>
      <w:r w:rsidRPr="007C7507">
        <w:rPr>
          <w:lang w:eastAsia="en-US"/>
        </w:rPr>
        <w:t xml:space="preserve"> gets impacted by prolonged invariable flows during the IVT period, year after year.</w:t>
      </w:r>
    </w:p>
    <w:p w14:paraId="044A3A73" w14:textId="77777777" w:rsidR="00F062B7" w:rsidRDefault="00F062B7" w:rsidP="00F062B7">
      <w:pPr>
        <w:jc w:val="center"/>
        <w:rPr>
          <w:lang w:eastAsia="en-US"/>
        </w:rPr>
      </w:pPr>
      <w:r w:rsidRPr="00BE4135">
        <w:rPr>
          <w:noProof/>
          <w:lang w:val="en-GB"/>
        </w:rPr>
        <w:drawing>
          <wp:inline distT="0" distB="0" distL="0" distR="0" wp14:anchorId="55454668" wp14:editId="2D0BD47C">
            <wp:extent cx="4836145" cy="6456459"/>
            <wp:effectExtent l="0" t="0" r="317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866657" cy="6497194"/>
                    </a:xfrm>
                    <a:prstGeom prst="rect">
                      <a:avLst/>
                    </a:prstGeom>
                    <a:noFill/>
                    <a:ln>
                      <a:noFill/>
                    </a:ln>
                  </pic:spPr>
                </pic:pic>
              </a:graphicData>
            </a:graphic>
          </wp:inline>
        </w:drawing>
      </w:r>
    </w:p>
    <w:p w14:paraId="2EB0F21E" w14:textId="0247AC38" w:rsidR="00F062B7" w:rsidRPr="00BA2632" w:rsidRDefault="00F062B7" w:rsidP="00F062B7">
      <w:pPr>
        <w:pStyle w:val="Caption"/>
      </w:pPr>
      <w:bookmarkStart w:id="176" w:name="_Ref51309092"/>
      <w:bookmarkStart w:id="177" w:name="_Toc83907744"/>
      <w:bookmarkStart w:id="178" w:name="_Toc84475645"/>
      <w:r w:rsidRPr="00BA2632">
        <w:t xml:space="preserve">Figure </w:t>
      </w:r>
      <w:r w:rsidR="00B85158">
        <w:rPr>
          <w:noProof/>
        </w:rPr>
        <w:t>4</w:t>
      </w:r>
      <w:r w:rsidR="00B85158">
        <w:noBreakHyphen/>
      </w:r>
      <w:r w:rsidR="00B85158">
        <w:rPr>
          <w:noProof/>
        </w:rPr>
        <w:t>12</w:t>
      </w:r>
      <w:bookmarkEnd w:id="176"/>
      <w:r w:rsidRPr="00BA2632" w:rsidDel="007422A5">
        <w:t xml:space="preserve"> </w:t>
      </w:r>
      <w:r>
        <w:t>Three</w:t>
      </w:r>
      <w:r w:rsidRPr="00BA2632">
        <w:t xml:space="preserve"> step process of notching resulting from sustained inundation period with limited variability.</w:t>
      </w:r>
      <w:bookmarkEnd w:id="177"/>
      <w:bookmarkEnd w:id="178"/>
      <w:r w:rsidRPr="00BA2632">
        <w:t xml:space="preserve"> </w:t>
      </w:r>
    </w:p>
    <w:p w14:paraId="2176070F" w14:textId="47F98C50" w:rsidR="00E057BD" w:rsidRDefault="00E057BD" w:rsidP="00E057BD">
      <w:pPr>
        <w:rPr>
          <w:lang w:eastAsia="en-US"/>
        </w:rPr>
      </w:pPr>
    </w:p>
    <w:p w14:paraId="4B88A5F0" w14:textId="77777777" w:rsidR="00E057BD" w:rsidRPr="00E057BD" w:rsidRDefault="00E057BD" w:rsidP="00E057BD">
      <w:pPr>
        <w:rPr>
          <w:lang w:eastAsia="en-US"/>
        </w:rPr>
      </w:pPr>
    </w:p>
    <w:p w14:paraId="4897C374" w14:textId="77777777" w:rsidR="00E057BD" w:rsidRDefault="00E057BD">
      <w:pPr>
        <w:rPr>
          <w:rFonts w:ascii="Georgia" w:eastAsia="SimHei" w:hAnsi="Georgia" w:cs="Times New Roman"/>
          <w:b/>
          <w:color w:val="094183"/>
          <w:sz w:val="32"/>
          <w:szCs w:val="32"/>
          <w:lang w:eastAsia="en-US"/>
        </w:rPr>
      </w:pPr>
      <w:r>
        <w:br w:type="page"/>
      </w:r>
    </w:p>
    <w:p w14:paraId="134AA5AD" w14:textId="2BF3A55E" w:rsidR="0073393B" w:rsidRPr="00BA2632" w:rsidRDefault="0073393B" w:rsidP="00272A33">
      <w:pPr>
        <w:pStyle w:val="Heading1"/>
      </w:pPr>
      <w:bookmarkStart w:id="179" w:name="_Ref83822578"/>
      <w:bookmarkStart w:id="180" w:name="_Toc84416088"/>
      <w:bookmarkStart w:id="181" w:name="_Toc84417342"/>
      <w:bookmarkStart w:id="182" w:name="_Toc84475675"/>
      <w:bookmarkEnd w:id="175"/>
      <w:r w:rsidRPr="00BA2632">
        <w:lastRenderedPageBreak/>
        <w:t>Metabolism</w:t>
      </w:r>
      <w:bookmarkEnd w:id="179"/>
      <w:bookmarkEnd w:id="180"/>
      <w:bookmarkEnd w:id="181"/>
      <w:bookmarkEnd w:id="182"/>
    </w:p>
    <w:p w14:paraId="31C2A661" w14:textId="28EC4457" w:rsidR="0073393B" w:rsidRDefault="0073393B" w:rsidP="0073393B">
      <w:pPr>
        <w:pStyle w:val="Heading2"/>
      </w:pPr>
      <w:bookmarkStart w:id="183" w:name="_Toc84416089"/>
      <w:bookmarkStart w:id="184" w:name="_Toc84417343"/>
      <w:bookmarkStart w:id="185" w:name="_Toc84475676"/>
      <w:r w:rsidRPr="00BA2632">
        <w:t>Introduction</w:t>
      </w:r>
      <w:bookmarkEnd w:id="183"/>
      <w:bookmarkEnd w:id="184"/>
      <w:bookmarkEnd w:id="185"/>
    </w:p>
    <w:p w14:paraId="7DE5F504" w14:textId="283C0038" w:rsidR="00E2060E" w:rsidRPr="007E0247" w:rsidRDefault="00E2060E" w:rsidP="00E2060E">
      <w:pPr>
        <w:pStyle w:val="Para0"/>
        <w:rPr>
          <w:rFonts w:asciiTheme="minorHAnsi" w:hAnsiTheme="minorHAnsi" w:cstheme="minorHAnsi"/>
          <w:lang w:val="en-US"/>
        </w:rPr>
      </w:pPr>
      <w:r w:rsidRPr="007E0247">
        <w:rPr>
          <w:rFonts w:asciiTheme="minorHAnsi" w:hAnsiTheme="minorHAnsi" w:cstheme="minorHAnsi"/>
          <w:lang w:val="en-US"/>
        </w:rPr>
        <w:t xml:space="preserve">Whole stream metabolism measures the production and consumption of dissolved oxygen gas (DO) by the key ecological processes of photosynthesis and respiration </w:t>
      </w:r>
      <w:r w:rsidR="0018467D">
        <w:rPr>
          <w:rFonts w:asciiTheme="minorHAnsi" w:hAnsiTheme="minorHAnsi" w:cstheme="minorHAnsi"/>
          <w:noProof/>
          <w:lang w:val="en-US"/>
        </w:rPr>
        <w:t>(Odum 1956)</w:t>
      </w:r>
      <w:r w:rsidRPr="007E0247">
        <w:rPr>
          <w:rFonts w:asciiTheme="minorHAnsi" w:hAnsiTheme="minorHAnsi" w:cstheme="minorHAnsi"/>
          <w:lang w:val="en-US"/>
        </w:rPr>
        <w:t>. Healthy aquatic ecosystems need both processes to generate new biomass (which becomes food for organisms higher up the food chain) and to break down plant and animal detritus to recycle nutrients to enable growth to occur. Hence metabolism assesses the energy base underpinning aquatic food</w:t>
      </w:r>
      <w:r w:rsidR="009E5D2A">
        <w:rPr>
          <w:rFonts w:asciiTheme="minorHAnsi" w:hAnsiTheme="minorHAnsi" w:cstheme="minorHAnsi"/>
          <w:lang w:val="en-US"/>
        </w:rPr>
        <w:t xml:space="preserve"> </w:t>
      </w:r>
      <w:r w:rsidRPr="007E0247">
        <w:rPr>
          <w:rFonts w:asciiTheme="minorHAnsi" w:hAnsiTheme="minorHAnsi" w:cstheme="minorHAnsi"/>
          <w:lang w:val="en-US"/>
        </w:rPr>
        <w:t xml:space="preserve">webs. The relationships between these processes are shown </w:t>
      </w:r>
      <w:r w:rsidR="009E5D2A">
        <w:rPr>
          <w:rFonts w:asciiTheme="minorHAnsi" w:hAnsiTheme="minorHAnsi" w:cstheme="minorHAnsi"/>
          <w:lang w:val="en-US"/>
        </w:rPr>
        <w:t xml:space="preserve">in </w:t>
      </w:r>
      <w:r w:rsidR="00E555FD" w:rsidRPr="00E555FD">
        <w:rPr>
          <w:rFonts w:asciiTheme="minorHAnsi" w:hAnsiTheme="minorHAnsi" w:cstheme="minorHAnsi"/>
          <w:lang w:val="en-US"/>
        </w:rPr>
        <w:t>Figure 5</w:t>
      </w:r>
      <w:r w:rsidR="00E555FD" w:rsidRPr="00E555FD">
        <w:rPr>
          <w:rFonts w:asciiTheme="minorHAnsi" w:hAnsiTheme="minorHAnsi" w:cstheme="minorHAnsi"/>
          <w:lang w:val="en-US"/>
        </w:rPr>
        <w:noBreakHyphen/>
        <w:t>1</w:t>
      </w:r>
      <w:r w:rsidR="009E5D2A">
        <w:rPr>
          <w:rFonts w:asciiTheme="minorHAnsi" w:hAnsiTheme="minorHAnsi" w:cstheme="minorHAnsi"/>
          <w:lang w:val="en-US"/>
        </w:rPr>
        <w:t>.</w:t>
      </w:r>
    </w:p>
    <w:p w14:paraId="78A36D07" w14:textId="77777777" w:rsidR="009E5D2A" w:rsidRDefault="00E2060E" w:rsidP="009E5D2A">
      <w:pPr>
        <w:keepNext/>
        <w:spacing w:line="240" w:lineRule="auto"/>
        <w:jc w:val="center"/>
      </w:pPr>
      <w:r w:rsidRPr="007E0247">
        <w:rPr>
          <w:rFonts w:cstheme="minorHAnsi"/>
          <w:noProof/>
          <w:szCs w:val="20"/>
          <w:lang w:val="en-GB"/>
        </w:rPr>
        <w:drawing>
          <wp:inline distT="0" distB="0" distL="0" distR="0" wp14:anchorId="7697F680" wp14:editId="3ED8740D">
            <wp:extent cx="4305300" cy="2209800"/>
            <wp:effectExtent l="19050" t="0" r="0" b="0"/>
            <wp:docPr id="5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305300" cy="2209800"/>
                    </a:xfrm>
                    <a:prstGeom prst="rect">
                      <a:avLst/>
                    </a:prstGeom>
                    <a:noFill/>
                    <a:ln w="9525">
                      <a:noFill/>
                      <a:miter lim="800000"/>
                      <a:headEnd/>
                      <a:tailEnd/>
                    </a:ln>
                  </pic:spPr>
                </pic:pic>
              </a:graphicData>
            </a:graphic>
          </wp:inline>
        </w:drawing>
      </w:r>
    </w:p>
    <w:p w14:paraId="79F595B5" w14:textId="4C744DE7" w:rsidR="00E2060E" w:rsidRPr="007E0247" w:rsidRDefault="009E5D2A" w:rsidP="007D5BDE">
      <w:pPr>
        <w:pStyle w:val="Caption"/>
        <w:rPr>
          <w:rFonts w:cstheme="minorHAnsi"/>
          <w:lang w:val="en-US"/>
        </w:rPr>
      </w:pPr>
      <w:bookmarkStart w:id="186" w:name="_Ref83772741"/>
      <w:bookmarkStart w:id="187" w:name="_Toc83907745"/>
      <w:bookmarkStart w:id="188" w:name="_Toc84475646"/>
      <w:r>
        <w:t xml:space="preserve">Figure </w:t>
      </w:r>
      <w:r w:rsidR="00B85158">
        <w:rPr>
          <w:noProof/>
        </w:rPr>
        <w:t>5</w:t>
      </w:r>
      <w:r w:rsidR="00B85158">
        <w:noBreakHyphen/>
      </w:r>
      <w:r w:rsidR="00B85158">
        <w:rPr>
          <w:noProof/>
        </w:rPr>
        <w:t>1</w:t>
      </w:r>
      <w:bookmarkEnd w:id="186"/>
      <w:r>
        <w:t xml:space="preserve"> </w:t>
      </w:r>
      <w:r w:rsidRPr="005E270C">
        <w:t xml:space="preserve">Relationships between photosynthesis, respiration, organic matter, dissolved </w:t>
      </w:r>
      <w:proofErr w:type="gramStart"/>
      <w:r w:rsidRPr="005E270C">
        <w:t>gases</w:t>
      </w:r>
      <w:proofErr w:type="gramEnd"/>
      <w:r w:rsidRPr="005E270C">
        <w:t xml:space="preserve"> and nutrients.</w:t>
      </w:r>
      <w:bookmarkEnd w:id="187"/>
      <w:bookmarkEnd w:id="188"/>
    </w:p>
    <w:p w14:paraId="280C95F2" w14:textId="77777777" w:rsidR="00E2060E" w:rsidRPr="007E0247" w:rsidRDefault="00E2060E" w:rsidP="00E2060E">
      <w:pPr>
        <w:pStyle w:val="Para0"/>
        <w:rPr>
          <w:rFonts w:asciiTheme="minorHAnsi" w:hAnsiTheme="minorHAnsi" w:cstheme="minorHAnsi"/>
          <w:lang w:val="en-US"/>
        </w:rPr>
      </w:pPr>
      <w:r w:rsidRPr="007E0247">
        <w:rPr>
          <w:rFonts w:asciiTheme="minorHAnsi" w:hAnsiTheme="minorHAnsi" w:cstheme="minorHAnsi"/>
          <w:lang w:val="en-US"/>
        </w:rPr>
        <w:t xml:space="preserve">Metabolism is expressed as the increase (photosynthesis) or decrease (respiration) of DO concentration over a given time frame; </w:t>
      </w:r>
      <w:proofErr w:type="gramStart"/>
      <w:r w:rsidRPr="007E0247">
        <w:rPr>
          <w:rFonts w:asciiTheme="minorHAnsi" w:hAnsiTheme="minorHAnsi" w:cstheme="minorHAnsi"/>
          <w:lang w:val="en-US"/>
        </w:rPr>
        <w:t>most commonly expressed</w:t>
      </w:r>
      <w:proofErr w:type="gramEnd"/>
      <w:r w:rsidRPr="007E0247">
        <w:rPr>
          <w:rFonts w:asciiTheme="minorHAnsi" w:hAnsiTheme="minorHAnsi" w:cstheme="minorHAnsi"/>
          <w:lang w:val="en-US"/>
        </w:rPr>
        <w:t xml:space="preserve"> as (change in) milligrams of dissolved oxygen per </w:t>
      </w:r>
      <w:proofErr w:type="spellStart"/>
      <w:r w:rsidRPr="007E0247">
        <w:rPr>
          <w:rFonts w:asciiTheme="minorHAnsi" w:hAnsiTheme="minorHAnsi" w:cstheme="minorHAnsi"/>
          <w:lang w:val="en-US"/>
        </w:rPr>
        <w:t>Litre</w:t>
      </w:r>
      <w:proofErr w:type="spellEnd"/>
      <w:r w:rsidRPr="007E0247">
        <w:rPr>
          <w:rFonts w:asciiTheme="minorHAnsi" w:hAnsiTheme="minorHAnsi" w:cstheme="minorHAnsi"/>
          <w:lang w:val="en-US"/>
        </w:rPr>
        <w:t xml:space="preserve"> per day (mg O</w:t>
      </w:r>
      <w:r w:rsidRPr="007E0247">
        <w:rPr>
          <w:rFonts w:asciiTheme="minorHAnsi" w:hAnsiTheme="minorHAnsi" w:cstheme="minorHAnsi"/>
          <w:vertAlign w:val="subscript"/>
          <w:lang w:val="en-US"/>
        </w:rPr>
        <w:t>2</w:t>
      </w:r>
      <w:r w:rsidRPr="007E0247">
        <w:rPr>
          <w:rFonts w:asciiTheme="minorHAnsi" w:hAnsiTheme="minorHAnsi" w:cstheme="minorHAnsi"/>
          <w:lang w:val="en-US"/>
        </w:rPr>
        <w:t>/L/Day). Typical rates of primary production and ecosystem respiration range over two orders of magnitude, from around 0.2 to 20 mg O</w:t>
      </w:r>
      <w:r w:rsidRPr="007E0247">
        <w:rPr>
          <w:rFonts w:asciiTheme="minorHAnsi" w:hAnsiTheme="minorHAnsi" w:cstheme="minorHAnsi"/>
          <w:vertAlign w:val="subscript"/>
          <w:lang w:val="en-US"/>
        </w:rPr>
        <w:t>2</w:t>
      </w:r>
      <w:r w:rsidRPr="007E0247">
        <w:rPr>
          <w:rFonts w:asciiTheme="minorHAnsi" w:hAnsiTheme="minorHAnsi" w:cstheme="minorHAnsi"/>
          <w:lang w:val="en-US"/>
        </w:rPr>
        <w:t>/L/Day with most measurements falling between 0.5 and 10 mg O</w:t>
      </w:r>
      <w:r w:rsidRPr="007E0247">
        <w:rPr>
          <w:rFonts w:asciiTheme="minorHAnsi" w:hAnsiTheme="minorHAnsi" w:cstheme="minorHAnsi"/>
          <w:vertAlign w:val="subscript"/>
          <w:lang w:val="en-US"/>
        </w:rPr>
        <w:t>2</w:t>
      </w:r>
      <w:r w:rsidRPr="007E0247">
        <w:rPr>
          <w:rFonts w:asciiTheme="minorHAnsi" w:hAnsiTheme="minorHAnsi" w:cstheme="minorHAnsi"/>
          <w:lang w:val="en-US"/>
        </w:rPr>
        <w:t xml:space="preserve">/L/Day. </w:t>
      </w:r>
    </w:p>
    <w:p w14:paraId="05E11D44" w14:textId="557199F2" w:rsidR="00E2060E" w:rsidRPr="007E0247" w:rsidRDefault="00E2060E" w:rsidP="00E2060E">
      <w:pPr>
        <w:pStyle w:val="Para0"/>
        <w:rPr>
          <w:rFonts w:asciiTheme="minorHAnsi" w:hAnsiTheme="minorHAnsi" w:cstheme="minorHAnsi"/>
          <w:lang w:val="en-US"/>
        </w:rPr>
      </w:pPr>
      <w:r w:rsidRPr="007E0247">
        <w:rPr>
          <w:rFonts w:asciiTheme="minorHAnsi" w:hAnsiTheme="minorHAnsi" w:cstheme="minorHAnsi"/>
          <w:lang w:val="en-US"/>
        </w:rPr>
        <w:t xml:space="preserve">If process rates are too low, this will limit the amount of food resources (bacteria, </w:t>
      </w:r>
      <w:proofErr w:type="gramStart"/>
      <w:r w:rsidRPr="007E0247">
        <w:rPr>
          <w:rFonts w:asciiTheme="minorHAnsi" w:hAnsiTheme="minorHAnsi" w:cstheme="minorHAnsi"/>
          <w:lang w:val="en-US"/>
        </w:rPr>
        <w:t>algae</w:t>
      </w:r>
      <w:proofErr w:type="gramEnd"/>
      <w:r w:rsidRPr="007E0247">
        <w:rPr>
          <w:rFonts w:asciiTheme="minorHAnsi" w:hAnsiTheme="minorHAnsi" w:cstheme="minorHAnsi"/>
          <w:lang w:val="en-US"/>
        </w:rPr>
        <w:t xml:space="preserve"> and water plants) for consumers. This limitation will then constrain populations of larger organisms including fish and amphibians. Rates </w:t>
      </w:r>
      <w:r w:rsidRPr="00341517">
        <w:rPr>
          <w:rFonts w:asciiTheme="minorHAnsi" w:hAnsiTheme="minorHAnsi" w:cstheme="minorHAnsi"/>
          <w:iCs/>
          <w:lang w:val="en-US"/>
        </w:rPr>
        <w:t>are</w:t>
      </w:r>
      <w:r w:rsidRPr="007E0247">
        <w:rPr>
          <w:rFonts w:asciiTheme="minorHAnsi" w:hAnsiTheme="minorHAnsi" w:cstheme="minorHAnsi"/>
          <w:lang w:val="en-US"/>
        </w:rPr>
        <w:t xml:space="preserve"> expected to vary on a seasonal basis as warmer temperatures and more direct, and longer hours of, sunlight contribute to enhancing primary production. Warmer temperatures and a supply of organic carbon usually result in higher rates of ecosystem respiration </w:t>
      </w:r>
      <w:r w:rsidR="00AC34E7">
        <w:rPr>
          <w:rFonts w:asciiTheme="minorHAnsi" w:hAnsiTheme="minorHAnsi" w:cstheme="minorHAnsi"/>
          <w:noProof/>
          <w:lang w:val="en-US"/>
        </w:rPr>
        <w:t>(Roberts &amp; Mulholland 2007)</w:t>
      </w:r>
      <w:r w:rsidRPr="007E0247">
        <w:rPr>
          <w:rFonts w:asciiTheme="minorHAnsi" w:hAnsiTheme="minorHAnsi" w:cstheme="minorHAnsi"/>
          <w:lang w:val="en-US"/>
        </w:rPr>
        <w:t>.</w:t>
      </w:r>
    </w:p>
    <w:p w14:paraId="282C5D98" w14:textId="77777777" w:rsidR="00E2060E" w:rsidRPr="007E0247" w:rsidRDefault="00E2060E" w:rsidP="00E2060E">
      <w:pPr>
        <w:pStyle w:val="Para0"/>
        <w:rPr>
          <w:rFonts w:asciiTheme="minorHAnsi" w:hAnsiTheme="minorHAnsi" w:cstheme="minorHAnsi"/>
          <w:lang w:val="en-US"/>
        </w:rPr>
      </w:pPr>
      <w:r w:rsidRPr="007E0247">
        <w:rPr>
          <w:rFonts w:asciiTheme="minorHAnsi" w:hAnsiTheme="minorHAnsi" w:cstheme="minorHAnsi"/>
          <w:lang w:val="en-US"/>
        </w:rPr>
        <w:t xml:space="preserve">In general, there is concern when process rates are too high. Greatly elevated primary production rates usually equate to algal bloom conditions (or excessive growth of plants, including duckweed and </w:t>
      </w:r>
      <w:r w:rsidRPr="007E0247">
        <w:rPr>
          <w:rFonts w:asciiTheme="minorHAnsi" w:hAnsiTheme="minorHAnsi" w:cstheme="minorHAnsi"/>
          <w:i/>
          <w:iCs/>
          <w:lang w:val="en-US"/>
        </w:rPr>
        <w:t>Azolla</w:t>
      </w:r>
      <w:r w:rsidRPr="007E0247">
        <w:rPr>
          <w:rFonts w:asciiTheme="minorHAnsi" w:hAnsiTheme="minorHAnsi" w:cstheme="minorHAnsi"/>
          <w:lang w:val="en-US"/>
        </w:rPr>
        <w:t xml:space="preserve">), which may block sunlight penetration, killing other submerged plants, produce algal toxins and large diel DO swings - overnight, elevated respiration rates can drive the </w:t>
      </w:r>
      <w:proofErr w:type="gramStart"/>
      <w:r w:rsidRPr="007E0247">
        <w:rPr>
          <w:rFonts w:asciiTheme="minorHAnsi" w:hAnsiTheme="minorHAnsi" w:cstheme="minorHAnsi"/>
          <w:lang w:val="en-US"/>
        </w:rPr>
        <w:t>DO</w:t>
      </w:r>
      <w:proofErr w:type="gramEnd"/>
      <w:r w:rsidRPr="007E0247">
        <w:rPr>
          <w:rFonts w:asciiTheme="minorHAnsi" w:hAnsiTheme="minorHAnsi" w:cstheme="minorHAnsi"/>
          <w:lang w:val="en-US"/>
        </w:rPr>
        <w:t xml:space="preserve"> to the point of anoxia (no dissolved oxygen in the water). </w:t>
      </w:r>
      <w:r w:rsidRPr="007E0247">
        <w:rPr>
          <w:rFonts w:asciiTheme="minorHAnsi" w:hAnsiTheme="minorHAnsi" w:cstheme="minorHAnsi"/>
          <w:i/>
          <w:iCs/>
          <w:lang w:val="en-US"/>
        </w:rPr>
        <w:t xml:space="preserve">Such conditions have been observed in several sites in the Goulburn River in previous years of the </w:t>
      </w:r>
      <w:proofErr w:type="gramStart"/>
      <w:r w:rsidRPr="007E0247">
        <w:rPr>
          <w:rFonts w:asciiTheme="minorHAnsi" w:hAnsiTheme="minorHAnsi" w:cstheme="minorHAnsi"/>
          <w:i/>
          <w:iCs/>
          <w:lang w:val="en-US"/>
        </w:rPr>
        <w:t>Long Term</w:t>
      </w:r>
      <w:proofErr w:type="gramEnd"/>
      <w:r w:rsidRPr="007E0247">
        <w:rPr>
          <w:rFonts w:asciiTheme="minorHAnsi" w:hAnsiTheme="minorHAnsi" w:cstheme="minorHAnsi"/>
          <w:i/>
          <w:iCs/>
          <w:lang w:val="en-US"/>
        </w:rPr>
        <w:t xml:space="preserve"> Intervention Monitoring (LTIM) project</w:t>
      </w:r>
      <w:r w:rsidRPr="007E0247">
        <w:rPr>
          <w:rFonts w:asciiTheme="minorHAnsi" w:hAnsiTheme="minorHAnsi" w:cstheme="minorHAnsi"/>
          <w:lang w:val="en-US"/>
        </w:rPr>
        <w:t>. When an algal bloom collapses, the large biomass of labile organic material is respired, often resulting in extended anoxia. Very low (or no) DO in the water can result in fish kills and unpleasant odors. Bloom collapse often coincides with release of algal toxins; hence the water becomes unusable for stock and domestic purposes as well.</w:t>
      </w:r>
    </w:p>
    <w:p w14:paraId="490F6A48" w14:textId="560C4E07" w:rsidR="00E2060E" w:rsidRPr="007E0247" w:rsidRDefault="00E2060E" w:rsidP="00E2060E">
      <w:pPr>
        <w:pStyle w:val="Para0"/>
        <w:rPr>
          <w:rFonts w:asciiTheme="minorHAnsi" w:hAnsiTheme="minorHAnsi" w:cstheme="minorHAnsi"/>
          <w:lang w:val="en-US"/>
        </w:rPr>
      </w:pPr>
      <w:r w:rsidRPr="007E0247">
        <w:rPr>
          <w:rFonts w:asciiTheme="minorHAnsi" w:hAnsiTheme="minorHAnsi" w:cstheme="minorHAnsi"/>
          <w:lang w:val="en-US"/>
        </w:rPr>
        <w:t>Sustainable rates of primary production will primarily depend on the characteristics of the aquatic ecosystem. Streams with naturally higher concentrations of nutrients (</w:t>
      </w:r>
      <w:proofErr w:type="gramStart"/>
      <w:r w:rsidRPr="007E0247">
        <w:rPr>
          <w:rFonts w:asciiTheme="minorHAnsi" w:hAnsiTheme="minorHAnsi" w:cstheme="minorHAnsi"/>
          <w:lang w:val="en-US"/>
        </w:rPr>
        <w:t>e.g.</w:t>
      </w:r>
      <w:proofErr w:type="gramEnd"/>
      <w:r w:rsidRPr="007E0247">
        <w:rPr>
          <w:rFonts w:asciiTheme="minorHAnsi" w:hAnsiTheme="minorHAnsi" w:cstheme="minorHAnsi"/>
          <w:lang w:val="en-US"/>
        </w:rPr>
        <w:t xml:space="preserve"> arising from the geology), especially those with very open canopies (hence lots of sunlight access to the water) will have much higher natural rates of primary production than forested streams, where rates might be extremely low due to heavy shading and low </w:t>
      </w:r>
      <w:r w:rsidR="00341517">
        <w:rPr>
          <w:rFonts w:asciiTheme="minorHAnsi" w:hAnsiTheme="minorHAnsi" w:cstheme="minorHAnsi"/>
          <w:lang w:val="en-US"/>
        </w:rPr>
        <w:t xml:space="preserve">nutrient </w:t>
      </w:r>
      <w:r w:rsidRPr="007E0247">
        <w:rPr>
          <w:rFonts w:asciiTheme="minorHAnsi" w:hAnsiTheme="minorHAnsi" w:cstheme="minorHAnsi"/>
          <w:lang w:val="en-US"/>
        </w:rPr>
        <w:t xml:space="preserve">concentrations. Habitat availability, climate and many other factors also influence food web structure and function. </w:t>
      </w:r>
      <w:r w:rsidR="00513803" w:rsidRPr="007E0247">
        <w:rPr>
          <w:rFonts w:asciiTheme="minorHAnsi" w:hAnsiTheme="minorHAnsi" w:cstheme="minorHAnsi"/>
          <w:noProof/>
          <w:lang w:val="en-US"/>
        </w:rPr>
        <w:t>Uehlinger (2000)</w:t>
      </w:r>
      <w:r w:rsidRPr="007E0247">
        <w:rPr>
          <w:rFonts w:asciiTheme="minorHAnsi" w:hAnsiTheme="minorHAnsi" w:cstheme="minorHAnsi"/>
          <w:lang w:val="en-US"/>
        </w:rPr>
        <w:t xml:space="preserve"> demonstrated that </w:t>
      </w:r>
      <w:proofErr w:type="spellStart"/>
      <w:r w:rsidRPr="007E0247">
        <w:rPr>
          <w:rFonts w:asciiTheme="minorHAnsi" w:hAnsiTheme="minorHAnsi" w:cstheme="minorHAnsi"/>
          <w:lang w:val="en-US"/>
        </w:rPr>
        <w:t>freshes</w:t>
      </w:r>
      <w:proofErr w:type="spellEnd"/>
      <w:r w:rsidRPr="007E0247">
        <w:rPr>
          <w:rFonts w:asciiTheme="minorHAnsi" w:hAnsiTheme="minorHAnsi" w:cstheme="minorHAnsi"/>
          <w:lang w:val="en-US"/>
        </w:rPr>
        <w:t xml:space="preserve"> with sufficient stream power to cause scouring can ‘reset’ primary production to very low rates which are then maintained until biomass of primary producers is re-established.</w:t>
      </w:r>
    </w:p>
    <w:p w14:paraId="6F6D32BB" w14:textId="4F21C4E1" w:rsidR="00E2060E" w:rsidRDefault="00E2060E" w:rsidP="00E2060E">
      <w:pPr>
        <w:rPr>
          <w:rFonts w:cstheme="minorHAnsi"/>
          <w:lang w:val="en-US"/>
        </w:rPr>
      </w:pPr>
      <w:r w:rsidRPr="007E0247">
        <w:rPr>
          <w:rFonts w:cstheme="minorHAnsi"/>
          <w:i/>
          <w:iCs/>
          <w:lang w:val="en-US"/>
        </w:rPr>
        <w:t xml:space="preserve">Some </w:t>
      </w:r>
      <w:r w:rsidRPr="007E0247">
        <w:rPr>
          <w:rFonts w:cstheme="minorHAnsi"/>
          <w:i/>
          <w:iCs/>
          <w:u w:val="single"/>
          <w:lang w:val="en-US"/>
        </w:rPr>
        <w:t xml:space="preserve">but not </w:t>
      </w:r>
      <w:proofErr w:type="gramStart"/>
      <w:r w:rsidRPr="007E0247">
        <w:rPr>
          <w:rFonts w:cstheme="minorHAnsi"/>
          <w:i/>
          <w:iCs/>
          <w:u w:val="single"/>
          <w:lang w:val="en-US"/>
        </w:rPr>
        <w:t>all</w:t>
      </w:r>
      <w:r w:rsidRPr="007E0247">
        <w:rPr>
          <w:rFonts w:cstheme="minorHAnsi"/>
          <w:i/>
          <w:iCs/>
          <w:lang w:val="en-US"/>
        </w:rPr>
        <w:t xml:space="preserve"> of</w:t>
      </w:r>
      <w:proofErr w:type="gramEnd"/>
      <w:r w:rsidRPr="007E0247">
        <w:rPr>
          <w:rFonts w:cstheme="minorHAnsi"/>
          <w:i/>
          <w:iCs/>
          <w:lang w:val="en-US"/>
        </w:rPr>
        <w:t xml:space="preserve"> the organic carbon created through gross primary production is respired within the first 24 hours</w:t>
      </w:r>
      <w:r w:rsidRPr="007E0247">
        <w:rPr>
          <w:rFonts w:cstheme="minorHAnsi"/>
          <w:lang w:val="en-US"/>
        </w:rPr>
        <w:t>. Such respiration is performed by the autotrophs (primary producers) themselves and closely associated heterotrophic communities. Although there is a large amount of variability in the proportion respired ‘immediately’</w:t>
      </w:r>
      <w:r w:rsidR="00797D1F">
        <w:rPr>
          <w:rFonts w:cstheme="minorHAnsi"/>
          <w:lang w:val="en-US"/>
        </w:rPr>
        <w:t xml:space="preserve">, </w:t>
      </w:r>
      <w:r w:rsidR="002F3125" w:rsidRPr="002F3125">
        <w:rPr>
          <w:rFonts w:cstheme="minorHAnsi"/>
          <w:noProof/>
          <w:lang w:val="en-US"/>
        </w:rPr>
        <w:t>Hall &amp; Beaulieu (2013)</w:t>
      </w:r>
      <w:r w:rsidR="00797D1F">
        <w:rPr>
          <w:rFonts w:cstheme="minorHAnsi"/>
          <w:lang w:val="en-US"/>
        </w:rPr>
        <w:t xml:space="preserve"> </w:t>
      </w:r>
      <w:r w:rsidRPr="007E0247">
        <w:rPr>
          <w:rFonts w:cstheme="minorHAnsi"/>
          <w:lang w:val="en-US"/>
        </w:rPr>
        <w:t>estimate that on average 44% of new organic carbon created is respired before it can move into higher trophic levels.</w:t>
      </w:r>
    </w:p>
    <w:p w14:paraId="241A2952" w14:textId="26AEA25F" w:rsidR="0073393B" w:rsidRDefault="0073393B" w:rsidP="0073393B">
      <w:pPr>
        <w:pStyle w:val="Heading2"/>
      </w:pPr>
      <w:bookmarkStart w:id="189" w:name="_Toc84416090"/>
      <w:bookmarkStart w:id="190" w:name="_Toc84417344"/>
      <w:bookmarkStart w:id="191" w:name="_Toc84475677"/>
      <w:r w:rsidRPr="00BA2632">
        <w:lastRenderedPageBreak/>
        <w:t>Area specific evaluation questions</w:t>
      </w:r>
      <w:bookmarkEnd w:id="189"/>
      <w:bookmarkEnd w:id="190"/>
      <w:bookmarkEnd w:id="191"/>
    </w:p>
    <w:p w14:paraId="60E24EE2" w14:textId="151DC209" w:rsidR="00E2060E" w:rsidRPr="00BA2632" w:rsidRDefault="00E2060E" w:rsidP="00E2060E">
      <w:r w:rsidRPr="00BA2632">
        <w:t xml:space="preserve">The key basin and area-scale evaluation questions and relevant indicators for metabolism are listed in </w:t>
      </w:r>
      <w:r w:rsidR="00105FBB" w:rsidRPr="00BA2632">
        <w:t xml:space="preserve">Table </w:t>
      </w:r>
      <w:r w:rsidR="00105FBB">
        <w:rPr>
          <w:noProof/>
        </w:rPr>
        <w:t>5</w:t>
      </w:r>
      <w:r w:rsidR="00105FBB">
        <w:rPr>
          <w:noProof/>
        </w:rPr>
        <w:noBreakHyphen/>
        <w:t>1</w:t>
      </w:r>
      <w:r w:rsidRPr="00BA2632">
        <w:t>.</w:t>
      </w:r>
    </w:p>
    <w:p w14:paraId="64F90FBD" w14:textId="5F71C8B5" w:rsidR="00E2060E" w:rsidRPr="00BA2632" w:rsidRDefault="00E2060E" w:rsidP="00E2060E">
      <w:pPr>
        <w:pStyle w:val="Caption"/>
        <w:rPr>
          <w:rFonts w:cstheme="minorHAnsi"/>
        </w:rPr>
      </w:pPr>
      <w:bookmarkStart w:id="192" w:name="_Ref46911923"/>
      <w:bookmarkStart w:id="193" w:name="_Toc95391462"/>
      <w:r w:rsidRPr="00BA2632">
        <w:t xml:space="preserve">Table </w:t>
      </w:r>
      <w:r w:rsidR="000B75AF">
        <w:rPr>
          <w:noProof/>
        </w:rPr>
        <w:t>5</w:t>
      </w:r>
      <w:r w:rsidR="000B75AF">
        <w:noBreakHyphen/>
      </w:r>
      <w:r w:rsidR="000B75AF">
        <w:rPr>
          <w:noProof/>
        </w:rPr>
        <w:t>1</w:t>
      </w:r>
      <w:bookmarkEnd w:id="192"/>
      <w:r w:rsidRPr="00BA2632">
        <w:t xml:space="preserve"> </w:t>
      </w:r>
      <w:r w:rsidRPr="00BA2632">
        <w:rPr>
          <w:rFonts w:cstheme="minorHAnsi"/>
        </w:rPr>
        <w:t>Metabolism key evaluation questions for the Goulburn selected area and associated indicators and evaluation approaches.</w:t>
      </w:r>
      <w:bookmarkEnd w:id="193"/>
    </w:p>
    <w:tbl>
      <w:tblPr>
        <w:tblStyle w:val="LightList-Accent11"/>
        <w:tblpPr w:leftFromText="180" w:rightFromText="180" w:vertAnchor="text" w:horzAnchor="margin" w:tblpXSpec="center" w:tblpY="11"/>
        <w:tblW w:w="10060" w:type="dxa"/>
        <w:tblLook w:val="04A0" w:firstRow="1" w:lastRow="0" w:firstColumn="1" w:lastColumn="0" w:noHBand="0" w:noVBand="1"/>
      </w:tblPr>
      <w:tblGrid>
        <w:gridCol w:w="3392"/>
        <w:gridCol w:w="3402"/>
        <w:gridCol w:w="3266"/>
      </w:tblGrid>
      <w:tr w:rsidR="00E2060E" w:rsidRPr="00BA2632" w14:paraId="31F8D84F" w14:textId="77777777" w:rsidTr="00797D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tcPr>
          <w:p w14:paraId="41DDA51E" w14:textId="77777777" w:rsidR="00E2060E" w:rsidRPr="00BA2632" w:rsidRDefault="00E2060E" w:rsidP="00E26D3C">
            <w:pPr>
              <w:jc w:val="left"/>
              <w:rPr>
                <w:rFonts w:cstheme="minorHAnsi"/>
                <w:b w:val="0"/>
                <w:sz w:val="18"/>
                <w:szCs w:val="18"/>
              </w:rPr>
            </w:pPr>
            <w:r w:rsidRPr="00BA2632">
              <w:rPr>
                <w:rFonts w:cstheme="minorHAnsi"/>
                <w:sz w:val="18"/>
                <w:szCs w:val="18"/>
              </w:rPr>
              <w:t>Key Evaluation Questions</w:t>
            </w:r>
          </w:p>
        </w:tc>
        <w:tc>
          <w:tcPr>
            <w:tcW w:w="3402" w:type="dxa"/>
          </w:tcPr>
          <w:p w14:paraId="6F145978" w14:textId="77777777" w:rsidR="00E2060E" w:rsidRPr="00BA2632" w:rsidRDefault="00E2060E" w:rsidP="00E26D3C">
            <w:pPr>
              <w:jc w:val="left"/>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BA2632">
              <w:rPr>
                <w:rFonts w:cstheme="minorHAnsi"/>
                <w:sz w:val="18"/>
                <w:szCs w:val="18"/>
              </w:rPr>
              <w:t>Indicator</w:t>
            </w:r>
          </w:p>
        </w:tc>
        <w:tc>
          <w:tcPr>
            <w:tcW w:w="3266" w:type="dxa"/>
          </w:tcPr>
          <w:p w14:paraId="7AB94E2C" w14:textId="77777777" w:rsidR="00E2060E" w:rsidRPr="00BA2632" w:rsidRDefault="00E2060E" w:rsidP="00E26D3C">
            <w:pPr>
              <w:jc w:val="left"/>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BA2632">
              <w:rPr>
                <w:rFonts w:cstheme="minorHAnsi"/>
                <w:sz w:val="18"/>
                <w:szCs w:val="18"/>
              </w:rPr>
              <w:t>Evaluation Approaches</w:t>
            </w:r>
          </w:p>
        </w:tc>
      </w:tr>
      <w:tr w:rsidR="00E2060E" w:rsidRPr="00BA2632" w14:paraId="37A3185C" w14:textId="77777777" w:rsidTr="00797D1F">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10060" w:type="dxa"/>
            <w:gridSpan w:val="3"/>
            <w:vAlign w:val="center"/>
          </w:tcPr>
          <w:p w14:paraId="328F1EF3" w14:textId="77777777" w:rsidR="00E2060E" w:rsidRPr="00BA2632" w:rsidRDefault="00E2060E" w:rsidP="00E26D3C">
            <w:pPr>
              <w:jc w:val="center"/>
              <w:rPr>
                <w:rFonts w:cstheme="minorHAnsi"/>
                <w:sz w:val="18"/>
                <w:szCs w:val="18"/>
              </w:rPr>
            </w:pPr>
            <w:r w:rsidRPr="00BA2632">
              <w:rPr>
                <w:rFonts w:cstheme="minorHAnsi"/>
                <w:sz w:val="18"/>
                <w:szCs w:val="18"/>
              </w:rPr>
              <w:t>Basin Scale evaluation Questions</w:t>
            </w:r>
          </w:p>
        </w:tc>
      </w:tr>
      <w:tr w:rsidR="00E2060E" w:rsidRPr="00BA2632" w14:paraId="325460BD" w14:textId="77777777" w:rsidTr="00797D1F">
        <w:trPr>
          <w:trHeight w:val="702"/>
        </w:trPr>
        <w:tc>
          <w:tcPr>
            <w:cnfStyle w:val="001000000000" w:firstRow="0" w:lastRow="0" w:firstColumn="1" w:lastColumn="0" w:oddVBand="0" w:evenVBand="0" w:oddHBand="0" w:evenHBand="0" w:firstRowFirstColumn="0" w:firstRowLastColumn="0" w:lastRowFirstColumn="0" w:lastRowLastColumn="0"/>
            <w:tcW w:w="3392" w:type="dxa"/>
          </w:tcPr>
          <w:p w14:paraId="06EA5139" w14:textId="77777777" w:rsidR="00E2060E" w:rsidRPr="00BA2632" w:rsidRDefault="00E2060E"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What did CEW contribute to patterns and rates of decomposition?</w:t>
            </w:r>
          </w:p>
        </w:tc>
        <w:tc>
          <w:tcPr>
            <w:tcW w:w="3402" w:type="dxa"/>
          </w:tcPr>
          <w:p w14:paraId="663ABC57" w14:textId="77777777" w:rsidR="00E2060E" w:rsidRPr="00BA2632" w:rsidRDefault="00E2060E"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Dissolved oxygen, light and water temperature measurements taken at 15-minute intervals every day over the year</w:t>
            </w:r>
          </w:p>
        </w:tc>
        <w:tc>
          <w:tcPr>
            <w:tcW w:w="3266" w:type="dxa"/>
          </w:tcPr>
          <w:p w14:paraId="76583E21" w14:textId="77777777" w:rsidR="00E2060E" w:rsidRPr="00BA2632" w:rsidRDefault="00E2060E"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Estimation of Ecosystem Respiration using the BASEv2 Bayesian Model</w:t>
            </w:r>
          </w:p>
        </w:tc>
      </w:tr>
      <w:tr w:rsidR="00E2060E" w:rsidRPr="00BA2632" w14:paraId="5637739C" w14:textId="77777777" w:rsidTr="00797D1F">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3392" w:type="dxa"/>
          </w:tcPr>
          <w:p w14:paraId="6A100A19" w14:textId="77777777" w:rsidR="00E2060E" w:rsidRPr="00BA2632" w:rsidRDefault="00E2060E"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What did CEW contribute to patterns and rates of primary productivity?</w:t>
            </w:r>
          </w:p>
        </w:tc>
        <w:tc>
          <w:tcPr>
            <w:tcW w:w="3402" w:type="dxa"/>
          </w:tcPr>
          <w:p w14:paraId="04606050" w14:textId="77777777" w:rsidR="00E2060E" w:rsidRPr="00BA2632" w:rsidRDefault="00E2060E"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Dissolved oxygen, light and water temperature measurements taken at 15-minute intervals every day over the year</w:t>
            </w:r>
          </w:p>
        </w:tc>
        <w:tc>
          <w:tcPr>
            <w:tcW w:w="3266" w:type="dxa"/>
          </w:tcPr>
          <w:p w14:paraId="005BA0E0" w14:textId="77777777" w:rsidR="00E2060E" w:rsidRPr="00BA2632" w:rsidRDefault="00E2060E"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Estimation of Gross Primary Production using the BASEv2 Bayesian Model</w:t>
            </w:r>
          </w:p>
        </w:tc>
      </w:tr>
      <w:tr w:rsidR="00E2060E" w:rsidRPr="00BA2632" w14:paraId="499D38E2" w14:textId="77777777" w:rsidTr="00797D1F">
        <w:trPr>
          <w:trHeight w:val="318"/>
        </w:trPr>
        <w:tc>
          <w:tcPr>
            <w:cnfStyle w:val="001000000000" w:firstRow="0" w:lastRow="0" w:firstColumn="1" w:lastColumn="0" w:oddVBand="0" w:evenVBand="0" w:oddHBand="0" w:evenHBand="0" w:firstRowFirstColumn="0" w:firstRowLastColumn="0" w:lastRowFirstColumn="0" w:lastRowLastColumn="0"/>
            <w:tcW w:w="10060" w:type="dxa"/>
            <w:gridSpan w:val="3"/>
            <w:vAlign w:val="center"/>
          </w:tcPr>
          <w:p w14:paraId="285B1765" w14:textId="77777777" w:rsidR="00E2060E" w:rsidRPr="00BA2632" w:rsidRDefault="00E2060E" w:rsidP="00E26D3C">
            <w:pPr>
              <w:jc w:val="center"/>
              <w:rPr>
                <w:rFonts w:cstheme="minorHAnsi"/>
                <w:sz w:val="18"/>
                <w:szCs w:val="18"/>
              </w:rPr>
            </w:pPr>
            <w:r w:rsidRPr="00BA2632">
              <w:rPr>
                <w:rFonts w:cstheme="minorHAnsi"/>
                <w:sz w:val="18"/>
                <w:szCs w:val="18"/>
              </w:rPr>
              <w:t>Area Scale evaluation questions</w:t>
            </w:r>
          </w:p>
        </w:tc>
      </w:tr>
      <w:tr w:rsidR="00E2060E" w:rsidRPr="00BA2632" w14:paraId="68D5D518" w14:textId="77777777" w:rsidTr="00797D1F">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3392" w:type="dxa"/>
          </w:tcPr>
          <w:p w14:paraId="2F9C22F9" w14:textId="77777777" w:rsidR="00E2060E" w:rsidRPr="00BA2632" w:rsidRDefault="00E2060E"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How does the timing and magnitude of CEW delivery affect rates of Gross Primary Productivity and Ecosystem Respiration in the lower Goulburn River?</w:t>
            </w:r>
          </w:p>
        </w:tc>
        <w:tc>
          <w:tcPr>
            <w:tcW w:w="3402" w:type="dxa"/>
          </w:tcPr>
          <w:p w14:paraId="13F68160" w14:textId="77777777" w:rsidR="00E2060E" w:rsidRPr="00BA2632" w:rsidRDefault="00E2060E"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Dissolved oxygen, light and water temperature measurements taken at 15-minute intervals every day over the year</w:t>
            </w:r>
          </w:p>
          <w:p w14:paraId="72CE0E52" w14:textId="77777777" w:rsidR="00E2060E" w:rsidRPr="00BA2632" w:rsidRDefault="00E2060E"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Daily Discharge including CEW contribution</w:t>
            </w:r>
          </w:p>
        </w:tc>
        <w:tc>
          <w:tcPr>
            <w:tcW w:w="3266" w:type="dxa"/>
          </w:tcPr>
          <w:p w14:paraId="660866CF" w14:textId="77777777" w:rsidR="00E2060E" w:rsidRPr="00BA2632" w:rsidRDefault="00E2060E"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Estimation of Gross Primary Production and Ecosystem Respiration using the BASEv2 Bayesian Model</w:t>
            </w:r>
          </w:p>
          <w:p w14:paraId="6B5CF953" w14:textId="77777777" w:rsidR="00E2060E" w:rsidRPr="00BA2632" w:rsidRDefault="00E2060E"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Inclusion of Organic Loads and relationship with putative flow categories</w:t>
            </w:r>
          </w:p>
        </w:tc>
      </w:tr>
      <w:tr w:rsidR="00E2060E" w:rsidRPr="00BA2632" w14:paraId="09CCC9F2" w14:textId="77777777" w:rsidTr="00797D1F">
        <w:trPr>
          <w:trHeight w:val="702"/>
        </w:trPr>
        <w:tc>
          <w:tcPr>
            <w:cnfStyle w:val="001000000000" w:firstRow="0" w:lastRow="0" w:firstColumn="1" w:lastColumn="0" w:oddVBand="0" w:evenVBand="0" w:oddHBand="0" w:evenHBand="0" w:firstRowFirstColumn="0" w:firstRowLastColumn="0" w:lastRowFirstColumn="0" w:lastRowLastColumn="0"/>
            <w:tcW w:w="3392" w:type="dxa"/>
          </w:tcPr>
          <w:p w14:paraId="6E5CE1F1" w14:textId="77777777" w:rsidR="00E2060E" w:rsidRPr="00BA2632" w:rsidRDefault="00E2060E"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How do stream metabolism responses to CEW in the lower Goulburn River differ from CEW responses in the Edward Wakool system where the likelihood of overbank flows is higher and nutrient concentrations are generally much lower?</w:t>
            </w:r>
          </w:p>
        </w:tc>
        <w:tc>
          <w:tcPr>
            <w:tcW w:w="3402" w:type="dxa"/>
          </w:tcPr>
          <w:p w14:paraId="7C54CDCA" w14:textId="77777777" w:rsidR="00E2060E" w:rsidRPr="00BA2632" w:rsidRDefault="00E2060E"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Similar methods and analysis performed in both the Goulburn and Edward-Wakool Selected Areas. Comparison including nutrient contrasts to be performed by the Basin Level Evaluation</w:t>
            </w:r>
          </w:p>
        </w:tc>
        <w:tc>
          <w:tcPr>
            <w:tcW w:w="3266" w:type="dxa"/>
          </w:tcPr>
          <w:p w14:paraId="0F63FC25" w14:textId="481CE896" w:rsidR="00E2060E" w:rsidRPr="00E00DC6" w:rsidRDefault="00E2060E" w:rsidP="00E00DC6">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Estimation of Gross Primary Production and Ecosystem Respiration using the BASEv2 Bayesian Model</w:t>
            </w:r>
          </w:p>
        </w:tc>
      </w:tr>
    </w:tbl>
    <w:p w14:paraId="621F71A8" w14:textId="77777777" w:rsidR="00E2060E" w:rsidRPr="00E2060E" w:rsidRDefault="00E2060E" w:rsidP="00E2060E">
      <w:pPr>
        <w:rPr>
          <w:lang w:eastAsia="en-US"/>
        </w:rPr>
      </w:pPr>
    </w:p>
    <w:p w14:paraId="69CC82AD" w14:textId="116F27E8" w:rsidR="0073393B" w:rsidRDefault="0073393B" w:rsidP="0073393B">
      <w:pPr>
        <w:pStyle w:val="Heading2"/>
      </w:pPr>
      <w:bookmarkStart w:id="194" w:name="_Toc84416091"/>
      <w:bookmarkStart w:id="195" w:name="_Toc84417345"/>
      <w:bookmarkStart w:id="196" w:name="_Toc84475678"/>
      <w:r w:rsidRPr="00BA2632">
        <w:t>Main findings from monitoring program</w:t>
      </w:r>
      <w:bookmarkEnd w:id="194"/>
      <w:bookmarkEnd w:id="195"/>
      <w:bookmarkEnd w:id="196"/>
    </w:p>
    <w:p w14:paraId="40B4C979" w14:textId="7E20A7A9" w:rsidR="001703F5" w:rsidRDefault="001703F5" w:rsidP="00666429">
      <w:pPr>
        <w:pStyle w:val="Heading3"/>
      </w:pPr>
      <w:bookmarkStart w:id="197" w:name="_Ref84231249"/>
      <w:bookmarkStart w:id="198" w:name="_Toc84417346"/>
      <w:r w:rsidRPr="00BA2632">
        <w:t>20</w:t>
      </w:r>
      <w:r>
        <w:t>20</w:t>
      </w:r>
      <w:r w:rsidRPr="00BA2632">
        <w:t>/2</w:t>
      </w:r>
      <w:r>
        <w:t>1</w:t>
      </w:r>
      <w:r w:rsidRPr="00BA2632">
        <w:t xml:space="preserve"> findings</w:t>
      </w:r>
      <w:bookmarkEnd w:id="197"/>
      <w:bookmarkEnd w:id="198"/>
    </w:p>
    <w:p w14:paraId="72A1FB06" w14:textId="77777777" w:rsidR="001703F5" w:rsidRPr="004C0595" w:rsidRDefault="001703F5" w:rsidP="00F276C1">
      <w:pPr>
        <w:pStyle w:val="Para0"/>
        <w:rPr>
          <w:rFonts w:asciiTheme="minorHAnsi" w:hAnsiTheme="minorHAnsi" w:cstheme="minorHAnsi"/>
        </w:rPr>
      </w:pPr>
      <w:r w:rsidRPr="004C0595">
        <w:rPr>
          <w:rFonts w:asciiTheme="minorHAnsi" w:hAnsiTheme="minorHAnsi" w:cstheme="minorHAnsi"/>
        </w:rPr>
        <w:t>The main findings from both MER in 2020-21 and consideration of the entire 2014–21 data set can be summarised as:</w:t>
      </w:r>
    </w:p>
    <w:p w14:paraId="4B280DBD" w14:textId="77777777" w:rsidR="001703F5" w:rsidRPr="004C0595" w:rsidRDefault="001703F5" w:rsidP="00DE6E94">
      <w:pPr>
        <w:pStyle w:val="Para0"/>
        <w:numPr>
          <w:ilvl w:val="0"/>
          <w:numId w:val="83"/>
        </w:numPr>
        <w:rPr>
          <w:rFonts w:asciiTheme="minorHAnsi" w:hAnsiTheme="minorHAnsi" w:cstheme="minorHAnsi"/>
        </w:rPr>
      </w:pPr>
      <w:r w:rsidRPr="004C0595">
        <w:rPr>
          <w:rFonts w:asciiTheme="minorHAnsi" w:hAnsiTheme="minorHAnsi" w:cstheme="minorHAnsi"/>
        </w:rPr>
        <w:t xml:space="preserve">All rates found in the Goulburn Selected Area were typical of those in the southern Murray-Darling Basin, where usually low bioavailable nutrient concentrations constrained GPP. The rates are at the lower end of the ‘normal’ range found in global comparisons, but such comparisons are fraught due to the preponderance of clear water streams measured elsewhere. Reduced light availability due to turbidity is </w:t>
      </w:r>
      <w:proofErr w:type="gramStart"/>
      <w:r w:rsidRPr="004C0595">
        <w:rPr>
          <w:rFonts w:asciiTheme="minorHAnsi" w:hAnsiTheme="minorHAnsi" w:cstheme="minorHAnsi"/>
        </w:rPr>
        <w:t>definitely also</w:t>
      </w:r>
      <w:proofErr w:type="gramEnd"/>
      <w:r w:rsidRPr="004C0595">
        <w:rPr>
          <w:rFonts w:asciiTheme="minorHAnsi" w:hAnsiTheme="minorHAnsi" w:cstheme="minorHAnsi"/>
        </w:rPr>
        <w:t xml:space="preserve"> a major factor constraining GPP in the Goulburn and the MDB in general.</w:t>
      </w:r>
    </w:p>
    <w:p w14:paraId="5AA3EF8A" w14:textId="77777777" w:rsidR="001703F5" w:rsidRDefault="001703F5" w:rsidP="00DE6E94">
      <w:pPr>
        <w:pStyle w:val="Para0"/>
        <w:numPr>
          <w:ilvl w:val="0"/>
          <w:numId w:val="83"/>
        </w:numPr>
        <w:rPr>
          <w:rFonts w:asciiTheme="minorHAnsi" w:hAnsiTheme="minorHAnsi" w:cstheme="minorHAnsi"/>
        </w:rPr>
      </w:pPr>
      <w:r w:rsidRPr="004C0595">
        <w:rPr>
          <w:rFonts w:asciiTheme="minorHAnsi" w:hAnsiTheme="minorHAnsi" w:cstheme="minorHAnsi"/>
        </w:rPr>
        <w:t xml:space="preserve">Contrary to the prevailing thought at the start of the LTIM project that water needed to reach backwaters, flood-runners and even the floodplain before any positive outcome would be seen in metabolism, by considering the amount of organic carbon created by GPP (and consumed by ER), this report again shows that even small increases in discharge that remain within channel can still have substantial positive benefits for the energy (‘food’) underpinning aquatic </w:t>
      </w:r>
      <w:proofErr w:type="spellStart"/>
      <w:r w:rsidRPr="004C0595">
        <w:rPr>
          <w:rFonts w:asciiTheme="minorHAnsi" w:hAnsiTheme="minorHAnsi" w:cstheme="minorHAnsi"/>
        </w:rPr>
        <w:t>foodwebs</w:t>
      </w:r>
      <w:proofErr w:type="spellEnd"/>
      <w:r w:rsidRPr="004C0595">
        <w:rPr>
          <w:rFonts w:asciiTheme="minorHAnsi" w:hAnsiTheme="minorHAnsi" w:cstheme="minorHAnsi"/>
        </w:rPr>
        <w:t>.</w:t>
      </w:r>
    </w:p>
    <w:p w14:paraId="5E295FD7" w14:textId="77777777" w:rsidR="001703F5" w:rsidRPr="004C0595" w:rsidRDefault="001703F5" w:rsidP="00DE6E94">
      <w:pPr>
        <w:pStyle w:val="Para0"/>
        <w:numPr>
          <w:ilvl w:val="0"/>
          <w:numId w:val="83"/>
        </w:numPr>
        <w:rPr>
          <w:rFonts w:asciiTheme="minorHAnsi" w:hAnsiTheme="minorHAnsi" w:cstheme="minorHAnsi"/>
        </w:rPr>
      </w:pPr>
      <w:r>
        <w:rPr>
          <w:rFonts w:asciiTheme="minorHAnsi" w:hAnsiTheme="minorHAnsi" w:cstheme="minorHAnsi"/>
        </w:rPr>
        <w:t>This year produced the clearest evidence yet seen that even though flow pulses dilute GPP, when the hydrograph falls again, GPP and ER increase in response, suggesting that the higher flow event has brought in more nutrients and organic carbon to stimulate these higher rates.</w:t>
      </w:r>
    </w:p>
    <w:p w14:paraId="744EABB8" w14:textId="77777777" w:rsidR="001703F5" w:rsidRPr="004C0595" w:rsidRDefault="001703F5" w:rsidP="00DE6E94">
      <w:pPr>
        <w:pStyle w:val="Para0"/>
        <w:numPr>
          <w:ilvl w:val="0"/>
          <w:numId w:val="83"/>
        </w:numPr>
        <w:rPr>
          <w:rFonts w:asciiTheme="minorHAnsi" w:hAnsiTheme="minorHAnsi" w:cstheme="minorHAnsi"/>
        </w:rPr>
      </w:pPr>
      <w:r w:rsidRPr="004C0595">
        <w:rPr>
          <w:rFonts w:asciiTheme="minorHAnsi" w:hAnsiTheme="minorHAnsi" w:cstheme="minorHAnsi"/>
        </w:rPr>
        <w:t xml:space="preserve">Categorization of flows into ‘bands’ allowed the pooling of metabolism data, thereby averaging out variation due to season and daily weather conditions and hence provided an excellent way of comparing metabolism in different </w:t>
      </w:r>
      <w:r w:rsidRPr="004C0595">
        <w:rPr>
          <w:rFonts w:asciiTheme="minorHAnsi" w:hAnsiTheme="minorHAnsi" w:cstheme="minorHAnsi"/>
        </w:rPr>
        <w:lastRenderedPageBreak/>
        <w:t>flow regimes. Data from seven years is also sufficient to enable assessment of site-specific effects and inter-site differences.</w:t>
      </w:r>
    </w:p>
    <w:p w14:paraId="091EB246" w14:textId="77777777" w:rsidR="001703F5" w:rsidRPr="004C0595" w:rsidRDefault="001703F5" w:rsidP="00DE6E94">
      <w:pPr>
        <w:pStyle w:val="Para0"/>
        <w:numPr>
          <w:ilvl w:val="1"/>
          <w:numId w:val="83"/>
        </w:numPr>
        <w:rPr>
          <w:rFonts w:asciiTheme="minorHAnsi" w:hAnsiTheme="minorHAnsi" w:cstheme="minorHAnsi"/>
        </w:rPr>
      </w:pPr>
      <w:r w:rsidRPr="004C0595">
        <w:rPr>
          <w:rFonts w:asciiTheme="minorHAnsi" w:hAnsiTheme="minorHAnsi" w:cstheme="minorHAnsi"/>
        </w:rPr>
        <w:t xml:space="preserve">The effect of increased flow on organic carbon load creation through GPP was strongly seasonally dependent: </w:t>
      </w:r>
    </w:p>
    <w:p w14:paraId="40ADC5E2" w14:textId="77777777" w:rsidR="00E4789A" w:rsidRDefault="00E4789A" w:rsidP="00DE6E94">
      <w:pPr>
        <w:pStyle w:val="Para0"/>
        <w:numPr>
          <w:ilvl w:val="2"/>
          <w:numId w:val="83"/>
        </w:numPr>
        <w:rPr>
          <w:rFonts w:asciiTheme="minorHAnsi" w:hAnsiTheme="minorHAnsi" w:cstheme="minorHAnsi"/>
        </w:rPr>
      </w:pPr>
      <w:r>
        <w:rPr>
          <w:rFonts w:asciiTheme="minorHAnsi" w:hAnsiTheme="minorHAnsi" w:cstheme="minorHAnsi"/>
        </w:rPr>
        <w:t>During winter, increasing flow from low flow to moderate flow, then up to low and medium freshes had no discernible effect on the amount (load) or organic carbon produced. Relatively small increases in discharge within the low flow band (</w:t>
      </w:r>
      <w:r w:rsidRPr="00E4789A">
        <w:rPr>
          <w:rFonts w:asciiTheme="minorHAnsi" w:hAnsiTheme="minorHAnsi" w:cstheme="minorHAnsi"/>
        </w:rPr>
        <w:t xml:space="preserve">312-960 ML at McCoy’s Bridge) during winter will create the same amount of ‘food’ as much higher flow increases. </w:t>
      </w:r>
      <w:r w:rsidRPr="00E4789A">
        <w:rPr>
          <w:rFonts w:asciiTheme="minorHAnsi" w:hAnsiTheme="minorHAnsi" w:cstheme="minorHAnsi"/>
          <w:i/>
        </w:rPr>
        <w:t xml:space="preserve">This result suggests that during winter, large volumes of additional water (from CEW) specifically targeting enhanced food production at the base of the aquatic </w:t>
      </w:r>
      <w:proofErr w:type="spellStart"/>
      <w:r w:rsidRPr="00E4789A">
        <w:rPr>
          <w:rFonts w:asciiTheme="minorHAnsi" w:hAnsiTheme="minorHAnsi" w:cstheme="minorHAnsi"/>
          <w:i/>
        </w:rPr>
        <w:t>foodweb</w:t>
      </w:r>
      <w:proofErr w:type="spellEnd"/>
      <w:r w:rsidRPr="00E4789A">
        <w:rPr>
          <w:rFonts w:asciiTheme="minorHAnsi" w:hAnsiTheme="minorHAnsi" w:cstheme="minorHAnsi"/>
          <w:i/>
        </w:rPr>
        <w:t xml:space="preserve"> is not necessary, as much smaller additions produce the same extra food</w:t>
      </w:r>
      <w:r w:rsidRPr="00E4789A">
        <w:rPr>
          <w:rFonts w:asciiTheme="minorHAnsi" w:hAnsiTheme="minorHAnsi" w:cstheme="minorHAnsi"/>
        </w:rPr>
        <w:t>. Some caution is required concerning this finding as there is still a relatively small wintertime data set in all flow categories except ‘moderately low’.</w:t>
      </w:r>
    </w:p>
    <w:p w14:paraId="062E31B7" w14:textId="62A6056B" w:rsidR="001703F5" w:rsidRPr="004C0595" w:rsidRDefault="001703F5" w:rsidP="00DE6E94">
      <w:pPr>
        <w:pStyle w:val="Para0"/>
        <w:numPr>
          <w:ilvl w:val="2"/>
          <w:numId w:val="83"/>
        </w:numPr>
        <w:rPr>
          <w:rFonts w:asciiTheme="minorHAnsi" w:hAnsiTheme="minorHAnsi" w:cstheme="minorHAnsi"/>
        </w:rPr>
      </w:pPr>
      <w:r w:rsidRPr="004C0595">
        <w:rPr>
          <w:rFonts w:asciiTheme="minorHAnsi" w:hAnsiTheme="minorHAnsi" w:cstheme="minorHAnsi"/>
        </w:rPr>
        <w:t xml:space="preserve">For spring, </w:t>
      </w:r>
      <w:proofErr w:type="gramStart"/>
      <w:r w:rsidRPr="004C0595">
        <w:rPr>
          <w:rFonts w:asciiTheme="minorHAnsi" w:hAnsiTheme="minorHAnsi" w:cstheme="minorHAnsi"/>
        </w:rPr>
        <w:t>summer</w:t>
      </w:r>
      <w:proofErr w:type="gramEnd"/>
      <w:r w:rsidRPr="004C0595">
        <w:rPr>
          <w:rFonts w:asciiTheme="minorHAnsi" w:hAnsiTheme="minorHAnsi" w:cstheme="minorHAnsi"/>
        </w:rPr>
        <w:t xml:space="preserve"> and autumn there was a substantial increase in organic carbon (‘fish food’) as the daily discharge moved up through the flow categories. The only ‘category changes’ not showing a statistically significant increase in organic carbon production were the very low to moderately low and low fresh to medium fresh transitions in summer. </w:t>
      </w:r>
      <w:r w:rsidRPr="004C0595">
        <w:rPr>
          <w:rFonts w:asciiTheme="minorHAnsi" w:hAnsiTheme="minorHAnsi" w:cstheme="minorHAnsi"/>
          <w:i/>
        </w:rPr>
        <w:t xml:space="preserve">This result strongly suggests that water addition </w:t>
      </w:r>
      <w:r w:rsidR="009F34E2">
        <w:rPr>
          <w:rFonts w:asciiTheme="minorHAnsi" w:hAnsiTheme="minorHAnsi" w:cstheme="minorHAnsi"/>
          <w:i/>
        </w:rPr>
        <w:t xml:space="preserve">specifically </w:t>
      </w:r>
      <w:r w:rsidRPr="004C0595">
        <w:rPr>
          <w:rFonts w:asciiTheme="minorHAnsi" w:hAnsiTheme="minorHAnsi" w:cstheme="minorHAnsi"/>
          <w:i/>
        </w:rPr>
        <w:t xml:space="preserve">targeting enhanced food production at the base of the aquatic </w:t>
      </w:r>
      <w:proofErr w:type="spellStart"/>
      <w:r w:rsidRPr="004C0595">
        <w:rPr>
          <w:rFonts w:asciiTheme="minorHAnsi" w:hAnsiTheme="minorHAnsi" w:cstheme="minorHAnsi"/>
          <w:i/>
        </w:rPr>
        <w:t>foodweb</w:t>
      </w:r>
      <w:proofErr w:type="spellEnd"/>
      <w:r w:rsidRPr="004C0595">
        <w:rPr>
          <w:rFonts w:asciiTheme="minorHAnsi" w:hAnsiTheme="minorHAnsi" w:cstheme="minorHAnsi"/>
          <w:i/>
        </w:rPr>
        <w:t xml:space="preserve"> </w:t>
      </w:r>
      <w:r w:rsidR="009F34E2">
        <w:rPr>
          <w:rFonts w:asciiTheme="minorHAnsi" w:hAnsiTheme="minorHAnsi" w:cstheme="minorHAnsi"/>
          <w:i/>
        </w:rPr>
        <w:t>is not necessary in</w:t>
      </w:r>
      <w:r w:rsidRPr="004C0595">
        <w:rPr>
          <w:rFonts w:asciiTheme="minorHAnsi" w:hAnsiTheme="minorHAnsi" w:cstheme="minorHAnsi"/>
          <w:i/>
        </w:rPr>
        <w:t xml:space="preserve"> </w:t>
      </w:r>
      <w:r w:rsidR="00E625B0" w:rsidRPr="004C0595">
        <w:rPr>
          <w:rFonts w:asciiTheme="minorHAnsi" w:hAnsiTheme="minorHAnsi" w:cstheme="minorHAnsi"/>
          <w:i/>
        </w:rPr>
        <w:t>wintertime</w:t>
      </w:r>
      <w:r w:rsidRPr="004C0595">
        <w:rPr>
          <w:rFonts w:asciiTheme="minorHAnsi" w:hAnsiTheme="minorHAnsi" w:cstheme="minorHAnsi"/>
        </w:rPr>
        <w:t xml:space="preserve">. Timing of water delivery to boost organic carbon loads should be managed to coincide with other objectives, including food resource peaks for sustaining native fish populations. </w:t>
      </w:r>
    </w:p>
    <w:p w14:paraId="3535DA60" w14:textId="29CB2EC1" w:rsidR="001703F5" w:rsidRPr="00CF2EE0" w:rsidRDefault="001703F5" w:rsidP="00DE6E94">
      <w:pPr>
        <w:pStyle w:val="Para0"/>
        <w:numPr>
          <w:ilvl w:val="0"/>
          <w:numId w:val="83"/>
        </w:numPr>
        <w:ind w:left="726" w:hanging="357"/>
        <w:rPr>
          <w:rFonts w:asciiTheme="minorHAnsi" w:hAnsiTheme="minorHAnsi" w:cstheme="minorHAnsi"/>
        </w:rPr>
      </w:pPr>
      <w:proofErr w:type="gramStart"/>
      <w:r w:rsidRPr="00CF2EE0">
        <w:rPr>
          <w:rFonts w:asciiTheme="minorHAnsi" w:hAnsiTheme="minorHAnsi" w:cstheme="minorHAnsi"/>
        </w:rPr>
        <w:t>Using the comprehensive set of data from McCoy’s Bridge, it</w:t>
      </w:r>
      <w:proofErr w:type="gramEnd"/>
      <w:r w:rsidRPr="00CF2EE0">
        <w:rPr>
          <w:rFonts w:asciiTheme="minorHAnsi" w:hAnsiTheme="minorHAnsi" w:cstheme="minorHAnsi"/>
        </w:rPr>
        <w:t xml:space="preserve"> was estimated that Commonwealth environmental water produced 21% of the organic carbon created by GPP over the seven-year period (454 of 2156 Tonnes). From an ecological perspective, CEW-enhanced GPP was perhaps most important in </w:t>
      </w:r>
      <w:r w:rsidR="00E625B0" w:rsidRPr="00CF2EE0">
        <w:rPr>
          <w:rFonts w:asciiTheme="minorHAnsi" w:hAnsiTheme="minorHAnsi" w:cstheme="minorHAnsi"/>
        </w:rPr>
        <w:t>springtime</w:t>
      </w:r>
      <w:r w:rsidRPr="00CF2EE0">
        <w:rPr>
          <w:rFonts w:asciiTheme="minorHAnsi" w:hAnsiTheme="minorHAnsi" w:cstheme="minorHAnsi"/>
        </w:rPr>
        <w:t xml:space="preserve"> when 36 – 59% (38% in 2020-21) of all GPP was associated with the extra CEW (</w:t>
      </w:r>
      <w:proofErr w:type="gramStart"/>
      <w:r w:rsidRPr="00CF2EE0">
        <w:rPr>
          <w:rFonts w:asciiTheme="minorHAnsi" w:hAnsiTheme="minorHAnsi" w:cstheme="minorHAnsi"/>
        </w:rPr>
        <w:t>with the exception of</w:t>
      </w:r>
      <w:proofErr w:type="gramEnd"/>
      <w:r w:rsidRPr="00CF2EE0">
        <w:rPr>
          <w:rFonts w:asciiTheme="minorHAnsi" w:hAnsiTheme="minorHAnsi" w:cstheme="minorHAnsi"/>
        </w:rPr>
        <w:t xml:space="preserve"> 2016 when there was large flooding and CEW was only 2% of all flow). CEW also contributed around half (44-52%) of </w:t>
      </w:r>
      <w:r w:rsidR="00E625B0" w:rsidRPr="00CF2EE0">
        <w:rPr>
          <w:rFonts w:asciiTheme="minorHAnsi" w:hAnsiTheme="minorHAnsi" w:cstheme="minorHAnsi"/>
        </w:rPr>
        <w:t>wintertime</w:t>
      </w:r>
      <w:r w:rsidRPr="00CF2EE0">
        <w:rPr>
          <w:rFonts w:asciiTheme="minorHAnsi" w:hAnsiTheme="minorHAnsi" w:cstheme="minorHAnsi"/>
        </w:rPr>
        <w:t xml:space="preserve"> organic carbon creation over 2017-2019 but only 4% in 2020. As noted above, this winter increase was independent of the flow category. The best outcomes for CEW-assisted creation of organic carbon are found in the ‘Medium Fresh’ flow category in spring and autumn where an average additional 800-1100 kg organic carbon is created. The benefit of flow in this flow category is highest in autumn, where CEW contributions in the lower flow categories are much more modest (an additional 100-200 kg of organic carbon). In spring, substantial increases occur in all flow categories above low flow.</w:t>
      </w:r>
    </w:p>
    <w:p w14:paraId="6E0764BF" w14:textId="77777777" w:rsidR="001703F5" w:rsidRPr="00CF2EE0" w:rsidRDefault="001703F5" w:rsidP="00DE6E94">
      <w:pPr>
        <w:pStyle w:val="Para0"/>
        <w:numPr>
          <w:ilvl w:val="0"/>
          <w:numId w:val="83"/>
        </w:numPr>
        <w:ind w:left="726" w:hanging="357"/>
        <w:rPr>
          <w:rFonts w:asciiTheme="minorHAnsi" w:hAnsiTheme="minorHAnsi" w:cstheme="minorHAnsi"/>
        </w:rPr>
      </w:pPr>
      <w:r w:rsidRPr="00CF2EE0">
        <w:rPr>
          <w:rFonts w:asciiTheme="minorHAnsi" w:hAnsiTheme="minorHAnsi" w:cstheme="minorHAnsi"/>
        </w:rPr>
        <w:t>It is still suggested that larger flow increases that do move the water out of channel and then back again will provide even greater benefit due to the introduction of higher organic carbon and bioavailable nutrient concentrations.</w:t>
      </w:r>
    </w:p>
    <w:p w14:paraId="69039213" w14:textId="35D86A0E" w:rsidR="001703F5" w:rsidRPr="00BA2632" w:rsidRDefault="001703F5" w:rsidP="00766978">
      <w:pPr>
        <w:pStyle w:val="Heading3"/>
      </w:pPr>
      <w:bookmarkStart w:id="199" w:name="_Toc84417347"/>
      <w:r w:rsidRPr="00BA2632">
        <w:t>Summary of previous findings and implications for any new finding</w:t>
      </w:r>
      <w:bookmarkEnd w:id="199"/>
      <w:r w:rsidRPr="00BA2632">
        <w:t xml:space="preserve"> </w:t>
      </w:r>
    </w:p>
    <w:p w14:paraId="4907D8EA" w14:textId="77777777" w:rsidR="001703F5" w:rsidRDefault="001703F5" w:rsidP="009F7C3A">
      <w:pPr>
        <w:rPr>
          <w:b/>
          <w:bCs/>
          <w:i/>
          <w:iCs/>
          <w:lang w:eastAsia="en-US"/>
        </w:rPr>
      </w:pPr>
      <w:r w:rsidRPr="00BA2632">
        <w:rPr>
          <w:b/>
          <w:bCs/>
          <w:i/>
          <w:iCs/>
          <w:lang w:eastAsia="en-US"/>
        </w:rPr>
        <w:t>Previous findings:</w:t>
      </w:r>
    </w:p>
    <w:p w14:paraId="4D196611" w14:textId="77777777" w:rsidR="001703F5" w:rsidRPr="004C0595" w:rsidRDefault="001703F5" w:rsidP="009F7C3A">
      <w:pPr>
        <w:rPr>
          <w:rFonts w:cstheme="minorHAnsi"/>
        </w:rPr>
      </w:pPr>
      <w:r w:rsidRPr="004C0595">
        <w:rPr>
          <w:rFonts w:cstheme="minorHAnsi"/>
        </w:rPr>
        <w:t>The following findings are key aspects reported in previous reports (including MER Year 1) but don’t appear in this report. They are more specific in nature and were not relevant in 2020-21</w:t>
      </w:r>
      <w:r>
        <w:rPr>
          <w:rFonts w:cstheme="minorHAnsi"/>
        </w:rPr>
        <w:t xml:space="preserve"> due to the change in sampling sites and the water quality conditions measured throughout this year</w:t>
      </w:r>
      <w:r w:rsidRPr="004C0595">
        <w:rPr>
          <w:rFonts w:cstheme="minorHAnsi"/>
        </w:rPr>
        <w:t>:</w:t>
      </w:r>
    </w:p>
    <w:p w14:paraId="626D8AF1" w14:textId="77777777" w:rsidR="001703F5" w:rsidRPr="004C0595" w:rsidRDefault="001703F5" w:rsidP="00DE6E94">
      <w:pPr>
        <w:pStyle w:val="ListParagraph"/>
        <w:numPr>
          <w:ilvl w:val="0"/>
          <w:numId w:val="84"/>
        </w:numPr>
        <w:rPr>
          <w:rFonts w:cstheme="minorHAnsi"/>
        </w:rPr>
      </w:pPr>
      <w:r w:rsidRPr="004C0595">
        <w:rPr>
          <w:rFonts w:cstheme="minorHAnsi"/>
        </w:rPr>
        <w:t>Dissolved Oxygen concentrations in 2017-18, as in 2015-16 and 2016-17, but not 2014-15, 2018-19 and 2019-20 dropped to very low levels that raise concerns about the immediate effects on aquatic biota, but anoxia only occurred in 2016-17. The origin of the low DO regime is clearly water entering the Goulburn River from the tributaries downstream from Goulburn Weir (Seven Creeks system). These poor water quality events were of moderate duration (typically 1-2 weeks before DO levels reverted to ‘normal’) and appeared to be stochastic, arising from intense summer storms in the northern half of the Goulburn Catchment.</w:t>
      </w:r>
    </w:p>
    <w:p w14:paraId="1F78278E" w14:textId="77777777" w:rsidR="001703F5" w:rsidRPr="004C0595" w:rsidRDefault="001703F5" w:rsidP="0098204D">
      <w:pPr>
        <w:pStyle w:val="ListParagraph"/>
        <w:numPr>
          <w:ilvl w:val="0"/>
          <w:numId w:val="84"/>
        </w:numPr>
      </w:pPr>
      <w:r w:rsidRPr="004C0595">
        <w:t xml:space="preserve">The apparent ‘Goulburn Weir’ effect on stream metabolism (much higher metabolic rates, especially for ER) observed previously at the LTIM project’s Day Road site was not observed at the Murchison site in 2019-20. It is likely this enhancement effect is due to the export of nutrients and organic carbon from the Nagambie Lakes, although this is not definitive as there are no metabolism measurements further upstream. Clearly, any additional </w:t>
      </w:r>
      <w:r w:rsidRPr="004C0595">
        <w:lastRenderedPageBreak/>
        <w:t xml:space="preserve">nutrients including organic carbon from the Lakes are consumed in-river before Murchison as rates from this site in 2019-20 were extremely </w:t>
      </w:r>
      <w:proofErr w:type="gramStart"/>
      <w:r w:rsidRPr="004C0595">
        <w:t>similar to</w:t>
      </w:r>
      <w:proofErr w:type="gramEnd"/>
      <w:r w:rsidRPr="004C0595">
        <w:t xml:space="preserve"> the other four sites further downstream.</w:t>
      </w:r>
    </w:p>
    <w:p w14:paraId="05777DBB" w14:textId="77777777" w:rsidR="001703F5" w:rsidRDefault="001703F5" w:rsidP="001703F5">
      <w:pPr>
        <w:rPr>
          <w:b/>
          <w:bCs/>
          <w:i/>
          <w:lang w:eastAsia="en-US"/>
        </w:rPr>
      </w:pPr>
      <w:r w:rsidRPr="00BA2632">
        <w:rPr>
          <w:b/>
          <w:bCs/>
          <w:i/>
          <w:lang w:eastAsia="en-US"/>
        </w:rPr>
        <w:t>Implications for new findings:</w:t>
      </w:r>
    </w:p>
    <w:p w14:paraId="541F10E0" w14:textId="77777777" w:rsidR="001703F5" w:rsidRDefault="001703F5" w:rsidP="001703F5">
      <w:pPr>
        <w:rPr>
          <w:bCs/>
          <w:lang w:eastAsia="en-US"/>
        </w:rPr>
      </w:pPr>
      <w:r w:rsidRPr="00CF2EE0">
        <w:rPr>
          <w:bCs/>
          <w:lang w:eastAsia="en-US"/>
        </w:rPr>
        <w:t xml:space="preserve">One of the important new insights gained during the 2020-21 MER study was the appreciation of the importance of </w:t>
      </w:r>
      <w:r w:rsidRPr="00CF2EE0">
        <w:rPr>
          <w:bCs/>
          <w:i/>
          <w:lang w:eastAsia="en-US"/>
        </w:rPr>
        <w:t>some</w:t>
      </w:r>
      <w:r w:rsidRPr="00CF2EE0">
        <w:rPr>
          <w:bCs/>
          <w:lang w:eastAsia="en-US"/>
        </w:rPr>
        <w:t xml:space="preserve"> CEW during winter. The volume delivered does not need to be large (</w:t>
      </w:r>
      <w:proofErr w:type="gramStart"/>
      <w:r w:rsidRPr="00CF2EE0">
        <w:rPr>
          <w:bCs/>
          <w:lang w:eastAsia="en-US"/>
        </w:rPr>
        <w:t>e.g.</w:t>
      </w:r>
      <w:proofErr w:type="gramEnd"/>
      <w:r w:rsidRPr="00CF2EE0">
        <w:rPr>
          <w:bCs/>
          <w:lang w:eastAsia="en-US"/>
        </w:rPr>
        <w:t xml:space="preserve"> under 1000 ML/Day) but this CEW can substantially enhance the amount of organic carbon created by GPP. Higher flows do not produce even more organic carbon, but rather, it seems that </w:t>
      </w:r>
      <w:r>
        <w:rPr>
          <w:bCs/>
          <w:lang w:eastAsia="en-US"/>
        </w:rPr>
        <w:t xml:space="preserve">dilution becomes very important </w:t>
      </w:r>
      <w:proofErr w:type="gramStart"/>
      <w:r>
        <w:rPr>
          <w:bCs/>
          <w:lang w:eastAsia="en-US"/>
        </w:rPr>
        <w:t>i.e.</w:t>
      </w:r>
      <w:proofErr w:type="gramEnd"/>
      <w:r>
        <w:rPr>
          <w:bCs/>
          <w:lang w:eastAsia="en-US"/>
        </w:rPr>
        <w:t xml:space="preserve"> the same amount of organic carbon is produced irrespective of how much flow there is above the low flow category.</w:t>
      </w:r>
    </w:p>
    <w:p w14:paraId="46D74614" w14:textId="77777777" w:rsidR="001703F5" w:rsidRDefault="001703F5" w:rsidP="001703F5">
      <w:pPr>
        <w:rPr>
          <w:bCs/>
          <w:lang w:eastAsia="en-US"/>
        </w:rPr>
      </w:pPr>
      <w:r>
        <w:rPr>
          <w:bCs/>
          <w:lang w:eastAsia="en-US"/>
        </w:rPr>
        <w:t xml:space="preserve">As noted above, there was clear evidence that a flow pulse during spring will stimulate both gross primary production and ecosystem respiration when the hydrograph falls. Hence targeted pulses during this period for other (non-metabolism) objectives, may have additional benefits in terms of organic carbon (food resource) production. </w:t>
      </w:r>
    </w:p>
    <w:p w14:paraId="4BA84BE6" w14:textId="77777777" w:rsidR="001703F5" w:rsidRDefault="001703F5" w:rsidP="001703F5">
      <w:pPr>
        <w:rPr>
          <w:bCs/>
          <w:lang w:eastAsia="en-US"/>
        </w:rPr>
      </w:pPr>
      <w:r>
        <w:rPr>
          <w:bCs/>
          <w:lang w:eastAsia="en-US"/>
        </w:rPr>
        <w:t>If possible, timing of spring flow events should be such that the rise and fall of the hydrograph occurs over many days to one-two weeks to facilitate this organic carbon creation. Elevated and relatively constant spring flows will be far less beneficial.</w:t>
      </w:r>
    </w:p>
    <w:p w14:paraId="7A58C41A" w14:textId="11917158" w:rsidR="001703F5" w:rsidRDefault="001703F5" w:rsidP="001703F5">
      <w:pPr>
        <w:pStyle w:val="Heading3"/>
      </w:pPr>
      <w:bookmarkStart w:id="200" w:name="_Toc84417348"/>
      <w:r w:rsidRPr="00BA2632">
        <w:t>Summary of findings relevant to evaluation questions</w:t>
      </w:r>
      <w:bookmarkEnd w:id="200"/>
    </w:p>
    <w:p w14:paraId="0073ED18" w14:textId="201C19F7" w:rsidR="00CB2895" w:rsidRDefault="00CB2895" w:rsidP="00CB2895">
      <w:pPr>
        <w:rPr>
          <w:lang w:eastAsia="en-US"/>
        </w:rPr>
      </w:pPr>
      <w:r>
        <w:rPr>
          <w:lang w:eastAsia="en-US"/>
        </w:rPr>
        <w:t xml:space="preserve">The findings relevant to the evaluation questions are presented above in Section </w:t>
      </w:r>
      <w:r w:rsidR="00105FBB">
        <w:rPr>
          <w:lang w:eastAsia="en-US"/>
        </w:rPr>
        <w:t>5.3.1</w:t>
      </w:r>
      <w:r>
        <w:rPr>
          <w:lang w:eastAsia="en-US"/>
        </w:rPr>
        <w:t xml:space="preserve"> and summarized here in </w:t>
      </w:r>
      <w:r w:rsidR="00105FBB" w:rsidRPr="00BA2632">
        <w:t xml:space="preserve">Table </w:t>
      </w:r>
      <w:r w:rsidR="00105FBB">
        <w:rPr>
          <w:noProof/>
        </w:rPr>
        <w:t>5</w:t>
      </w:r>
      <w:r w:rsidR="00105FBB">
        <w:noBreakHyphen/>
      </w:r>
      <w:r w:rsidR="00105FBB">
        <w:rPr>
          <w:noProof/>
        </w:rPr>
        <w:t>2</w:t>
      </w:r>
      <w:r>
        <w:rPr>
          <w:lang w:eastAsia="en-US"/>
        </w:rPr>
        <w:t xml:space="preserve">.  </w:t>
      </w:r>
    </w:p>
    <w:p w14:paraId="6EA696AA" w14:textId="29F11308" w:rsidR="001703F5" w:rsidRPr="00BA2632" w:rsidRDefault="001703F5" w:rsidP="001703F5">
      <w:pPr>
        <w:pStyle w:val="Caption"/>
        <w:rPr>
          <w:i/>
          <w:lang w:eastAsia="en-US"/>
        </w:rPr>
      </w:pPr>
      <w:bookmarkStart w:id="201" w:name="_Ref84231268"/>
      <w:bookmarkStart w:id="202" w:name="_Toc95391463"/>
      <w:r w:rsidRPr="00BA2632">
        <w:t xml:space="preserve">Table </w:t>
      </w:r>
      <w:r w:rsidR="000B75AF">
        <w:rPr>
          <w:noProof/>
        </w:rPr>
        <w:t>5</w:t>
      </w:r>
      <w:r w:rsidR="000B75AF">
        <w:noBreakHyphen/>
      </w:r>
      <w:r w:rsidR="000B75AF">
        <w:rPr>
          <w:noProof/>
        </w:rPr>
        <w:t>2</w:t>
      </w:r>
      <w:bookmarkEnd w:id="201"/>
      <w:r w:rsidRPr="00BA2632">
        <w:t xml:space="preserve"> Summary of Metabolism findings relevant to evaluation questions.</w:t>
      </w:r>
      <w:bookmarkEnd w:id="202"/>
    </w:p>
    <w:tbl>
      <w:tblPr>
        <w:tblStyle w:val="TableGrid"/>
        <w:tblW w:w="997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tblCellMar>
        <w:tblLook w:val="04A0" w:firstRow="1" w:lastRow="0" w:firstColumn="1" w:lastColumn="0" w:noHBand="0" w:noVBand="1"/>
      </w:tblPr>
      <w:tblGrid>
        <w:gridCol w:w="1555"/>
        <w:gridCol w:w="1559"/>
        <w:gridCol w:w="3544"/>
        <w:gridCol w:w="3317"/>
      </w:tblGrid>
      <w:tr w:rsidR="001703F5" w:rsidRPr="00BA2632" w14:paraId="21C3500B" w14:textId="77777777" w:rsidTr="00B84674">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555" w:type="dxa"/>
            <w:tcBorders>
              <w:right w:val="single" w:sz="4" w:space="0" w:color="FFFFFF" w:themeColor="background1"/>
            </w:tcBorders>
            <w:shd w:val="clear" w:color="auto" w:fill="00338D"/>
          </w:tcPr>
          <w:p w14:paraId="07EEE1F0" w14:textId="77777777" w:rsidR="001703F5" w:rsidRPr="00BA2632" w:rsidRDefault="001703F5" w:rsidP="00E26D3C">
            <w:pPr>
              <w:jc w:val="left"/>
              <w:rPr>
                <w:rFonts w:ascii="Calibri" w:hAnsi="Calibri" w:cstheme="minorHAnsi"/>
                <w:bCs/>
                <w:color w:val="FFFFFF"/>
                <w:sz w:val="18"/>
                <w:szCs w:val="18"/>
              </w:rPr>
            </w:pPr>
            <w:r w:rsidRPr="00BA2632">
              <w:rPr>
                <w:rFonts w:ascii="Calibri" w:hAnsi="Calibri" w:cstheme="minorHAnsi"/>
                <w:bCs/>
                <w:color w:val="FFFFFF"/>
                <w:sz w:val="18"/>
                <w:szCs w:val="18"/>
              </w:rPr>
              <w:t>Question</w:t>
            </w:r>
          </w:p>
        </w:tc>
        <w:tc>
          <w:tcPr>
            <w:tcW w:w="1559" w:type="dxa"/>
            <w:tcBorders>
              <w:left w:val="single" w:sz="4" w:space="0" w:color="FFFFFF" w:themeColor="background1"/>
              <w:right w:val="single" w:sz="4" w:space="0" w:color="FFFFFF" w:themeColor="background1"/>
            </w:tcBorders>
            <w:shd w:val="clear" w:color="auto" w:fill="00338D"/>
          </w:tcPr>
          <w:p w14:paraId="725E6710" w14:textId="77777777" w:rsidR="001703F5" w:rsidRPr="00BA2632" w:rsidRDefault="001703F5" w:rsidP="00E26D3C">
            <w:pPr>
              <w:jc w:val="left"/>
              <w:cnfStyle w:val="100000000000" w:firstRow="1" w:lastRow="0" w:firstColumn="0" w:lastColumn="0" w:oddVBand="0" w:evenVBand="0" w:oddHBand="0" w:evenHBand="0" w:firstRowFirstColumn="0" w:firstRowLastColumn="0" w:lastRowFirstColumn="0" w:lastRowLastColumn="0"/>
              <w:rPr>
                <w:rFonts w:ascii="Calibri" w:hAnsi="Calibri" w:cstheme="minorHAnsi"/>
                <w:bCs/>
                <w:color w:val="FFFFFF"/>
                <w:sz w:val="18"/>
                <w:szCs w:val="18"/>
              </w:rPr>
            </w:pPr>
            <w:r w:rsidRPr="00BA2632">
              <w:rPr>
                <w:rFonts w:ascii="Calibri" w:hAnsi="Calibri" w:cstheme="minorHAnsi"/>
                <w:bCs/>
                <w:color w:val="FFFFFF"/>
                <w:sz w:val="18"/>
                <w:szCs w:val="18"/>
              </w:rPr>
              <w:t>Were appropriate flows provided?</w:t>
            </w:r>
          </w:p>
        </w:tc>
        <w:tc>
          <w:tcPr>
            <w:tcW w:w="3544" w:type="dxa"/>
            <w:tcBorders>
              <w:left w:val="single" w:sz="4" w:space="0" w:color="FFFFFF" w:themeColor="background1"/>
              <w:right w:val="single" w:sz="4" w:space="0" w:color="FFFFFF" w:themeColor="background1"/>
            </w:tcBorders>
            <w:shd w:val="clear" w:color="auto" w:fill="00338D"/>
          </w:tcPr>
          <w:p w14:paraId="2AA4B777" w14:textId="77777777" w:rsidR="001703F5" w:rsidRPr="00BA2632" w:rsidRDefault="001703F5" w:rsidP="00E26D3C">
            <w:pPr>
              <w:jc w:val="left"/>
              <w:cnfStyle w:val="100000000000" w:firstRow="1" w:lastRow="0" w:firstColumn="0" w:lastColumn="0" w:oddVBand="0" w:evenVBand="0" w:oddHBand="0" w:evenHBand="0" w:firstRowFirstColumn="0" w:firstRowLastColumn="0" w:lastRowFirstColumn="0" w:lastRowLastColumn="0"/>
              <w:rPr>
                <w:rFonts w:ascii="Calibri" w:hAnsi="Calibri" w:cstheme="minorHAnsi"/>
                <w:bCs/>
                <w:color w:val="FFFFFF"/>
                <w:sz w:val="18"/>
                <w:szCs w:val="18"/>
              </w:rPr>
            </w:pPr>
            <w:r w:rsidRPr="00BA2632">
              <w:rPr>
                <w:rFonts w:ascii="Calibri" w:hAnsi="Calibri" w:cstheme="minorHAnsi"/>
                <w:bCs/>
                <w:color w:val="FFFFFF"/>
                <w:sz w:val="18"/>
                <w:szCs w:val="18"/>
              </w:rPr>
              <w:t>Effect of environmental flows</w:t>
            </w:r>
          </w:p>
        </w:tc>
        <w:tc>
          <w:tcPr>
            <w:tcW w:w="3317" w:type="dxa"/>
            <w:tcBorders>
              <w:left w:val="single" w:sz="4" w:space="0" w:color="FFFFFF" w:themeColor="background1"/>
            </w:tcBorders>
            <w:shd w:val="clear" w:color="auto" w:fill="00338D"/>
          </w:tcPr>
          <w:p w14:paraId="0C1F2461" w14:textId="77777777" w:rsidR="001703F5" w:rsidRPr="00BA2632" w:rsidRDefault="001703F5" w:rsidP="00E26D3C">
            <w:pPr>
              <w:jc w:val="left"/>
              <w:cnfStyle w:val="100000000000" w:firstRow="1" w:lastRow="0" w:firstColumn="0" w:lastColumn="0" w:oddVBand="0" w:evenVBand="0" w:oddHBand="0" w:evenHBand="0" w:firstRowFirstColumn="0" w:firstRowLastColumn="0" w:lastRowFirstColumn="0" w:lastRowLastColumn="0"/>
              <w:rPr>
                <w:rFonts w:ascii="Calibri" w:hAnsi="Calibri" w:cstheme="minorHAnsi"/>
                <w:bCs/>
                <w:color w:val="FFFFFF"/>
                <w:sz w:val="18"/>
                <w:szCs w:val="18"/>
              </w:rPr>
            </w:pPr>
            <w:r w:rsidRPr="00BA2632">
              <w:rPr>
                <w:rFonts w:ascii="Calibri" w:hAnsi="Calibri" w:cstheme="minorHAnsi"/>
                <w:bCs/>
                <w:color w:val="FFFFFF"/>
                <w:sz w:val="18"/>
                <w:szCs w:val="18"/>
              </w:rPr>
              <w:t>What information was the evaluation based on?</w:t>
            </w:r>
          </w:p>
        </w:tc>
      </w:tr>
      <w:tr w:rsidR="001703F5" w:rsidRPr="00BA2632" w14:paraId="75D54E8A" w14:textId="77777777" w:rsidTr="00F728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75" w:type="dxa"/>
            <w:gridSpan w:val="4"/>
            <w:shd w:val="clear" w:color="auto" w:fill="FFFFFF" w:themeFill="background2"/>
            <w:vAlign w:val="center"/>
          </w:tcPr>
          <w:p w14:paraId="5CE26F51" w14:textId="77777777" w:rsidR="001703F5" w:rsidRPr="00BA2632" w:rsidRDefault="001703F5" w:rsidP="00E26D3C">
            <w:pPr>
              <w:pStyle w:val="Tablesmalltext"/>
              <w:jc w:val="center"/>
              <w:rPr>
                <w:rFonts w:ascii="Calibri" w:hAnsi="Calibri"/>
                <w:b w:val="0"/>
                <w:sz w:val="18"/>
                <w:szCs w:val="18"/>
              </w:rPr>
            </w:pPr>
            <w:r w:rsidRPr="00BA2632">
              <w:rPr>
                <w:rStyle w:val="Strong"/>
                <w:rFonts w:ascii="Calibri" w:hAnsi="Calibri" w:cstheme="minorHAnsi"/>
                <w:b/>
                <w:sz w:val="18"/>
                <w:szCs w:val="18"/>
              </w:rPr>
              <w:t>Basin scale evaluation questions</w:t>
            </w:r>
          </w:p>
        </w:tc>
      </w:tr>
      <w:tr w:rsidR="001703F5" w:rsidRPr="00BA2632" w14:paraId="6F1D814F" w14:textId="77777777" w:rsidTr="00B8467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2"/>
          </w:tcPr>
          <w:p w14:paraId="1332F55A" w14:textId="77777777" w:rsidR="001703F5" w:rsidRPr="00BA2632" w:rsidRDefault="001703F5" w:rsidP="00E26D3C">
            <w:pPr>
              <w:pStyle w:val="Tablesmalltext"/>
              <w:jc w:val="left"/>
              <w:rPr>
                <w:rFonts w:ascii="Calibri" w:hAnsi="Calibri" w:cstheme="minorHAnsi"/>
                <w:sz w:val="18"/>
                <w:szCs w:val="18"/>
              </w:rPr>
            </w:pPr>
            <w:r w:rsidRPr="00BA2632">
              <w:rPr>
                <w:rStyle w:val="Strong"/>
                <w:rFonts w:ascii="Calibri" w:hAnsi="Calibri" w:cstheme="minorHAnsi"/>
                <w:sz w:val="18"/>
                <w:szCs w:val="18"/>
              </w:rPr>
              <w:t>What did CEW contribute to patterns and rates of decomposition?</w:t>
            </w:r>
          </w:p>
        </w:tc>
        <w:tc>
          <w:tcPr>
            <w:tcW w:w="1559" w:type="dxa"/>
            <w:shd w:val="clear" w:color="auto" w:fill="FFFFFF" w:themeFill="background2"/>
          </w:tcPr>
          <w:p w14:paraId="24FB42DB" w14:textId="77777777" w:rsidR="001703F5" w:rsidRPr="00BA2632" w:rsidRDefault="001703F5"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BA2632">
              <w:rPr>
                <w:rFonts w:ascii="Calibri" w:hAnsi="Calibri"/>
                <w:sz w:val="18"/>
                <w:szCs w:val="18"/>
              </w:rPr>
              <w:t xml:space="preserve">Yes, </w:t>
            </w:r>
            <w:proofErr w:type="gramStart"/>
            <w:r w:rsidRPr="00BA2632">
              <w:rPr>
                <w:rFonts w:ascii="Calibri" w:hAnsi="Calibri"/>
                <w:sz w:val="18"/>
                <w:szCs w:val="18"/>
              </w:rPr>
              <w:t>with the exception of</w:t>
            </w:r>
            <w:proofErr w:type="gramEnd"/>
            <w:r w:rsidRPr="00BA2632">
              <w:rPr>
                <w:rFonts w:ascii="Calibri" w:hAnsi="Calibri"/>
                <w:sz w:val="18"/>
                <w:szCs w:val="18"/>
              </w:rPr>
              <w:t xml:space="preserve"> the highest flow categories</w:t>
            </w:r>
          </w:p>
        </w:tc>
        <w:tc>
          <w:tcPr>
            <w:tcW w:w="3544" w:type="dxa"/>
            <w:shd w:val="clear" w:color="auto" w:fill="FFFFFF" w:themeFill="background2"/>
          </w:tcPr>
          <w:p w14:paraId="56409822" w14:textId="77777777" w:rsidR="001703F5" w:rsidRPr="00BA2632" w:rsidRDefault="001703F5"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BA2632">
              <w:rPr>
                <w:rFonts w:ascii="Calibri" w:hAnsi="Calibri"/>
                <w:sz w:val="18"/>
                <w:szCs w:val="18"/>
              </w:rPr>
              <w:t>Apart from the initial dilution effect (as seen in all previous years), there was no consistent effect of flow increases (including those from CEW delivery) across the 5 sites on ER (mg O</w:t>
            </w:r>
            <w:r w:rsidRPr="00BA2632">
              <w:rPr>
                <w:rFonts w:ascii="Calibri" w:hAnsi="Calibri"/>
                <w:sz w:val="18"/>
                <w:szCs w:val="18"/>
                <w:vertAlign w:val="subscript"/>
              </w:rPr>
              <w:t>2</w:t>
            </w:r>
            <w:r w:rsidRPr="00BA2632">
              <w:rPr>
                <w:rFonts w:ascii="Calibri" w:hAnsi="Calibri"/>
                <w:sz w:val="18"/>
                <w:szCs w:val="18"/>
              </w:rPr>
              <w:t>/L/Day). There was a marked positive effect of flow increases, even those constrained within channel, on total amounts of ER expressed as mass (load) of organic carbon consumed per day. As there is no change in water source, the major effect of CEW is to augment flow.</w:t>
            </w:r>
          </w:p>
        </w:tc>
        <w:tc>
          <w:tcPr>
            <w:tcW w:w="3317" w:type="dxa"/>
            <w:shd w:val="clear" w:color="auto" w:fill="FFFFFF" w:themeFill="background2"/>
          </w:tcPr>
          <w:p w14:paraId="0719429F" w14:textId="77777777" w:rsidR="001703F5" w:rsidRPr="00BA2632" w:rsidRDefault="001703F5"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BA2632">
              <w:rPr>
                <w:rFonts w:ascii="Calibri" w:hAnsi="Calibri"/>
                <w:sz w:val="18"/>
                <w:szCs w:val="18"/>
              </w:rPr>
              <w:t>Consideration of daily and seasonal trends in Ecosystem Respiration, expressed in both volumetric (mg O</w:t>
            </w:r>
            <w:r w:rsidRPr="00BA2632">
              <w:rPr>
                <w:rFonts w:ascii="Calibri" w:hAnsi="Calibri"/>
                <w:sz w:val="18"/>
                <w:szCs w:val="18"/>
                <w:vertAlign w:val="subscript"/>
              </w:rPr>
              <w:t>2</w:t>
            </w:r>
            <w:r w:rsidRPr="00BA2632">
              <w:rPr>
                <w:rFonts w:ascii="Calibri" w:hAnsi="Calibri"/>
                <w:sz w:val="18"/>
                <w:szCs w:val="18"/>
              </w:rPr>
              <w:t xml:space="preserve">/L/Day) and load (kg organic C/Day) units versus discharge in both flow category based on stage height </w:t>
            </w:r>
            <w:proofErr w:type="gramStart"/>
            <w:r w:rsidRPr="00BA2632">
              <w:rPr>
                <w:rFonts w:ascii="Calibri" w:hAnsi="Calibri"/>
                <w:sz w:val="18"/>
                <w:szCs w:val="18"/>
              </w:rPr>
              <w:t>and also</w:t>
            </w:r>
            <w:proofErr w:type="gramEnd"/>
            <w:r w:rsidRPr="00BA2632">
              <w:rPr>
                <w:rFonts w:ascii="Calibri" w:hAnsi="Calibri"/>
                <w:sz w:val="18"/>
                <w:szCs w:val="18"/>
              </w:rPr>
              <w:t xml:space="preserve"> nominal bins of equal numbers of points. This approach minimizes the effects of daily variability resulting from meteorological conditions. CEW flow contributions are a component of total flow in these analyses. Mean ER rates are determined by site, </w:t>
            </w:r>
            <w:proofErr w:type="gramStart"/>
            <w:r w:rsidRPr="00BA2632">
              <w:rPr>
                <w:rFonts w:ascii="Calibri" w:hAnsi="Calibri"/>
                <w:sz w:val="18"/>
                <w:szCs w:val="18"/>
              </w:rPr>
              <w:t>season</w:t>
            </w:r>
            <w:proofErr w:type="gramEnd"/>
            <w:r w:rsidRPr="00BA2632">
              <w:rPr>
                <w:rFonts w:ascii="Calibri" w:hAnsi="Calibri"/>
                <w:sz w:val="18"/>
                <w:szCs w:val="18"/>
              </w:rPr>
              <w:t xml:space="preserve"> and flow category for these analyses.</w:t>
            </w:r>
          </w:p>
        </w:tc>
      </w:tr>
      <w:tr w:rsidR="00940662" w:rsidRPr="00BA2632" w14:paraId="06BDF9AA" w14:textId="77777777" w:rsidTr="00B846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2"/>
          </w:tcPr>
          <w:p w14:paraId="59F6B2B4" w14:textId="77777777" w:rsidR="00940662" w:rsidRPr="00BA2632" w:rsidRDefault="00940662" w:rsidP="00940662">
            <w:pPr>
              <w:pStyle w:val="Tablesmalltext"/>
              <w:jc w:val="left"/>
              <w:rPr>
                <w:rFonts w:ascii="Calibri" w:hAnsi="Calibri" w:cstheme="minorHAnsi"/>
                <w:sz w:val="18"/>
                <w:szCs w:val="18"/>
              </w:rPr>
            </w:pPr>
            <w:r w:rsidRPr="00BA2632">
              <w:rPr>
                <w:rStyle w:val="Strong"/>
                <w:rFonts w:ascii="Calibri" w:hAnsi="Calibri" w:cstheme="minorHAnsi"/>
                <w:sz w:val="18"/>
                <w:szCs w:val="18"/>
              </w:rPr>
              <w:t>What did CEW contribute to patterns and rates of primary productivity?</w:t>
            </w:r>
          </w:p>
        </w:tc>
        <w:tc>
          <w:tcPr>
            <w:tcW w:w="1559" w:type="dxa"/>
            <w:shd w:val="clear" w:color="auto" w:fill="FFFFFF" w:themeFill="background2"/>
          </w:tcPr>
          <w:p w14:paraId="683278BB" w14:textId="77777777" w:rsidR="00940662" w:rsidRPr="00BA2632" w:rsidRDefault="00940662" w:rsidP="00940662">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BA2632">
              <w:rPr>
                <w:rFonts w:ascii="Calibri" w:hAnsi="Calibri"/>
                <w:sz w:val="18"/>
                <w:szCs w:val="18"/>
              </w:rPr>
              <w:t xml:space="preserve">Yes, </w:t>
            </w:r>
            <w:proofErr w:type="gramStart"/>
            <w:r w:rsidRPr="00BA2632">
              <w:rPr>
                <w:rFonts w:ascii="Calibri" w:hAnsi="Calibri"/>
                <w:sz w:val="18"/>
                <w:szCs w:val="18"/>
              </w:rPr>
              <w:t>with the exception of</w:t>
            </w:r>
            <w:proofErr w:type="gramEnd"/>
            <w:r w:rsidRPr="00BA2632">
              <w:rPr>
                <w:rFonts w:ascii="Calibri" w:hAnsi="Calibri"/>
                <w:sz w:val="18"/>
                <w:szCs w:val="18"/>
              </w:rPr>
              <w:t xml:space="preserve"> the highest flow categories</w:t>
            </w:r>
          </w:p>
        </w:tc>
        <w:tc>
          <w:tcPr>
            <w:tcW w:w="3544" w:type="dxa"/>
            <w:shd w:val="clear" w:color="auto" w:fill="FFFFFF" w:themeFill="background2"/>
          </w:tcPr>
          <w:p w14:paraId="734E99DD" w14:textId="17CE367C" w:rsidR="00940662" w:rsidRPr="00BA2632" w:rsidRDefault="00940662" w:rsidP="00940662">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Pr>
                <w:rFonts w:ascii="Calibri" w:hAnsi="Calibri"/>
                <w:sz w:val="18"/>
                <w:szCs w:val="18"/>
              </w:rPr>
              <w:t>As with ER in the previous line item, across all 5 sites there was a decrease in GPP (mg O</w:t>
            </w:r>
            <w:r>
              <w:rPr>
                <w:rFonts w:ascii="Calibri" w:hAnsi="Calibri"/>
                <w:sz w:val="18"/>
                <w:szCs w:val="18"/>
                <w:vertAlign w:val="subscript"/>
              </w:rPr>
              <w:t>2</w:t>
            </w:r>
            <w:r>
              <w:rPr>
                <w:rFonts w:ascii="Calibri" w:hAnsi="Calibri"/>
                <w:sz w:val="18"/>
                <w:szCs w:val="18"/>
              </w:rPr>
              <w:t>/L/Day) with flow increases (including those from CEW delivery) arising from dilution, as seen in all previous years). It was also shown that after the hydrograph fell, there was an increase in GPP (and ER) in the subsequent days and weeks, due to the entrainment of nutrients and organic carbon during that event. Importantly, there was a marked positive effect of flow increases, even those constrained within channel, on total amounts of GPP expressed as mass (load) of organic carbon produced per day. As there is no change in water source (tributary flow is not a significant water source in this section of the Goulburn River), the major effect of CEW is to augment flow.</w:t>
            </w:r>
          </w:p>
        </w:tc>
        <w:tc>
          <w:tcPr>
            <w:tcW w:w="3317" w:type="dxa"/>
            <w:shd w:val="clear" w:color="auto" w:fill="FFFFFF" w:themeFill="background2"/>
          </w:tcPr>
          <w:p w14:paraId="29719DC3" w14:textId="5073B9C2" w:rsidR="00940662" w:rsidRPr="00BA2632" w:rsidRDefault="00940662" w:rsidP="00940662">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Pr>
                <w:rFonts w:ascii="Calibri" w:hAnsi="Calibri"/>
                <w:sz w:val="18"/>
                <w:szCs w:val="18"/>
              </w:rPr>
              <w:t>Consideration of daily and seasonal trends in Gross Primary Production, expressed in both volumetric (mg O</w:t>
            </w:r>
            <w:r>
              <w:rPr>
                <w:rFonts w:ascii="Calibri" w:hAnsi="Calibri"/>
                <w:sz w:val="18"/>
                <w:szCs w:val="18"/>
                <w:vertAlign w:val="subscript"/>
              </w:rPr>
              <w:t>2</w:t>
            </w:r>
            <w:r>
              <w:rPr>
                <w:rFonts w:ascii="Calibri" w:hAnsi="Calibri"/>
                <w:sz w:val="18"/>
                <w:szCs w:val="18"/>
              </w:rPr>
              <w:t xml:space="preserve">/L/Day) and load (kg organic C/Day) units versus discharge in both flow category based on stage height </w:t>
            </w:r>
            <w:proofErr w:type="gramStart"/>
            <w:r>
              <w:rPr>
                <w:rFonts w:ascii="Calibri" w:hAnsi="Calibri"/>
                <w:sz w:val="18"/>
                <w:szCs w:val="18"/>
              </w:rPr>
              <w:t>and also</w:t>
            </w:r>
            <w:proofErr w:type="gramEnd"/>
            <w:r>
              <w:rPr>
                <w:rFonts w:ascii="Calibri" w:hAnsi="Calibri"/>
                <w:sz w:val="18"/>
                <w:szCs w:val="18"/>
              </w:rPr>
              <w:t xml:space="preserve"> nominal bins of equal numbers of points. This approach minimizes the effects of daily variability resulting from meteorological conditions. CEW flow contributions are a component of total flow in these analyses. Mean GPP rates are determined by site, </w:t>
            </w:r>
            <w:proofErr w:type="gramStart"/>
            <w:r>
              <w:rPr>
                <w:rFonts w:ascii="Calibri" w:hAnsi="Calibri"/>
                <w:sz w:val="18"/>
                <w:szCs w:val="18"/>
              </w:rPr>
              <w:t>season</w:t>
            </w:r>
            <w:proofErr w:type="gramEnd"/>
            <w:r>
              <w:rPr>
                <w:rFonts w:ascii="Calibri" w:hAnsi="Calibri"/>
                <w:sz w:val="18"/>
                <w:szCs w:val="18"/>
              </w:rPr>
              <w:t xml:space="preserve"> and flow category for these analyses.</w:t>
            </w:r>
          </w:p>
        </w:tc>
      </w:tr>
      <w:tr w:rsidR="001703F5" w:rsidRPr="00BA2632" w14:paraId="7779F420" w14:textId="77777777" w:rsidTr="00F7288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75" w:type="dxa"/>
            <w:gridSpan w:val="4"/>
            <w:shd w:val="clear" w:color="auto" w:fill="FFFFFF" w:themeFill="background2"/>
            <w:vAlign w:val="center"/>
          </w:tcPr>
          <w:p w14:paraId="411FAE99" w14:textId="77777777" w:rsidR="001703F5" w:rsidRPr="00BA2632" w:rsidRDefault="001703F5" w:rsidP="00E26D3C">
            <w:pPr>
              <w:pStyle w:val="Tablesmalltext"/>
              <w:jc w:val="center"/>
              <w:rPr>
                <w:rFonts w:ascii="Calibri" w:hAnsi="Calibri"/>
                <w:b w:val="0"/>
                <w:sz w:val="18"/>
                <w:szCs w:val="18"/>
              </w:rPr>
            </w:pPr>
            <w:r w:rsidRPr="00BA2632">
              <w:rPr>
                <w:rStyle w:val="Strong"/>
                <w:rFonts w:ascii="Calibri" w:hAnsi="Calibri" w:cstheme="minorHAnsi"/>
                <w:b/>
                <w:sz w:val="18"/>
                <w:szCs w:val="18"/>
              </w:rPr>
              <w:lastRenderedPageBreak/>
              <w:t>Area Scale evaluation questions</w:t>
            </w:r>
          </w:p>
        </w:tc>
      </w:tr>
      <w:tr w:rsidR="00D50890" w:rsidRPr="00BA2632" w14:paraId="2FE4D9BD" w14:textId="77777777" w:rsidTr="00B846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2"/>
          </w:tcPr>
          <w:p w14:paraId="1C9779F2" w14:textId="77777777" w:rsidR="00D50890" w:rsidRPr="00BA2632" w:rsidRDefault="00D50890" w:rsidP="00D50890">
            <w:pPr>
              <w:pStyle w:val="Tablesmalltext"/>
              <w:jc w:val="left"/>
              <w:rPr>
                <w:rFonts w:ascii="Calibri" w:hAnsi="Calibri" w:cstheme="minorHAnsi"/>
                <w:sz w:val="18"/>
                <w:szCs w:val="18"/>
              </w:rPr>
            </w:pPr>
            <w:r w:rsidRPr="00BA2632">
              <w:rPr>
                <w:rStyle w:val="Strong"/>
                <w:rFonts w:ascii="Calibri" w:hAnsi="Calibri" w:cstheme="minorHAnsi"/>
                <w:sz w:val="18"/>
                <w:szCs w:val="18"/>
              </w:rPr>
              <w:t>How does the timing and magnitude of CEW delivery affect rates of Gross Primary Productivity and Ecosystem Respiration in the lower Goulburn River?</w:t>
            </w:r>
          </w:p>
        </w:tc>
        <w:tc>
          <w:tcPr>
            <w:tcW w:w="1559" w:type="dxa"/>
            <w:shd w:val="clear" w:color="auto" w:fill="FFFFFF" w:themeFill="background2"/>
          </w:tcPr>
          <w:p w14:paraId="7A2DF860" w14:textId="77777777" w:rsidR="00D50890" w:rsidRPr="00BA2632" w:rsidRDefault="00D50890" w:rsidP="00D50890">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BA2632">
              <w:rPr>
                <w:rFonts w:ascii="Calibri" w:hAnsi="Calibri"/>
                <w:sz w:val="18"/>
                <w:szCs w:val="18"/>
              </w:rPr>
              <w:t xml:space="preserve">Yes, </w:t>
            </w:r>
            <w:proofErr w:type="gramStart"/>
            <w:r w:rsidRPr="00BA2632">
              <w:rPr>
                <w:rFonts w:ascii="Calibri" w:hAnsi="Calibri"/>
                <w:sz w:val="18"/>
                <w:szCs w:val="18"/>
              </w:rPr>
              <w:t>with the exception of</w:t>
            </w:r>
            <w:proofErr w:type="gramEnd"/>
            <w:r w:rsidRPr="00BA2632">
              <w:rPr>
                <w:rFonts w:ascii="Calibri" w:hAnsi="Calibri"/>
                <w:sz w:val="18"/>
                <w:szCs w:val="18"/>
              </w:rPr>
              <w:t xml:space="preserve"> the highest flow categories</w:t>
            </w:r>
          </w:p>
        </w:tc>
        <w:tc>
          <w:tcPr>
            <w:tcW w:w="3544" w:type="dxa"/>
            <w:shd w:val="clear" w:color="auto" w:fill="FFFFFF" w:themeFill="background2"/>
          </w:tcPr>
          <w:p w14:paraId="509E754F" w14:textId="42BB9DDC" w:rsidR="00D50890" w:rsidRPr="00BA2632" w:rsidRDefault="00D50890" w:rsidP="00D50890">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Pr>
                <w:rFonts w:ascii="Calibri" w:hAnsi="Calibri" w:cs="Calibri"/>
                <w:sz w:val="18"/>
                <w:szCs w:val="18"/>
              </w:rPr>
              <w:t>The findings in this, and earlier reports, show that augmenting natural flows with CEW (or using CEW to create flow events) has a positive benefit in terms of the amount of organic carbon created via GPP (and the mass of organic carbon consumed each day via ER). Analysis of the magnitude of organic carbon load enhancements shows that the biggest impact of CEW is found in the ‘Medium Fresh’ flow category in spring and autumn where an average additional 800-1100 kg organic carbon per day is created. Increasing flows from one flow band to a higher one enhances organic carbon production in all season</w:t>
            </w:r>
            <w:r w:rsidR="00BE237E">
              <w:rPr>
                <w:rFonts w:ascii="Calibri" w:hAnsi="Calibri" w:cs="Calibri"/>
                <w:sz w:val="18"/>
                <w:szCs w:val="18"/>
              </w:rPr>
              <w:t>s</w:t>
            </w:r>
            <w:r>
              <w:rPr>
                <w:rFonts w:ascii="Calibri" w:hAnsi="Calibri" w:cs="Calibri"/>
                <w:sz w:val="18"/>
                <w:szCs w:val="18"/>
              </w:rPr>
              <w:t xml:space="preserve"> except winter. It is important to note that it is likely that the reason for higher organic carbon loads with higher flow categories is that more nutrients and organic carbon are made available from rewetting banks, resuspending sediments and from upstream sources. Hence variation in flow, rather than maintaining constant flows, is extremely important.</w:t>
            </w:r>
          </w:p>
        </w:tc>
        <w:tc>
          <w:tcPr>
            <w:tcW w:w="3317" w:type="dxa"/>
            <w:shd w:val="clear" w:color="auto" w:fill="FFFFFF" w:themeFill="background2"/>
          </w:tcPr>
          <w:p w14:paraId="6A072A0B" w14:textId="215E46EF" w:rsidR="00D50890" w:rsidRPr="00BA2632" w:rsidRDefault="00D50890" w:rsidP="00D50890">
            <w:pPr>
              <w:pStyle w:val="Tablesmalltext"/>
              <w:jc w:val="lef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Pr>
                <w:rFonts w:ascii="Calibri" w:hAnsi="Calibri"/>
                <w:sz w:val="18"/>
                <w:szCs w:val="18"/>
              </w:rPr>
              <w:t xml:space="preserve">Based on regression of daily discharge versus rates of GPP and ER, and on calculated loads of organic carbon. Flow was categorized according to Section 5.4.3. Data analysis showed statistically significant increases in organic carbon loads with flow categories in all seasons except winter, where no differences were detected.  There was sufficient variability of flow levels (except &lt; Very Low Flow, High Freshes and Overbank Flows) to detect any significant effects. </w:t>
            </w:r>
          </w:p>
        </w:tc>
      </w:tr>
      <w:tr w:rsidR="001703F5" w:rsidRPr="00BA2632" w14:paraId="7F5DEF46" w14:textId="77777777" w:rsidTr="00B8467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2"/>
          </w:tcPr>
          <w:p w14:paraId="7981F728" w14:textId="77777777" w:rsidR="001703F5" w:rsidRPr="00BA2632" w:rsidRDefault="001703F5" w:rsidP="00E26D3C">
            <w:pPr>
              <w:pStyle w:val="Tablesmalltext"/>
              <w:jc w:val="left"/>
              <w:rPr>
                <w:rFonts w:ascii="Calibri" w:hAnsi="Calibri"/>
                <w:sz w:val="18"/>
                <w:szCs w:val="18"/>
              </w:rPr>
            </w:pPr>
            <w:r w:rsidRPr="00BA2632">
              <w:rPr>
                <w:rStyle w:val="Strong"/>
                <w:rFonts w:ascii="Calibri" w:hAnsi="Calibri" w:cstheme="minorHAnsi"/>
                <w:sz w:val="18"/>
                <w:szCs w:val="18"/>
              </w:rPr>
              <w:t>How do stream metabolism responses to CEW in the lower Goulburn River differ from CEW responses in the Edward Wakool system where the likelihood of overbank flows is higher and nutrient concentrations are generally much lower?</w:t>
            </w:r>
          </w:p>
        </w:tc>
        <w:tc>
          <w:tcPr>
            <w:tcW w:w="1559" w:type="dxa"/>
            <w:shd w:val="clear" w:color="auto" w:fill="FFFFFF" w:themeFill="background2"/>
          </w:tcPr>
          <w:p w14:paraId="09F3AF06" w14:textId="77777777" w:rsidR="001703F5" w:rsidRPr="00BA2632" w:rsidRDefault="001703F5"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BA2632">
              <w:rPr>
                <w:rFonts w:ascii="Calibri" w:hAnsi="Calibri"/>
                <w:sz w:val="18"/>
                <w:szCs w:val="18"/>
              </w:rPr>
              <w:t xml:space="preserve">Yes, </w:t>
            </w:r>
            <w:proofErr w:type="gramStart"/>
            <w:r w:rsidRPr="00BA2632">
              <w:rPr>
                <w:rFonts w:ascii="Calibri" w:hAnsi="Calibri"/>
                <w:sz w:val="18"/>
                <w:szCs w:val="18"/>
              </w:rPr>
              <w:t>with the exception of</w:t>
            </w:r>
            <w:proofErr w:type="gramEnd"/>
            <w:r w:rsidRPr="00BA2632">
              <w:rPr>
                <w:rFonts w:ascii="Calibri" w:hAnsi="Calibri"/>
                <w:sz w:val="18"/>
                <w:szCs w:val="18"/>
              </w:rPr>
              <w:t xml:space="preserve"> the highest flow categories in the Goulburn River. Basin Level analysis will describe the flow regime in the Edward-Wakool system.</w:t>
            </w:r>
          </w:p>
        </w:tc>
        <w:tc>
          <w:tcPr>
            <w:tcW w:w="3544" w:type="dxa"/>
            <w:shd w:val="clear" w:color="auto" w:fill="FFFFFF" w:themeFill="background2"/>
          </w:tcPr>
          <w:p w14:paraId="648E2576" w14:textId="26A91FBA" w:rsidR="001703F5" w:rsidRPr="00BA2632" w:rsidRDefault="001703F5"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BA2632">
              <w:rPr>
                <w:rFonts w:ascii="Calibri" w:hAnsi="Calibri"/>
                <w:sz w:val="18"/>
                <w:szCs w:val="18"/>
              </w:rPr>
              <w:t xml:space="preserve">It is expected that patterns in the Edward-Wakool will mimic those in the Goulburn River (based on the findings of the Basin Level Evaluation by Grace (2020). However, analysis of the </w:t>
            </w:r>
            <w:r w:rsidR="009F34E2">
              <w:rPr>
                <w:rFonts w:ascii="Calibri" w:hAnsi="Calibri"/>
                <w:sz w:val="18"/>
                <w:szCs w:val="18"/>
              </w:rPr>
              <w:t>2020-21</w:t>
            </w:r>
            <w:r w:rsidRPr="00BA2632">
              <w:rPr>
                <w:rFonts w:ascii="Calibri" w:hAnsi="Calibri"/>
                <w:sz w:val="18"/>
                <w:szCs w:val="18"/>
              </w:rPr>
              <w:t xml:space="preserve"> results is the responsibility of the MER Basin Level Evaluation team.</w:t>
            </w:r>
          </w:p>
        </w:tc>
        <w:tc>
          <w:tcPr>
            <w:tcW w:w="3317" w:type="dxa"/>
            <w:shd w:val="clear" w:color="auto" w:fill="FFFFFF" w:themeFill="background2"/>
          </w:tcPr>
          <w:p w14:paraId="3C40071E" w14:textId="77777777" w:rsidR="001703F5" w:rsidRPr="00BA2632" w:rsidRDefault="001703F5"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Calibri" w:hAnsi="Calibri"/>
                <w:sz w:val="18"/>
                <w:szCs w:val="18"/>
              </w:rPr>
            </w:pPr>
            <w:r w:rsidRPr="00BA2632">
              <w:rPr>
                <w:rFonts w:ascii="Calibri" w:hAnsi="Calibri"/>
                <w:sz w:val="18"/>
                <w:szCs w:val="18"/>
              </w:rPr>
              <w:t xml:space="preserve">This is the responsibility of the Basin Level Evaluation Team where the Edward-Wakool results (not available here) can be </w:t>
            </w:r>
            <w:proofErr w:type="gramStart"/>
            <w:r w:rsidRPr="00BA2632">
              <w:rPr>
                <w:rFonts w:ascii="Calibri" w:hAnsi="Calibri"/>
                <w:sz w:val="18"/>
                <w:szCs w:val="18"/>
              </w:rPr>
              <w:t>compared and contrasted</w:t>
            </w:r>
            <w:proofErr w:type="gramEnd"/>
            <w:r w:rsidRPr="00BA2632">
              <w:rPr>
                <w:rFonts w:ascii="Calibri" w:hAnsi="Calibri"/>
                <w:sz w:val="18"/>
                <w:szCs w:val="18"/>
              </w:rPr>
              <w:t xml:space="preserve"> with the Goulburn River findings and those of other Selected Areas.</w:t>
            </w:r>
          </w:p>
        </w:tc>
      </w:tr>
    </w:tbl>
    <w:p w14:paraId="426F10D1" w14:textId="77777777" w:rsidR="001703F5" w:rsidRPr="001703F5" w:rsidRDefault="001703F5" w:rsidP="001703F5">
      <w:pPr>
        <w:rPr>
          <w:lang w:eastAsia="en-US"/>
        </w:rPr>
      </w:pPr>
    </w:p>
    <w:p w14:paraId="0DBDCE27" w14:textId="09F00E08" w:rsidR="0073393B" w:rsidRPr="00BA2632" w:rsidRDefault="0073393B" w:rsidP="00F241F0">
      <w:pPr>
        <w:pStyle w:val="Heading2"/>
      </w:pPr>
      <w:bookmarkStart w:id="203" w:name="_Toc84416092"/>
      <w:bookmarkStart w:id="204" w:name="_Toc84417349"/>
      <w:bookmarkStart w:id="205" w:name="_Toc84475679"/>
      <w:r w:rsidRPr="00BA2632">
        <w:t>Monitoring methods and analytical techniques</w:t>
      </w:r>
      <w:bookmarkEnd w:id="203"/>
      <w:bookmarkEnd w:id="204"/>
      <w:bookmarkEnd w:id="205"/>
    </w:p>
    <w:p w14:paraId="54A0F9FD" w14:textId="21969CEE" w:rsidR="001703F5" w:rsidRDefault="001703F5" w:rsidP="001703F5">
      <w:r w:rsidRPr="00BA2632">
        <w:t xml:space="preserve">The stream metabolism and water quality measurements were performed in accordance with the LTIM Standard Operating Procedure </w:t>
      </w:r>
      <w:r w:rsidR="00566073">
        <w:rPr>
          <w:noProof/>
        </w:rPr>
        <w:t>(Hale et al. 2014)</w:t>
      </w:r>
      <w:r w:rsidRPr="00BA2632">
        <w:t xml:space="preserve">, which has remained essentially unchanged for the MER program </w:t>
      </w:r>
      <w:r w:rsidR="00566073">
        <w:rPr>
          <w:noProof/>
        </w:rPr>
        <w:t>(Webb et al. 2019b)</w:t>
      </w:r>
      <w:r w:rsidRPr="00BA2632">
        <w:t>.</w:t>
      </w:r>
    </w:p>
    <w:p w14:paraId="3EA33D3F" w14:textId="77777777" w:rsidR="001703F5" w:rsidRPr="00BA2632" w:rsidRDefault="001703F5" w:rsidP="001703F5">
      <w:r w:rsidRPr="00BA2632">
        <w:t>Water temperature and dissolved oxygen were logged every fifteen minutes with a DO logger placed in each of the five sites in zones 1 (Murchison</w:t>
      </w:r>
      <w:r w:rsidRPr="00BA2632">
        <w:rPr>
          <w:rStyle w:val="FootnoteReference"/>
        </w:rPr>
        <w:footnoteReference w:id="2"/>
      </w:r>
      <w:r w:rsidRPr="00BA2632">
        <w:t>, Arcadia Downs) and 2 (, Shepparton Golf Club</w:t>
      </w:r>
      <w:r>
        <w:t xml:space="preserve">, </w:t>
      </w:r>
      <w:r w:rsidRPr="00BA2632">
        <w:t xml:space="preserve">McCoy’s Bridge, Loch Garry). Data were downloaded and loggers calibrated approximately once per month depending on access by staff from Australian Laboratory </w:t>
      </w:r>
      <w:r w:rsidRPr="00BA2632">
        <w:lastRenderedPageBreak/>
        <w:t>Services (ALS). ALS is contracted via the Regional Water Monitoring Partnerships program to undertake water quality monitoring across Victoria. Light (PAR) loggers were also deployed in open fields at Shepparton Drain 12 and Nagambie (</w:t>
      </w:r>
      <w:proofErr w:type="spellStart"/>
      <w:r w:rsidRPr="00BA2632">
        <w:t>Tahbilk</w:t>
      </w:r>
      <w:proofErr w:type="spellEnd"/>
      <w:r w:rsidRPr="00BA2632">
        <w:t xml:space="preserve">); these data were downloaded every few months. </w:t>
      </w:r>
    </w:p>
    <w:p w14:paraId="177167AA" w14:textId="77777777" w:rsidR="001703F5" w:rsidRPr="00BA2632" w:rsidRDefault="001703F5" w:rsidP="001703F5">
      <w:r w:rsidRPr="00BA2632">
        <w:t>Water samples were collected from the same two sites within each zone used for the metabolism measurements, to measure:</w:t>
      </w:r>
    </w:p>
    <w:p w14:paraId="74A2AD10" w14:textId="77777777" w:rsidR="001703F5" w:rsidRPr="00246AEB" w:rsidRDefault="001703F5" w:rsidP="0029141C">
      <w:pPr>
        <w:pStyle w:val="ListBullet"/>
      </w:pPr>
      <w:r w:rsidRPr="00246AEB">
        <w:t>Dissolved Organic Carbon (DOC)</w:t>
      </w:r>
    </w:p>
    <w:p w14:paraId="1FD62385" w14:textId="77777777" w:rsidR="001703F5" w:rsidRPr="00246AEB" w:rsidRDefault="001703F5" w:rsidP="0029141C">
      <w:pPr>
        <w:pStyle w:val="ListBullet"/>
      </w:pPr>
      <w:r w:rsidRPr="00246AEB">
        <w:t>Water column Chlorophyll-a</w:t>
      </w:r>
    </w:p>
    <w:p w14:paraId="751D5D96" w14:textId="77777777" w:rsidR="001703F5" w:rsidRPr="00246AEB" w:rsidRDefault="001703F5" w:rsidP="0029141C">
      <w:pPr>
        <w:pStyle w:val="ListBullet"/>
      </w:pPr>
      <w:r w:rsidRPr="00246AEB">
        <w:t>Nutrients (</w:t>
      </w:r>
      <w:r w:rsidRPr="0029141C">
        <w:t>Ammonia</w:t>
      </w:r>
      <w:r w:rsidRPr="00246AEB">
        <w:t xml:space="preserve"> (NH4+), Filtered Reactive Phosphorus (FRP), Dissolved Nitrate</w:t>
      </w:r>
      <w:r w:rsidRPr="00246AEB" w:rsidDel="00685D14">
        <w:t xml:space="preserve"> </w:t>
      </w:r>
      <w:r w:rsidRPr="00246AEB">
        <w:t>and Nitrite (NOx), Total Nitrogen (TN) and Total Phosphorus (TP))</w:t>
      </w:r>
    </w:p>
    <w:p w14:paraId="029C2D25" w14:textId="77777777" w:rsidR="001703F5" w:rsidRPr="00BA2632" w:rsidRDefault="001703F5" w:rsidP="001703F5">
      <w:r w:rsidRPr="00BA2632">
        <w:t>In accord with the MER Standard Protocol, water quality parameters (temperature (</w:t>
      </w:r>
      <w:proofErr w:type="spellStart"/>
      <w:r w:rsidRPr="00BA2632">
        <w:rPr>
          <w:vertAlign w:val="superscript"/>
        </w:rPr>
        <w:t>o</w:t>
      </w:r>
      <w:r w:rsidRPr="00BA2632">
        <w:t>C</w:t>
      </w:r>
      <w:proofErr w:type="spellEnd"/>
      <w:r w:rsidRPr="00BA2632">
        <w:t>), electrical conductivity (mS/cm), dissolved oxygen (%), pH, and turbidity (NTU)) were measured fortnightly.</w:t>
      </w:r>
    </w:p>
    <w:p w14:paraId="3C7C9C6A" w14:textId="5915792B" w:rsidR="001703F5" w:rsidRDefault="001703F5" w:rsidP="001703F5">
      <w:r w:rsidRPr="00BA2632">
        <w:t xml:space="preserve">After discussions at the annual LTIM forum in Sydney in July 2016, it was decided that an updated version of the BASE model (BASEv2) would be used for analysing the 2015-16 metabolism data and all data sets from that time onwards, including MER this year. This change was a result of the paper published by </w:t>
      </w:r>
      <w:r w:rsidR="00566073">
        <w:rPr>
          <w:noProof/>
        </w:rPr>
        <w:t>Song et al. (2016)</w:t>
      </w:r>
      <w:r w:rsidRPr="00BA2632">
        <w:t>, which showed that our BASE model could be improved by changing from stepwise progression and fitting using each data point to integrated (whole data set) fitting and progression using modelled data.</w:t>
      </w:r>
    </w:p>
    <w:p w14:paraId="13895C4A" w14:textId="6EC4DE2F" w:rsidR="001703F5" w:rsidRPr="00BA2632" w:rsidRDefault="001703F5" w:rsidP="001703F5">
      <w:r>
        <w:t xml:space="preserve">The BASEv2 </w:t>
      </w:r>
      <w:r w:rsidRPr="00BA2632">
        <w:t xml:space="preserve">model </w:t>
      </w:r>
      <w:r w:rsidR="00566073">
        <w:rPr>
          <w:noProof/>
        </w:rPr>
        <w:t>(Grace et al. 2015)</w:t>
      </w:r>
      <w:r>
        <w:t xml:space="preserve"> has been used since 2015-16 for analysing the stream metabolism data. Acceptance criteria remained unchanged: the fitted model for a day must have an r2 value of at least 0.90 and a coefficient of variation for GPP, ER and K parameters of &lt; 50%; the convergence measure for parameter estimation, PPP, must lie between 0.1 and 0.9 and the reaeration coefficient, K, must be in the range 0.1 &lt; K &lt; 15 /Day. The rationale for these criteria has been explained in earlier annual reports while the fundamental model explaining how dissolved oxygen changes as a function of time due to primary production, respiration and reaeration has remained constant throughout (see the Stream Metabolism Foundation Report, (Grace 2015), which was slightly modified in 2019 (Grace 2019) for further details).</w:t>
      </w:r>
    </w:p>
    <w:p w14:paraId="17A63BD5" w14:textId="77777777" w:rsidR="001703F5" w:rsidRDefault="001703F5" w:rsidP="001703F5">
      <w:r w:rsidRPr="00BA2632">
        <w:t xml:space="preserve">Many data in this report are presented as boxplots. These provide a convenient and simple visual means of comparing the spread of data. </w:t>
      </w:r>
    </w:p>
    <w:p w14:paraId="253B3CD0" w14:textId="0EF631C4" w:rsidR="00D074F6" w:rsidRPr="00BA2632" w:rsidRDefault="00D074F6" w:rsidP="00D074F6">
      <w:pPr>
        <w:pStyle w:val="Heading3"/>
      </w:pPr>
      <w:bookmarkStart w:id="206" w:name="_Toc84417350"/>
      <w:r w:rsidRPr="00BA2632">
        <w:t xml:space="preserve">Daily </w:t>
      </w:r>
      <w:r w:rsidR="0018653A">
        <w:t>e</w:t>
      </w:r>
      <w:r w:rsidRPr="00BA2632">
        <w:t xml:space="preserve">nvironmental </w:t>
      </w:r>
      <w:r w:rsidR="0018653A">
        <w:t>w</w:t>
      </w:r>
      <w:r w:rsidRPr="00BA2632">
        <w:t xml:space="preserve">ater </w:t>
      </w:r>
      <w:r w:rsidR="0018653A">
        <w:t>v</w:t>
      </w:r>
      <w:r w:rsidRPr="00BA2632">
        <w:t>olumes at each site</w:t>
      </w:r>
      <w:bookmarkEnd w:id="206"/>
      <w:r w:rsidRPr="00BA2632">
        <w:t xml:space="preserve"> </w:t>
      </w:r>
    </w:p>
    <w:p w14:paraId="6C98AB09" w14:textId="003BAD24" w:rsidR="00D074F6" w:rsidRPr="00BA2632" w:rsidRDefault="00D074F6" w:rsidP="00D074F6">
      <w:r w:rsidRPr="00BA2632">
        <w:t xml:space="preserve">The volume of environmental water at each of the 5 stream metabolism monitoring sites was determined in reference to McCoy’s Bridge data </w:t>
      </w:r>
      <w:r w:rsidR="00566073">
        <w:rPr>
          <w:noProof/>
        </w:rPr>
        <w:t>(Webb et al. 2018)</w:t>
      </w:r>
      <w:r w:rsidRPr="00BA2632">
        <w:t>.</w:t>
      </w:r>
    </w:p>
    <w:p w14:paraId="37E6704E" w14:textId="77777777" w:rsidR="00D074F6" w:rsidRPr="00BA2632" w:rsidRDefault="00D074F6" w:rsidP="0029141C">
      <w:pPr>
        <w:pStyle w:val="ListBullet"/>
      </w:pPr>
      <w:r w:rsidRPr="00BA2632">
        <w:t>Loch Garry was considered one day’s water travel time upstream from McCoy’s Bridge</w:t>
      </w:r>
    </w:p>
    <w:p w14:paraId="1E6F39E1" w14:textId="77777777" w:rsidR="00D074F6" w:rsidRPr="00BA2632" w:rsidRDefault="00D074F6" w:rsidP="0029141C">
      <w:pPr>
        <w:pStyle w:val="ListBullet"/>
      </w:pPr>
      <w:r w:rsidRPr="00BA2632">
        <w:t>Shepparton Golf Club was considered two day’s water travel time upstream from McCoy’s Bridge</w:t>
      </w:r>
    </w:p>
    <w:p w14:paraId="2C0C228A" w14:textId="77777777" w:rsidR="00D074F6" w:rsidRPr="00BA2632" w:rsidRDefault="00D074F6" w:rsidP="0029141C">
      <w:pPr>
        <w:pStyle w:val="ListBullet"/>
      </w:pPr>
      <w:r w:rsidRPr="00BA2632">
        <w:t xml:space="preserve">Arcadia Downs was considered three day’s water travel time upstream from McCoy’s Bridge, and </w:t>
      </w:r>
    </w:p>
    <w:p w14:paraId="6895CBA4" w14:textId="77777777" w:rsidR="00D074F6" w:rsidRPr="00BA2632" w:rsidRDefault="00D074F6" w:rsidP="0029141C">
      <w:pPr>
        <w:pStyle w:val="ListBullet"/>
      </w:pPr>
      <w:r w:rsidRPr="00BA2632">
        <w:t>Murchison was considered four day’s water travel time upstream from McCoy’s Bridge</w:t>
      </w:r>
    </w:p>
    <w:p w14:paraId="55B245AB" w14:textId="2C122EC4" w:rsidR="00D074F6" w:rsidRPr="00BA2632" w:rsidRDefault="00D074F6" w:rsidP="00D074F6">
      <w:pPr>
        <w:pStyle w:val="Heading3"/>
      </w:pPr>
      <w:bookmarkStart w:id="207" w:name="_Toc84417351"/>
      <w:r w:rsidRPr="00BA2632">
        <w:t xml:space="preserve">Derived </w:t>
      </w:r>
      <w:r w:rsidR="0018653A">
        <w:t>s</w:t>
      </w:r>
      <w:r w:rsidRPr="00BA2632">
        <w:t xml:space="preserve">tream </w:t>
      </w:r>
      <w:r w:rsidR="0018653A">
        <w:t>m</w:t>
      </w:r>
      <w:r w:rsidRPr="00BA2632">
        <w:t xml:space="preserve">etabolism </w:t>
      </w:r>
      <w:r w:rsidR="0018653A">
        <w:t>m</w:t>
      </w:r>
      <w:r w:rsidRPr="00BA2632">
        <w:t>etrics</w:t>
      </w:r>
      <w:bookmarkEnd w:id="207"/>
    </w:p>
    <w:p w14:paraId="33278AF6" w14:textId="77777777" w:rsidR="00D074F6" w:rsidRPr="00BA2632" w:rsidRDefault="00D074F6" w:rsidP="00D074F6">
      <w:pPr>
        <w:rPr>
          <w:rFonts w:cs="Arial"/>
        </w:rPr>
      </w:pPr>
      <w:r w:rsidRPr="00BA2632">
        <w:t>GPP and ER continue to be reported in the units from the BASEv2 modelling, namely</w:t>
      </w:r>
      <w:r w:rsidRPr="00BA2632">
        <w:rPr>
          <w:rFonts w:cs="Arial"/>
          <w:szCs w:val="20"/>
        </w:rPr>
        <w:t xml:space="preserve"> mg O</w:t>
      </w:r>
      <w:r w:rsidRPr="00BA2632">
        <w:rPr>
          <w:rFonts w:cs="Arial"/>
          <w:szCs w:val="20"/>
          <w:vertAlign w:val="subscript"/>
        </w:rPr>
        <w:t>2</w:t>
      </w:r>
      <w:r w:rsidRPr="00BA2632">
        <w:rPr>
          <w:rFonts w:cs="Arial"/>
          <w:szCs w:val="20"/>
        </w:rPr>
        <w:t>/L/Day. In addition, in this report a derived unit has also been calculated and forms the basis for investigating flow effects:</w:t>
      </w:r>
    </w:p>
    <w:p w14:paraId="0F0AD10B" w14:textId="79757EE0" w:rsidR="00D074F6" w:rsidRPr="00BA2632" w:rsidRDefault="00D074F6" w:rsidP="0029141C">
      <w:pPr>
        <w:pStyle w:val="ListBullet"/>
      </w:pPr>
      <w:r w:rsidRPr="00BA2632">
        <w:t xml:space="preserve">The mass of oxygen (or organic carbon, see above) produced per day, which is effectively the </w:t>
      </w:r>
      <w:r w:rsidRPr="00BA2632">
        <w:rPr>
          <w:b/>
          <w:i/>
        </w:rPr>
        <w:t>daily load of organic carbon</w:t>
      </w:r>
      <w:r w:rsidRPr="00BA2632">
        <w:t>. This is calculated by multiplying the GPP or ER in mg O</w:t>
      </w:r>
      <w:r w:rsidRPr="00BA2632">
        <w:rPr>
          <w:vertAlign w:val="subscript"/>
        </w:rPr>
        <w:t>2</w:t>
      </w:r>
      <w:r w:rsidRPr="00BA2632">
        <w:t>/L/Day by the daily discharge. Conversion from oxygen-based units to organic carbon involves a factor of 12/32 (ratio of atomic mass of C and molecular mass of O</w:t>
      </w:r>
      <w:r w:rsidRPr="00BA2632">
        <w:rPr>
          <w:vertAlign w:val="subscript"/>
        </w:rPr>
        <w:t>2</w:t>
      </w:r>
      <w:r w:rsidRPr="00BA2632">
        <w:t xml:space="preserve">). This factor does not include any physiological efficiency factor for converting oxygen to organic carbon which typically is in the range 0.8-1. Given the exploratory use of this metric, concern over conversion efficiency at this stage is unwarranted. As has been noted in previous LTIM Basin-scale Evaluation Reports </w:t>
      </w:r>
      <w:r w:rsidR="0018467D">
        <w:rPr>
          <w:noProof/>
        </w:rPr>
        <w:t>(e.g. Grace 2020)</w:t>
      </w:r>
      <w:r w:rsidRPr="00BA2632">
        <w:t>, the most notable effect of increased discharge on metabolism is an immediate reduction due to the dilution effect of the additional water. However, the fact there is now more water may mean that the overall amount of oxygen (hence organic carbon) produced or consumed that day may increase.</w:t>
      </w:r>
    </w:p>
    <w:p w14:paraId="2D024606" w14:textId="77777777" w:rsidR="00D074F6" w:rsidRPr="00BA2632" w:rsidRDefault="00D074F6" w:rsidP="0029141C">
      <w:pPr>
        <w:rPr>
          <w:rFonts w:ascii="Arial" w:hAnsi="Arial"/>
        </w:rPr>
      </w:pPr>
      <w:r w:rsidRPr="00BA2632">
        <w:t>This unit is intended to relate to the amount of organic carbon required by the food web in that stream reach each day, and eventually to the sustainable stocking capacity for native fish in that reach, on the assumption that this capacity is resource (food) limited. There is much to be done in the future to quantitatively establish this link between primary production and the energetic needs of fish.</w:t>
      </w:r>
    </w:p>
    <w:p w14:paraId="4B452268" w14:textId="77777777" w:rsidR="00D074F6" w:rsidRDefault="00D074F6" w:rsidP="0029141C">
      <w:r w:rsidRPr="00BA2632">
        <w:lastRenderedPageBreak/>
        <w:t xml:space="preserve">One common question is “How much of the stream is involved in creating these x kg of organic carbon each day?”. It is the organic carbon created by all the water flowing past a fixed point or site </w:t>
      </w:r>
      <w:proofErr w:type="gramStart"/>
      <w:r w:rsidRPr="00BA2632">
        <w:t>e.g.</w:t>
      </w:r>
      <w:proofErr w:type="gramEnd"/>
      <w:r w:rsidRPr="00BA2632">
        <w:t xml:space="preserve"> the dissolved oxygen logger, or a stream gauging station in that 24-hour period. Hence the volume of water depends on the flow that day.</w:t>
      </w:r>
    </w:p>
    <w:p w14:paraId="2C3842C0" w14:textId="2F8D9D8F" w:rsidR="00D074F6" w:rsidRPr="00BA2632" w:rsidRDefault="00D074F6" w:rsidP="00D074F6">
      <w:pPr>
        <w:pStyle w:val="Heading3"/>
      </w:pPr>
      <w:bookmarkStart w:id="208" w:name="_Ref52387957"/>
      <w:bookmarkStart w:id="209" w:name="_Toc84417352"/>
      <w:r w:rsidRPr="00BA2632">
        <w:t>Flow ‘Categories’</w:t>
      </w:r>
      <w:bookmarkEnd w:id="208"/>
      <w:bookmarkEnd w:id="209"/>
    </w:p>
    <w:p w14:paraId="05657A46" w14:textId="1D8C628E" w:rsidR="00D074F6" w:rsidRPr="00BA2632" w:rsidRDefault="00D074F6" w:rsidP="00D074F6">
      <w:pPr>
        <w:spacing w:before="240" w:line="240" w:lineRule="exact"/>
      </w:pPr>
      <w:r w:rsidRPr="00BA2632">
        <w:rPr>
          <w:rFonts w:cs="Arial"/>
          <w:szCs w:val="20"/>
        </w:rPr>
        <w:t xml:space="preserve">As part of the ongoing development of hydrological descriptors of flow regimes undertaken in LTIM, discharge can be grouped according to the flow stages developed by </w:t>
      </w:r>
      <w:r w:rsidR="00AC34E7">
        <w:rPr>
          <w:rFonts w:cs="Arial"/>
          <w:noProof/>
          <w:szCs w:val="20"/>
        </w:rPr>
        <w:t>Stewardson &amp; Guarino (2018)</w:t>
      </w:r>
      <w:r w:rsidRPr="00BA2632" w:rsidDel="00BA3B70">
        <w:rPr>
          <w:rFonts w:cs="Arial"/>
          <w:szCs w:val="20"/>
        </w:rPr>
        <w:t xml:space="preserve"> </w:t>
      </w:r>
      <w:r w:rsidRPr="00BA2632">
        <w:rPr>
          <w:rFonts w:cs="Arial"/>
          <w:szCs w:val="20"/>
        </w:rPr>
        <w:t>(</w:t>
      </w:r>
      <w:r w:rsidR="00105FBB" w:rsidRPr="00BA2632">
        <w:t xml:space="preserve">Figure </w:t>
      </w:r>
      <w:r w:rsidR="00105FBB">
        <w:rPr>
          <w:noProof/>
        </w:rPr>
        <w:t>5</w:t>
      </w:r>
      <w:r w:rsidR="00105FBB">
        <w:rPr>
          <w:noProof/>
        </w:rPr>
        <w:noBreakHyphen/>
        <w:t>2</w:t>
      </w:r>
      <w:r w:rsidRPr="00BA2632">
        <w:rPr>
          <w:rFonts w:cs="Arial"/>
          <w:szCs w:val="20"/>
        </w:rPr>
        <w:t>). T</w:t>
      </w:r>
      <w:r w:rsidRPr="00BA2632">
        <w:t xml:space="preserve">he various flow levels are established as: </w:t>
      </w:r>
    </w:p>
    <w:p w14:paraId="21107D96" w14:textId="77777777" w:rsidR="00D074F6" w:rsidRPr="00BA2632" w:rsidRDefault="00D074F6" w:rsidP="0029141C">
      <w:pPr>
        <w:pStyle w:val="ListBullet"/>
      </w:pPr>
      <w:r w:rsidRPr="00BA2632">
        <w:t xml:space="preserve">Very low </w:t>
      </w:r>
      <w:proofErr w:type="gramStart"/>
      <w:r w:rsidRPr="00BA2632">
        <w:t>flows:</w:t>
      </w:r>
      <w:proofErr w:type="gramEnd"/>
      <w:r w:rsidRPr="00BA2632">
        <w:t xml:space="preserve"> flows less than the lowest flow in the unimpacted monthly flow series or 2% of mean unimpacted flow, whichever is greater. </w:t>
      </w:r>
    </w:p>
    <w:p w14:paraId="10AEB923" w14:textId="77777777" w:rsidR="00D074F6" w:rsidRPr="00BA2632" w:rsidRDefault="00D074F6" w:rsidP="0029141C">
      <w:pPr>
        <w:pStyle w:val="ListBullet"/>
      </w:pPr>
      <w:r w:rsidRPr="00BA2632">
        <w:t xml:space="preserve">Medium low flows: flows that fall below the 95th percentile exceedance flow in the unimpacted monthly flow series or 10% of the mean unimpacted flow, whichever is greater. </w:t>
      </w:r>
    </w:p>
    <w:p w14:paraId="1A013ECC" w14:textId="77777777" w:rsidR="00D074F6" w:rsidRPr="00BA2632" w:rsidRDefault="00D074F6" w:rsidP="0029141C">
      <w:pPr>
        <w:pStyle w:val="ListBullet"/>
      </w:pPr>
      <w:r w:rsidRPr="00BA2632">
        <w:t xml:space="preserve">Low freshes: flow spells that raise water levels at least 1/8th of the height of the bank above the medium low flow level. </w:t>
      </w:r>
    </w:p>
    <w:p w14:paraId="3CD2CBBC" w14:textId="77777777" w:rsidR="00D074F6" w:rsidRPr="00BA2632" w:rsidRDefault="00D074F6" w:rsidP="0029141C">
      <w:pPr>
        <w:pStyle w:val="ListBullet"/>
      </w:pPr>
      <w:r w:rsidRPr="00BA2632">
        <w:t>Medium freshes: flow spells that raise water levels at least 1/4 of the height of the bank above the medium low flow level</w:t>
      </w:r>
    </w:p>
    <w:p w14:paraId="7DDECAE7" w14:textId="77777777" w:rsidR="00D074F6" w:rsidRPr="00BA2632" w:rsidRDefault="00D074F6" w:rsidP="0029141C">
      <w:pPr>
        <w:pStyle w:val="ListBullet"/>
      </w:pPr>
      <w:r w:rsidRPr="00BA2632">
        <w:t>High freshes flow spells that raise water levels at least 1/2 of the height of the bank above the medium low flow level.</w:t>
      </w:r>
    </w:p>
    <w:p w14:paraId="671AF76D" w14:textId="77777777" w:rsidR="00D074F6" w:rsidRPr="00BA2632" w:rsidRDefault="00D074F6" w:rsidP="00D074F6">
      <w:pPr>
        <w:keepNext/>
        <w:jc w:val="center"/>
      </w:pPr>
      <w:r w:rsidRPr="00BA2632">
        <w:rPr>
          <w:noProof/>
          <w:lang w:val="en-GB"/>
        </w:rPr>
        <w:drawing>
          <wp:inline distT="0" distB="0" distL="0" distR="0" wp14:anchorId="3FCCCCC6" wp14:editId="67963C73">
            <wp:extent cx="3864334" cy="2306951"/>
            <wp:effectExtent l="0" t="0" r="317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889561" cy="2322011"/>
                    </a:xfrm>
                    <a:prstGeom prst="rect">
                      <a:avLst/>
                    </a:prstGeom>
                    <a:noFill/>
                    <a:ln>
                      <a:noFill/>
                    </a:ln>
                  </pic:spPr>
                </pic:pic>
              </a:graphicData>
            </a:graphic>
          </wp:inline>
        </w:drawing>
      </w:r>
    </w:p>
    <w:p w14:paraId="10930603" w14:textId="1FD3C1F7" w:rsidR="00D074F6" w:rsidRPr="00BA2632" w:rsidRDefault="00D074F6" w:rsidP="00D074F6">
      <w:pPr>
        <w:pStyle w:val="Caption"/>
        <w:rPr>
          <w:rFonts w:ascii="Arial" w:hAnsi="Arial"/>
        </w:rPr>
      </w:pPr>
      <w:bookmarkStart w:id="210" w:name="_Ref52388041"/>
      <w:bookmarkStart w:id="211" w:name="_Toc83907746"/>
      <w:bookmarkStart w:id="212" w:name="_Toc84475647"/>
      <w:r w:rsidRPr="00BA2632">
        <w:t xml:space="preserve">Figure </w:t>
      </w:r>
      <w:r w:rsidR="00B85158">
        <w:rPr>
          <w:noProof/>
        </w:rPr>
        <w:t>5</w:t>
      </w:r>
      <w:r w:rsidR="00B85158">
        <w:noBreakHyphen/>
      </w:r>
      <w:r w:rsidR="00B85158">
        <w:rPr>
          <w:noProof/>
        </w:rPr>
        <w:t>2</w:t>
      </w:r>
      <w:bookmarkEnd w:id="210"/>
      <w:r w:rsidRPr="00BA2632">
        <w:t xml:space="preserve"> Flow stages according to </w:t>
      </w:r>
      <w:r w:rsidR="00AC34E7">
        <w:rPr>
          <w:noProof/>
        </w:rPr>
        <w:t>Stewardson &amp; Guarino (2018)</w:t>
      </w:r>
      <w:r w:rsidRPr="00BA2632">
        <w:t>.</w:t>
      </w:r>
      <w:bookmarkEnd w:id="211"/>
      <w:bookmarkEnd w:id="212"/>
    </w:p>
    <w:p w14:paraId="735A6CC4" w14:textId="4D8D5F88" w:rsidR="00D074F6" w:rsidRPr="00BA2632" w:rsidRDefault="00D074F6" w:rsidP="00D074F6">
      <w:pPr>
        <w:rPr>
          <w:lang w:val="en-GB"/>
        </w:rPr>
      </w:pPr>
      <w:r w:rsidRPr="00BA2632">
        <w:t xml:space="preserve">The flow thresholds associated with these stages was provide by Guarino (2019) – the data relevant to the Goulburn River metabolism sites are presented in </w:t>
      </w:r>
      <w:r w:rsidR="00D044D5" w:rsidRPr="00BA2632">
        <w:t xml:space="preserve">Table </w:t>
      </w:r>
      <w:r w:rsidR="00D044D5">
        <w:rPr>
          <w:noProof/>
        </w:rPr>
        <w:t>5</w:t>
      </w:r>
      <w:r w:rsidR="00D044D5">
        <w:rPr>
          <w:noProof/>
        </w:rPr>
        <w:noBreakHyphen/>
        <w:t>3</w:t>
      </w:r>
      <w:r w:rsidRPr="00BA2632">
        <w:t xml:space="preserve">. </w:t>
      </w:r>
      <w:r>
        <w:rPr>
          <w:rFonts w:cs="Arial"/>
          <w:szCs w:val="20"/>
        </w:rPr>
        <w:t>No specific threshold data are available for Arcadia Downs, so the Murchison thresholds were applied. No thresholds (or appropriate approximations thereof) are available for Loch Garry or Shepparton Golf Club sites</w:t>
      </w:r>
      <w:r w:rsidRPr="00BA2632">
        <w:t>.</w:t>
      </w:r>
    </w:p>
    <w:p w14:paraId="6F0B8693" w14:textId="27E4FC9F" w:rsidR="00D074F6" w:rsidRPr="00BA2632" w:rsidRDefault="00D074F6" w:rsidP="00D074F6">
      <w:pPr>
        <w:pStyle w:val="Caption"/>
        <w:keepNext/>
      </w:pPr>
      <w:bookmarkStart w:id="213" w:name="_Ref52388142"/>
      <w:bookmarkStart w:id="214" w:name="_Toc95391464"/>
      <w:r w:rsidRPr="00BA2632">
        <w:t xml:space="preserve">Table </w:t>
      </w:r>
      <w:r w:rsidR="000B75AF">
        <w:rPr>
          <w:noProof/>
        </w:rPr>
        <w:t>5</w:t>
      </w:r>
      <w:r w:rsidR="000B75AF">
        <w:noBreakHyphen/>
      </w:r>
      <w:r w:rsidR="000B75AF">
        <w:rPr>
          <w:noProof/>
        </w:rPr>
        <w:t>3</w:t>
      </w:r>
      <w:bookmarkEnd w:id="213"/>
      <w:r w:rsidRPr="00BA2632">
        <w:t xml:space="preserve"> </w:t>
      </w:r>
      <w:bookmarkStart w:id="215" w:name="_Hlk55923327"/>
      <w:r w:rsidRPr="00BA2632">
        <w:t>Flow Thresholds (ML/Day) for Goulburn River stream metabolism monitoring sites</w:t>
      </w:r>
      <w:bookmarkEnd w:id="215"/>
      <w:r w:rsidRPr="00BA2632">
        <w:t>.</w:t>
      </w:r>
      <w:bookmarkEnd w:id="214"/>
    </w:p>
    <w:tbl>
      <w:tblPr>
        <w:tblW w:w="88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4"/>
        <w:gridCol w:w="1219"/>
        <w:gridCol w:w="1985"/>
        <w:gridCol w:w="680"/>
        <w:gridCol w:w="948"/>
        <w:gridCol w:w="680"/>
        <w:gridCol w:w="834"/>
        <w:gridCol w:w="680"/>
        <w:gridCol w:w="858"/>
      </w:tblGrid>
      <w:tr w:rsidR="00D074F6" w:rsidRPr="00BA2632" w14:paraId="351FCB36" w14:textId="77777777" w:rsidTr="00D044D5">
        <w:trPr>
          <w:trHeight w:val="624"/>
          <w:jc w:val="center"/>
        </w:trPr>
        <w:tc>
          <w:tcPr>
            <w:tcW w:w="1044" w:type="dxa"/>
            <w:tcBorders>
              <w:top w:val="single" w:sz="4" w:space="0" w:color="auto"/>
              <w:left w:val="single" w:sz="4" w:space="0" w:color="auto"/>
              <w:bottom w:val="single" w:sz="4" w:space="0" w:color="auto"/>
              <w:right w:val="single" w:sz="4" w:space="0" w:color="auto"/>
            </w:tcBorders>
            <w:shd w:val="clear" w:color="auto" w:fill="094183" w:themeFill="accent1"/>
            <w:noWrap/>
            <w:vAlign w:val="center"/>
            <w:hideMark/>
          </w:tcPr>
          <w:p w14:paraId="28369A7B" w14:textId="77777777" w:rsidR="00D074F6" w:rsidRPr="00BA2632" w:rsidRDefault="00D074F6" w:rsidP="00E26D3C">
            <w:pPr>
              <w:spacing w:after="0"/>
              <w:jc w:val="center"/>
              <w:rPr>
                <w:rFonts w:ascii="Calibri" w:hAnsi="Calibri" w:cs="Arial"/>
                <w:color w:val="FFFFFF" w:themeColor="background1"/>
                <w:sz w:val="18"/>
                <w:szCs w:val="18"/>
              </w:rPr>
            </w:pPr>
            <w:bookmarkStart w:id="216" w:name="_Hlk55923303"/>
            <w:r w:rsidRPr="00BA2632">
              <w:rPr>
                <w:rFonts w:ascii="Calibri" w:hAnsi="Calibri" w:cs="Arial"/>
                <w:color w:val="FFFFFF" w:themeColor="background1"/>
                <w:sz w:val="18"/>
                <w:szCs w:val="18"/>
              </w:rPr>
              <w:t>Site Name</w:t>
            </w:r>
          </w:p>
        </w:tc>
        <w:tc>
          <w:tcPr>
            <w:tcW w:w="1219" w:type="dxa"/>
            <w:tcBorders>
              <w:top w:val="single" w:sz="4" w:space="0" w:color="auto"/>
              <w:left w:val="single" w:sz="4" w:space="0" w:color="auto"/>
              <w:bottom w:val="single" w:sz="4" w:space="0" w:color="auto"/>
              <w:right w:val="single" w:sz="4" w:space="0" w:color="auto"/>
            </w:tcBorders>
            <w:shd w:val="clear" w:color="auto" w:fill="094183" w:themeFill="accent1"/>
            <w:noWrap/>
            <w:vAlign w:val="center"/>
            <w:hideMark/>
          </w:tcPr>
          <w:p w14:paraId="51D13BDF" w14:textId="77777777" w:rsidR="00D074F6" w:rsidRPr="00BA2632" w:rsidRDefault="00D074F6" w:rsidP="00E26D3C">
            <w:pPr>
              <w:spacing w:after="0"/>
              <w:jc w:val="center"/>
              <w:rPr>
                <w:rFonts w:ascii="Calibri" w:hAnsi="Calibri" w:cs="Arial"/>
                <w:color w:val="FFFFFF" w:themeColor="background1"/>
                <w:sz w:val="18"/>
                <w:szCs w:val="18"/>
              </w:rPr>
            </w:pPr>
            <w:r w:rsidRPr="00BA2632">
              <w:rPr>
                <w:rFonts w:ascii="Calibri" w:hAnsi="Calibri" w:cs="Arial"/>
                <w:color w:val="FFFFFF" w:themeColor="background1"/>
                <w:sz w:val="18"/>
                <w:szCs w:val="18"/>
              </w:rPr>
              <w:t>MER Site</w:t>
            </w:r>
          </w:p>
        </w:tc>
        <w:tc>
          <w:tcPr>
            <w:tcW w:w="1985" w:type="dxa"/>
            <w:tcBorders>
              <w:top w:val="single" w:sz="4" w:space="0" w:color="auto"/>
              <w:left w:val="single" w:sz="4" w:space="0" w:color="auto"/>
              <w:bottom w:val="single" w:sz="4" w:space="0" w:color="auto"/>
              <w:right w:val="single" w:sz="4" w:space="0" w:color="auto"/>
            </w:tcBorders>
            <w:shd w:val="clear" w:color="auto" w:fill="094183" w:themeFill="accent1"/>
            <w:noWrap/>
            <w:vAlign w:val="center"/>
            <w:hideMark/>
          </w:tcPr>
          <w:p w14:paraId="62F2B606" w14:textId="77777777" w:rsidR="00D074F6" w:rsidRPr="00BA2632" w:rsidRDefault="00D074F6" w:rsidP="00E26D3C">
            <w:pPr>
              <w:spacing w:after="0"/>
              <w:jc w:val="center"/>
              <w:rPr>
                <w:rFonts w:ascii="Calibri" w:hAnsi="Calibri" w:cs="Arial"/>
                <w:color w:val="FFFFFF" w:themeColor="background1"/>
                <w:sz w:val="18"/>
                <w:szCs w:val="18"/>
              </w:rPr>
            </w:pPr>
            <w:r w:rsidRPr="00BA2632">
              <w:rPr>
                <w:rFonts w:ascii="Calibri" w:hAnsi="Calibri" w:cs="Arial"/>
                <w:color w:val="FFFFFF" w:themeColor="background1"/>
                <w:sz w:val="18"/>
                <w:szCs w:val="18"/>
              </w:rPr>
              <w:t>Modelled Natural Flow Site Name</w:t>
            </w:r>
          </w:p>
        </w:tc>
        <w:tc>
          <w:tcPr>
            <w:tcW w:w="680" w:type="dxa"/>
            <w:tcBorders>
              <w:top w:val="single" w:sz="4" w:space="0" w:color="auto"/>
              <w:left w:val="single" w:sz="4" w:space="0" w:color="auto"/>
              <w:bottom w:val="single" w:sz="4" w:space="0" w:color="auto"/>
              <w:right w:val="single" w:sz="4" w:space="0" w:color="auto"/>
            </w:tcBorders>
            <w:shd w:val="clear" w:color="auto" w:fill="094183" w:themeFill="accent1"/>
            <w:noWrap/>
            <w:vAlign w:val="center"/>
            <w:hideMark/>
          </w:tcPr>
          <w:p w14:paraId="143DE01F" w14:textId="77777777" w:rsidR="00D074F6" w:rsidRPr="00BA2632" w:rsidRDefault="00D074F6" w:rsidP="00E26D3C">
            <w:pPr>
              <w:spacing w:after="0"/>
              <w:jc w:val="center"/>
              <w:rPr>
                <w:rFonts w:ascii="Calibri" w:hAnsi="Calibri" w:cs="Arial"/>
                <w:color w:val="FFFFFF" w:themeColor="background1"/>
                <w:sz w:val="18"/>
                <w:szCs w:val="18"/>
              </w:rPr>
            </w:pPr>
            <w:r w:rsidRPr="00BA2632">
              <w:rPr>
                <w:rFonts w:ascii="Calibri" w:hAnsi="Calibri" w:cs="Arial"/>
                <w:color w:val="FFFFFF" w:themeColor="background1"/>
                <w:sz w:val="18"/>
                <w:szCs w:val="18"/>
              </w:rPr>
              <w:t>Very Low</w:t>
            </w:r>
          </w:p>
        </w:tc>
        <w:tc>
          <w:tcPr>
            <w:tcW w:w="892" w:type="dxa"/>
            <w:tcBorders>
              <w:top w:val="single" w:sz="4" w:space="0" w:color="auto"/>
              <w:left w:val="single" w:sz="4" w:space="0" w:color="auto"/>
              <w:bottom w:val="single" w:sz="4" w:space="0" w:color="auto"/>
              <w:right w:val="single" w:sz="4" w:space="0" w:color="auto"/>
            </w:tcBorders>
            <w:shd w:val="clear" w:color="auto" w:fill="094183" w:themeFill="accent1"/>
            <w:noWrap/>
            <w:vAlign w:val="center"/>
            <w:hideMark/>
          </w:tcPr>
          <w:p w14:paraId="24CBB3DE" w14:textId="77777777" w:rsidR="00D074F6" w:rsidRPr="00BA2632" w:rsidRDefault="00D074F6" w:rsidP="00E26D3C">
            <w:pPr>
              <w:spacing w:after="0"/>
              <w:jc w:val="center"/>
              <w:rPr>
                <w:rFonts w:ascii="Calibri" w:hAnsi="Calibri" w:cs="Arial"/>
                <w:color w:val="FFFFFF" w:themeColor="background1"/>
                <w:sz w:val="18"/>
                <w:szCs w:val="18"/>
              </w:rPr>
            </w:pPr>
            <w:r w:rsidRPr="00BA2632">
              <w:rPr>
                <w:rFonts w:ascii="Calibri" w:hAnsi="Calibri" w:cs="Arial"/>
                <w:color w:val="FFFFFF" w:themeColor="background1"/>
                <w:sz w:val="18"/>
                <w:szCs w:val="18"/>
              </w:rPr>
              <w:t>Moderate Low</w:t>
            </w:r>
          </w:p>
        </w:tc>
        <w:tc>
          <w:tcPr>
            <w:tcW w:w="680" w:type="dxa"/>
            <w:tcBorders>
              <w:top w:val="single" w:sz="4" w:space="0" w:color="auto"/>
              <w:left w:val="single" w:sz="4" w:space="0" w:color="auto"/>
              <w:bottom w:val="single" w:sz="4" w:space="0" w:color="auto"/>
              <w:right w:val="single" w:sz="4" w:space="0" w:color="auto"/>
            </w:tcBorders>
            <w:shd w:val="clear" w:color="auto" w:fill="094183" w:themeFill="accent1"/>
            <w:noWrap/>
            <w:vAlign w:val="center"/>
            <w:hideMark/>
          </w:tcPr>
          <w:p w14:paraId="35C024BD" w14:textId="77777777" w:rsidR="00D074F6" w:rsidRPr="00BA2632" w:rsidRDefault="00D074F6" w:rsidP="00E26D3C">
            <w:pPr>
              <w:spacing w:after="0"/>
              <w:jc w:val="center"/>
              <w:rPr>
                <w:rFonts w:ascii="Calibri" w:hAnsi="Calibri" w:cs="Arial"/>
                <w:color w:val="FFFFFF" w:themeColor="background1"/>
                <w:sz w:val="18"/>
                <w:szCs w:val="18"/>
              </w:rPr>
            </w:pPr>
            <w:r w:rsidRPr="00BA2632">
              <w:rPr>
                <w:rFonts w:ascii="Calibri" w:hAnsi="Calibri" w:cs="Arial"/>
                <w:color w:val="FFFFFF" w:themeColor="background1"/>
                <w:sz w:val="18"/>
                <w:szCs w:val="18"/>
              </w:rPr>
              <w:t>Low Fresh</w:t>
            </w:r>
          </w:p>
        </w:tc>
        <w:tc>
          <w:tcPr>
            <w:tcW w:w="786" w:type="dxa"/>
            <w:tcBorders>
              <w:top w:val="single" w:sz="4" w:space="0" w:color="auto"/>
              <w:left w:val="single" w:sz="4" w:space="0" w:color="auto"/>
              <w:bottom w:val="single" w:sz="4" w:space="0" w:color="auto"/>
              <w:right w:val="single" w:sz="4" w:space="0" w:color="auto"/>
            </w:tcBorders>
            <w:shd w:val="clear" w:color="auto" w:fill="094183" w:themeFill="accent1"/>
            <w:noWrap/>
            <w:vAlign w:val="center"/>
            <w:hideMark/>
          </w:tcPr>
          <w:p w14:paraId="274E3F61" w14:textId="77777777" w:rsidR="00D074F6" w:rsidRPr="00BA2632" w:rsidRDefault="00D074F6" w:rsidP="00E26D3C">
            <w:pPr>
              <w:spacing w:after="0"/>
              <w:jc w:val="center"/>
              <w:rPr>
                <w:rFonts w:ascii="Calibri" w:hAnsi="Calibri" w:cs="Arial"/>
                <w:color w:val="FFFFFF" w:themeColor="background1"/>
                <w:sz w:val="18"/>
                <w:szCs w:val="18"/>
              </w:rPr>
            </w:pPr>
            <w:r w:rsidRPr="00BA2632">
              <w:rPr>
                <w:rFonts w:ascii="Calibri" w:hAnsi="Calibri" w:cs="Arial"/>
                <w:color w:val="FFFFFF" w:themeColor="background1"/>
                <w:sz w:val="18"/>
                <w:szCs w:val="18"/>
              </w:rPr>
              <w:t>Medium Fresh</w:t>
            </w:r>
          </w:p>
        </w:tc>
        <w:tc>
          <w:tcPr>
            <w:tcW w:w="680" w:type="dxa"/>
            <w:tcBorders>
              <w:top w:val="single" w:sz="4" w:space="0" w:color="auto"/>
              <w:left w:val="single" w:sz="4" w:space="0" w:color="auto"/>
              <w:bottom w:val="single" w:sz="4" w:space="0" w:color="auto"/>
              <w:right w:val="single" w:sz="4" w:space="0" w:color="auto"/>
            </w:tcBorders>
            <w:shd w:val="clear" w:color="auto" w:fill="094183" w:themeFill="accent1"/>
            <w:noWrap/>
            <w:vAlign w:val="center"/>
            <w:hideMark/>
          </w:tcPr>
          <w:p w14:paraId="7FE2221C" w14:textId="77777777" w:rsidR="00D074F6" w:rsidRPr="00BA2632" w:rsidRDefault="00D074F6" w:rsidP="00E26D3C">
            <w:pPr>
              <w:spacing w:after="0"/>
              <w:jc w:val="center"/>
              <w:rPr>
                <w:rFonts w:ascii="Calibri" w:hAnsi="Calibri" w:cs="Arial"/>
                <w:color w:val="FFFFFF" w:themeColor="background1"/>
                <w:sz w:val="18"/>
                <w:szCs w:val="18"/>
              </w:rPr>
            </w:pPr>
            <w:r w:rsidRPr="00BA2632">
              <w:rPr>
                <w:rFonts w:ascii="Calibri" w:hAnsi="Calibri" w:cs="Arial"/>
                <w:color w:val="FFFFFF" w:themeColor="background1"/>
                <w:sz w:val="18"/>
                <w:szCs w:val="18"/>
              </w:rPr>
              <w:t>High Fresh</w:t>
            </w:r>
          </w:p>
        </w:tc>
        <w:tc>
          <w:tcPr>
            <w:tcW w:w="857" w:type="dxa"/>
            <w:tcBorders>
              <w:top w:val="single" w:sz="4" w:space="0" w:color="auto"/>
              <w:left w:val="single" w:sz="4" w:space="0" w:color="auto"/>
              <w:bottom w:val="single" w:sz="4" w:space="0" w:color="auto"/>
              <w:right w:val="single" w:sz="4" w:space="0" w:color="auto"/>
            </w:tcBorders>
            <w:shd w:val="clear" w:color="auto" w:fill="094183" w:themeFill="accent1"/>
            <w:noWrap/>
            <w:vAlign w:val="center"/>
            <w:hideMark/>
          </w:tcPr>
          <w:p w14:paraId="21437D04" w14:textId="77777777" w:rsidR="00D074F6" w:rsidRPr="00BA2632" w:rsidRDefault="00D074F6" w:rsidP="00E26D3C">
            <w:pPr>
              <w:spacing w:after="0"/>
              <w:jc w:val="center"/>
              <w:rPr>
                <w:rFonts w:ascii="Calibri" w:hAnsi="Calibri" w:cs="Arial"/>
                <w:color w:val="FFFFFF" w:themeColor="background1"/>
                <w:sz w:val="18"/>
                <w:szCs w:val="18"/>
              </w:rPr>
            </w:pPr>
            <w:r w:rsidRPr="00BA2632">
              <w:rPr>
                <w:rFonts w:ascii="Calibri" w:hAnsi="Calibri" w:cs="Arial"/>
                <w:color w:val="FFFFFF" w:themeColor="background1"/>
                <w:sz w:val="18"/>
                <w:szCs w:val="18"/>
              </w:rPr>
              <w:t xml:space="preserve">Finalised </w:t>
            </w:r>
            <w:proofErr w:type="spellStart"/>
            <w:r w:rsidRPr="00BA2632">
              <w:rPr>
                <w:rFonts w:ascii="Calibri" w:hAnsi="Calibri" w:cs="Arial"/>
                <w:color w:val="FFFFFF" w:themeColor="background1"/>
                <w:sz w:val="18"/>
                <w:szCs w:val="18"/>
              </w:rPr>
              <w:t>Bankfull</w:t>
            </w:r>
            <w:proofErr w:type="spellEnd"/>
          </w:p>
        </w:tc>
      </w:tr>
      <w:tr w:rsidR="00D074F6" w:rsidRPr="00BA2632" w14:paraId="649C9132" w14:textId="77777777" w:rsidTr="00D044D5">
        <w:trPr>
          <w:trHeight w:val="624"/>
          <w:jc w:val="center"/>
        </w:trPr>
        <w:tc>
          <w:tcPr>
            <w:tcW w:w="1044" w:type="dxa"/>
            <w:tcBorders>
              <w:top w:val="single" w:sz="4" w:space="0" w:color="auto"/>
              <w:left w:val="single" w:sz="4" w:space="0" w:color="auto"/>
              <w:bottom w:val="single" w:sz="4" w:space="0" w:color="auto"/>
              <w:right w:val="single" w:sz="4" w:space="0" w:color="auto"/>
            </w:tcBorders>
            <w:noWrap/>
            <w:vAlign w:val="center"/>
            <w:hideMark/>
          </w:tcPr>
          <w:p w14:paraId="1FC39868" w14:textId="77777777" w:rsidR="00D074F6" w:rsidRPr="00BA2632" w:rsidRDefault="00D074F6" w:rsidP="00E26D3C">
            <w:pPr>
              <w:spacing w:after="0"/>
              <w:jc w:val="center"/>
              <w:rPr>
                <w:rFonts w:ascii="Calibri" w:hAnsi="Calibri" w:cs="Arial"/>
                <w:sz w:val="18"/>
                <w:szCs w:val="18"/>
              </w:rPr>
            </w:pPr>
            <w:r w:rsidRPr="00BA2632">
              <w:rPr>
                <w:rFonts w:ascii="Calibri" w:hAnsi="Calibri" w:cs="Arial"/>
                <w:sz w:val="18"/>
                <w:szCs w:val="18"/>
              </w:rPr>
              <w:t>Murchison</w:t>
            </w:r>
          </w:p>
        </w:tc>
        <w:tc>
          <w:tcPr>
            <w:tcW w:w="1219" w:type="dxa"/>
            <w:tcBorders>
              <w:top w:val="single" w:sz="4" w:space="0" w:color="auto"/>
              <w:left w:val="single" w:sz="4" w:space="0" w:color="auto"/>
              <w:bottom w:val="single" w:sz="4" w:space="0" w:color="auto"/>
              <w:right w:val="single" w:sz="4" w:space="0" w:color="auto"/>
            </w:tcBorders>
            <w:noWrap/>
            <w:vAlign w:val="center"/>
            <w:hideMark/>
          </w:tcPr>
          <w:p w14:paraId="2DBA93B1" w14:textId="77777777" w:rsidR="00D074F6" w:rsidRPr="00BA2632" w:rsidRDefault="00D074F6" w:rsidP="00E26D3C">
            <w:pPr>
              <w:spacing w:after="0"/>
              <w:jc w:val="center"/>
              <w:rPr>
                <w:rFonts w:ascii="Calibri" w:hAnsi="Calibri" w:cs="Arial"/>
                <w:sz w:val="18"/>
                <w:szCs w:val="18"/>
              </w:rPr>
            </w:pPr>
            <w:r w:rsidRPr="00BA2632">
              <w:rPr>
                <w:rFonts w:ascii="Calibri" w:hAnsi="Calibri" w:cs="Arial"/>
                <w:sz w:val="18"/>
                <w:szCs w:val="18"/>
              </w:rPr>
              <w:t>Murchison</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9C0B2D5" w14:textId="77777777" w:rsidR="00D074F6" w:rsidRPr="00BA2632" w:rsidRDefault="00D074F6" w:rsidP="00E26D3C">
            <w:pPr>
              <w:spacing w:after="0"/>
              <w:jc w:val="center"/>
              <w:rPr>
                <w:rFonts w:ascii="Calibri" w:hAnsi="Calibri" w:cs="Arial"/>
                <w:sz w:val="18"/>
                <w:szCs w:val="18"/>
              </w:rPr>
            </w:pPr>
            <w:r w:rsidRPr="00BA2632">
              <w:rPr>
                <w:rFonts w:ascii="Calibri" w:hAnsi="Calibri" w:cs="Arial"/>
                <w:sz w:val="18"/>
                <w:szCs w:val="18"/>
              </w:rPr>
              <w:t>405200 – Goulburn River @ Murchison</w:t>
            </w:r>
          </w:p>
        </w:tc>
        <w:tc>
          <w:tcPr>
            <w:tcW w:w="680" w:type="dxa"/>
            <w:tcBorders>
              <w:top w:val="single" w:sz="4" w:space="0" w:color="auto"/>
              <w:left w:val="single" w:sz="4" w:space="0" w:color="auto"/>
              <w:bottom w:val="single" w:sz="4" w:space="0" w:color="auto"/>
              <w:right w:val="single" w:sz="4" w:space="0" w:color="auto"/>
            </w:tcBorders>
            <w:noWrap/>
            <w:vAlign w:val="center"/>
            <w:hideMark/>
          </w:tcPr>
          <w:p w14:paraId="209984CD" w14:textId="77777777" w:rsidR="00D074F6" w:rsidRPr="00BA2632" w:rsidRDefault="00D074F6" w:rsidP="00E26D3C">
            <w:pPr>
              <w:spacing w:after="0"/>
              <w:jc w:val="center"/>
              <w:rPr>
                <w:rFonts w:ascii="Calibri" w:hAnsi="Calibri" w:cs="Arial"/>
                <w:sz w:val="18"/>
                <w:szCs w:val="18"/>
              </w:rPr>
            </w:pPr>
            <w:r w:rsidRPr="00BA2632">
              <w:rPr>
                <w:rFonts w:ascii="Calibri" w:hAnsi="Calibri"/>
                <w:sz w:val="18"/>
                <w:szCs w:val="18"/>
              </w:rPr>
              <w:t>252</w:t>
            </w:r>
          </w:p>
        </w:tc>
        <w:tc>
          <w:tcPr>
            <w:tcW w:w="892" w:type="dxa"/>
            <w:tcBorders>
              <w:top w:val="single" w:sz="4" w:space="0" w:color="auto"/>
              <w:left w:val="single" w:sz="4" w:space="0" w:color="auto"/>
              <w:bottom w:val="single" w:sz="4" w:space="0" w:color="auto"/>
              <w:right w:val="single" w:sz="4" w:space="0" w:color="auto"/>
            </w:tcBorders>
            <w:noWrap/>
            <w:vAlign w:val="center"/>
            <w:hideMark/>
          </w:tcPr>
          <w:p w14:paraId="3C8863C5" w14:textId="77777777" w:rsidR="00D074F6" w:rsidRPr="00BA2632" w:rsidRDefault="00D074F6" w:rsidP="00E26D3C">
            <w:pPr>
              <w:spacing w:after="0"/>
              <w:jc w:val="center"/>
              <w:rPr>
                <w:rFonts w:ascii="Calibri" w:hAnsi="Calibri" w:cs="Arial"/>
                <w:sz w:val="18"/>
                <w:szCs w:val="18"/>
              </w:rPr>
            </w:pPr>
            <w:r w:rsidRPr="00BA2632">
              <w:rPr>
                <w:rFonts w:ascii="Calibri" w:hAnsi="Calibri"/>
                <w:sz w:val="18"/>
                <w:szCs w:val="18"/>
              </w:rPr>
              <w:t>868</w:t>
            </w:r>
          </w:p>
        </w:tc>
        <w:tc>
          <w:tcPr>
            <w:tcW w:w="680" w:type="dxa"/>
            <w:tcBorders>
              <w:top w:val="single" w:sz="4" w:space="0" w:color="auto"/>
              <w:left w:val="single" w:sz="4" w:space="0" w:color="auto"/>
              <w:bottom w:val="single" w:sz="4" w:space="0" w:color="auto"/>
              <w:right w:val="single" w:sz="4" w:space="0" w:color="auto"/>
            </w:tcBorders>
            <w:noWrap/>
            <w:vAlign w:val="center"/>
            <w:hideMark/>
          </w:tcPr>
          <w:p w14:paraId="5768585A" w14:textId="77777777" w:rsidR="00D074F6" w:rsidRPr="00BA2632" w:rsidRDefault="00D074F6" w:rsidP="00E26D3C">
            <w:pPr>
              <w:spacing w:after="0"/>
              <w:jc w:val="center"/>
              <w:rPr>
                <w:rFonts w:ascii="Calibri" w:hAnsi="Calibri" w:cs="Arial"/>
                <w:sz w:val="18"/>
                <w:szCs w:val="18"/>
              </w:rPr>
            </w:pPr>
            <w:r w:rsidRPr="00BA2632">
              <w:rPr>
                <w:rFonts w:ascii="Calibri" w:hAnsi="Calibri"/>
                <w:sz w:val="18"/>
                <w:szCs w:val="18"/>
              </w:rPr>
              <w:t>1772</w:t>
            </w:r>
          </w:p>
        </w:tc>
        <w:tc>
          <w:tcPr>
            <w:tcW w:w="786" w:type="dxa"/>
            <w:tcBorders>
              <w:top w:val="single" w:sz="4" w:space="0" w:color="auto"/>
              <w:left w:val="single" w:sz="4" w:space="0" w:color="auto"/>
              <w:bottom w:val="single" w:sz="4" w:space="0" w:color="auto"/>
              <w:right w:val="single" w:sz="4" w:space="0" w:color="auto"/>
            </w:tcBorders>
            <w:noWrap/>
            <w:vAlign w:val="center"/>
            <w:hideMark/>
          </w:tcPr>
          <w:p w14:paraId="59126217" w14:textId="77777777" w:rsidR="00D074F6" w:rsidRPr="00BA2632" w:rsidRDefault="00D074F6" w:rsidP="00E26D3C">
            <w:pPr>
              <w:spacing w:after="0"/>
              <w:jc w:val="center"/>
              <w:rPr>
                <w:rFonts w:ascii="Calibri" w:hAnsi="Calibri" w:cs="Arial"/>
                <w:sz w:val="18"/>
                <w:szCs w:val="18"/>
              </w:rPr>
            </w:pPr>
            <w:r w:rsidRPr="00BA2632">
              <w:rPr>
                <w:rFonts w:ascii="Calibri" w:hAnsi="Calibri"/>
                <w:sz w:val="18"/>
                <w:szCs w:val="18"/>
              </w:rPr>
              <w:t>3211</w:t>
            </w:r>
          </w:p>
        </w:tc>
        <w:tc>
          <w:tcPr>
            <w:tcW w:w="680" w:type="dxa"/>
            <w:tcBorders>
              <w:top w:val="single" w:sz="4" w:space="0" w:color="auto"/>
              <w:left w:val="single" w:sz="4" w:space="0" w:color="auto"/>
              <w:bottom w:val="single" w:sz="4" w:space="0" w:color="auto"/>
              <w:right w:val="single" w:sz="4" w:space="0" w:color="auto"/>
            </w:tcBorders>
            <w:noWrap/>
            <w:vAlign w:val="center"/>
            <w:hideMark/>
          </w:tcPr>
          <w:p w14:paraId="3149EDB0" w14:textId="77777777" w:rsidR="00D074F6" w:rsidRPr="00BA2632" w:rsidRDefault="00D074F6" w:rsidP="00E26D3C">
            <w:pPr>
              <w:spacing w:after="0"/>
              <w:jc w:val="center"/>
              <w:rPr>
                <w:rFonts w:ascii="Calibri" w:hAnsi="Calibri" w:cs="Arial"/>
                <w:sz w:val="18"/>
                <w:szCs w:val="18"/>
              </w:rPr>
            </w:pPr>
            <w:r w:rsidRPr="00BA2632">
              <w:rPr>
                <w:rFonts w:ascii="Calibri" w:hAnsi="Calibri"/>
                <w:sz w:val="18"/>
                <w:szCs w:val="18"/>
              </w:rPr>
              <w:t>8347</w:t>
            </w:r>
          </w:p>
        </w:tc>
        <w:tc>
          <w:tcPr>
            <w:tcW w:w="857" w:type="dxa"/>
            <w:tcBorders>
              <w:top w:val="single" w:sz="4" w:space="0" w:color="auto"/>
              <w:left w:val="single" w:sz="4" w:space="0" w:color="auto"/>
              <w:bottom w:val="single" w:sz="4" w:space="0" w:color="auto"/>
              <w:right w:val="single" w:sz="4" w:space="0" w:color="auto"/>
            </w:tcBorders>
            <w:noWrap/>
            <w:vAlign w:val="center"/>
            <w:hideMark/>
          </w:tcPr>
          <w:p w14:paraId="7C3050E6" w14:textId="77777777" w:rsidR="00D074F6" w:rsidRPr="00BA2632" w:rsidRDefault="00D074F6" w:rsidP="00E26D3C">
            <w:pPr>
              <w:spacing w:after="0"/>
              <w:jc w:val="center"/>
              <w:rPr>
                <w:rFonts w:ascii="Calibri" w:hAnsi="Calibri" w:cs="Arial"/>
                <w:sz w:val="18"/>
                <w:szCs w:val="18"/>
              </w:rPr>
            </w:pPr>
            <w:r w:rsidRPr="00BA2632">
              <w:rPr>
                <w:rFonts w:ascii="Calibri" w:hAnsi="Calibri"/>
                <w:sz w:val="18"/>
                <w:szCs w:val="18"/>
              </w:rPr>
              <w:t>33000</w:t>
            </w:r>
          </w:p>
        </w:tc>
      </w:tr>
      <w:tr w:rsidR="00D074F6" w:rsidRPr="00BA2632" w14:paraId="6E05BAA7" w14:textId="77777777" w:rsidTr="00D044D5">
        <w:trPr>
          <w:trHeight w:val="624"/>
          <w:jc w:val="center"/>
        </w:trPr>
        <w:tc>
          <w:tcPr>
            <w:tcW w:w="1044" w:type="dxa"/>
            <w:tcBorders>
              <w:top w:val="single" w:sz="4" w:space="0" w:color="auto"/>
              <w:left w:val="single" w:sz="4" w:space="0" w:color="auto"/>
              <w:bottom w:val="single" w:sz="4" w:space="0" w:color="auto"/>
              <w:right w:val="single" w:sz="4" w:space="0" w:color="auto"/>
            </w:tcBorders>
            <w:noWrap/>
            <w:vAlign w:val="center"/>
            <w:hideMark/>
          </w:tcPr>
          <w:p w14:paraId="657B1EED" w14:textId="77777777" w:rsidR="00D074F6" w:rsidRPr="00BA2632" w:rsidRDefault="00D074F6" w:rsidP="00E26D3C">
            <w:pPr>
              <w:spacing w:after="0"/>
              <w:jc w:val="center"/>
              <w:rPr>
                <w:rFonts w:ascii="Calibri" w:hAnsi="Calibri" w:cs="Arial"/>
                <w:sz w:val="18"/>
                <w:szCs w:val="18"/>
              </w:rPr>
            </w:pPr>
            <w:r w:rsidRPr="00BA2632">
              <w:rPr>
                <w:rFonts w:ascii="Calibri" w:hAnsi="Calibri" w:cs="Arial"/>
                <w:sz w:val="18"/>
                <w:szCs w:val="18"/>
              </w:rPr>
              <w:t>McCoy’s</w:t>
            </w:r>
          </w:p>
        </w:tc>
        <w:tc>
          <w:tcPr>
            <w:tcW w:w="1219" w:type="dxa"/>
            <w:tcBorders>
              <w:top w:val="single" w:sz="4" w:space="0" w:color="auto"/>
              <w:left w:val="single" w:sz="4" w:space="0" w:color="auto"/>
              <w:bottom w:val="single" w:sz="4" w:space="0" w:color="auto"/>
              <w:right w:val="single" w:sz="4" w:space="0" w:color="auto"/>
            </w:tcBorders>
            <w:noWrap/>
            <w:vAlign w:val="center"/>
            <w:hideMark/>
          </w:tcPr>
          <w:p w14:paraId="3F5E5C4A" w14:textId="77777777" w:rsidR="00D074F6" w:rsidRPr="00BA2632" w:rsidRDefault="00D074F6" w:rsidP="00E26D3C">
            <w:pPr>
              <w:spacing w:after="0"/>
              <w:jc w:val="center"/>
              <w:rPr>
                <w:rFonts w:ascii="Calibri" w:hAnsi="Calibri" w:cs="Arial"/>
                <w:sz w:val="18"/>
                <w:szCs w:val="18"/>
              </w:rPr>
            </w:pPr>
            <w:r w:rsidRPr="00BA2632">
              <w:rPr>
                <w:rFonts w:ascii="Calibri" w:hAnsi="Calibri" w:cs="Arial"/>
                <w:sz w:val="18"/>
                <w:szCs w:val="18"/>
              </w:rPr>
              <w:t>McCoy's Bridge</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20755D5" w14:textId="77777777" w:rsidR="00D074F6" w:rsidRPr="00BA2632" w:rsidRDefault="00D074F6" w:rsidP="00E26D3C">
            <w:pPr>
              <w:spacing w:after="0"/>
              <w:jc w:val="center"/>
              <w:rPr>
                <w:rFonts w:ascii="Calibri" w:hAnsi="Calibri" w:cs="Arial"/>
                <w:sz w:val="18"/>
                <w:szCs w:val="18"/>
              </w:rPr>
            </w:pPr>
            <w:r w:rsidRPr="00BA2632">
              <w:rPr>
                <w:rFonts w:ascii="Calibri" w:hAnsi="Calibri" w:cs="Arial"/>
                <w:sz w:val="18"/>
                <w:szCs w:val="18"/>
              </w:rPr>
              <w:t>405232 – Goulburn @D/S McCoy's Bridge</w:t>
            </w:r>
          </w:p>
        </w:tc>
        <w:tc>
          <w:tcPr>
            <w:tcW w:w="680" w:type="dxa"/>
            <w:tcBorders>
              <w:top w:val="single" w:sz="4" w:space="0" w:color="auto"/>
              <w:left w:val="single" w:sz="4" w:space="0" w:color="auto"/>
              <w:bottom w:val="single" w:sz="4" w:space="0" w:color="auto"/>
              <w:right w:val="single" w:sz="4" w:space="0" w:color="auto"/>
            </w:tcBorders>
            <w:noWrap/>
            <w:vAlign w:val="center"/>
            <w:hideMark/>
          </w:tcPr>
          <w:p w14:paraId="0E7482C8" w14:textId="77777777" w:rsidR="00D074F6" w:rsidRPr="00BA2632" w:rsidRDefault="00D074F6" w:rsidP="00E26D3C">
            <w:pPr>
              <w:spacing w:after="0"/>
              <w:jc w:val="center"/>
              <w:rPr>
                <w:rFonts w:ascii="Calibri" w:hAnsi="Calibri" w:cs="Arial"/>
                <w:sz w:val="18"/>
                <w:szCs w:val="18"/>
              </w:rPr>
            </w:pPr>
            <w:r w:rsidRPr="00BA2632">
              <w:rPr>
                <w:rFonts w:ascii="Calibri" w:hAnsi="Calibri"/>
                <w:sz w:val="18"/>
                <w:szCs w:val="18"/>
              </w:rPr>
              <w:t>312</w:t>
            </w:r>
          </w:p>
        </w:tc>
        <w:tc>
          <w:tcPr>
            <w:tcW w:w="892" w:type="dxa"/>
            <w:tcBorders>
              <w:top w:val="single" w:sz="4" w:space="0" w:color="auto"/>
              <w:left w:val="single" w:sz="4" w:space="0" w:color="auto"/>
              <w:bottom w:val="single" w:sz="4" w:space="0" w:color="auto"/>
              <w:right w:val="single" w:sz="4" w:space="0" w:color="auto"/>
            </w:tcBorders>
            <w:noWrap/>
            <w:vAlign w:val="center"/>
            <w:hideMark/>
          </w:tcPr>
          <w:p w14:paraId="26C9E130" w14:textId="77777777" w:rsidR="00D074F6" w:rsidRPr="00BA2632" w:rsidRDefault="00D074F6" w:rsidP="00E26D3C">
            <w:pPr>
              <w:spacing w:after="0"/>
              <w:jc w:val="center"/>
              <w:rPr>
                <w:rFonts w:ascii="Calibri" w:hAnsi="Calibri" w:cs="Arial"/>
                <w:sz w:val="18"/>
                <w:szCs w:val="18"/>
              </w:rPr>
            </w:pPr>
            <w:r w:rsidRPr="00BA2632">
              <w:rPr>
                <w:rFonts w:ascii="Calibri" w:hAnsi="Calibri"/>
                <w:sz w:val="18"/>
                <w:szCs w:val="18"/>
              </w:rPr>
              <w:t>960</w:t>
            </w:r>
          </w:p>
        </w:tc>
        <w:tc>
          <w:tcPr>
            <w:tcW w:w="680" w:type="dxa"/>
            <w:tcBorders>
              <w:top w:val="single" w:sz="4" w:space="0" w:color="auto"/>
              <w:left w:val="single" w:sz="4" w:space="0" w:color="auto"/>
              <w:bottom w:val="single" w:sz="4" w:space="0" w:color="auto"/>
              <w:right w:val="single" w:sz="4" w:space="0" w:color="auto"/>
            </w:tcBorders>
            <w:noWrap/>
            <w:vAlign w:val="center"/>
            <w:hideMark/>
          </w:tcPr>
          <w:p w14:paraId="29D0C090" w14:textId="77777777" w:rsidR="00D074F6" w:rsidRPr="00BA2632" w:rsidRDefault="00D074F6" w:rsidP="00E26D3C">
            <w:pPr>
              <w:spacing w:after="0"/>
              <w:jc w:val="center"/>
              <w:rPr>
                <w:rFonts w:ascii="Calibri" w:hAnsi="Calibri" w:cs="Arial"/>
                <w:sz w:val="18"/>
                <w:szCs w:val="18"/>
              </w:rPr>
            </w:pPr>
            <w:r w:rsidRPr="00BA2632">
              <w:rPr>
                <w:rFonts w:ascii="Calibri" w:hAnsi="Calibri"/>
                <w:sz w:val="18"/>
                <w:szCs w:val="18"/>
              </w:rPr>
              <w:t>1822</w:t>
            </w:r>
          </w:p>
        </w:tc>
        <w:tc>
          <w:tcPr>
            <w:tcW w:w="786" w:type="dxa"/>
            <w:tcBorders>
              <w:top w:val="single" w:sz="4" w:space="0" w:color="auto"/>
              <w:left w:val="single" w:sz="4" w:space="0" w:color="auto"/>
              <w:bottom w:val="single" w:sz="4" w:space="0" w:color="auto"/>
              <w:right w:val="single" w:sz="4" w:space="0" w:color="auto"/>
            </w:tcBorders>
            <w:noWrap/>
            <w:vAlign w:val="center"/>
            <w:hideMark/>
          </w:tcPr>
          <w:p w14:paraId="48780AC9" w14:textId="77777777" w:rsidR="00D074F6" w:rsidRPr="00BA2632" w:rsidRDefault="00D074F6" w:rsidP="00E26D3C">
            <w:pPr>
              <w:spacing w:after="0"/>
              <w:jc w:val="center"/>
              <w:rPr>
                <w:rFonts w:ascii="Calibri" w:hAnsi="Calibri" w:cs="Arial"/>
                <w:sz w:val="18"/>
                <w:szCs w:val="18"/>
              </w:rPr>
            </w:pPr>
            <w:r w:rsidRPr="00BA2632">
              <w:rPr>
                <w:rFonts w:ascii="Calibri" w:hAnsi="Calibri"/>
                <w:sz w:val="18"/>
                <w:szCs w:val="18"/>
              </w:rPr>
              <w:t>3135</w:t>
            </w:r>
          </w:p>
        </w:tc>
        <w:tc>
          <w:tcPr>
            <w:tcW w:w="680" w:type="dxa"/>
            <w:tcBorders>
              <w:top w:val="single" w:sz="4" w:space="0" w:color="auto"/>
              <w:left w:val="single" w:sz="4" w:space="0" w:color="auto"/>
              <w:bottom w:val="single" w:sz="4" w:space="0" w:color="auto"/>
              <w:right w:val="single" w:sz="4" w:space="0" w:color="auto"/>
            </w:tcBorders>
            <w:noWrap/>
            <w:vAlign w:val="center"/>
            <w:hideMark/>
          </w:tcPr>
          <w:p w14:paraId="40429CE2" w14:textId="77777777" w:rsidR="00D074F6" w:rsidRPr="00BA2632" w:rsidRDefault="00D074F6" w:rsidP="00E26D3C">
            <w:pPr>
              <w:spacing w:after="0"/>
              <w:jc w:val="center"/>
              <w:rPr>
                <w:rFonts w:ascii="Calibri" w:hAnsi="Calibri" w:cs="Arial"/>
                <w:sz w:val="18"/>
                <w:szCs w:val="18"/>
              </w:rPr>
            </w:pPr>
            <w:r w:rsidRPr="00BA2632">
              <w:rPr>
                <w:rFonts w:ascii="Calibri" w:hAnsi="Calibri"/>
                <w:sz w:val="18"/>
                <w:szCs w:val="18"/>
              </w:rPr>
              <w:t>7613</w:t>
            </w:r>
          </w:p>
        </w:tc>
        <w:tc>
          <w:tcPr>
            <w:tcW w:w="857" w:type="dxa"/>
            <w:tcBorders>
              <w:top w:val="single" w:sz="4" w:space="0" w:color="auto"/>
              <w:left w:val="single" w:sz="4" w:space="0" w:color="auto"/>
              <w:bottom w:val="single" w:sz="4" w:space="0" w:color="auto"/>
              <w:right w:val="single" w:sz="4" w:space="0" w:color="auto"/>
            </w:tcBorders>
            <w:noWrap/>
            <w:vAlign w:val="center"/>
            <w:hideMark/>
          </w:tcPr>
          <w:p w14:paraId="5689581A" w14:textId="77777777" w:rsidR="00D074F6" w:rsidRPr="00BA2632" w:rsidRDefault="00D074F6" w:rsidP="00E26D3C">
            <w:pPr>
              <w:spacing w:after="0"/>
              <w:jc w:val="center"/>
              <w:rPr>
                <w:rFonts w:ascii="Calibri" w:hAnsi="Calibri" w:cs="Arial"/>
                <w:sz w:val="18"/>
                <w:szCs w:val="18"/>
              </w:rPr>
            </w:pPr>
            <w:r w:rsidRPr="00BA2632">
              <w:rPr>
                <w:rFonts w:ascii="Calibri" w:hAnsi="Calibri"/>
                <w:sz w:val="18"/>
                <w:szCs w:val="18"/>
              </w:rPr>
              <w:t>28000</w:t>
            </w:r>
          </w:p>
        </w:tc>
      </w:tr>
    </w:tbl>
    <w:p w14:paraId="6CD6975F" w14:textId="2E313EAC" w:rsidR="00D074F6" w:rsidRPr="00BA2632" w:rsidRDefault="00D074F6" w:rsidP="00D074F6">
      <w:pPr>
        <w:pStyle w:val="Heading3"/>
        <w:spacing w:before="360"/>
      </w:pPr>
      <w:bookmarkStart w:id="217" w:name="_Ref52279333"/>
      <w:bookmarkStart w:id="218" w:name="_Toc84417353"/>
      <w:bookmarkEnd w:id="216"/>
      <w:r w:rsidRPr="00BA2632">
        <w:t xml:space="preserve">Statistical </w:t>
      </w:r>
      <w:r w:rsidR="0018653A">
        <w:t>m</w:t>
      </w:r>
      <w:r w:rsidRPr="00BA2632">
        <w:t>odelling</w:t>
      </w:r>
      <w:bookmarkEnd w:id="217"/>
      <w:bookmarkEnd w:id="218"/>
    </w:p>
    <w:p w14:paraId="7F79F757" w14:textId="4C804F0F" w:rsidR="00D074F6" w:rsidRPr="00BA2632" w:rsidRDefault="00D074F6" w:rsidP="00D074F6">
      <w:r w:rsidRPr="00BA2632">
        <w:rPr>
          <w:rFonts w:cs="Arial"/>
          <w:szCs w:val="20"/>
        </w:rPr>
        <w:t xml:space="preserve">Relationships between discharge and gross primary production (GPP) and ecosystem respiration (ER) were analysed using a hierarchical Bayesian linear regression of the metabolism endpoint against discharge and temperature. Detailed statistical modelling descriptions are provided in </w:t>
      </w:r>
      <w:r w:rsidR="00F2112A">
        <w:rPr>
          <w:rFonts w:cs="Arial"/>
          <w:noProof/>
          <w:szCs w:val="20"/>
        </w:rPr>
        <w:t>Webb et al. (2019a)</w:t>
      </w:r>
      <w:r w:rsidR="00F2112A">
        <w:rPr>
          <w:rFonts w:cs="Arial"/>
          <w:szCs w:val="20"/>
        </w:rPr>
        <w:t>.</w:t>
      </w:r>
    </w:p>
    <w:p w14:paraId="0512D11A" w14:textId="77777777" w:rsidR="00D074F6" w:rsidRPr="00BA2632" w:rsidRDefault="00D074F6" w:rsidP="00D074F6">
      <w:pPr>
        <w:rPr>
          <w:rFonts w:eastAsia="MS Mincho" w:cs="Arial"/>
          <w:szCs w:val="20"/>
          <w:lang w:val="en-GB"/>
        </w:rPr>
      </w:pPr>
      <w:r w:rsidRPr="00BA2632">
        <w:rPr>
          <w:rFonts w:eastAsia="MS Mincho" w:cs="Arial"/>
          <w:szCs w:val="20"/>
        </w:rPr>
        <w:lastRenderedPageBreak/>
        <w:t>We have explored the following model predictands:</w:t>
      </w:r>
    </w:p>
    <w:p w14:paraId="3DEC75BD" w14:textId="77777777" w:rsidR="00D074F6" w:rsidRPr="00BA2632" w:rsidRDefault="00D074F6" w:rsidP="001332C5">
      <w:pPr>
        <w:pStyle w:val="ListParagraph"/>
        <w:numPr>
          <w:ilvl w:val="0"/>
          <w:numId w:val="32"/>
        </w:numPr>
        <w:spacing w:after="160" w:line="254" w:lineRule="auto"/>
        <w:contextualSpacing/>
        <w:rPr>
          <w:rFonts w:eastAsia="MS Mincho" w:cs="Arial"/>
          <w:szCs w:val="20"/>
          <w:lang w:val="en-GB"/>
        </w:rPr>
      </w:pPr>
      <w:r w:rsidRPr="00BA2632">
        <w:rPr>
          <w:rFonts w:eastAsia="MS Mincho" w:cs="Arial"/>
          <w:szCs w:val="20"/>
          <w:lang w:val="en-GB"/>
        </w:rPr>
        <w:t>GPP</w:t>
      </w:r>
    </w:p>
    <w:p w14:paraId="336D9C57" w14:textId="77777777" w:rsidR="00D074F6" w:rsidRPr="00BA2632" w:rsidRDefault="00D074F6" w:rsidP="001332C5">
      <w:pPr>
        <w:pStyle w:val="ListParagraph"/>
        <w:numPr>
          <w:ilvl w:val="0"/>
          <w:numId w:val="32"/>
        </w:numPr>
        <w:spacing w:after="160" w:line="254" w:lineRule="auto"/>
        <w:contextualSpacing/>
        <w:rPr>
          <w:rFonts w:eastAsia="MS Mincho" w:cs="Arial"/>
          <w:szCs w:val="20"/>
          <w:lang w:val="en-GB"/>
        </w:rPr>
      </w:pPr>
      <w:r w:rsidRPr="00BA2632">
        <w:rPr>
          <w:rFonts w:eastAsia="MS Mincho" w:cs="Arial"/>
          <w:szCs w:val="20"/>
          <w:lang w:val="en-GB"/>
        </w:rPr>
        <w:t xml:space="preserve">ER </w:t>
      </w:r>
    </w:p>
    <w:p w14:paraId="0F1396CA" w14:textId="77777777" w:rsidR="00D074F6" w:rsidRPr="00BA2632" w:rsidRDefault="00D074F6" w:rsidP="00D074F6">
      <w:r w:rsidRPr="00BA2632">
        <w:t>The models were also used to simulate the corresponding rates of metabolism without environmental flow, and the results were then compared with those from the original models to assess the effects of environmental water on GPP and ER rates.</w:t>
      </w:r>
    </w:p>
    <w:p w14:paraId="7D8C8D69" w14:textId="3CE99B17" w:rsidR="00D074F6" w:rsidRPr="00BA2632" w:rsidRDefault="00D074F6" w:rsidP="00D074F6">
      <w:pPr>
        <w:rPr>
          <w:szCs w:val="24"/>
        </w:rPr>
      </w:pPr>
      <w:r w:rsidRPr="00BA2632">
        <w:t xml:space="preserve">Note that over all the LTIM reports </w:t>
      </w:r>
      <w:proofErr w:type="gramStart"/>
      <w:r w:rsidRPr="00BA2632">
        <w:t>e.g.</w:t>
      </w:r>
      <w:proofErr w:type="gramEnd"/>
      <w:r w:rsidRPr="00BA2632">
        <w:t xml:space="preserve"> </w:t>
      </w:r>
      <w:r w:rsidR="00F2112A">
        <w:rPr>
          <w:rFonts w:cs="Arial"/>
          <w:noProof/>
          <w:szCs w:val="20"/>
        </w:rPr>
        <w:t>Webb et al. (2019a)</w:t>
      </w:r>
      <w:r w:rsidRPr="00BA2632">
        <w:t>, this Bayesian modelling found no evidence for lag effects (increased metabolic rates from 1-15 days after the onset of the event) when metabolism was expressed as mg O</w:t>
      </w:r>
      <w:r w:rsidRPr="00BA2632">
        <w:rPr>
          <w:vertAlign w:val="subscript"/>
        </w:rPr>
        <w:t>2</w:t>
      </w:r>
      <w:r w:rsidRPr="00BA2632">
        <w:t>/L/Day, hence it was not repeated this year.</w:t>
      </w:r>
    </w:p>
    <w:p w14:paraId="6BBCC29C" w14:textId="60888B2E" w:rsidR="0073393B" w:rsidRDefault="0073393B" w:rsidP="008B66EB">
      <w:pPr>
        <w:pStyle w:val="Heading2"/>
      </w:pPr>
      <w:bookmarkStart w:id="219" w:name="_Toc84416093"/>
      <w:bookmarkStart w:id="220" w:name="_Toc84417354"/>
      <w:bookmarkStart w:id="221" w:name="_Toc84475680"/>
      <w:r w:rsidRPr="00BA2632">
        <w:t>Results</w:t>
      </w:r>
      <w:bookmarkEnd w:id="219"/>
      <w:bookmarkEnd w:id="220"/>
      <w:bookmarkEnd w:id="221"/>
    </w:p>
    <w:p w14:paraId="174E5D43" w14:textId="35FD7116" w:rsidR="00AE564D" w:rsidRPr="00BA2632" w:rsidRDefault="00AE564D" w:rsidP="00AE564D">
      <w:pPr>
        <w:rPr>
          <w:i/>
          <w:lang w:val="en-US"/>
        </w:rPr>
      </w:pPr>
      <w:r w:rsidRPr="00BA2632">
        <w:t xml:space="preserve">In this report, results are presented and analysed over two </w:t>
      </w:r>
      <w:r w:rsidR="00D044D5" w:rsidRPr="00BA2632">
        <w:t>timeframes</w:t>
      </w:r>
      <w:r w:rsidRPr="00BA2632">
        <w:t xml:space="preserve">: the </w:t>
      </w:r>
      <w:r w:rsidR="000D5235">
        <w:t>2020-21</w:t>
      </w:r>
      <w:r w:rsidRPr="00BA2632">
        <w:t xml:space="preserve"> sampling year and where appropriate, the entire </w:t>
      </w:r>
      <w:r>
        <w:t>seven</w:t>
      </w:r>
      <w:r w:rsidRPr="00BA2632">
        <w:t>-year period of record.</w:t>
      </w:r>
      <w:r w:rsidRPr="00BA2632">
        <w:rPr>
          <w:i/>
          <w:lang w:val="en-US"/>
        </w:rPr>
        <w:t xml:space="preserve"> </w:t>
      </w:r>
      <w:r w:rsidRPr="00BA2632">
        <w:rPr>
          <w:lang w:val="en-US"/>
        </w:rPr>
        <w:t>Due to the change in the period used for the nominal year moving from LTIM (July 1 – June 30) to MER (May 1 – April 30), in most instances May and Jun</w:t>
      </w:r>
      <w:r w:rsidR="000D5235">
        <w:rPr>
          <w:lang w:val="en-US"/>
        </w:rPr>
        <w:t>e</w:t>
      </w:r>
      <w:r w:rsidRPr="00BA2632">
        <w:rPr>
          <w:lang w:val="en-US"/>
        </w:rPr>
        <w:t xml:space="preserve"> 2019 are included in the MER year 1 data compilation and analysis rather than the LTIM data even though these two months were formally part of the LTIM project.</w:t>
      </w:r>
    </w:p>
    <w:p w14:paraId="345CA34A" w14:textId="385C7CEE" w:rsidR="00AE564D" w:rsidRPr="00BA2632" w:rsidRDefault="00AE564D" w:rsidP="00AE564D">
      <w:r w:rsidRPr="00BA2632">
        <w:t xml:space="preserve">The periods of data logger deployments are listed in </w:t>
      </w:r>
      <w:r w:rsidR="00F2112A" w:rsidRPr="00BA2632">
        <w:t xml:space="preserve">Table </w:t>
      </w:r>
      <w:r w:rsidR="00F2112A">
        <w:rPr>
          <w:noProof/>
        </w:rPr>
        <w:t>5</w:t>
      </w:r>
      <w:r w:rsidR="00F2112A">
        <w:rPr>
          <w:noProof/>
        </w:rPr>
        <w:noBreakHyphen/>
        <w:t>4</w:t>
      </w:r>
      <w:r w:rsidRPr="00BA2632">
        <w:t xml:space="preserve"> along with the number of days’ data that meet the acceptance criteria (r</w:t>
      </w:r>
      <w:r w:rsidRPr="00BA2632">
        <w:rPr>
          <w:vertAlign w:val="superscript"/>
        </w:rPr>
        <w:t>2</w:t>
      </w:r>
      <w:r w:rsidRPr="00BA2632">
        <w:t xml:space="preserve"> &gt; 0.90, coefficient of variation for </w:t>
      </w:r>
      <w:proofErr w:type="gramStart"/>
      <w:r w:rsidRPr="00BA2632">
        <w:t>all of</w:t>
      </w:r>
      <w:proofErr w:type="gramEnd"/>
      <w:r w:rsidRPr="00BA2632">
        <w:t xml:space="preserve"> GPP, ER and K &lt; 50%, 0.1 &lt; PPP &lt; 0.9, 0.1 &lt; K &lt; 15). The % compliance data for the </w:t>
      </w:r>
      <w:r>
        <w:t>six</w:t>
      </w:r>
      <w:r w:rsidRPr="00BA2632">
        <w:t xml:space="preserve"> previous years are included for comparison.</w:t>
      </w:r>
    </w:p>
    <w:p w14:paraId="60F12074" w14:textId="77777777" w:rsidR="00AE564D" w:rsidRPr="00E45241" w:rsidRDefault="00AE564D" w:rsidP="00D931FA">
      <w:pPr>
        <w:rPr>
          <w:rFonts w:cstheme="minorHAnsi"/>
          <w:highlight w:val="yellow"/>
        </w:rPr>
      </w:pPr>
      <w:r w:rsidRPr="00E45241">
        <w:rPr>
          <w:lang w:val="en-US"/>
        </w:rPr>
        <w:t xml:space="preserve">There was a minimum of 308 days data collected at Loch Garry and a full year of </w:t>
      </w:r>
      <w:r w:rsidRPr="00E45241">
        <w:rPr>
          <w:rFonts w:cstheme="minorHAnsi"/>
          <w:lang w:val="en-US"/>
        </w:rPr>
        <w:t xml:space="preserve">data at all other sites. </w:t>
      </w:r>
      <w:r w:rsidRPr="00E45241">
        <w:rPr>
          <w:rFonts w:cstheme="minorHAnsi"/>
        </w:rPr>
        <w:t xml:space="preserve">There was an increase in the number of compliant days when compared to 2019-20 for three of the sites (Murchison, Shepparton Golf Club and Loch Garry), while there were fewer ‘acceptable’ days at McCoy’s Bridge (41% down from 67%) and Arcadia Downs (23% down from 38%). The decline at McCoy’s Bridge is even more significant when compared to earlier years where the acceptance rate as high as 81%. As is shown below in the plot of GPP, ER and flow versus date in 2020-21 for McCoy’s Bridge, there were only a handful of acceptable data days during the extended high flows from May until mid-September. As mentioned in previous reports, BASEv2, like all equivalent stream metabolism models assumes that flow changes will be small </w:t>
      </w:r>
      <w:proofErr w:type="gramStart"/>
      <w:r w:rsidRPr="00E45241">
        <w:rPr>
          <w:rFonts w:cstheme="minorHAnsi"/>
        </w:rPr>
        <w:t>during the course of</w:t>
      </w:r>
      <w:proofErr w:type="gramEnd"/>
      <w:r w:rsidRPr="00E45241">
        <w:rPr>
          <w:rFonts w:cstheme="minorHAnsi"/>
        </w:rPr>
        <w:t xml:space="preserve"> a day. When the relative proportions of benthic and pelagic metabolism change within a day due to rapidly rising or falling water levels, the resultant model fits are often very poor. As will be shown below, the DO loggers at all sites other than McCoy’s Bridge had periods of poor DO measurements from November 2020 onwards. </w:t>
      </w:r>
      <w:r w:rsidRPr="00E45241">
        <w:rPr>
          <w:rFonts w:cstheme="minorHAnsi"/>
          <w:i/>
        </w:rPr>
        <w:t>This may be a result of servicing and maintenance that is too infrequent. This aspect will be carefully monitored in 2021-22</w:t>
      </w:r>
      <w:r w:rsidRPr="00E45241">
        <w:rPr>
          <w:rFonts w:cstheme="minorHAnsi"/>
        </w:rPr>
        <w:t xml:space="preserve">. </w:t>
      </w:r>
    </w:p>
    <w:p w14:paraId="1D76E26D" w14:textId="77777777" w:rsidR="00AE564D" w:rsidRPr="00E45241" w:rsidRDefault="00AE564D" w:rsidP="00AE564D">
      <w:r w:rsidRPr="00BA2632">
        <w:t xml:space="preserve"> </w:t>
      </w:r>
    </w:p>
    <w:p w14:paraId="74D932BB" w14:textId="77777777" w:rsidR="00AE564D" w:rsidRPr="00BA2632" w:rsidRDefault="00AE564D" w:rsidP="00AE564D"/>
    <w:p w14:paraId="4B7C268B" w14:textId="77777777" w:rsidR="00AE564D" w:rsidRPr="00BA2632" w:rsidRDefault="00AE564D" w:rsidP="00AE564D"/>
    <w:p w14:paraId="74DF9103" w14:textId="77777777" w:rsidR="00AE564D" w:rsidRPr="00BA2632" w:rsidRDefault="00AE564D" w:rsidP="00AE564D">
      <w:pPr>
        <w:spacing w:after="0" w:line="240" w:lineRule="auto"/>
        <w:rPr>
          <w:lang w:val="en-US"/>
        </w:rPr>
        <w:sectPr w:rsidR="00AE564D" w:rsidRPr="00BA2632" w:rsidSect="00D94869">
          <w:footerReference w:type="default" r:id="rId36"/>
          <w:pgSz w:w="11906" w:h="16838"/>
          <w:pgMar w:top="567" w:right="851" w:bottom="851" w:left="1134" w:header="709" w:footer="709" w:gutter="0"/>
          <w:cols w:space="720"/>
        </w:sectPr>
      </w:pPr>
    </w:p>
    <w:p w14:paraId="6E2CD45E" w14:textId="1D06C053" w:rsidR="00AE564D" w:rsidRDefault="00AE564D" w:rsidP="00C01E8F">
      <w:pPr>
        <w:pStyle w:val="Caption"/>
        <w:keepNext/>
      </w:pPr>
      <w:bookmarkStart w:id="222" w:name="_Ref52388280"/>
      <w:bookmarkStart w:id="223" w:name="_Toc95391465"/>
      <w:r w:rsidRPr="00BA2632">
        <w:lastRenderedPageBreak/>
        <w:t xml:space="preserve">Table </w:t>
      </w:r>
      <w:r w:rsidR="000B75AF">
        <w:rPr>
          <w:noProof/>
        </w:rPr>
        <w:t>5</w:t>
      </w:r>
      <w:r w:rsidR="000B75AF">
        <w:noBreakHyphen/>
      </w:r>
      <w:r w:rsidR="000B75AF">
        <w:rPr>
          <w:noProof/>
        </w:rPr>
        <w:t>4</w:t>
      </w:r>
      <w:bookmarkEnd w:id="222"/>
      <w:r w:rsidRPr="00BA2632">
        <w:t xml:space="preserve"> Summary of Data Collection and Acceptance Rates for BASE Results. MER (in </w:t>
      </w:r>
      <w:r>
        <w:t>light blue</w:t>
      </w:r>
      <w:r w:rsidRPr="00BA2632">
        <w:t>) &amp; LTIM (</w:t>
      </w:r>
      <w:r>
        <w:t xml:space="preserve">dark </w:t>
      </w:r>
      <w:r w:rsidRPr="00BA2632">
        <w:t>blue).</w:t>
      </w:r>
      <w:bookmarkEnd w:id="223"/>
    </w:p>
    <w:tbl>
      <w:tblPr>
        <w:tblStyle w:val="TableGrid"/>
        <w:tblW w:w="13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927"/>
        <w:gridCol w:w="850"/>
        <w:gridCol w:w="993"/>
        <w:gridCol w:w="1134"/>
        <w:gridCol w:w="1275"/>
        <w:gridCol w:w="1276"/>
        <w:gridCol w:w="1276"/>
        <w:gridCol w:w="1276"/>
        <w:gridCol w:w="1275"/>
        <w:gridCol w:w="1276"/>
        <w:gridCol w:w="1276"/>
      </w:tblGrid>
      <w:tr w:rsidR="007C78AC" w:rsidRPr="007C7A85" w14:paraId="7F4202AB" w14:textId="77777777" w:rsidTr="000C7B8B">
        <w:trPr>
          <w:cnfStyle w:val="100000000000" w:firstRow="1" w:lastRow="0" w:firstColumn="0" w:lastColumn="0" w:oddVBand="0" w:evenVBand="0" w:oddHBand="0" w:evenHBand="0" w:firstRowFirstColumn="0" w:firstRowLastColumn="0" w:lastRowFirstColumn="0" w:lastRowLastColumn="0"/>
          <w:trHeight w:val="1124"/>
          <w:jc w:val="center"/>
        </w:trPr>
        <w:tc>
          <w:tcPr>
            <w:cnfStyle w:val="001000000000" w:firstRow="0" w:lastRow="0" w:firstColumn="1" w:lastColumn="0" w:oddVBand="0" w:evenVBand="0" w:oddHBand="0" w:evenHBand="0" w:firstRowFirstColumn="0" w:firstRowLastColumn="0" w:lastRowFirstColumn="0" w:lastRowLastColumn="0"/>
            <w:tcW w:w="1048" w:type="dxa"/>
            <w:shd w:val="clear" w:color="auto" w:fill="auto"/>
            <w:vAlign w:val="center"/>
          </w:tcPr>
          <w:p w14:paraId="48DC10FC" w14:textId="77777777" w:rsidR="00AE564D" w:rsidRPr="000C7B8B" w:rsidRDefault="00AE564D" w:rsidP="00E26D3C">
            <w:pPr>
              <w:pStyle w:val="Tablesmalltext"/>
              <w:jc w:val="center"/>
              <w:rPr>
                <w:rFonts w:asciiTheme="minorHAnsi" w:hAnsiTheme="minorHAnsi" w:cstheme="minorHAnsi"/>
                <w:sz w:val="18"/>
                <w:szCs w:val="18"/>
                <w:lang w:val="en-US"/>
              </w:rPr>
            </w:pPr>
            <w:r w:rsidRPr="000C7B8B">
              <w:rPr>
                <w:rFonts w:asciiTheme="minorHAnsi" w:hAnsiTheme="minorHAnsi" w:cstheme="minorHAnsi"/>
                <w:sz w:val="18"/>
                <w:szCs w:val="18"/>
                <w:lang w:val="en-US"/>
              </w:rPr>
              <w:t>Site</w:t>
            </w:r>
          </w:p>
        </w:tc>
        <w:tc>
          <w:tcPr>
            <w:tcW w:w="927" w:type="dxa"/>
            <w:shd w:val="clear" w:color="auto" w:fill="9DB2D8" w:themeFill="accent4" w:themeFillTint="99"/>
            <w:vAlign w:val="center"/>
          </w:tcPr>
          <w:p w14:paraId="3D8470AF" w14:textId="77777777" w:rsidR="00AE564D" w:rsidRPr="000C7B8B" w:rsidRDefault="00AE564D" w:rsidP="00E26D3C">
            <w:pPr>
              <w:pStyle w:val="Tablesmal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First Date</w:t>
            </w:r>
          </w:p>
        </w:tc>
        <w:tc>
          <w:tcPr>
            <w:tcW w:w="850" w:type="dxa"/>
            <w:shd w:val="clear" w:color="auto" w:fill="9DB2D8" w:themeFill="accent4" w:themeFillTint="99"/>
            <w:vAlign w:val="center"/>
          </w:tcPr>
          <w:p w14:paraId="1CE3BAF3" w14:textId="77777777" w:rsidR="00AE564D" w:rsidRPr="000C7B8B" w:rsidRDefault="00AE564D" w:rsidP="00E26D3C">
            <w:pPr>
              <w:pStyle w:val="Tablesmal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Last Date</w:t>
            </w:r>
          </w:p>
        </w:tc>
        <w:tc>
          <w:tcPr>
            <w:tcW w:w="993" w:type="dxa"/>
            <w:shd w:val="clear" w:color="auto" w:fill="9DB2D8" w:themeFill="accent4" w:themeFillTint="99"/>
            <w:vAlign w:val="center"/>
          </w:tcPr>
          <w:p w14:paraId="6787B9CB" w14:textId="77777777" w:rsidR="00AE564D" w:rsidRPr="000C7B8B" w:rsidRDefault="00AE564D" w:rsidP="00E26D3C">
            <w:pPr>
              <w:pStyle w:val="Tablesmal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Number of Days with data</w:t>
            </w:r>
          </w:p>
        </w:tc>
        <w:tc>
          <w:tcPr>
            <w:tcW w:w="1134" w:type="dxa"/>
            <w:shd w:val="clear" w:color="auto" w:fill="9DB2D8" w:themeFill="accent4" w:themeFillTint="99"/>
            <w:vAlign w:val="center"/>
          </w:tcPr>
          <w:p w14:paraId="5CEF7F74" w14:textId="77777777" w:rsidR="00AE564D" w:rsidRPr="000C7B8B" w:rsidRDefault="00AE564D" w:rsidP="00E26D3C">
            <w:pPr>
              <w:pStyle w:val="Tablesmal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Compliant Days using BASEv2</w:t>
            </w:r>
          </w:p>
        </w:tc>
        <w:tc>
          <w:tcPr>
            <w:tcW w:w="1275" w:type="dxa"/>
            <w:shd w:val="clear" w:color="auto" w:fill="9DB2D8" w:themeFill="accent4" w:themeFillTint="99"/>
            <w:vAlign w:val="center"/>
          </w:tcPr>
          <w:p w14:paraId="6AF975C1" w14:textId="77777777" w:rsidR="00AE564D" w:rsidRPr="000C7B8B" w:rsidRDefault="00AE564D" w:rsidP="00E26D3C">
            <w:pPr>
              <w:pStyle w:val="Tablesmal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2020-21 % of total days in compliance</w:t>
            </w:r>
          </w:p>
        </w:tc>
        <w:tc>
          <w:tcPr>
            <w:tcW w:w="1276" w:type="dxa"/>
            <w:shd w:val="clear" w:color="auto" w:fill="9DB2D8" w:themeFill="accent4" w:themeFillTint="99"/>
            <w:vAlign w:val="center"/>
          </w:tcPr>
          <w:p w14:paraId="7F276D89" w14:textId="77777777" w:rsidR="00AE564D" w:rsidRPr="000C7B8B" w:rsidRDefault="00AE564D" w:rsidP="00E26D3C">
            <w:pPr>
              <w:pStyle w:val="Tablesmal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2019-20 % of total days in compliance</w:t>
            </w:r>
          </w:p>
        </w:tc>
        <w:tc>
          <w:tcPr>
            <w:tcW w:w="1276" w:type="dxa"/>
            <w:shd w:val="clear" w:color="auto" w:fill="094183" w:themeFill="accent1"/>
            <w:vAlign w:val="center"/>
          </w:tcPr>
          <w:p w14:paraId="26A22DDD" w14:textId="77777777" w:rsidR="00AE564D" w:rsidRPr="000C7B8B" w:rsidRDefault="00AE564D" w:rsidP="00E26D3C">
            <w:pPr>
              <w:pStyle w:val="Tablesmal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2018-19 % of total days in compliance</w:t>
            </w:r>
          </w:p>
        </w:tc>
        <w:tc>
          <w:tcPr>
            <w:tcW w:w="1276" w:type="dxa"/>
            <w:shd w:val="clear" w:color="auto" w:fill="094183" w:themeFill="accent1"/>
            <w:vAlign w:val="center"/>
          </w:tcPr>
          <w:p w14:paraId="36C62BF6" w14:textId="77777777" w:rsidR="00AE564D" w:rsidRPr="000C7B8B" w:rsidRDefault="00AE564D" w:rsidP="00E26D3C">
            <w:pPr>
              <w:pStyle w:val="Tablesmal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2017-18 % of total days in compliance</w:t>
            </w:r>
          </w:p>
        </w:tc>
        <w:tc>
          <w:tcPr>
            <w:tcW w:w="1275" w:type="dxa"/>
            <w:shd w:val="clear" w:color="auto" w:fill="094183" w:themeFill="accent1"/>
            <w:vAlign w:val="center"/>
          </w:tcPr>
          <w:p w14:paraId="6B914A71" w14:textId="77777777" w:rsidR="00AE564D" w:rsidRPr="000C7B8B" w:rsidRDefault="00AE564D" w:rsidP="00E26D3C">
            <w:pPr>
              <w:pStyle w:val="Tablesmal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2016-17 % of total days in compliance</w:t>
            </w:r>
          </w:p>
        </w:tc>
        <w:tc>
          <w:tcPr>
            <w:tcW w:w="1276" w:type="dxa"/>
            <w:shd w:val="clear" w:color="auto" w:fill="094183" w:themeFill="accent1"/>
            <w:vAlign w:val="center"/>
          </w:tcPr>
          <w:p w14:paraId="3FE1B53B" w14:textId="77777777" w:rsidR="00AE564D" w:rsidRPr="000C7B8B" w:rsidRDefault="00AE564D" w:rsidP="00E26D3C">
            <w:pPr>
              <w:pStyle w:val="Tablesmal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rPr>
              <w:t>2015-16 % of total days in compliance</w:t>
            </w:r>
          </w:p>
        </w:tc>
        <w:tc>
          <w:tcPr>
            <w:tcW w:w="1276" w:type="dxa"/>
            <w:shd w:val="clear" w:color="auto" w:fill="094183" w:themeFill="accent1"/>
            <w:vAlign w:val="center"/>
          </w:tcPr>
          <w:p w14:paraId="50F26CBA" w14:textId="77777777" w:rsidR="00AE564D" w:rsidRPr="000C7B8B" w:rsidRDefault="00AE564D" w:rsidP="00E26D3C">
            <w:pPr>
              <w:pStyle w:val="Tablesmal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2014-15 % of total days in compliance</w:t>
            </w:r>
          </w:p>
        </w:tc>
      </w:tr>
      <w:tr w:rsidR="00AE564D" w:rsidRPr="007C7A85" w14:paraId="1DCBB432" w14:textId="77777777" w:rsidTr="000C7B8B">
        <w:trPr>
          <w:cnfStyle w:val="000000100000" w:firstRow="0" w:lastRow="0" w:firstColumn="0" w:lastColumn="0" w:oddVBand="0" w:evenVBand="0" w:oddHBand="1" w:evenHBand="0" w:firstRowFirstColumn="0" w:firstRowLastColumn="0" w:lastRowFirstColumn="0" w:lastRowLastColumn="0"/>
          <w:trHeight w:val="687"/>
          <w:jc w:val="center"/>
        </w:trPr>
        <w:tc>
          <w:tcPr>
            <w:cnfStyle w:val="001000000000" w:firstRow="0" w:lastRow="0" w:firstColumn="1" w:lastColumn="0" w:oddVBand="0" w:evenVBand="0" w:oddHBand="0" w:evenHBand="0" w:firstRowFirstColumn="0" w:firstRowLastColumn="0" w:lastRowFirstColumn="0" w:lastRowLastColumn="0"/>
            <w:tcW w:w="1048" w:type="dxa"/>
            <w:vAlign w:val="center"/>
          </w:tcPr>
          <w:p w14:paraId="226D57EE" w14:textId="77777777" w:rsidR="00AE564D" w:rsidRPr="000C7B8B" w:rsidRDefault="00AE564D" w:rsidP="00E26D3C">
            <w:pPr>
              <w:pStyle w:val="Tablesmalltext"/>
              <w:jc w:val="center"/>
              <w:rPr>
                <w:rFonts w:asciiTheme="minorHAnsi" w:hAnsiTheme="minorHAnsi" w:cstheme="minorHAnsi"/>
                <w:sz w:val="18"/>
                <w:szCs w:val="18"/>
                <w:lang w:val="en-US"/>
              </w:rPr>
            </w:pPr>
            <w:r w:rsidRPr="000C7B8B">
              <w:rPr>
                <w:rFonts w:asciiTheme="minorHAnsi" w:hAnsiTheme="minorHAnsi" w:cstheme="minorHAnsi"/>
                <w:sz w:val="18"/>
                <w:szCs w:val="18"/>
                <w:lang w:val="en-US"/>
              </w:rPr>
              <w:t>Loch Garry</w:t>
            </w:r>
          </w:p>
        </w:tc>
        <w:tc>
          <w:tcPr>
            <w:tcW w:w="927" w:type="dxa"/>
            <w:vAlign w:val="center"/>
          </w:tcPr>
          <w:p w14:paraId="57D2F809"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1</w:t>
            </w:r>
            <w:r w:rsidRPr="000C7B8B">
              <w:rPr>
                <w:rFonts w:asciiTheme="minorHAnsi" w:hAnsiTheme="minorHAnsi" w:cstheme="minorHAnsi"/>
                <w:sz w:val="18"/>
                <w:szCs w:val="18"/>
                <w:vertAlign w:val="superscript"/>
                <w:lang w:val="en-US"/>
              </w:rPr>
              <w:t>st</w:t>
            </w:r>
            <w:r w:rsidRPr="000C7B8B">
              <w:rPr>
                <w:rFonts w:asciiTheme="minorHAnsi" w:hAnsiTheme="minorHAnsi" w:cstheme="minorHAnsi"/>
                <w:sz w:val="18"/>
                <w:szCs w:val="18"/>
                <w:lang w:val="en-US"/>
              </w:rPr>
              <w:t xml:space="preserve"> May 2020</w:t>
            </w:r>
          </w:p>
        </w:tc>
        <w:tc>
          <w:tcPr>
            <w:tcW w:w="850" w:type="dxa"/>
            <w:vAlign w:val="center"/>
          </w:tcPr>
          <w:p w14:paraId="53826269"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30</w:t>
            </w:r>
            <w:r w:rsidRPr="000C7B8B">
              <w:rPr>
                <w:rFonts w:asciiTheme="minorHAnsi" w:hAnsiTheme="minorHAnsi" w:cstheme="minorHAnsi"/>
                <w:sz w:val="18"/>
                <w:szCs w:val="18"/>
                <w:vertAlign w:val="superscript"/>
                <w:lang w:val="en-US"/>
              </w:rPr>
              <w:t>th</w:t>
            </w:r>
            <w:r w:rsidRPr="000C7B8B">
              <w:rPr>
                <w:rFonts w:asciiTheme="minorHAnsi" w:hAnsiTheme="minorHAnsi" w:cstheme="minorHAnsi"/>
                <w:sz w:val="18"/>
                <w:szCs w:val="18"/>
                <w:lang w:val="en-US"/>
              </w:rPr>
              <w:t xml:space="preserve"> April 2021</w:t>
            </w:r>
          </w:p>
        </w:tc>
        <w:tc>
          <w:tcPr>
            <w:tcW w:w="993" w:type="dxa"/>
            <w:vAlign w:val="center"/>
          </w:tcPr>
          <w:p w14:paraId="4C063A9F"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308</w:t>
            </w:r>
          </w:p>
        </w:tc>
        <w:tc>
          <w:tcPr>
            <w:tcW w:w="1134" w:type="dxa"/>
            <w:vAlign w:val="center"/>
          </w:tcPr>
          <w:p w14:paraId="2603D5DB"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61</w:t>
            </w:r>
          </w:p>
        </w:tc>
        <w:tc>
          <w:tcPr>
            <w:tcW w:w="1275" w:type="dxa"/>
            <w:vAlign w:val="center"/>
          </w:tcPr>
          <w:p w14:paraId="7C300234"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20</w:t>
            </w:r>
          </w:p>
        </w:tc>
        <w:tc>
          <w:tcPr>
            <w:tcW w:w="1276" w:type="dxa"/>
            <w:vAlign w:val="center"/>
          </w:tcPr>
          <w:p w14:paraId="58D18850"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16</w:t>
            </w:r>
          </w:p>
        </w:tc>
        <w:tc>
          <w:tcPr>
            <w:tcW w:w="1276" w:type="dxa"/>
            <w:vAlign w:val="center"/>
          </w:tcPr>
          <w:p w14:paraId="796755FA"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23</w:t>
            </w:r>
          </w:p>
        </w:tc>
        <w:tc>
          <w:tcPr>
            <w:tcW w:w="1276" w:type="dxa"/>
            <w:vAlign w:val="center"/>
          </w:tcPr>
          <w:p w14:paraId="0C5A4DC3"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46</w:t>
            </w:r>
          </w:p>
        </w:tc>
        <w:tc>
          <w:tcPr>
            <w:tcW w:w="1275" w:type="dxa"/>
            <w:vAlign w:val="center"/>
          </w:tcPr>
          <w:p w14:paraId="7F65E1B7"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51</w:t>
            </w:r>
          </w:p>
        </w:tc>
        <w:tc>
          <w:tcPr>
            <w:tcW w:w="1276" w:type="dxa"/>
            <w:vAlign w:val="center"/>
          </w:tcPr>
          <w:p w14:paraId="02912C4F"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rPr>
              <w:t>33</w:t>
            </w:r>
          </w:p>
        </w:tc>
        <w:tc>
          <w:tcPr>
            <w:tcW w:w="1276" w:type="dxa"/>
            <w:vAlign w:val="center"/>
          </w:tcPr>
          <w:p w14:paraId="165D8BDF"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38</w:t>
            </w:r>
          </w:p>
        </w:tc>
      </w:tr>
      <w:tr w:rsidR="007C78AC" w:rsidRPr="007C7A85" w14:paraId="59577398" w14:textId="77777777" w:rsidTr="000C7B8B">
        <w:trPr>
          <w:cnfStyle w:val="000000010000" w:firstRow="0" w:lastRow="0" w:firstColumn="0" w:lastColumn="0" w:oddVBand="0" w:evenVBand="0" w:oddHBand="0" w:evenHBand="1"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48" w:type="dxa"/>
            <w:shd w:val="clear" w:color="auto" w:fill="FFFFFF" w:themeFill="background1"/>
            <w:vAlign w:val="center"/>
          </w:tcPr>
          <w:p w14:paraId="2ACCA5E7" w14:textId="77777777" w:rsidR="00AE564D" w:rsidRPr="000C7B8B" w:rsidRDefault="00AE564D" w:rsidP="00E26D3C">
            <w:pPr>
              <w:pStyle w:val="Tablesmalltext"/>
              <w:jc w:val="center"/>
              <w:rPr>
                <w:rFonts w:asciiTheme="minorHAnsi" w:hAnsiTheme="minorHAnsi" w:cstheme="minorHAnsi"/>
                <w:sz w:val="18"/>
                <w:szCs w:val="18"/>
                <w:lang w:val="en-US"/>
              </w:rPr>
            </w:pPr>
            <w:r w:rsidRPr="000C7B8B">
              <w:rPr>
                <w:rFonts w:asciiTheme="minorHAnsi" w:hAnsiTheme="minorHAnsi" w:cstheme="minorHAnsi"/>
                <w:sz w:val="18"/>
                <w:szCs w:val="18"/>
                <w:lang w:val="en-US"/>
              </w:rPr>
              <w:t>McCoy’s Bridge</w:t>
            </w:r>
          </w:p>
        </w:tc>
        <w:tc>
          <w:tcPr>
            <w:tcW w:w="927" w:type="dxa"/>
            <w:shd w:val="clear" w:color="auto" w:fill="FFFFFF" w:themeFill="background1"/>
            <w:vAlign w:val="center"/>
          </w:tcPr>
          <w:p w14:paraId="08054A31"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1</w:t>
            </w:r>
            <w:r w:rsidRPr="000C7B8B">
              <w:rPr>
                <w:rFonts w:asciiTheme="minorHAnsi" w:hAnsiTheme="minorHAnsi" w:cstheme="minorHAnsi"/>
                <w:sz w:val="18"/>
                <w:szCs w:val="18"/>
                <w:vertAlign w:val="superscript"/>
                <w:lang w:val="en-US"/>
              </w:rPr>
              <w:t>st</w:t>
            </w:r>
            <w:r w:rsidRPr="000C7B8B">
              <w:rPr>
                <w:rFonts w:asciiTheme="minorHAnsi" w:hAnsiTheme="minorHAnsi" w:cstheme="minorHAnsi"/>
                <w:sz w:val="18"/>
                <w:szCs w:val="18"/>
                <w:lang w:val="en-US"/>
              </w:rPr>
              <w:t xml:space="preserve"> May 2020</w:t>
            </w:r>
          </w:p>
        </w:tc>
        <w:tc>
          <w:tcPr>
            <w:tcW w:w="850" w:type="dxa"/>
            <w:shd w:val="clear" w:color="auto" w:fill="FFFFFF" w:themeFill="background1"/>
            <w:vAlign w:val="center"/>
          </w:tcPr>
          <w:p w14:paraId="4DFBE0EA"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30</w:t>
            </w:r>
            <w:r w:rsidRPr="000C7B8B">
              <w:rPr>
                <w:rFonts w:asciiTheme="minorHAnsi" w:hAnsiTheme="minorHAnsi" w:cstheme="minorHAnsi"/>
                <w:sz w:val="18"/>
                <w:szCs w:val="18"/>
                <w:vertAlign w:val="superscript"/>
                <w:lang w:val="en-US"/>
              </w:rPr>
              <w:t>th</w:t>
            </w:r>
            <w:r w:rsidRPr="000C7B8B">
              <w:rPr>
                <w:rFonts w:asciiTheme="minorHAnsi" w:hAnsiTheme="minorHAnsi" w:cstheme="minorHAnsi"/>
                <w:sz w:val="18"/>
                <w:szCs w:val="18"/>
                <w:lang w:val="en-US"/>
              </w:rPr>
              <w:t xml:space="preserve"> April 2021</w:t>
            </w:r>
          </w:p>
        </w:tc>
        <w:tc>
          <w:tcPr>
            <w:tcW w:w="993" w:type="dxa"/>
            <w:shd w:val="clear" w:color="auto" w:fill="FFFFFF" w:themeFill="background1"/>
            <w:vAlign w:val="center"/>
          </w:tcPr>
          <w:p w14:paraId="52F043CE"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365</w:t>
            </w:r>
          </w:p>
        </w:tc>
        <w:tc>
          <w:tcPr>
            <w:tcW w:w="1134" w:type="dxa"/>
            <w:shd w:val="clear" w:color="auto" w:fill="FFFFFF" w:themeFill="background1"/>
            <w:vAlign w:val="center"/>
          </w:tcPr>
          <w:p w14:paraId="666604A9"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151</w:t>
            </w:r>
          </w:p>
        </w:tc>
        <w:tc>
          <w:tcPr>
            <w:tcW w:w="1275" w:type="dxa"/>
            <w:shd w:val="clear" w:color="auto" w:fill="FFFFFF" w:themeFill="background1"/>
            <w:vAlign w:val="center"/>
          </w:tcPr>
          <w:p w14:paraId="72CDA487"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41</w:t>
            </w:r>
          </w:p>
        </w:tc>
        <w:tc>
          <w:tcPr>
            <w:tcW w:w="1276" w:type="dxa"/>
            <w:shd w:val="clear" w:color="auto" w:fill="FFFFFF" w:themeFill="background1"/>
            <w:vAlign w:val="center"/>
          </w:tcPr>
          <w:p w14:paraId="562DC6C7"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67</w:t>
            </w:r>
          </w:p>
        </w:tc>
        <w:tc>
          <w:tcPr>
            <w:tcW w:w="1276" w:type="dxa"/>
            <w:shd w:val="clear" w:color="auto" w:fill="FFFFFF" w:themeFill="background1"/>
            <w:vAlign w:val="center"/>
          </w:tcPr>
          <w:p w14:paraId="352FA453"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79</w:t>
            </w:r>
          </w:p>
        </w:tc>
        <w:tc>
          <w:tcPr>
            <w:tcW w:w="1276" w:type="dxa"/>
            <w:shd w:val="clear" w:color="auto" w:fill="FFFFFF" w:themeFill="background1"/>
            <w:vAlign w:val="center"/>
          </w:tcPr>
          <w:p w14:paraId="7FBFCA6E"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81</w:t>
            </w:r>
          </w:p>
        </w:tc>
        <w:tc>
          <w:tcPr>
            <w:tcW w:w="1275" w:type="dxa"/>
            <w:shd w:val="clear" w:color="auto" w:fill="FFFFFF" w:themeFill="background1"/>
            <w:vAlign w:val="center"/>
          </w:tcPr>
          <w:p w14:paraId="7BC5ECB2"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56</w:t>
            </w:r>
          </w:p>
        </w:tc>
        <w:tc>
          <w:tcPr>
            <w:tcW w:w="1276" w:type="dxa"/>
            <w:shd w:val="clear" w:color="auto" w:fill="FFFFFF" w:themeFill="background1"/>
            <w:vAlign w:val="center"/>
          </w:tcPr>
          <w:p w14:paraId="731669EA"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rPr>
              <w:t>48</w:t>
            </w:r>
          </w:p>
        </w:tc>
        <w:tc>
          <w:tcPr>
            <w:tcW w:w="1276" w:type="dxa"/>
            <w:shd w:val="clear" w:color="auto" w:fill="FFFFFF" w:themeFill="background1"/>
            <w:vAlign w:val="center"/>
          </w:tcPr>
          <w:p w14:paraId="3DEA1C96"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66</w:t>
            </w:r>
          </w:p>
        </w:tc>
      </w:tr>
      <w:tr w:rsidR="00AE564D" w:rsidRPr="007C7A85" w14:paraId="70A86933" w14:textId="77777777" w:rsidTr="000C7B8B">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48" w:type="dxa"/>
            <w:vAlign w:val="center"/>
          </w:tcPr>
          <w:p w14:paraId="0AFA648A" w14:textId="77777777" w:rsidR="00AE564D" w:rsidRPr="000C7B8B" w:rsidRDefault="00AE564D" w:rsidP="00E26D3C">
            <w:pPr>
              <w:pStyle w:val="Tablesmalltext"/>
              <w:jc w:val="center"/>
              <w:rPr>
                <w:rFonts w:asciiTheme="minorHAnsi" w:hAnsiTheme="minorHAnsi" w:cstheme="minorHAnsi"/>
                <w:sz w:val="18"/>
                <w:szCs w:val="18"/>
                <w:lang w:val="en-US"/>
              </w:rPr>
            </w:pPr>
            <w:r w:rsidRPr="000C7B8B">
              <w:rPr>
                <w:rFonts w:asciiTheme="minorHAnsi" w:hAnsiTheme="minorHAnsi" w:cstheme="minorHAnsi"/>
                <w:sz w:val="18"/>
                <w:szCs w:val="18"/>
                <w:lang w:val="en-US"/>
              </w:rPr>
              <w:t>Arcadia Downs</w:t>
            </w:r>
          </w:p>
        </w:tc>
        <w:tc>
          <w:tcPr>
            <w:tcW w:w="927" w:type="dxa"/>
            <w:vAlign w:val="center"/>
          </w:tcPr>
          <w:p w14:paraId="42EFBF33"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1</w:t>
            </w:r>
            <w:r w:rsidRPr="000C7B8B">
              <w:rPr>
                <w:rFonts w:asciiTheme="minorHAnsi" w:hAnsiTheme="minorHAnsi" w:cstheme="minorHAnsi"/>
                <w:sz w:val="18"/>
                <w:szCs w:val="18"/>
                <w:vertAlign w:val="superscript"/>
                <w:lang w:val="en-US"/>
              </w:rPr>
              <w:t>st</w:t>
            </w:r>
            <w:r w:rsidRPr="000C7B8B">
              <w:rPr>
                <w:rFonts w:asciiTheme="minorHAnsi" w:hAnsiTheme="minorHAnsi" w:cstheme="minorHAnsi"/>
                <w:sz w:val="18"/>
                <w:szCs w:val="18"/>
                <w:lang w:val="en-US"/>
              </w:rPr>
              <w:t xml:space="preserve"> May 2020</w:t>
            </w:r>
          </w:p>
        </w:tc>
        <w:tc>
          <w:tcPr>
            <w:tcW w:w="850" w:type="dxa"/>
            <w:vAlign w:val="center"/>
          </w:tcPr>
          <w:p w14:paraId="0286E2CB"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30</w:t>
            </w:r>
            <w:r w:rsidRPr="000C7B8B">
              <w:rPr>
                <w:rFonts w:asciiTheme="minorHAnsi" w:hAnsiTheme="minorHAnsi" w:cstheme="minorHAnsi"/>
                <w:sz w:val="18"/>
                <w:szCs w:val="18"/>
                <w:vertAlign w:val="superscript"/>
                <w:lang w:val="en-US"/>
              </w:rPr>
              <w:t>th</w:t>
            </w:r>
            <w:r w:rsidRPr="000C7B8B">
              <w:rPr>
                <w:rFonts w:asciiTheme="minorHAnsi" w:hAnsiTheme="minorHAnsi" w:cstheme="minorHAnsi"/>
                <w:sz w:val="18"/>
                <w:szCs w:val="18"/>
                <w:lang w:val="en-US"/>
              </w:rPr>
              <w:t xml:space="preserve"> April 2021</w:t>
            </w:r>
          </w:p>
        </w:tc>
        <w:tc>
          <w:tcPr>
            <w:tcW w:w="993" w:type="dxa"/>
            <w:vAlign w:val="center"/>
          </w:tcPr>
          <w:p w14:paraId="0BB7425E"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365</w:t>
            </w:r>
          </w:p>
        </w:tc>
        <w:tc>
          <w:tcPr>
            <w:tcW w:w="1134" w:type="dxa"/>
            <w:vAlign w:val="center"/>
          </w:tcPr>
          <w:p w14:paraId="1079C19B"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85</w:t>
            </w:r>
          </w:p>
        </w:tc>
        <w:tc>
          <w:tcPr>
            <w:tcW w:w="1275" w:type="dxa"/>
            <w:vAlign w:val="center"/>
          </w:tcPr>
          <w:p w14:paraId="2A051D49"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23</w:t>
            </w:r>
          </w:p>
        </w:tc>
        <w:tc>
          <w:tcPr>
            <w:tcW w:w="1276" w:type="dxa"/>
            <w:vAlign w:val="center"/>
          </w:tcPr>
          <w:p w14:paraId="214136C7"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38</w:t>
            </w:r>
          </w:p>
        </w:tc>
        <w:tc>
          <w:tcPr>
            <w:tcW w:w="1276" w:type="dxa"/>
            <w:vAlign w:val="center"/>
          </w:tcPr>
          <w:p w14:paraId="5DDF236E"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c>
          <w:tcPr>
            <w:tcW w:w="1276" w:type="dxa"/>
            <w:vAlign w:val="center"/>
          </w:tcPr>
          <w:p w14:paraId="545F1ED2"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c>
          <w:tcPr>
            <w:tcW w:w="1275" w:type="dxa"/>
            <w:vAlign w:val="center"/>
          </w:tcPr>
          <w:p w14:paraId="602E3701"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c>
          <w:tcPr>
            <w:tcW w:w="1276" w:type="dxa"/>
            <w:vAlign w:val="center"/>
          </w:tcPr>
          <w:p w14:paraId="6800FD99"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c>
          <w:tcPr>
            <w:tcW w:w="1276" w:type="dxa"/>
            <w:vAlign w:val="center"/>
          </w:tcPr>
          <w:p w14:paraId="090DC76D"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r>
      <w:tr w:rsidR="00AE564D" w:rsidRPr="007C7A85" w14:paraId="4B9E5301" w14:textId="77777777" w:rsidTr="000C7B8B">
        <w:trPr>
          <w:cnfStyle w:val="000000010000" w:firstRow="0" w:lastRow="0" w:firstColumn="0" w:lastColumn="0" w:oddVBand="0" w:evenVBand="0" w:oddHBand="0" w:evenHBand="1"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48" w:type="dxa"/>
            <w:vAlign w:val="center"/>
          </w:tcPr>
          <w:p w14:paraId="07D8CA1C" w14:textId="77777777" w:rsidR="00AE564D" w:rsidRPr="000C7B8B" w:rsidRDefault="00AE564D" w:rsidP="00E26D3C">
            <w:pPr>
              <w:pStyle w:val="Tablesmalltext"/>
              <w:jc w:val="center"/>
              <w:rPr>
                <w:rFonts w:asciiTheme="minorHAnsi" w:hAnsiTheme="minorHAnsi" w:cstheme="minorHAnsi"/>
                <w:sz w:val="18"/>
                <w:szCs w:val="18"/>
                <w:lang w:val="en-US"/>
              </w:rPr>
            </w:pPr>
            <w:proofErr w:type="spellStart"/>
            <w:r w:rsidRPr="000C7B8B">
              <w:rPr>
                <w:rFonts w:asciiTheme="minorHAnsi" w:hAnsiTheme="minorHAnsi" w:cstheme="minorHAnsi"/>
                <w:sz w:val="18"/>
                <w:szCs w:val="18"/>
                <w:lang w:val="en-US"/>
              </w:rPr>
              <w:t>Shepparton</w:t>
            </w:r>
            <w:proofErr w:type="spellEnd"/>
            <w:r w:rsidRPr="000C7B8B">
              <w:rPr>
                <w:rFonts w:asciiTheme="minorHAnsi" w:hAnsiTheme="minorHAnsi" w:cstheme="minorHAnsi"/>
                <w:sz w:val="18"/>
                <w:szCs w:val="18"/>
                <w:lang w:val="en-US"/>
              </w:rPr>
              <w:t xml:space="preserve"> Golf Club</w:t>
            </w:r>
          </w:p>
        </w:tc>
        <w:tc>
          <w:tcPr>
            <w:tcW w:w="927" w:type="dxa"/>
            <w:vAlign w:val="center"/>
          </w:tcPr>
          <w:p w14:paraId="22CE3BF6"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1</w:t>
            </w:r>
            <w:r w:rsidRPr="000C7B8B">
              <w:rPr>
                <w:rFonts w:asciiTheme="minorHAnsi" w:hAnsiTheme="minorHAnsi" w:cstheme="minorHAnsi"/>
                <w:sz w:val="18"/>
                <w:szCs w:val="18"/>
                <w:vertAlign w:val="superscript"/>
                <w:lang w:val="en-US"/>
              </w:rPr>
              <w:t>st</w:t>
            </w:r>
            <w:r w:rsidRPr="000C7B8B">
              <w:rPr>
                <w:rFonts w:asciiTheme="minorHAnsi" w:hAnsiTheme="minorHAnsi" w:cstheme="minorHAnsi"/>
                <w:sz w:val="18"/>
                <w:szCs w:val="18"/>
                <w:lang w:val="en-US"/>
              </w:rPr>
              <w:t xml:space="preserve"> May 2020</w:t>
            </w:r>
          </w:p>
        </w:tc>
        <w:tc>
          <w:tcPr>
            <w:tcW w:w="850" w:type="dxa"/>
            <w:vAlign w:val="center"/>
          </w:tcPr>
          <w:p w14:paraId="5CDF1126"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30</w:t>
            </w:r>
            <w:r w:rsidRPr="000C7B8B">
              <w:rPr>
                <w:rFonts w:asciiTheme="minorHAnsi" w:hAnsiTheme="minorHAnsi" w:cstheme="minorHAnsi"/>
                <w:sz w:val="18"/>
                <w:szCs w:val="18"/>
                <w:vertAlign w:val="superscript"/>
                <w:lang w:val="en-US"/>
              </w:rPr>
              <w:t>th</w:t>
            </w:r>
            <w:r w:rsidRPr="000C7B8B">
              <w:rPr>
                <w:rFonts w:asciiTheme="minorHAnsi" w:hAnsiTheme="minorHAnsi" w:cstheme="minorHAnsi"/>
                <w:sz w:val="18"/>
                <w:szCs w:val="18"/>
                <w:lang w:val="en-US"/>
              </w:rPr>
              <w:t xml:space="preserve"> April 2021</w:t>
            </w:r>
          </w:p>
        </w:tc>
        <w:tc>
          <w:tcPr>
            <w:tcW w:w="993" w:type="dxa"/>
            <w:vAlign w:val="center"/>
          </w:tcPr>
          <w:p w14:paraId="74A1D543"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365</w:t>
            </w:r>
          </w:p>
        </w:tc>
        <w:tc>
          <w:tcPr>
            <w:tcW w:w="1134" w:type="dxa"/>
            <w:vAlign w:val="center"/>
          </w:tcPr>
          <w:p w14:paraId="7F7F7235"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117</w:t>
            </w:r>
          </w:p>
        </w:tc>
        <w:tc>
          <w:tcPr>
            <w:tcW w:w="1275" w:type="dxa"/>
            <w:vAlign w:val="center"/>
          </w:tcPr>
          <w:p w14:paraId="574D59A8"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32</w:t>
            </w:r>
          </w:p>
        </w:tc>
        <w:tc>
          <w:tcPr>
            <w:tcW w:w="1276" w:type="dxa"/>
            <w:vAlign w:val="center"/>
          </w:tcPr>
          <w:p w14:paraId="4D756C5B"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19</w:t>
            </w:r>
          </w:p>
        </w:tc>
        <w:tc>
          <w:tcPr>
            <w:tcW w:w="1276" w:type="dxa"/>
            <w:vAlign w:val="center"/>
          </w:tcPr>
          <w:p w14:paraId="2CCAAF3C"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p>
        </w:tc>
        <w:tc>
          <w:tcPr>
            <w:tcW w:w="1276" w:type="dxa"/>
            <w:vAlign w:val="center"/>
          </w:tcPr>
          <w:p w14:paraId="76B151E8"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p>
        </w:tc>
        <w:tc>
          <w:tcPr>
            <w:tcW w:w="1275" w:type="dxa"/>
            <w:vAlign w:val="center"/>
          </w:tcPr>
          <w:p w14:paraId="0BA02B91"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p>
        </w:tc>
        <w:tc>
          <w:tcPr>
            <w:tcW w:w="1276" w:type="dxa"/>
            <w:vAlign w:val="center"/>
          </w:tcPr>
          <w:p w14:paraId="1AB41DF0"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p>
        </w:tc>
        <w:tc>
          <w:tcPr>
            <w:tcW w:w="1276" w:type="dxa"/>
            <w:vAlign w:val="center"/>
          </w:tcPr>
          <w:p w14:paraId="0AED45E0"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p>
        </w:tc>
      </w:tr>
      <w:tr w:rsidR="00AE564D" w:rsidRPr="007C7A85" w14:paraId="17151C3F" w14:textId="77777777" w:rsidTr="000C7B8B">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48" w:type="dxa"/>
            <w:vAlign w:val="center"/>
          </w:tcPr>
          <w:p w14:paraId="13E322C9" w14:textId="77777777" w:rsidR="00AE564D" w:rsidRPr="000C7B8B" w:rsidRDefault="00AE564D" w:rsidP="00E26D3C">
            <w:pPr>
              <w:pStyle w:val="Tablesmalltext"/>
              <w:jc w:val="center"/>
              <w:rPr>
                <w:rFonts w:asciiTheme="minorHAnsi" w:hAnsiTheme="minorHAnsi" w:cstheme="minorHAnsi"/>
                <w:sz w:val="18"/>
                <w:szCs w:val="18"/>
                <w:lang w:val="en-US"/>
              </w:rPr>
            </w:pPr>
            <w:r w:rsidRPr="000C7B8B">
              <w:rPr>
                <w:rFonts w:asciiTheme="minorHAnsi" w:hAnsiTheme="minorHAnsi" w:cstheme="minorHAnsi"/>
                <w:sz w:val="18"/>
                <w:szCs w:val="18"/>
                <w:lang w:val="en-US"/>
              </w:rPr>
              <w:t>Murchison</w:t>
            </w:r>
          </w:p>
        </w:tc>
        <w:tc>
          <w:tcPr>
            <w:tcW w:w="927" w:type="dxa"/>
            <w:vAlign w:val="center"/>
          </w:tcPr>
          <w:p w14:paraId="0BBA2F32"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1</w:t>
            </w:r>
            <w:r w:rsidRPr="000C7B8B">
              <w:rPr>
                <w:rFonts w:asciiTheme="minorHAnsi" w:hAnsiTheme="minorHAnsi" w:cstheme="minorHAnsi"/>
                <w:sz w:val="18"/>
                <w:szCs w:val="18"/>
                <w:vertAlign w:val="superscript"/>
                <w:lang w:val="en-US"/>
              </w:rPr>
              <w:t>st</w:t>
            </w:r>
            <w:r w:rsidRPr="000C7B8B">
              <w:rPr>
                <w:rFonts w:asciiTheme="minorHAnsi" w:hAnsiTheme="minorHAnsi" w:cstheme="minorHAnsi"/>
                <w:sz w:val="18"/>
                <w:szCs w:val="18"/>
                <w:lang w:val="en-US"/>
              </w:rPr>
              <w:t xml:space="preserve"> May 2020</w:t>
            </w:r>
          </w:p>
        </w:tc>
        <w:tc>
          <w:tcPr>
            <w:tcW w:w="850" w:type="dxa"/>
            <w:vAlign w:val="center"/>
          </w:tcPr>
          <w:p w14:paraId="00B15128"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30</w:t>
            </w:r>
            <w:r w:rsidRPr="000C7B8B">
              <w:rPr>
                <w:rFonts w:asciiTheme="minorHAnsi" w:hAnsiTheme="minorHAnsi" w:cstheme="minorHAnsi"/>
                <w:sz w:val="18"/>
                <w:szCs w:val="18"/>
                <w:vertAlign w:val="superscript"/>
                <w:lang w:val="en-US"/>
              </w:rPr>
              <w:t>th</w:t>
            </w:r>
            <w:r w:rsidRPr="000C7B8B">
              <w:rPr>
                <w:rFonts w:asciiTheme="minorHAnsi" w:hAnsiTheme="minorHAnsi" w:cstheme="minorHAnsi"/>
                <w:sz w:val="18"/>
                <w:szCs w:val="18"/>
                <w:lang w:val="en-US"/>
              </w:rPr>
              <w:t xml:space="preserve"> April 2021</w:t>
            </w:r>
          </w:p>
        </w:tc>
        <w:tc>
          <w:tcPr>
            <w:tcW w:w="993" w:type="dxa"/>
            <w:vAlign w:val="center"/>
          </w:tcPr>
          <w:p w14:paraId="2D8323A7"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365</w:t>
            </w:r>
          </w:p>
        </w:tc>
        <w:tc>
          <w:tcPr>
            <w:tcW w:w="1134" w:type="dxa"/>
            <w:vAlign w:val="center"/>
          </w:tcPr>
          <w:p w14:paraId="1AFB9962"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118</w:t>
            </w:r>
          </w:p>
        </w:tc>
        <w:tc>
          <w:tcPr>
            <w:tcW w:w="1275" w:type="dxa"/>
            <w:vAlign w:val="center"/>
          </w:tcPr>
          <w:p w14:paraId="4138102B"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32</w:t>
            </w:r>
          </w:p>
        </w:tc>
        <w:tc>
          <w:tcPr>
            <w:tcW w:w="1276" w:type="dxa"/>
            <w:vAlign w:val="center"/>
          </w:tcPr>
          <w:p w14:paraId="1ED10F5D"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25</w:t>
            </w:r>
          </w:p>
        </w:tc>
        <w:tc>
          <w:tcPr>
            <w:tcW w:w="1276" w:type="dxa"/>
            <w:vAlign w:val="center"/>
          </w:tcPr>
          <w:p w14:paraId="55471463"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c>
          <w:tcPr>
            <w:tcW w:w="1276" w:type="dxa"/>
            <w:vAlign w:val="center"/>
          </w:tcPr>
          <w:p w14:paraId="22E5FD3F"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c>
          <w:tcPr>
            <w:tcW w:w="1275" w:type="dxa"/>
            <w:vAlign w:val="center"/>
          </w:tcPr>
          <w:p w14:paraId="6C312736"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c>
          <w:tcPr>
            <w:tcW w:w="1276" w:type="dxa"/>
            <w:vAlign w:val="center"/>
          </w:tcPr>
          <w:p w14:paraId="34BA2DD7"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c>
          <w:tcPr>
            <w:tcW w:w="1276" w:type="dxa"/>
            <w:vAlign w:val="center"/>
          </w:tcPr>
          <w:p w14:paraId="657D683F"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r>
      <w:tr w:rsidR="00AE564D" w:rsidRPr="007C7A85" w14:paraId="37A795D6" w14:textId="77777777" w:rsidTr="000C7B8B">
        <w:trPr>
          <w:cnfStyle w:val="000000010000" w:firstRow="0" w:lastRow="0" w:firstColumn="0" w:lastColumn="0" w:oddVBand="0" w:evenVBand="0" w:oddHBand="0" w:evenHBand="1"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48" w:type="dxa"/>
            <w:vAlign w:val="center"/>
          </w:tcPr>
          <w:p w14:paraId="1FE94AD2" w14:textId="77777777" w:rsidR="00AE564D" w:rsidRPr="000C7B8B" w:rsidRDefault="00AE564D" w:rsidP="00E26D3C">
            <w:pPr>
              <w:pStyle w:val="Tablesmalltext"/>
              <w:jc w:val="center"/>
              <w:rPr>
                <w:rFonts w:asciiTheme="minorHAnsi" w:hAnsiTheme="minorHAnsi" w:cstheme="minorHAnsi"/>
                <w:sz w:val="18"/>
                <w:szCs w:val="18"/>
                <w:lang w:val="en-US"/>
              </w:rPr>
            </w:pPr>
            <w:r w:rsidRPr="000C7B8B">
              <w:rPr>
                <w:rFonts w:asciiTheme="minorHAnsi" w:hAnsiTheme="minorHAnsi" w:cstheme="minorHAnsi"/>
                <w:sz w:val="18"/>
                <w:szCs w:val="18"/>
                <w:lang w:val="en-US"/>
              </w:rPr>
              <w:t>Day Road</w:t>
            </w:r>
          </w:p>
        </w:tc>
        <w:tc>
          <w:tcPr>
            <w:tcW w:w="927" w:type="dxa"/>
            <w:vAlign w:val="center"/>
          </w:tcPr>
          <w:p w14:paraId="53E81B07"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p>
        </w:tc>
        <w:tc>
          <w:tcPr>
            <w:tcW w:w="850" w:type="dxa"/>
            <w:vAlign w:val="center"/>
          </w:tcPr>
          <w:p w14:paraId="0A61B2FD"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p>
        </w:tc>
        <w:tc>
          <w:tcPr>
            <w:tcW w:w="993" w:type="dxa"/>
            <w:vAlign w:val="center"/>
          </w:tcPr>
          <w:p w14:paraId="611C4669"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p>
        </w:tc>
        <w:tc>
          <w:tcPr>
            <w:tcW w:w="1134" w:type="dxa"/>
            <w:vAlign w:val="center"/>
          </w:tcPr>
          <w:p w14:paraId="14C61452"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p>
        </w:tc>
        <w:tc>
          <w:tcPr>
            <w:tcW w:w="1275" w:type="dxa"/>
            <w:vAlign w:val="center"/>
          </w:tcPr>
          <w:p w14:paraId="0E065007"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n/a</w:t>
            </w:r>
          </w:p>
        </w:tc>
        <w:tc>
          <w:tcPr>
            <w:tcW w:w="1276" w:type="dxa"/>
            <w:vAlign w:val="center"/>
          </w:tcPr>
          <w:p w14:paraId="2338E5E6"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n/a</w:t>
            </w:r>
          </w:p>
        </w:tc>
        <w:tc>
          <w:tcPr>
            <w:tcW w:w="1276" w:type="dxa"/>
            <w:vAlign w:val="center"/>
          </w:tcPr>
          <w:p w14:paraId="58D87BB9"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44</w:t>
            </w:r>
          </w:p>
        </w:tc>
        <w:tc>
          <w:tcPr>
            <w:tcW w:w="1276" w:type="dxa"/>
            <w:vAlign w:val="center"/>
          </w:tcPr>
          <w:p w14:paraId="040F59E1"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46</w:t>
            </w:r>
          </w:p>
        </w:tc>
        <w:tc>
          <w:tcPr>
            <w:tcW w:w="1275" w:type="dxa"/>
            <w:vAlign w:val="center"/>
          </w:tcPr>
          <w:p w14:paraId="5BF7AEE7"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54</w:t>
            </w:r>
          </w:p>
        </w:tc>
        <w:tc>
          <w:tcPr>
            <w:tcW w:w="1276" w:type="dxa"/>
            <w:vAlign w:val="center"/>
          </w:tcPr>
          <w:p w14:paraId="47FDCD87"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rPr>
              <w:t>27</w:t>
            </w:r>
          </w:p>
        </w:tc>
        <w:tc>
          <w:tcPr>
            <w:tcW w:w="1276" w:type="dxa"/>
            <w:vAlign w:val="center"/>
          </w:tcPr>
          <w:p w14:paraId="6EC28650" w14:textId="77777777" w:rsidR="00AE564D" w:rsidRPr="000C7B8B" w:rsidRDefault="00AE564D" w:rsidP="00E26D3C">
            <w:pPr>
              <w:pStyle w:val="Tablesmallt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n/a</w:t>
            </w:r>
          </w:p>
        </w:tc>
      </w:tr>
      <w:tr w:rsidR="00AE564D" w:rsidRPr="007C7A85" w14:paraId="766BF521" w14:textId="77777777" w:rsidTr="000C7B8B">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48" w:type="dxa"/>
            <w:vAlign w:val="center"/>
          </w:tcPr>
          <w:p w14:paraId="332C0670" w14:textId="77777777" w:rsidR="00AE564D" w:rsidRPr="000C7B8B" w:rsidRDefault="00AE564D" w:rsidP="00E26D3C">
            <w:pPr>
              <w:pStyle w:val="Tablesmalltext"/>
              <w:jc w:val="center"/>
              <w:rPr>
                <w:rFonts w:asciiTheme="minorHAnsi" w:hAnsiTheme="minorHAnsi" w:cstheme="minorHAnsi"/>
                <w:sz w:val="18"/>
                <w:szCs w:val="18"/>
                <w:lang w:val="en-US"/>
              </w:rPr>
            </w:pPr>
            <w:r w:rsidRPr="000C7B8B">
              <w:rPr>
                <w:rFonts w:asciiTheme="minorHAnsi" w:hAnsiTheme="minorHAnsi" w:cstheme="minorHAnsi"/>
                <w:sz w:val="18"/>
                <w:szCs w:val="18"/>
                <w:lang w:val="en-US"/>
              </w:rPr>
              <w:t>Darcy’s Track</w:t>
            </w:r>
          </w:p>
        </w:tc>
        <w:tc>
          <w:tcPr>
            <w:tcW w:w="927" w:type="dxa"/>
            <w:vAlign w:val="center"/>
          </w:tcPr>
          <w:p w14:paraId="3AFFCC68"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c>
          <w:tcPr>
            <w:tcW w:w="850" w:type="dxa"/>
            <w:vAlign w:val="center"/>
          </w:tcPr>
          <w:p w14:paraId="025183D5"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c>
          <w:tcPr>
            <w:tcW w:w="993" w:type="dxa"/>
            <w:vAlign w:val="center"/>
          </w:tcPr>
          <w:p w14:paraId="0C3B31E3"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c>
          <w:tcPr>
            <w:tcW w:w="1134" w:type="dxa"/>
            <w:vAlign w:val="center"/>
          </w:tcPr>
          <w:p w14:paraId="55F58B16"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p>
        </w:tc>
        <w:tc>
          <w:tcPr>
            <w:tcW w:w="1275" w:type="dxa"/>
            <w:vAlign w:val="center"/>
          </w:tcPr>
          <w:p w14:paraId="47E5AF9D"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n/a</w:t>
            </w:r>
          </w:p>
        </w:tc>
        <w:tc>
          <w:tcPr>
            <w:tcW w:w="1276" w:type="dxa"/>
            <w:vAlign w:val="center"/>
          </w:tcPr>
          <w:p w14:paraId="518EE26A"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n/a</w:t>
            </w:r>
          </w:p>
        </w:tc>
        <w:tc>
          <w:tcPr>
            <w:tcW w:w="1276" w:type="dxa"/>
            <w:vAlign w:val="center"/>
          </w:tcPr>
          <w:p w14:paraId="7190E82D"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53</w:t>
            </w:r>
          </w:p>
        </w:tc>
        <w:tc>
          <w:tcPr>
            <w:tcW w:w="1276" w:type="dxa"/>
            <w:vAlign w:val="center"/>
          </w:tcPr>
          <w:p w14:paraId="5F280739"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52</w:t>
            </w:r>
          </w:p>
        </w:tc>
        <w:tc>
          <w:tcPr>
            <w:tcW w:w="1275" w:type="dxa"/>
            <w:vAlign w:val="center"/>
          </w:tcPr>
          <w:p w14:paraId="1DA9FFBC"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53</w:t>
            </w:r>
          </w:p>
        </w:tc>
        <w:tc>
          <w:tcPr>
            <w:tcW w:w="1276" w:type="dxa"/>
            <w:vAlign w:val="center"/>
          </w:tcPr>
          <w:p w14:paraId="1DC48399"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rPr>
              <w:t>28</w:t>
            </w:r>
          </w:p>
        </w:tc>
        <w:tc>
          <w:tcPr>
            <w:tcW w:w="1276" w:type="dxa"/>
            <w:vAlign w:val="center"/>
          </w:tcPr>
          <w:p w14:paraId="16F9562F" w14:textId="77777777" w:rsidR="00AE564D" w:rsidRPr="000C7B8B" w:rsidRDefault="00AE564D" w:rsidP="00E26D3C">
            <w:pPr>
              <w:pStyle w:val="Tablesmall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en-US"/>
              </w:rPr>
            </w:pPr>
            <w:r w:rsidRPr="000C7B8B">
              <w:rPr>
                <w:rFonts w:asciiTheme="minorHAnsi" w:hAnsiTheme="minorHAnsi" w:cstheme="minorHAnsi"/>
                <w:sz w:val="18"/>
                <w:szCs w:val="18"/>
                <w:lang w:val="en-US"/>
              </w:rPr>
              <w:t>72</w:t>
            </w:r>
          </w:p>
        </w:tc>
      </w:tr>
    </w:tbl>
    <w:p w14:paraId="1309FD7C" w14:textId="77777777" w:rsidR="00AE564D" w:rsidRPr="007C7A85" w:rsidRDefault="00AE564D" w:rsidP="0074087A">
      <w:pPr>
        <w:pStyle w:val="Para0"/>
        <w:spacing w:before="120"/>
        <w:ind w:firstLine="720"/>
        <w:rPr>
          <w:rFonts w:asciiTheme="minorHAnsi" w:hAnsiTheme="minorHAnsi" w:cstheme="minorHAnsi"/>
          <w:sz w:val="18"/>
          <w:szCs w:val="18"/>
          <w:lang w:val="en-US"/>
        </w:rPr>
      </w:pPr>
      <w:r w:rsidRPr="007C7A85">
        <w:rPr>
          <w:rFonts w:asciiTheme="minorHAnsi" w:hAnsiTheme="minorHAnsi" w:cstheme="minorHAnsi"/>
          <w:sz w:val="18"/>
          <w:szCs w:val="18"/>
        </w:rPr>
        <w:t>Notes: For MER, Murchison is a replacement for Day Rd, Arcadia Downs is a replacement for Darcy’s Track, Shepparton Golf Club is an additional site for MER</w:t>
      </w:r>
    </w:p>
    <w:p w14:paraId="014E2E28" w14:textId="77777777" w:rsidR="00AE564D" w:rsidRPr="00BA2632" w:rsidRDefault="00AE564D" w:rsidP="00AE564D">
      <w:pPr>
        <w:pStyle w:val="Para0"/>
        <w:rPr>
          <w:lang w:val="en-US"/>
        </w:rPr>
      </w:pPr>
    </w:p>
    <w:p w14:paraId="2F4D592C" w14:textId="77777777" w:rsidR="00AE564D" w:rsidRPr="00BA2632" w:rsidRDefault="00AE564D" w:rsidP="00AE564D">
      <w:pPr>
        <w:spacing w:after="0" w:line="240" w:lineRule="auto"/>
        <w:rPr>
          <w:lang w:val="en-US"/>
        </w:rPr>
        <w:sectPr w:rsidR="00AE564D" w:rsidRPr="00BA2632" w:rsidSect="007C7C0F">
          <w:pgSz w:w="16838" w:h="11906" w:orient="landscape"/>
          <w:pgMar w:top="567" w:right="851" w:bottom="851" w:left="1134" w:header="709" w:footer="709" w:gutter="0"/>
          <w:cols w:space="720"/>
        </w:sectPr>
      </w:pPr>
    </w:p>
    <w:p w14:paraId="4562C002" w14:textId="497E9C4B" w:rsidR="00AE564D" w:rsidRPr="00BA2632" w:rsidRDefault="00AE564D" w:rsidP="00AE564D">
      <w:pPr>
        <w:pStyle w:val="Heading3"/>
      </w:pPr>
      <w:bookmarkStart w:id="224" w:name="_Toc84417355"/>
      <w:r w:rsidRPr="00BA2632">
        <w:lastRenderedPageBreak/>
        <w:t xml:space="preserve">Water </w:t>
      </w:r>
      <w:r w:rsidR="0018653A">
        <w:t>t</w:t>
      </w:r>
      <w:r w:rsidRPr="00BA2632">
        <w:t xml:space="preserve">emperature and </w:t>
      </w:r>
      <w:r w:rsidR="0018653A">
        <w:t>d</w:t>
      </w:r>
      <w:r w:rsidRPr="00BA2632">
        <w:t xml:space="preserve">issolved </w:t>
      </w:r>
      <w:r w:rsidR="0018653A">
        <w:t>o</w:t>
      </w:r>
      <w:r w:rsidRPr="00BA2632">
        <w:t>xygen</w:t>
      </w:r>
      <w:bookmarkEnd w:id="224"/>
    </w:p>
    <w:p w14:paraId="786CD597" w14:textId="2482F881" w:rsidR="00AE564D" w:rsidRPr="00BA2632" w:rsidRDefault="00F2112A" w:rsidP="00AE564D">
      <w:r>
        <w:t xml:space="preserve">Figure </w:t>
      </w:r>
      <w:r>
        <w:rPr>
          <w:noProof/>
        </w:rPr>
        <w:t>5</w:t>
      </w:r>
      <w:r>
        <w:noBreakHyphen/>
      </w:r>
      <w:r>
        <w:rPr>
          <w:noProof/>
        </w:rPr>
        <w:t>3</w:t>
      </w:r>
      <w:r w:rsidR="008B61F4">
        <w:t xml:space="preserve"> </w:t>
      </w:r>
      <w:r w:rsidR="00AE564D" w:rsidRPr="001C7262">
        <w:t xml:space="preserve">displays the mean daily water temperature and mean daily dissolved oxygen concentrations, collected from the DO loggers, at all five sites over the 2020-21 deployment period. The temperature profiles shown in </w:t>
      </w:r>
      <w:r>
        <w:t xml:space="preserve">Figure </w:t>
      </w:r>
      <w:r>
        <w:rPr>
          <w:noProof/>
        </w:rPr>
        <w:t>5</w:t>
      </w:r>
      <w:r>
        <w:noBreakHyphen/>
      </w:r>
      <w:r>
        <w:rPr>
          <w:noProof/>
        </w:rPr>
        <w:t>3</w:t>
      </w:r>
      <w:r w:rsidR="008B61F4">
        <w:t xml:space="preserve"> </w:t>
      </w:r>
      <w:r w:rsidR="00AE564D" w:rsidRPr="001C7262">
        <w:t>conform to expected behaviour with the warmest average daily temperatures occurring in mid-late summer. There</w:t>
      </w:r>
      <w:r w:rsidR="00AE564D">
        <w:t xml:space="preserve"> were relatively small but consistent differences among the loggers during the warmer months, but these may reflect local stream shading and water depth and are not considered ecologically important differences.</w:t>
      </w:r>
    </w:p>
    <w:p w14:paraId="024B07AE" w14:textId="77777777" w:rsidR="00AE564D" w:rsidRDefault="00AE564D" w:rsidP="00AE564D">
      <w:pPr>
        <w:pStyle w:val="Para0"/>
        <w:jc w:val="center"/>
        <w:rPr>
          <w:rFonts w:asciiTheme="minorBidi" w:hAnsiTheme="minorBidi"/>
          <w:bCs/>
          <w:szCs w:val="20"/>
        </w:rPr>
      </w:pPr>
      <w:bookmarkStart w:id="225" w:name="_Ref430406585"/>
      <w:r w:rsidRPr="00F9372E">
        <w:rPr>
          <w:noProof/>
          <w:lang w:val="en-GB"/>
        </w:rPr>
        <w:drawing>
          <wp:inline distT="0" distB="0" distL="0" distR="0" wp14:anchorId="547DA2CC" wp14:editId="0A854084">
            <wp:extent cx="5212800" cy="3128400"/>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212800" cy="3128400"/>
                    </a:xfrm>
                    <a:prstGeom prst="rect">
                      <a:avLst/>
                    </a:prstGeom>
                    <a:noFill/>
                    <a:ln>
                      <a:noFill/>
                    </a:ln>
                  </pic:spPr>
                </pic:pic>
              </a:graphicData>
            </a:graphic>
          </wp:inline>
        </w:drawing>
      </w:r>
    </w:p>
    <w:p w14:paraId="7ED3358A" w14:textId="77777777" w:rsidR="008B61F4" w:rsidRDefault="00AE564D" w:rsidP="008B61F4">
      <w:pPr>
        <w:pStyle w:val="Para0"/>
        <w:keepNext/>
        <w:jc w:val="center"/>
      </w:pPr>
      <w:r w:rsidRPr="00F9372E">
        <w:rPr>
          <w:noProof/>
          <w:lang w:val="en-GB"/>
        </w:rPr>
        <w:drawing>
          <wp:inline distT="0" distB="0" distL="0" distR="0" wp14:anchorId="6059957C" wp14:editId="3508C41F">
            <wp:extent cx="5212800" cy="312840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212800" cy="3128400"/>
                    </a:xfrm>
                    <a:prstGeom prst="rect">
                      <a:avLst/>
                    </a:prstGeom>
                    <a:noFill/>
                    <a:ln>
                      <a:noFill/>
                    </a:ln>
                  </pic:spPr>
                </pic:pic>
              </a:graphicData>
            </a:graphic>
          </wp:inline>
        </w:drawing>
      </w:r>
    </w:p>
    <w:p w14:paraId="13726193" w14:textId="15A875C0" w:rsidR="00AE564D" w:rsidRDefault="008B61F4" w:rsidP="008B61F4">
      <w:pPr>
        <w:pStyle w:val="Caption"/>
        <w:rPr>
          <w:rFonts w:asciiTheme="minorBidi" w:hAnsiTheme="minorBidi"/>
          <w:bCs/>
        </w:rPr>
      </w:pPr>
      <w:bookmarkStart w:id="226" w:name="_Ref83780273"/>
      <w:bookmarkStart w:id="227" w:name="_Toc83907747"/>
      <w:bookmarkStart w:id="228" w:name="_Toc84475648"/>
      <w:r>
        <w:t xml:space="preserve">Figure </w:t>
      </w:r>
      <w:r w:rsidR="00B85158">
        <w:rPr>
          <w:noProof/>
        </w:rPr>
        <w:t>5</w:t>
      </w:r>
      <w:r w:rsidR="00B85158">
        <w:noBreakHyphen/>
      </w:r>
      <w:r w:rsidR="00B85158">
        <w:rPr>
          <w:noProof/>
        </w:rPr>
        <w:t>3</w:t>
      </w:r>
      <w:bookmarkEnd w:id="226"/>
      <w:r>
        <w:t xml:space="preserve"> </w:t>
      </w:r>
      <w:r w:rsidRPr="008E4D33">
        <w:t>Mean Daily Water Temperature and Dissolved Oxygen Concentration for the five study sites 2020-21. A sixth data set, from the outflow from Goulburn Weir, was added to help determine the origin of the anomalies.</w:t>
      </w:r>
      <w:bookmarkEnd w:id="227"/>
      <w:bookmarkEnd w:id="228"/>
    </w:p>
    <w:bookmarkEnd w:id="225"/>
    <w:p w14:paraId="358567E3" w14:textId="4EE04DCD" w:rsidR="00AE564D" w:rsidRPr="00A2049D" w:rsidRDefault="00AE564D" w:rsidP="0098204D">
      <w:r w:rsidRPr="00A2049D">
        <w:t xml:space="preserve">The overall seasonal pattern of DO concentrations depicted in </w:t>
      </w:r>
      <w:r w:rsidR="00F2112A" w:rsidRPr="00F2112A">
        <w:t>Figure 5</w:t>
      </w:r>
      <w:r w:rsidR="00F2112A" w:rsidRPr="00F2112A">
        <w:noBreakHyphen/>
        <w:t>3</w:t>
      </w:r>
      <w:r w:rsidRPr="00A2049D">
        <w:t xml:space="preserve"> is also expected as oxygen solubility decreases with increasing water temperature, hence an ‘inverse’ relationship is expected – and was observed - in the two panels of this figure. As noted above, this figure also clearly demonstrates that there are some problems with many of the DO data loggers at various points throughout the year. Clearly, poor DO data will result in the lack of acceptable model fits and is </w:t>
      </w:r>
      <w:proofErr w:type="gramStart"/>
      <w:r w:rsidRPr="00A2049D">
        <w:t>definitely a</w:t>
      </w:r>
      <w:proofErr w:type="gramEnd"/>
      <w:r w:rsidRPr="00A2049D">
        <w:t xml:space="preserve"> matter for ongoing concern. The logger at Murchison not only recorded unusually low DO on four occasions, three of these from November 2020 onwards, but also had unusually high readings in May 2020. One possibility is that </w:t>
      </w:r>
      <w:r w:rsidRPr="00A2049D">
        <w:lastRenderedPageBreak/>
        <w:t>there is water of unusual DO concentrations coming from Goulburn Weir. To examine this explanation, the DO logger data from Goulburn Weir was added to this plot and clearly showed no unusual divergences from the expected concentrations. As there are no significant tributaries entering the Goulburn River between the weir and the Murchison site, it is therefore most probable that these anomalous readings are artefacts of a malfunctioning logger. Similarly, the two “low” excursions for the Arcadia Downs logger are attributed to poor logger performance as there are also no significant tributaries entering the Goulburn River in the reach from Murchison to Arcadia Downs. In addition, any low DO water passing the Murchison logger should reach the Arcadia Downs logger a day later, but the timings for low DO at these two loggers were not matched. The DO readings at the Shepparton Golf Club logger fell below 4 mg O</w:t>
      </w:r>
      <w:r w:rsidRPr="00A2049D">
        <w:rPr>
          <w:vertAlign w:val="subscript"/>
        </w:rPr>
        <w:t>2</w:t>
      </w:r>
      <w:r w:rsidRPr="00A2049D">
        <w:t>/L in January 2021. These ‘low’ readings may be valid as there are two significant tributaries that enter the Goulburn not far upstream from this logger: Seven Creeks and the Broken River.  While there are no DO loggers on the Broken River close to Shepparton, the closest logger at Gowangardie (Station 404224) showed that DO was below 4 mg O</w:t>
      </w:r>
      <w:r w:rsidRPr="00A2049D">
        <w:rPr>
          <w:vertAlign w:val="subscript"/>
        </w:rPr>
        <w:t>2</w:t>
      </w:r>
      <w:r w:rsidRPr="00A2049D">
        <w:t>/L only briefly on two occasions in January and February 2021. Conversely, the DO logger in Seven Creeks at Kialla West (Station 405269, very close to the confluence with the Goulburn River) had extended periods of very low DO and even anoxia from mid-November 2020 through to mid-March 2021. If these readings are correct (and not due to a faulty logger</w:t>
      </w:r>
      <w:r>
        <w:t>)</w:t>
      </w:r>
      <w:r w:rsidRPr="00A2049D">
        <w:t>, then this would be expected to cause Goulburn River DO to fall. This has been seen in 2016-17 and 2017-18 following very large summer storms. The apparent low DO at the Loch Garry logger in December 2020 is again attributed to logger performance rather than any real major decrease in the riverine concentration. Whilst this paragraph highlights a litany of poor logger performance, it also demonstrates the huge benefit in having a network of loggers on a major stream such as the Goulburn River. This network allows monitoring of ‘parcels’ of low DO water as they transit down the river.</w:t>
      </w:r>
    </w:p>
    <w:p w14:paraId="59EF3752" w14:textId="77777777" w:rsidR="00AE564D" w:rsidRPr="00BA2632" w:rsidRDefault="00AE564D" w:rsidP="00AE564D">
      <w:r w:rsidRPr="00A2049D">
        <w:rPr>
          <w:rFonts w:cstheme="minorHAnsi"/>
        </w:rPr>
        <w:t>These logger issues are a major reason for the relatively low number of data days that met acceptance criteria compared to 2017-2019 for example</w:t>
      </w:r>
      <w:r w:rsidRPr="001C1969">
        <w:t>.</w:t>
      </w:r>
    </w:p>
    <w:p w14:paraId="492A260C" w14:textId="367B3E75" w:rsidR="00AE564D" w:rsidRPr="00BA2632" w:rsidRDefault="00AE564D" w:rsidP="00AE564D">
      <w:pPr>
        <w:pStyle w:val="Heading3"/>
      </w:pPr>
      <w:bookmarkStart w:id="229" w:name="_Toc84417356"/>
      <w:r w:rsidRPr="00BA2632">
        <w:t xml:space="preserve">Seasonal </w:t>
      </w:r>
      <w:r w:rsidR="00A75BB7">
        <w:t>d</w:t>
      </w:r>
      <w:r w:rsidRPr="00BA2632">
        <w:t xml:space="preserve">ependence of </w:t>
      </w:r>
      <w:r w:rsidR="00A75BB7">
        <w:t>f</w:t>
      </w:r>
      <w:r w:rsidRPr="00BA2632">
        <w:t xml:space="preserve">lows and </w:t>
      </w:r>
      <w:r w:rsidR="00A75BB7">
        <w:t>f</w:t>
      </w:r>
      <w:r w:rsidRPr="00BA2632">
        <w:t xml:space="preserve">low </w:t>
      </w:r>
      <w:r w:rsidR="00A75BB7">
        <w:t>c</w:t>
      </w:r>
      <w:r w:rsidRPr="00BA2632">
        <w:t>ategorization</w:t>
      </w:r>
      <w:bookmarkEnd w:id="229"/>
    </w:p>
    <w:p w14:paraId="71026B5B" w14:textId="596C6F54" w:rsidR="00AE564D" w:rsidRPr="00BA2632" w:rsidRDefault="00AE564D" w:rsidP="00AE564D">
      <w:proofErr w:type="gramStart"/>
      <w:r w:rsidRPr="00BA2632">
        <w:t>In order to</w:t>
      </w:r>
      <w:proofErr w:type="gramEnd"/>
      <w:r w:rsidRPr="00BA2632">
        <w:t xml:space="preserve"> examine the role of flow (and additional CEW) on metabolism, and in particular loads of organic carbon being created and consumed each day by GPP and ER respectively, it is first necessary to categorize the flows themselves according to the thresholds in </w:t>
      </w:r>
      <w:r w:rsidR="00F2112A" w:rsidRPr="00BA2632">
        <w:t xml:space="preserve">Table </w:t>
      </w:r>
      <w:r w:rsidR="00F2112A">
        <w:rPr>
          <w:noProof/>
        </w:rPr>
        <w:t>5</w:t>
      </w:r>
      <w:r w:rsidR="00F2112A">
        <w:rPr>
          <w:noProof/>
        </w:rPr>
        <w:noBreakHyphen/>
        <w:t>3</w:t>
      </w:r>
      <w:r w:rsidRPr="00BA2632">
        <w:t xml:space="preserve">. </w:t>
      </w:r>
      <w:r w:rsidR="00F2112A" w:rsidRPr="00BA2632">
        <w:t xml:space="preserve">Table </w:t>
      </w:r>
      <w:r w:rsidR="00F2112A">
        <w:rPr>
          <w:noProof/>
        </w:rPr>
        <w:t>5</w:t>
      </w:r>
      <w:r w:rsidR="00F2112A">
        <w:rPr>
          <w:noProof/>
        </w:rPr>
        <w:noBreakHyphen/>
        <w:t>5</w:t>
      </w:r>
      <w:r w:rsidRPr="00BA2632">
        <w:t xml:space="preserve"> presents this data for the four flow categories used in the subsequent loads analysis and these are stratified by site and season. There were no flows over the entire s</w:t>
      </w:r>
      <w:r>
        <w:t>even</w:t>
      </w:r>
      <w:r w:rsidRPr="00BA2632">
        <w:t>-year period of record lower than the ‘Very Low’ flow threshold, but there were some ‘High Fresh’ and ‘Overbank’ flows (the latter in Spring 2016</w:t>
      </w:r>
      <w:proofErr w:type="gramStart"/>
      <w:r w:rsidRPr="00BA2632">
        <w:t>)</w:t>
      </w:r>
      <w:proofErr w:type="gramEnd"/>
      <w:r w:rsidRPr="00BA2632">
        <w:t xml:space="preserve"> but these are not included in this table due to the lack of corresponding metabolic rate data that met the acceptance criteria.</w:t>
      </w:r>
      <w:r>
        <w:t xml:space="preserve"> Throughout this report, no summary statistics are presented for categories with fewer than 5 data points.</w:t>
      </w:r>
    </w:p>
    <w:p w14:paraId="04DD6977" w14:textId="77777777" w:rsidR="00AE564D" w:rsidRPr="00BA2632" w:rsidRDefault="00AE564D" w:rsidP="00AE564D">
      <w:pPr>
        <w:pStyle w:val="Para0"/>
      </w:pPr>
    </w:p>
    <w:p w14:paraId="3D23A0D2" w14:textId="77777777" w:rsidR="00AE564D" w:rsidRPr="00BA2632" w:rsidRDefault="00AE564D" w:rsidP="00AE564D">
      <w:pPr>
        <w:spacing w:after="0" w:line="240" w:lineRule="auto"/>
        <w:sectPr w:rsidR="00AE564D" w:rsidRPr="00BA2632" w:rsidSect="007C7C0F">
          <w:pgSz w:w="11906" w:h="16838"/>
          <w:pgMar w:top="567" w:right="851" w:bottom="851" w:left="1134" w:header="709" w:footer="709" w:gutter="0"/>
          <w:cols w:space="720"/>
        </w:sectPr>
      </w:pPr>
    </w:p>
    <w:p w14:paraId="39D26BCB" w14:textId="33A9C81E" w:rsidR="00AE564D" w:rsidRDefault="00AE564D" w:rsidP="005E2286">
      <w:pPr>
        <w:pStyle w:val="Caption"/>
        <w:keepNext/>
      </w:pPr>
      <w:bookmarkStart w:id="230" w:name="_Ref52388609"/>
      <w:bookmarkStart w:id="231" w:name="_Toc95391466"/>
      <w:r w:rsidRPr="00BA2632">
        <w:lastRenderedPageBreak/>
        <w:t xml:space="preserve">Table </w:t>
      </w:r>
      <w:r w:rsidR="000B75AF">
        <w:rPr>
          <w:noProof/>
        </w:rPr>
        <w:t>5</w:t>
      </w:r>
      <w:r w:rsidR="000B75AF">
        <w:noBreakHyphen/>
      </w:r>
      <w:r w:rsidR="000B75AF">
        <w:rPr>
          <w:noProof/>
        </w:rPr>
        <w:t>5</w:t>
      </w:r>
      <w:bookmarkEnd w:id="230"/>
      <w:r w:rsidRPr="00BA2632">
        <w:t xml:space="preserve"> Summary Statistics for Daily Flow (ML/Day), stratified by Season, Site and Flow Category. All data from 2014-202</w:t>
      </w:r>
      <w:r>
        <w:t>1</w:t>
      </w:r>
      <w:r w:rsidRPr="00BA2632">
        <w:t>.</w:t>
      </w:r>
      <w:bookmarkEnd w:id="231"/>
    </w:p>
    <w:tbl>
      <w:tblPr>
        <w:tblW w:w="14696" w:type="dxa"/>
        <w:jc w:val="center"/>
        <w:tblLook w:val="04A0" w:firstRow="1" w:lastRow="0" w:firstColumn="1" w:lastColumn="0" w:noHBand="0" w:noVBand="1"/>
      </w:tblPr>
      <w:tblGrid>
        <w:gridCol w:w="808"/>
        <w:gridCol w:w="1000"/>
        <w:gridCol w:w="1008"/>
        <w:gridCol w:w="551"/>
        <w:gridCol w:w="663"/>
        <w:gridCol w:w="842"/>
        <w:gridCol w:w="663"/>
        <w:gridCol w:w="663"/>
        <w:gridCol w:w="777"/>
        <w:gridCol w:w="663"/>
        <w:gridCol w:w="663"/>
        <w:gridCol w:w="880"/>
        <w:gridCol w:w="551"/>
        <w:gridCol w:w="663"/>
        <w:gridCol w:w="894"/>
        <w:gridCol w:w="663"/>
        <w:gridCol w:w="663"/>
        <w:gridCol w:w="796"/>
        <w:gridCol w:w="663"/>
        <w:gridCol w:w="663"/>
      </w:tblGrid>
      <w:tr w:rsidR="00AE564D" w:rsidRPr="005E2286" w14:paraId="77EC5062" w14:textId="77777777" w:rsidTr="005E2286">
        <w:trPr>
          <w:trHeight w:val="255"/>
          <w:jc w:val="center"/>
        </w:trPr>
        <w:tc>
          <w:tcPr>
            <w:tcW w:w="768" w:type="dxa"/>
            <w:tcBorders>
              <w:top w:val="single" w:sz="8" w:space="0" w:color="002060"/>
              <w:left w:val="single" w:sz="8" w:space="0" w:color="002060"/>
              <w:bottom w:val="nil"/>
              <w:right w:val="single" w:sz="8" w:space="0" w:color="002060"/>
            </w:tcBorders>
            <w:shd w:val="clear" w:color="000000" w:fill="002060"/>
            <w:noWrap/>
            <w:vAlign w:val="center"/>
            <w:hideMark/>
          </w:tcPr>
          <w:p w14:paraId="587E2542"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Season</w:t>
            </w:r>
          </w:p>
        </w:tc>
        <w:tc>
          <w:tcPr>
            <w:tcW w:w="1000" w:type="dxa"/>
            <w:tcBorders>
              <w:top w:val="single" w:sz="8" w:space="0" w:color="002060"/>
              <w:left w:val="nil"/>
              <w:bottom w:val="single" w:sz="8" w:space="0" w:color="002060"/>
              <w:right w:val="single" w:sz="8" w:space="0" w:color="002060"/>
            </w:tcBorders>
            <w:shd w:val="clear" w:color="000000" w:fill="002060"/>
            <w:noWrap/>
            <w:vAlign w:val="center"/>
            <w:hideMark/>
          </w:tcPr>
          <w:p w14:paraId="7A683EFF"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Site</w:t>
            </w:r>
          </w:p>
        </w:tc>
        <w:tc>
          <w:tcPr>
            <w:tcW w:w="1008" w:type="dxa"/>
            <w:tcBorders>
              <w:top w:val="single" w:sz="8" w:space="0" w:color="002060"/>
              <w:left w:val="nil"/>
              <w:bottom w:val="single" w:sz="8" w:space="0" w:color="002060"/>
              <w:right w:val="nil"/>
            </w:tcBorders>
            <w:shd w:val="clear" w:color="000000" w:fill="002060"/>
            <w:noWrap/>
            <w:vAlign w:val="center"/>
            <w:hideMark/>
          </w:tcPr>
          <w:p w14:paraId="0C45BDAB"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Flow Cat</w:t>
            </w:r>
          </w:p>
        </w:tc>
        <w:tc>
          <w:tcPr>
            <w:tcW w:w="551" w:type="dxa"/>
            <w:tcBorders>
              <w:top w:val="single" w:sz="8" w:space="0" w:color="002060"/>
              <w:left w:val="nil"/>
              <w:bottom w:val="single" w:sz="8" w:space="0" w:color="002060"/>
              <w:right w:val="nil"/>
            </w:tcBorders>
            <w:shd w:val="clear" w:color="000000" w:fill="002060"/>
            <w:noWrap/>
            <w:vAlign w:val="center"/>
            <w:hideMark/>
          </w:tcPr>
          <w:p w14:paraId="6A89F481"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n</w:t>
            </w:r>
          </w:p>
        </w:tc>
        <w:tc>
          <w:tcPr>
            <w:tcW w:w="663" w:type="dxa"/>
            <w:tcBorders>
              <w:top w:val="single" w:sz="8" w:space="0" w:color="002060"/>
              <w:left w:val="nil"/>
              <w:bottom w:val="single" w:sz="8" w:space="0" w:color="002060"/>
              <w:right w:val="nil"/>
            </w:tcBorders>
            <w:shd w:val="clear" w:color="000000" w:fill="002060"/>
            <w:noWrap/>
            <w:vAlign w:val="center"/>
            <w:hideMark/>
          </w:tcPr>
          <w:p w14:paraId="4975D939"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Mean</w:t>
            </w:r>
          </w:p>
        </w:tc>
        <w:tc>
          <w:tcPr>
            <w:tcW w:w="842" w:type="dxa"/>
            <w:tcBorders>
              <w:top w:val="single" w:sz="8" w:space="0" w:color="002060"/>
              <w:left w:val="nil"/>
              <w:bottom w:val="single" w:sz="8" w:space="0" w:color="002060"/>
              <w:right w:val="nil"/>
            </w:tcBorders>
            <w:shd w:val="clear" w:color="000000" w:fill="002060"/>
            <w:noWrap/>
            <w:vAlign w:val="center"/>
            <w:hideMark/>
          </w:tcPr>
          <w:p w14:paraId="491B29D0"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Std Dev</w:t>
            </w:r>
          </w:p>
        </w:tc>
        <w:tc>
          <w:tcPr>
            <w:tcW w:w="663" w:type="dxa"/>
            <w:tcBorders>
              <w:top w:val="single" w:sz="8" w:space="0" w:color="002060"/>
              <w:left w:val="nil"/>
              <w:bottom w:val="single" w:sz="8" w:space="0" w:color="002060"/>
              <w:right w:val="nil"/>
            </w:tcBorders>
            <w:shd w:val="clear" w:color="000000" w:fill="002060"/>
            <w:noWrap/>
            <w:vAlign w:val="center"/>
            <w:hideMark/>
          </w:tcPr>
          <w:p w14:paraId="321FDCB1"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Min</w:t>
            </w:r>
          </w:p>
        </w:tc>
        <w:tc>
          <w:tcPr>
            <w:tcW w:w="663" w:type="dxa"/>
            <w:tcBorders>
              <w:top w:val="single" w:sz="8" w:space="0" w:color="002060"/>
              <w:left w:val="nil"/>
              <w:bottom w:val="single" w:sz="8" w:space="0" w:color="002060"/>
              <w:right w:val="nil"/>
            </w:tcBorders>
            <w:shd w:val="clear" w:color="000000" w:fill="002060"/>
            <w:noWrap/>
            <w:vAlign w:val="center"/>
            <w:hideMark/>
          </w:tcPr>
          <w:p w14:paraId="0B623AC3"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Max</w:t>
            </w:r>
          </w:p>
        </w:tc>
        <w:tc>
          <w:tcPr>
            <w:tcW w:w="776" w:type="dxa"/>
            <w:tcBorders>
              <w:top w:val="single" w:sz="8" w:space="0" w:color="002060"/>
              <w:left w:val="nil"/>
              <w:bottom w:val="single" w:sz="8" w:space="0" w:color="002060"/>
              <w:right w:val="nil"/>
            </w:tcBorders>
            <w:shd w:val="clear" w:color="000000" w:fill="002060"/>
            <w:noWrap/>
            <w:vAlign w:val="center"/>
            <w:hideMark/>
          </w:tcPr>
          <w:p w14:paraId="5274F0C1"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 xml:space="preserve">Median </w:t>
            </w:r>
          </w:p>
        </w:tc>
        <w:tc>
          <w:tcPr>
            <w:tcW w:w="663" w:type="dxa"/>
            <w:tcBorders>
              <w:top w:val="single" w:sz="8" w:space="0" w:color="002060"/>
              <w:left w:val="nil"/>
              <w:bottom w:val="single" w:sz="8" w:space="0" w:color="002060"/>
              <w:right w:val="single" w:sz="8" w:space="0" w:color="002060"/>
            </w:tcBorders>
            <w:shd w:val="clear" w:color="000000" w:fill="002060"/>
            <w:noWrap/>
            <w:vAlign w:val="center"/>
            <w:hideMark/>
          </w:tcPr>
          <w:p w14:paraId="6B44F281"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25%</w:t>
            </w:r>
          </w:p>
        </w:tc>
        <w:tc>
          <w:tcPr>
            <w:tcW w:w="663" w:type="dxa"/>
            <w:tcBorders>
              <w:top w:val="single" w:sz="8" w:space="0" w:color="002060"/>
              <w:left w:val="nil"/>
              <w:bottom w:val="single" w:sz="8" w:space="0" w:color="002060"/>
              <w:right w:val="single" w:sz="8" w:space="0" w:color="002060"/>
            </w:tcBorders>
            <w:shd w:val="clear" w:color="000000" w:fill="002060"/>
            <w:noWrap/>
            <w:vAlign w:val="center"/>
            <w:hideMark/>
          </w:tcPr>
          <w:p w14:paraId="4F182943"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75%</w:t>
            </w:r>
          </w:p>
        </w:tc>
        <w:tc>
          <w:tcPr>
            <w:tcW w:w="880" w:type="dxa"/>
            <w:tcBorders>
              <w:top w:val="single" w:sz="8" w:space="0" w:color="002060"/>
              <w:left w:val="nil"/>
              <w:bottom w:val="nil"/>
              <w:right w:val="single" w:sz="8" w:space="0" w:color="002060"/>
            </w:tcBorders>
            <w:shd w:val="clear" w:color="000000" w:fill="002060"/>
            <w:noWrap/>
            <w:vAlign w:val="center"/>
            <w:hideMark/>
          </w:tcPr>
          <w:p w14:paraId="6CF3C67B"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Season</w:t>
            </w:r>
          </w:p>
        </w:tc>
        <w:tc>
          <w:tcPr>
            <w:tcW w:w="551" w:type="dxa"/>
            <w:tcBorders>
              <w:top w:val="single" w:sz="8" w:space="0" w:color="002060"/>
              <w:left w:val="nil"/>
              <w:bottom w:val="single" w:sz="8" w:space="0" w:color="002060"/>
              <w:right w:val="nil"/>
            </w:tcBorders>
            <w:shd w:val="clear" w:color="000000" w:fill="002060"/>
            <w:noWrap/>
            <w:vAlign w:val="center"/>
            <w:hideMark/>
          </w:tcPr>
          <w:p w14:paraId="5F124009"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n</w:t>
            </w:r>
          </w:p>
        </w:tc>
        <w:tc>
          <w:tcPr>
            <w:tcW w:w="663" w:type="dxa"/>
            <w:tcBorders>
              <w:top w:val="single" w:sz="8" w:space="0" w:color="002060"/>
              <w:left w:val="nil"/>
              <w:bottom w:val="single" w:sz="8" w:space="0" w:color="002060"/>
              <w:right w:val="nil"/>
            </w:tcBorders>
            <w:shd w:val="clear" w:color="000000" w:fill="002060"/>
            <w:noWrap/>
            <w:vAlign w:val="center"/>
            <w:hideMark/>
          </w:tcPr>
          <w:p w14:paraId="5A2F9413"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Mean</w:t>
            </w:r>
          </w:p>
        </w:tc>
        <w:tc>
          <w:tcPr>
            <w:tcW w:w="894" w:type="dxa"/>
            <w:tcBorders>
              <w:top w:val="single" w:sz="8" w:space="0" w:color="002060"/>
              <w:left w:val="nil"/>
              <w:bottom w:val="single" w:sz="8" w:space="0" w:color="002060"/>
              <w:right w:val="nil"/>
            </w:tcBorders>
            <w:shd w:val="clear" w:color="000000" w:fill="002060"/>
            <w:noWrap/>
            <w:vAlign w:val="center"/>
            <w:hideMark/>
          </w:tcPr>
          <w:p w14:paraId="6E5091F0"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Std Dev</w:t>
            </w:r>
          </w:p>
        </w:tc>
        <w:tc>
          <w:tcPr>
            <w:tcW w:w="663" w:type="dxa"/>
            <w:tcBorders>
              <w:top w:val="single" w:sz="8" w:space="0" w:color="002060"/>
              <w:left w:val="nil"/>
              <w:bottom w:val="single" w:sz="8" w:space="0" w:color="002060"/>
              <w:right w:val="nil"/>
            </w:tcBorders>
            <w:shd w:val="clear" w:color="000000" w:fill="002060"/>
            <w:noWrap/>
            <w:vAlign w:val="center"/>
            <w:hideMark/>
          </w:tcPr>
          <w:p w14:paraId="23FB99C1"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Min</w:t>
            </w:r>
          </w:p>
        </w:tc>
        <w:tc>
          <w:tcPr>
            <w:tcW w:w="663" w:type="dxa"/>
            <w:tcBorders>
              <w:top w:val="single" w:sz="8" w:space="0" w:color="002060"/>
              <w:left w:val="nil"/>
              <w:bottom w:val="single" w:sz="8" w:space="0" w:color="002060"/>
              <w:right w:val="nil"/>
            </w:tcBorders>
            <w:shd w:val="clear" w:color="000000" w:fill="002060"/>
            <w:noWrap/>
            <w:vAlign w:val="center"/>
            <w:hideMark/>
          </w:tcPr>
          <w:p w14:paraId="06463471"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Max</w:t>
            </w:r>
          </w:p>
        </w:tc>
        <w:tc>
          <w:tcPr>
            <w:tcW w:w="796" w:type="dxa"/>
            <w:tcBorders>
              <w:top w:val="single" w:sz="8" w:space="0" w:color="002060"/>
              <w:left w:val="nil"/>
              <w:bottom w:val="single" w:sz="8" w:space="0" w:color="002060"/>
              <w:right w:val="nil"/>
            </w:tcBorders>
            <w:shd w:val="clear" w:color="000000" w:fill="002060"/>
            <w:noWrap/>
            <w:vAlign w:val="center"/>
            <w:hideMark/>
          </w:tcPr>
          <w:p w14:paraId="4E5696C9"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 xml:space="preserve"> Median </w:t>
            </w:r>
          </w:p>
        </w:tc>
        <w:tc>
          <w:tcPr>
            <w:tcW w:w="663" w:type="dxa"/>
            <w:tcBorders>
              <w:top w:val="single" w:sz="8" w:space="0" w:color="002060"/>
              <w:left w:val="nil"/>
              <w:bottom w:val="single" w:sz="8" w:space="0" w:color="002060"/>
              <w:right w:val="single" w:sz="8" w:space="0" w:color="002060"/>
            </w:tcBorders>
            <w:shd w:val="clear" w:color="000000" w:fill="002060"/>
            <w:noWrap/>
            <w:vAlign w:val="center"/>
            <w:hideMark/>
          </w:tcPr>
          <w:p w14:paraId="6AE37EA6"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25%</w:t>
            </w:r>
          </w:p>
        </w:tc>
        <w:tc>
          <w:tcPr>
            <w:tcW w:w="663" w:type="dxa"/>
            <w:tcBorders>
              <w:top w:val="single" w:sz="8" w:space="0" w:color="002060"/>
              <w:left w:val="nil"/>
              <w:bottom w:val="single" w:sz="8" w:space="0" w:color="002060"/>
              <w:right w:val="single" w:sz="8" w:space="0" w:color="002060"/>
            </w:tcBorders>
            <w:shd w:val="clear" w:color="000000" w:fill="002060"/>
            <w:noWrap/>
            <w:vAlign w:val="center"/>
            <w:hideMark/>
          </w:tcPr>
          <w:p w14:paraId="347E9A25"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75%</w:t>
            </w:r>
          </w:p>
        </w:tc>
      </w:tr>
      <w:tr w:rsidR="00AE564D" w:rsidRPr="005E2286" w14:paraId="4B78583F" w14:textId="77777777" w:rsidTr="005E2286">
        <w:trPr>
          <w:trHeight w:val="255"/>
          <w:jc w:val="center"/>
        </w:trPr>
        <w:tc>
          <w:tcPr>
            <w:tcW w:w="768" w:type="dxa"/>
            <w:vMerge w:val="restart"/>
            <w:tcBorders>
              <w:top w:val="single" w:sz="8" w:space="0" w:color="002060"/>
              <w:left w:val="single" w:sz="8" w:space="0" w:color="002060"/>
              <w:bottom w:val="nil"/>
              <w:right w:val="single" w:sz="8" w:space="0" w:color="002060"/>
            </w:tcBorders>
            <w:shd w:val="clear" w:color="000000" w:fill="002060"/>
            <w:noWrap/>
            <w:vAlign w:val="center"/>
            <w:hideMark/>
          </w:tcPr>
          <w:p w14:paraId="3FD4C2BA"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Spring</w:t>
            </w: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603F2E9D"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Arcadia Downs / Darcy's Track</w:t>
            </w:r>
          </w:p>
        </w:tc>
        <w:tc>
          <w:tcPr>
            <w:tcW w:w="1008" w:type="dxa"/>
            <w:tcBorders>
              <w:top w:val="nil"/>
              <w:left w:val="nil"/>
              <w:bottom w:val="nil"/>
              <w:right w:val="nil"/>
            </w:tcBorders>
            <w:shd w:val="clear" w:color="auto" w:fill="auto"/>
            <w:noWrap/>
            <w:vAlign w:val="center"/>
            <w:hideMark/>
          </w:tcPr>
          <w:p w14:paraId="72EC1D17"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Very Low</w:t>
            </w:r>
          </w:p>
        </w:tc>
        <w:tc>
          <w:tcPr>
            <w:tcW w:w="551" w:type="dxa"/>
            <w:tcBorders>
              <w:top w:val="nil"/>
              <w:left w:val="nil"/>
              <w:bottom w:val="nil"/>
              <w:right w:val="nil"/>
            </w:tcBorders>
            <w:shd w:val="clear" w:color="auto" w:fill="auto"/>
            <w:noWrap/>
            <w:vAlign w:val="center"/>
            <w:hideMark/>
          </w:tcPr>
          <w:p w14:paraId="6724F65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37</w:t>
            </w:r>
          </w:p>
        </w:tc>
        <w:tc>
          <w:tcPr>
            <w:tcW w:w="663" w:type="dxa"/>
            <w:tcBorders>
              <w:top w:val="nil"/>
              <w:left w:val="nil"/>
              <w:bottom w:val="nil"/>
              <w:right w:val="nil"/>
            </w:tcBorders>
            <w:shd w:val="clear" w:color="auto" w:fill="auto"/>
            <w:noWrap/>
            <w:vAlign w:val="center"/>
            <w:hideMark/>
          </w:tcPr>
          <w:p w14:paraId="100A37C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729</w:t>
            </w:r>
          </w:p>
        </w:tc>
        <w:tc>
          <w:tcPr>
            <w:tcW w:w="842" w:type="dxa"/>
            <w:tcBorders>
              <w:top w:val="nil"/>
              <w:left w:val="nil"/>
              <w:bottom w:val="nil"/>
              <w:right w:val="nil"/>
            </w:tcBorders>
            <w:shd w:val="clear" w:color="auto" w:fill="auto"/>
            <w:noWrap/>
            <w:vAlign w:val="center"/>
            <w:hideMark/>
          </w:tcPr>
          <w:p w14:paraId="73098EA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132</w:t>
            </w:r>
          </w:p>
        </w:tc>
        <w:tc>
          <w:tcPr>
            <w:tcW w:w="663" w:type="dxa"/>
            <w:tcBorders>
              <w:top w:val="nil"/>
              <w:left w:val="nil"/>
              <w:bottom w:val="nil"/>
              <w:right w:val="nil"/>
            </w:tcBorders>
            <w:shd w:val="clear" w:color="auto" w:fill="auto"/>
            <w:noWrap/>
            <w:vAlign w:val="center"/>
            <w:hideMark/>
          </w:tcPr>
          <w:p w14:paraId="50B3591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514</w:t>
            </w:r>
          </w:p>
        </w:tc>
        <w:tc>
          <w:tcPr>
            <w:tcW w:w="663" w:type="dxa"/>
            <w:tcBorders>
              <w:top w:val="nil"/>
              <w:left w:val="nil"/>
              <w:bottom w:val="nil"/>
              <w:right w:val="nil"/>
            </w:tcBorders>
            <w:shd w:val="clear" w:color="auto" w:fill="auto"/>
            <w:noWrap/>
            <w:vAlign w:val="center"/>
            <w:hideMark/>
          </w:tcPr>
          <w:p w14:paraId="0B6DA3E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902</w:t>
            </w:r>
          </w:p>
        </w:tc>
        <w:tc>
          <w:tcPr>
            <w:tcW w:w="776" w:type="dxa"/>
            <w:tcBorders>
              <w:top w:val="nil"/>
              <w:left w:val="nil"/>
              <w:bottom w:val="nil"/>
              <w:right w:val="nil"/>
            </w:tcBorders>
            <w:shd w:val="clear" w:color="auto" w:fill="auto"/>
            <w:noWrap/>
            <w:vAlign w:val="center"/>
            <w:hideMark/>
          </w:tcPr>
          <w:p w14:paraId="0835482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758</w:t>
            </w:r>
          </w:p>
        </w:tc>
        <w:tc>
          <w:tcPr>
            <w:tcW w:w="663" w:type="dxa"/>
            <w:tcBorders>
              <w:top w:val="nil"/>
              <w:left w:val="nil"/>
              <w:bottom w:val="nil"/>
              <w:right w:val="nil"/>
            </w:tcBorders>
            <w:shd w:val="clear" w:color="auto" w:fill="auto"/>
            <w:noWrap/>
            <w:vAlign w:val="center"/>
            <w:hideMark/>
          </w:tcPr>
          <w:p w14:paraId="7F1EEB3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558</w:t>
            </w:r>
          </w:p>
        </w:tc>
        <w:tc>
          <w:tcPr>
            <w:tcW w:w="663" w:type="dxa"/>
            <w:tcBorders>
              <w:top w:val="nil"/>
              <w:left w:val="nil"/>
              <w:bottom w:val="nil"/>
              <w:right w:val="single" w:sz="8" w:space="0" w:color="002060"/>
            </w:tcBorders>
            <w:shd w:val="clear" w:color="auto" w:fill="auto"/>
            <w:noWrap/>
            <w:vAlign w:val="center"/>
            <w:hideMark/>
          </w:tcPr>
          <w:p w14:paraId="6031B8E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828</w:t>
            </w:r>
          </w:p>
        </w:tc>
        <w:tc>
          <w:tcPr>
            <w:tcW w:w="880" w:type="dxa"/>
            <w:vMerge w:val="restart"/>
            <w:tcBorders>
              <w:top w:val="single" w:sz="8" w:space="0" w:color="002060"/>
              <w:left w:val="single" w:sz="8" w:space="0" w:color="002060"/>
              <w:bottom w:val="nil"/>
              <w:right w:val="single" w:sz="8" w:space="0" w:color="002060"/>
            </w:tcBorders>
            <w:shd w:val="clear" w:color="000000" w:fill="002060"/>
            <w:noWrap/>
            <w:vAlign w:val="center"/>
            <w:hideMark/>
          </w:tcPr>
          <w:p w14:paraId="6E8E4FCD"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Summer</w:t>
            </w:r>
          </w:p>
        </w:tc>
        <w:tc>
          <w:tcPr>
            <w:tcW w:w="551" w:type="dxa"/>
            <w:tcBorders>
              <w:top w:val="nil"/>
              <w:left w:val="nil"/>
              <w:bottom w:val="nil"/>
              <w:right w:val="nil"/>
            </w:tcBorders>
            <w:shd w:val="clear" w:color="auto" w:fill="auto"/>
            <w:noWrap/>
            <w:vAlign w:val="center"/>
            <w:hideMark/>
          </w:tcPr>
          <w:p w14:paraId="649850E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38</w:t>
            </w:r>
          </w:p>
        </w:tc>
        <w:tc>
          <w:tcPr>
            <w:tcW w:w="663" w:type="dxa"/>
            <w:tcBorders>
              <w:top w:val="nil"/>
              <w:left w:val="nil"/>
              <w:bottom w:val="nil"/>
              <w:right w:val="nil"/>
            </w:tcBorders>
            <w:shd w:val="clear" w:color="auto" w:fill="auto"/>
            <w:noWrap/>
            <w:vAlign w:val="center"/>
            <w:hideMark/>
          </w:tcPr>
          <w:p w14:paraId="42656BD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774</w:t>
            </w:r>
          </w:p>
        </w:tc>
        <w:tc>
          <w:tcPr>
            <w:tcW w:w="894" w:type="dxa"/>
            <w:tcBorders>
              <w:top w:val="nil"/>
              <w:left w:val="nil"/>
              <w:bottom w:val="nil"/>
              <w:right w:val="nil"/>
            </w:tcBorders>
            <w:shd w:val="clear" w:color="auto" w:fill="auto"/>
            <w:noWrap/>
            <w:vAlign w:val="center"/>
            <w:hideMark/>
          </w:tcPr>
          <w:p w14:paraId="47E6E57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112</w:t>
            </w:r>
          </w:p>
        </w:tc>
        <w:tc>
          <w:tcPr>
            <w:tcW w:w="663" w:type="dxa"/>
            <w:tcBorders>
              <w:top w:val="nil"/>
              <w:left w:val="nil"/>
              <w:bottom w:val="nil"/>
              <w:right w:val="nil"/>
            </w:tcBorders>
            <w:shd w:val="clear" w:color="auto" w:fill="auto"/>
            <w:noWrap/>
            <w:vAlign w:val="center"/>
            <w:hideMark/>
          </w:tcPr>
          <w:p w14:paraId="7FFE795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568</w:t>
            </w:r>
          </w:p>
        </w:tc>
        <w:tc>
          <w:tcPr>
            <w:tcW w:w="663" w:type="dxa"/>
            <w:tcBorders>
              <w:top w:val="nil"/>
              <w:left w:val="nil"/>
              <w:bottom w:val="nil"/>
              <w:right w:val="nil"/>
            </w:tcBorders>
            <w:shd w:val="clear" w:color="auto" w:fill="auto"/>
            <w:noWrap/>
            <w:vAlign w:val="center"/>
            <w:hideMark/>
          </w:tcPr>
          <w:p w14:paraId="60831B9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904</w:t>
            </w:r>
          </w:p>
        </w:tc>
        <w:tc>
          <w:tcPr>
            <w:tcW w:w="796" w:type="dxa"/>
            <w:tcBorders>
              <w:top w:val="nil"/>
              <w:left w:val="nil"/>
              <w:bottom w:val="nil"/>
              <w:right w:val="nil"/>
            </w:tcBorders>
            <w:shd w:val="clear" w:color="auto" w:fill="auto"/>
            <w:noWrap/>
            <w:vAlign w:val="center"/>
            <w:hideMark/>
          </w:tcPr>
          <w:p w14:paraId="20C7114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808</w:t>
            </w:r>
          </w:p>
        </w:tc>
        <w:tc>
          <w:tcPr>
            <w:tcW w:w="663" w:type="dxa"/>
            <w:tcBorders>
              <w:top w:val="nil"/>
              <w:left w:val="nil"/>
              <w:bottom w:val="nil"/>
              <w:right w:val="nil"/>
            </w:tcBorders>
            <w:shd w:val="clear" w:color="auto" w:fill="auto"/>
            <w:noWrap/>
            <w:vAlign w:val="center"/>
            <w:hideMark/>
          </w:tcPr>
          <w:p w14:paraId="0FEFAAD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689</w:t>
            </w:r>
          </w:p>
        </w:tc>
        <w:tc>
          <w:tcPr>
            <w:tcW w:w="663" w:type="dxa"/>
            <w:tcBorders>
              <w:top w:val="nil"/>
              <w:left w:val="nil"/>
              <w:bottom w:val="nil"/>
              <w:right w:val="single" w:sz="8" w:space="0" w:color="002060"/>
            </w:tcBorders>
            <w:shd w:val="clear" w:color="auto" w:fill="auto"/>
            <w:noWrap/>
            <w:vAlign w:val="center"/>
            <w:hideMark/>
          </w:tcPr>
          <w:p w14:paraId="7878C05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881</w:t>
            </w:r>
          </w:p>
        </w:tc>
      </w:tr>
      <w:tr w:rsidR="00AE564D" w:rsidRPr="005E2286" w14:paraId="2D9CEE36" w14:textId="77777777" w:rsidTr="005E2286">
        <w:trPr>
          <w:trHeight w:val="255"/>
          <w:jc w:val="center"/>
        </w:trPr>
        <w:tc>
          <w:tcPr>
            <w:tcW w:w="768" w:type="dxa"/>
            <w:vMerge/>
            <w:tcBorders>
              <w:top w:val="single" w:sz="8" w:space="0" w:color="002060"/>
              <w:left w:val="single" w:sz="8" w:space="0" w:color="002060"/>
              <w:bottom w:val="nil"/>
              <w:right w:val="single" w:sz="8" w:space="0" w:color="002060"/>
            </w:tcBorders>
            <w:vAlign w:val="center"/>
            <w:hideMark/>
          </w:tcPr>
          <w:p w14:paraId="62DE4605"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0431258E"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6C7A761A"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Mod Low</w:t>
            </w:r>
          </w:p>
        </w:tc>
        <w:tc>
          <w:tcPr>
            <w:tcW w:w="551" w:type="dxa"/>
            <w:tcBorders>
              <w:top w:val="nil"/>
              <w:left w:val="nil"/>
              <w:bottom w:val="nil"/>
              <w:right w:val="nil"/>
            </w:tcBorders>
            <w:shd w:val="clear" w:color="auto" w:fill="auto"/>
            <w:noWrap/>
            <w:vAlign w:val="center"/>
            <w:hideMark/>
          </w:tcPr>
          <w:p w14:paraId="3111A22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79</w:t>
            </w:r>
          </w:p>
        </w:tc>
        <w:tc>
          <w:tcPr>
            <w:tcW w:w="663" w:type="dxa"/>
            <w:tcBorders>
              <w:top w:val="nil"/>
              <w:left w:val="nil"/>
              <w:bottom w:val="nil"/>
              <w:right w:val="nil"/>
            </w:tcBorders>
            <w:shd w:val="clear" w:color="auto" w:fill="auto"/>
            <w:noWrap/>
            <w:vAlign w:val="center"/>
            <w:hideMark/>
          </w:tcPr>
          <w:p w14:paraId="0C86A2C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1234</w:t>
            </w:r>
          </w:p>
        </w:tc>
        <w:tc>
          <w:tcPr>
            <w:tcW w:w="842" w:type="dxa"/>
            <w:tcBorders>
              <w:top w:val="nil"/>
              <w:left w:val="nil"/>
              <w:bottom w:val="nil"/>
              <w:right w:val="nil"/>
            </w:tcBorders>
            <w:shd w:val="clear" w:color="auto" w:fill="auto"/>
            <w:noWrap/>
            <w:vAlign w:val="center"/>
            <w:hideMark/>
          </w:tcPr>
          <w:p w14:paraId="241FD31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232</w:t>
            </w:r>
          </w:p>
        </w:tc>
        <w:tc>
          <w:tcPr>
            <w:tcW w:w="663" w:type="dxa"/>
            <w:tcBorders>
              <w:top w:val="nil"/>
              <w:left w:val="nil"/>
              <w:bottom w:val="nil"/>
              <w:right w:val="nil"/>
            </w:tcBorders>
            <w:shd w:val="clear" w:color="auto" w:fill="auto"/>
            <w:noWrap/>
            <w:vAlign w:val="center"/>
            <w:hideMark/>
          </w:tcPr>
          <w:p w14:paraId="73F1B33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918</w:t>
            </w:r>
          </w:p>
        </w:tc>
        <w:tc>
          <w:tcPr>
            <w:tcW w:w="663" w:type="dxa"/>
            <w:tcBorders>
              <w:top w:val="nil"/>
              <w:left w:val="nil"/>
              <w:bottom w:val="nil"/>
              <w:right w:val="nil"/>
            </w:tcBorders>
            <w:shd w:val="clear" w:color="auto" w:fill="auto"/>
            <w:noWrap/>
            <w:vAlign w:val="center"/>
            <w:hideMark/>
          </w:tcPr>
          <w:p w14:paraId="1A74C54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1764</w:t>
            </w:r>
          </w:p>
        </w:tc>
        <w:tc>
          <w:tcPr>
            <w:tcW w:w="776" w:type="dxa"/>
            <w:tcBorders>
              <w:top w:val="nil"/>
              <w:left w:val="nil"/>
              <w:bottom w:val="nil"/>
              <w:right w:val="nil"/>
            </w:tcBorders>
            <w:shd w:val="clear" w:color="auto" w:fill="auto"/>
            <w:noWrap/>
            <w:vAlign w:val="center"/>
            <w:hideMark/>
          </w:tcPr>
          <w:p w14:paraId="0CC12A8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1185</w:t>
            </w:r>
          </w:p>
        </w:tc>
        <w:tc>
          <w:tcPr>
            <w:tcW w:w="663" w:type="dxa"/>
            <w:tcBorders>
              <w:top w:val="nil"/>
              <w:left w:val="nil"/>
              <w:bottom w:val="nil"/>
              <w:right w:val="nil"/>
            </w:tcBorders>
            <w:shd w:val="clear" w:color="auto" w:fill="auto"/>
            <w:noWrap/>
            <w:vAlign w:val="center"/>
            <w:hideMark/>
          </w:tcPr>
          <w:p w14:paraId="69887E6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1074</w:t>
            </w:r>
          </w:p>
        </w:tc>
        <w:tc>
          <w:tcPr>
            <w:tcW w:w="663" w:type="dxa"/>
            <w:tcBorders>
              <w:top w:val="nil"/>
              <w:left w:val="nil"/>
              <w:bottom w:val="nil"/>
              <w:right w:val="single" w:sz="8" w:space="0" w:color="002060"/>
            </w:tcBorders>
            <w:shd w:val="clear" w:color="auto" w:fill="auto"/>
            <w:noWrap/>
            <w:vAlign w:val="center"/>
            <w:hideMark/>
          </w:tcPr>
          <w:p w14:paraId="3466836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1374</w:t>
            </w:r>
          </w:p>
        </w:tc>
        <w:tc>
          <w:tcPr>
            <w:tcW w:w="880" w:type="dxa"/>
            <w:vMerge/>
            <w:tcBorders>
              <w:top w:val="single" w:sz="8" w:space="0" w:color="002060"/>
              <w:left w:val="single" w:sz="8" w:space="0" w:color="002060"/>
              <w:bottom w:val="nil"/>
              <w:right w:val="single" w:sz="8" w:space="0" w:color="002060"/>
            </w:tcBorders>
            <w:vAlign w:val="center"/>
            <w:hideMark/>
          </w:tcPr>
          <w:p w14:paraId="5BCBA031"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2DCD643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152</w:t>
            </w:r>
          </w:p>
        </w:tc>
        <w:tc>
          <w:tcPr>
            <w:tcW w:w="663" w:type="dxa"/>
            <w:tcBorders>
              <w:top w:val="nil"/>
              <w:left w:val="nil"/>
              <w:bottom w:val="nil"/>
              <w:right w:val="nil"/>
            </w:tcBorders>
            <w:shd w:val="clear" w:color="auto" w:fill="auto"/>
            <w:noWrap/>
            <w:vAlign w:val="center"/>
            <w:hideMark/>
          </w:tcPr>
          <w:p w14:paraId="3B8AB22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1256</w:t>
            </w:r>
          </w:p>
        </w:tc>
        <w:tc>
          <w:tcPr>
            <w:tcW w:w="894" w:type="dxa"/>
            <w:tcBorders>
              <w:top w:val="nil"/>
              <w:left w:val="nil"/>
              <w:bottom w:val="nil"/>
              <w:right w:val="nil"/>
            </w:tcBorders>
            <w:shd w:val="clear" w:color="auto" w:fill="auto"/>
            <w:noWrap/>
            <w:vAlign w:val="center"/>
            <w:hideMark/>
          </w:tcPr>
          <w:p w14:paraId="52E24F8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221</w:t>
            </w:r>
          </w:p>
        </w:tc>
        <w:tc>
          <w:tcPr>
            <w:tcW w:w="663" w:type="dxa"/>
            <w:tcBorders>
              <w:top w:val="nil"/>
              <w:left w:val="nil"/>
              <w:bottom w:val="nil"/>
              <w:right w:val="nil"/>
            </w:tcBorders>
            <w:shd w:val="clear" w:color="auto" w:fill="auto"/>
            <w:noWrap/>
            <w:vAlign w:val="center"/>
            <w:hideMark/>
          </w:tcPr>
          <w:p w14:paraId="4F11A61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912</w:t>
            </w:r>
          </w:p>
        </w:tc>
        <w:tc>
          <w:tcPr>
            <w:tcW w:w="663" w:type="dxa"/>
            <w:tcBorders>
              <w:top w:val="nil"/>
              <w:left w:val="nil"/>
              <w:bottom w:val="nil"/>
              <w:right w:val="nil"/>
            </w:tcBorders>
            <w:shd w:val="clear" w:color="auto" w:fill="auto"/>
            <w:noWrap/>
            <w:vAlign w:val="center"/>
            <w:hideMark/>
          </w:tcPr>
          <w:p w14:paraId="731D951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1770</w:t>
            </w:r>
          </w:p>
        </w:tc>
        <w:tc>
          <w:tcPr>
            <w:tcW w:w="796" w:type="dxa"/>
            <w:tcBorders>
              <w:top w:val="nil"/>
              <w:left w:val="nil"/>
              <w:bottom w:val="nil"/>
              <w:right w:val="nil"/>
            </w:tcBorders>
            <w:shd w:val="clear" w:color="auto" w:fill="auto"/>
            <w:noWrap/>
            <w:vAlign w:val="center"/>
            <w:hideMark/>
          </w:tcPr>
          <w:p w14:paraId="50EDCAA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1260</w:t>
            </w:r>
          </w:p>
        </w:tc>
        <w:tc>
          <w:tcPr>
            <w:tcW w:w="663" w:type="dxa"/>
            <w:tcBorders>
              <w:top w:val="nil"/>
              <w:left w:val="nil"/>
              <w:bottom w:val="nil"/>
              <w:right w:val="nil"/>
            </w:tcBorders>
            <w:shd w:val="clear" w:color="auto" w:fill="auto"/>
            <w:noWrap/>
            <w:vAlign w:val="center"/>
            <w:hideMark/>
          </w:tcPr>
          <w:p w14:paraId="4D8367B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1053</w:t>
            </w:r>
          </w:p>
        </w:tc>
        <w:tc>
          <w:tcPr>
            <w:tcW w:w="663" w:type="dxa"/>
            <w:tcBorders>
              <w:top w:val="nil"/>
              <w:left w:val="nil"/>
              <w:bottom w:val="nil"/>
              <w:right w:val="single" w:sz="8" w:space="0" w:color="002060"/>
            </w:tcBorders>
            <w:shd w:val="clear" w:color="auto" w:fill="auto"/>
            <w:noWrap/>
            <w:vAlign w:val="center"/>
            <w:hideMark/>
          </w:tcPr>
          <w:p w14:paraId="452EC08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1408</w:t>
            </w:r>
          </w:p>
        </w:tc>
      </w:tr>
      <w:tr w:rsidR="00AE564D" w:rsidRPr="005E2286" w14:paraId="28C4CD7C" w14:textId="77777777" w:rsidTr="005E2286">
        <w:trPr>
          <w:trHeight w:val="255"/>
          <w:jc w:val="center"/>
        </w:trPr>
        <w:tc>
          <w:tcPr>
            <w:tcW w:w="768" w:type="dxa"/>
            <w:vMerge/>
            <w:tcBorders>
              <w:top w:val="single" w:sz="8" w:space="0" w:color="002060"/>
              <w:left w:val="single" w:sz="8" w:space="0" w:color="002060"/>
              <w:bottom w:val="nil"/>
              <w:right w:val="single" w:sz="8" w:space="0" w:color="002060"/>
            </w:tcBorders>
            <w:vAlign w:val="center"/>
            <w:hideMark/>
          </w:tcPr>
          <w:p w14:paraId="786B480F"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46B85B5D"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2995D8A0"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Low Fresh</w:t>
            </w:r>
          </w:p>
        </w:tc>
        <w:tc>
          <w:tcPr>
            <w:tcW w:w="551" w:type="dxa"/>
            <w:tcBorders>
              <w:top w:val="nil"/>
              <w:left w:val="nil"/>
              <w:bottom w:val="nil"/>
              <w:right w:val="nil"/>
            </w:tcBorders>
            <w:shd w:val="clear" w:color="auto" w:fill="auto"/>
            <w:noWrap/>
            <w:vAlign w:val="center"/>
          </w:tcPr>
          <w:p w14:paraId="74A443C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29</w:t>
            </w:r>
          </w:p>
        </w:tc>
        <w:tc>
          <w:tcPr>
            <w:tcW w:w="663" w:type="dxa"/>
            <w:tcBorders>
              <w:top w:val="nil"/>
              <w:left w:val="nil"/>
              <w:bottom w:val="nil"/>
              <w:right w:val="nil"/>
            </w:tcBorders>
            <w:shd w:val="clear" w:color="auto" w:fill="auto"/>
            <w:noWrap/>
            <w:vAlign w:val="center"/>
          </w:tcPr>
          <w:p w14:paraId="5CC9C27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2527</w:t>
            </w:r>
          </w:p>
        </w:tc>
        <w:tc>
          <w:tcPr>
            <w:tcW w:w="842" w:type="dxa"/>
            <w:tcBorders>
              <w:top w:val="nil"/>
              <w:left w:val="nil"/>
              <w:bottom w:val="nil"/>
              <w:right w:val="nil"/>
            </w:tcBorders>
            <w:shd w:val="clear" w:color="auto" w:fill="auto"/>
            <w:noWrap/>
            <w:vAlign w:val="center"/>
          </w:tcPr>
          <w:p w14:paraId="433776C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434</w:t>
            </w:r>
          </w:p>
        </w:tc>
        <w:tc>
          <w:tcPr>
            <w:tcW w:w="663" w:type="dxa"/>
            <w:tcBorders>
              <w:top w:val="nil"/>
              <w:left w:val="nil"/>
              <w:bottom w:val="nil"/>
              <w:right w:val="nil"/>
            </w:tcBorders>
            <w:shd w:val="clear" w:color="auto" w:fill="auto"/>
            <w:noWrap/>
            <w:vAlign w:val="center"/>
          </w:tcPr>
          <w:p w14:paraId="41D5693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1773</w:t>
            </w:r>
          </w:p>
        </w:tc>
        <w:tc>
          <w:tcPr>
            <w:tcW w:w="663" w:type="dxa"/>
            <w:tcBorders>
              <w:top w:val="nil"/>
              <w:left w:val="nil"/>
              <w:bottom w:val="nil"/>
              <w:right w:val="nil"/>
            </w:tcBorders>
            <w:shd w:val="clear" w:color="auto" w:fill="auto"/>
            <w:noWrap/>
            <w:vAlign w:val="center"/>
          </w:tcPr>
          <w:p w14:paraId="33316B0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3179</w:t>
            </w:r>
          </w:p>
        </w:tc>
        <w:tc>
          <w:tcPr>
            <w:tcW w:w="776" w:type="dxa"/>
            <w:tcBorders>
              <w:top w:val="nil"/>
              <w:left w:val="nil"/>
              <w:bottom w:val="nil"/>
              <w:right w:val="nil"/>
            </w:tcBorders>
            <w:shd w:val="clear" w:color="auto" w:fill="auto"/>
            <w:noWrap/>
            <w:vAlign w:val="center"/>
          </w:tcPr>
          <w:p w14:paraId="09E3801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2535</w:t>
            </w:r>
          </w:p>
        </w:tc>
        <w:tc>
          <w:tcPr>
            <w:tcW w:w="663" w:type="dxa"/>
            <w:tcBorders>
              <w:top w:val="nil"/>
              <w:left w:val="nil"/>
              <w:bottom w:val="nil"/>
              <w:right w:val="nil"/>
            </w:tcBorders>
            <w:shd w:val="clear" w:color="auto" w:fill="auto"/>
            <w:noWrap/>
            <w:vAlign w:val="center"/>
          </w:tcPr>
          <w:p w14:paraId="77B529E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2085</w:t>
            </w:r>
          </w:p>
        </w:tc>
        <w:tc>
          <w:tcPr>
            <w:tcW w:w="663" w:type="dxa"/>
            <w:tcBorders>
              <w:top w:val="nil"/>
              <w:left w:val="nil"/>
              <w:bottom w:val="nil"/>
              <w:right w:val="single" w:sz="8" w:space="0" w:color="002060"/>
            </w:tcBorders>
            <w:shd w:val="clear" w:color="auto" w:fill="auto"/>
            <w:noWrap/>
            <w:vAlign w:val="center"/>
          </w:tcPr>
          <w:p w14:paraId="7C1543F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2922</w:t>
            </w:r>
          </w:p>
        </w:tc>
        <w:tc>
          <w:tcPr>
            <w:tcW w:w="880" w:type="dxa"/>
            <w:vMerge/>
            <w:tcBorders>
              <w:top w:val="single" w:sz="8" w:space="0" w:color="002060"/>
              <w:left w:val="single" w:sz="8" w:space="0" w:color="002060"/>
              <w:bottom w:val="nil"/>
              <w:right w:val="single" w:sz="8" w:space="0" w:color="002060"/>
            </w:tcBorders>
            <w:vAlign w:val="center"/>
            <w:hideMark/>
          </w:tcPr>
          <w:p w14:paraId="56DCDAF4"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71C8B17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93</w:t>
            </w:r>
          </w:p>
        </w:tc>
        <w:tc>
          <w:tcPr>
            <w:tcW w:w="663" w:type="dxa"/>
            <w:tcBorders>
              <w:top w:val="nil"/>
              <w:left w:val="nil"/>
              <w:bottom w:val="nil"/>
              <w:right w:val="nil"/>
            </w:tcBorders>
            <w:shd w:val="clear" w:color="auto" w:fill="auto"/>
            <w:noWrap/>
            <w:vAlign w:val="center"/>
            <w:hideMark/>
          </w:tcPr>
          <w:p w14:paraId="3B4CC82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2459</w:t>
            </w:r>
          </w:p>
        </w:tc>
        <w:tc>
          <w:tcPr>
            <w:tcW w:w="894" w:type="dxa"/>
            <w:tcBorders>
              <w:top w:val="nil"/>
              <w:left w:val="nil"/>
              <w:bottom w:val="nil"/>
              <w:right w:val="nil"/>
            </w:tcBorders>
            <w:shd w:val="clear" w:color="auto" w:fill="auto"/>
            <w:noWrap/>
            <w:vAlign w:val="center"/>
            <w:hideMark/>
          </w:tcPr>
          <w:p w14:paraId="0BA709F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414</w:t>
            </w:r>
          </w:p>
        </w:tc>
        <w:tc>
          <w:tcPr>
            <w:tcW w:w="663" w:type="dxa"/>
            <w:tcBorders>
              <w:top w:val="nil"/>
              <w:left w:val="nil"/>
              <w:bottom w:val="nil"/>
              <w:right w:val="nil"/>
            </w:tcBorders>
            <w:shd w:val="clear" w:color="auto" w:fill="auto"/>
            <w:noWrap/>
            <w:vAlign w:val="center"/>
            <w:hideMark/>
          </w:tcPr>
          <w:p w14:paraId="2236DA8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1787</w:t>
            </w:r>
          </w:p>
        </w:tc>
        <w:tc>
          <w:tcPr>
            <w:tcW w:w="663" w:type="dxa"/>
            <w:tcBorders>
              <w:top w:val="nil"/>
              <w:left w:val="nil"/>
              <w:bottom w:val="nil"/>
              <w:right w:val="nil"/>
            </w:tcBorders>
            <w:shd w:val="clear" w:color="auto" w:fill="auto"/>
            <w:noWrap/>
            <w:vAlign w:val="center"/>
            <w:hideMark/>
          </w:tcPr>
          <w:p w14:paraId="2D69EF3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3193</w:t>
            </w:r>
          </w:p>
        </w:tc>
        <w:tc>
          <w:tcPr>
            <w:tcW w:w="796" w:type="dxa"/>
            <w:tcBorders>
              <w:top w:val="nil"/>
              <w:left w:val="nil"/>
              <w:bottom w:val="nil"/>
              <w:right w:val="nil"/>
            </w:tcBorders>
            <w:shd w:val="clear" w:color="auto" w:fill="auto"/>
            <w:noWrap/>
            <w:vAlign w:val="center"/>
            <w:hideMark/>
          </w:tcPr>
          <w:p w14:paraId="540AF51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2437</w:t>
            </w:r>
          </w:p>
        </w:tc>
        <w:tc>
          <w:tcPr>
            <w:tcW w:w="663" w:type="dxa"/>
            <w:tcBorders>
              <w:top w:val="nil"/>
              <w:left w:val="nil"/>
              <w:bottom w:val="nil"/>
              <w:right w:val="nil"/>
            </w:tcBorders>
            <w:shd w:val="clear" w:color="auto" w:fill="auto"/>
            <w:noWrap/>
            <w:vAlign w:val="center"/>
            <w:hideMark/>
          </w:tcPr>
          <w:p w14:paraId="43691A3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2102</w:t>
            </w:r>
          </w:p>
        </w:tc>
        <w:tc>
          <w:tcPr>
            <w:tcW w:w="663" w:type="dxa"/>
            <w:tcBorders>
              <w:top w:val="nil"/>
              <w:left w:val="nil"/>
              <w:bottom w:val="nil"/>
              <w:right w:val="single" w:sz="8" w:space="0" w:color="002060"/>
            </w:tcBorders>
            <w:shd w:val="clear" w:color="auto" w:fill="auto"/>
            <w:noWrap/>
            <w:vAlign w:val="center"/>
            <w:hideMark/>
          </w:tcPr>
          <w:p w14:paraId="3220A0C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2820</w:t>
            </w:r>
          </w:p>
        </w:tc>
      </w:tr>
      <w:tr w:rsidR="00AE564D" w:rsidRPr="005E2286" w14:paraId="56CC9E07" w14:textId="77777777" w:rsidTr="005E2286">
        <w:trPr>
          <w:trHeight w:val="255"/>
          <w:jc w:val="center"/>
        </w:trPr>
        <w:tc>
          <w:tcPr>
            <w:tcW w:w="768" w:type="dxa"/>
            <w:vMerge/>
            <w:tcBorders>
              <w:top w:val="single" w:sz="8" w:space="0" w:color="002060"/>
              <w:left w:val="single" w:sz="8" w:space="0" w:color="002060"/>
              <w:bottom w:val="nil"/>
              <w:right w:val="single" w:sz="8" w:space="0" w:color="002060"/>
            </w:tcBorders>
            <w:vAlign w:val="center"/>
            <w:hideMark/>
          </w:tcPr>
          <w:p w14:paraId="210BC3B3"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5B5F5F9A"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74E36BE9"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Med Fresh</w:t>
            </w:r>
          </w:p>
        </w:tc>
        <w:tc>
          <w:tcPr>
            <w:tcW w:w="551" w:type="dxa"/>
            <w:tcBorders>
              <w:top w:val="nil"/>
              <w:left w:val="nil"/>
              <w:bottom w:val="nil"/>
              <w:right w:val="nil"/>
            </w:tcBorders>
            <w:shd w:val="clear" w:color="auto" w:fill="auto"/>
            <w:noWrap/>
            <w:vAlign w:val="center"/>
            <w:hideMark/>
          </w:tcPr>
          <w:p w14:paraId="53AFC91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30</w:t>
            </w:r>
          </w:p>
        </w:tc>
        <w:tc>
          <w:tcPr>
            <w:tcW w:w="663" w:type="dxa"/>
            <w:tcBorders>
              <w:top w:val="nil"/>
              <w:left w:val="nil"/>
              <w:bottom w:val="nil"/>
              <w:right w:val="nil"/>
            </w:tcBorders>
            <w:shd w:val="clear" w:color="auto" w:fill="auto"/>
            <w:noWrap/>
            <w:vAlign w:val="center"/>
            <w:hideMark/>
          </w:tcPr>
          <w:p w14:paraId="19C29CE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5127</w:t>
            </w:r>
          </w:p>
        </w:tc>
        <w:tc>
          <w:tcPr>
            <w:tcW w:w="842" w:type="dxa"/>
            <w:tcBorders>
              <w:top w:val="nil"/>
              <w:left w:val="nil"/>
              <w:bottom w:val="nil"/>
              <w:right w:val="nil"/>
            </w:tcBorders>
            <w:shd w:val="clear" w:color="auto" w:fill="auto"/>
            <w:noWrap/>
            <w:vAlign w:val="center"/>
            <w:hideMark/>
          </w:tcPr>
          <w:p w14:paraId="5A08FA3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1280</w:t>
            </w:r>
          </w:p>
        </w:tc>
        <w:tc>
          <w:tcPr>
            <w:tcW w:w="663" w:type="dxa"/>
            <w:tcBorders>
              <w:top w:val="nil"/>
              <w:left w:val="nil"/>
              <w:bottom w:val="nil"/>
              <w:right w:val="nil"/>
            </w:tcBorders>
            <w:shd w:val="clear" w:color="auto" w:fill="auto"/>
            <w:noWrap/>
            <w:vAlign w:val="center"/>
            <w:hideMark/>
          </w:tcPr>
          <w:p w14:paraId="2573FCB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3312</w:t>
            </w:r>
          </w:p>
        </w:tc>
        <w:tc>
          <w:tcPr>
            <w:tcW w:w="663" w:type="dxa"/>
            <w:tcBorders>
              <w:top w:val="nil"/>
              <w:left w:val="nil"/>
              <w:bottom w:val="nil"/>
              <w:right w:val="nil"/>
            </w:tcBorders>
            <w:shd w:val="clear" w:color="auto" w:fill="auto"/>
            <w:noWrap/>
            <w:vAlign w:val="center"/>
            <w:hideMark/>
          </w:tcPr>
          <w:p w14:paraId="6DB24E5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7754</w:t>
            </w:r>
          </w:p>
        </w:tc>
        <w:tc>
          <w:tcPr>
            <w:tcW w:w="776" w:type="dxa"/>
            <w:tcBorders>
              <w:top w:val="nil"/>
              <w:left w:val="nil"/>
              <w:bottom w:val="nil"/>
              <w:right w:val="nil"/>
            </w:tcBorders>
            <w:shd w:val="clear" w:color="auto" w:fill="auto"/>
            <w:noWrap/>
            <w:vAlign w:val="center"/>
            <w:hideMark/>
          </w:tcPr>
          <w:p w14:paraId="6C75693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4793</w:t>
            </w:r>
          </w:p>
        </w:tc>
        <w:tc>
          <w:tcPr>
            <w:tcW w:w="663" w:type="dxa"/>
            <w:tcBorders>
              <w:top w:val="nil"/>
              <w:left w:val="nil"/>
              <w:bottom w:val="nil"/>
              <w:right w:val="nil"/>
            </w:tcBorders>
            <w:shd w:val="clear" w:color="auto" w:fill="auto"/>
            <w:noWrap/>
            <w:vAlign w:val="center"/>
            <w:hideMark/>
          </w:tcPr>
          <w:p w14:paraId="6F51CFD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3919</w:t>
            </w:r>
          </w:p>
        </w:tc>
        <w:tc>
          <w:tcPr>
            <w:tcW w:w="663" w:type="dxa"/>
            <w:tcBorders>
              <w:top w:val="nil"/>
              <w:left w:val="nil"/>
              <w:bottom w:val="nil"/>
              <w:right w:val="single" w:sz="8" w:space="0" w:color="002060"/>
            </w:tcBorders>
            <w:shd w:val="clear" w:color="auto" w:fill="auto"/>
            <w:noWrap/>
            <w:vAlign w:val="center"/>
            <w:hideMark/>
          </w:tcPr>
          <w:p w14:paraId="30A0921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6198</w:t>
            </w:r>
          </w:p>
        </w:tc>
        <w:tc>
          <w:tcPr>
            <w:tcW w:w="880" w:type="dxa"/>
            <w:vMerge/>
            <w:tcBorders>
              <w:top w:val="single" w:sz="8" w:space="0" w:color="002060"/>
              <w:left w:val="single" w:sz="8" w:space="0" w:color="002060"/>
              <w:bottom w:val="nil"/>
              <w:right w:val="single" w:sz="8" w:space="0" w:color="002060"/>
            </w:tcBorders>
            <w:vAlign w:val="center"/>
            <w:hideMark/>
          </w:tcPr>
          <w:p w14:paraId="1B10CAAE"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6E3C3EA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19</w:t>
            </w:r>
          </w:p>
        </w:tc>
        <w:tc>
          <w:tcPr>
            <w:tcW w:w="663" w:type="dxa"/>
            <w:tcBorders>
              <w:top w:val="nil"/>
              <w:left w:val="nil"/>
              <w:bottom w:val="nil"/>
              <w:right w:val="nil"/>
            </w:tcBorders>
            <w:shd w:val="clear" w:color="auto" w:fill="auto"/>
            <w:noWrap/>
            <w:vAlign w:val="center"/>
            <w:hideMark/>
          </w:tcPr>
          <w:p w14:paraId="183BF3B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3519</w:t>
            </w:r>
          </w:p>
        </w:tc>
        <w:tc>
          <w:tcPr>
            <w:tcW w:w="894" w:type="dxa"/>
            <w:tcBorders>
              <w:top w:val="nil"/>
              <w:left w:val="nil"/>
              <w:bottom w:val="nil"/>
              <w:right w:val="nil"/>
            </w:tcBorders>
            <w:shd w:val="clear" w:color="auto" w:fill="auto"/>
            <w:noWrap/>
            <w:vAlign w:val="center"/>
            <w:hideMark/>
          </w:tcPr>
          <w:p w14:paraId="4F01A11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393</w:t>
            </w:r>
          </w:p>
        </w:tc>
        <w:tc>
          <w:tcPr>
            <w:tcW w:w="663" w:type="dxa"/>
            <w:tcBorders>
              <w:top w:val="nil"/>
              <w:left w:val="nil"/>
              <w:bottom w:val="nil"/>
              <w:right w:val="nil"/>
            </w:tcBorders>
            <w:shd w:val="clear" w:color="auto" w:fill="auto"/>
            <w:noWrap/>
            <w:vAlign w:val="center"/>
            <w:hideMark/>
          </w:tcPr>
          <w:p w14:paraId="0C8E325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3255</w:t>
            </w:r>
          </w:p>
        </w:tc>
        <w:tc>
          <w:tcPr>
            <w:tcW w:w="663" w:type="dxa"/>
            <w:tcBorders>
              <w:top w:val="nil"/>
              <w:left w:val="nil"/>
              <w:bottom w:val="nil"/>
              <w:right w:val="nil"/>
            </w:tcBorders>
            <w:shd w:val="clear" w:color="auto" w:fill="auto"/>
            <w:noWrap/>
            <w:vAlign w:val="center"/>
            <w:hideMark/>
          </w:tcPr>
          <w:p w14:paraId="462D3F6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5080</w:t>
            </w:r>
          </w:p>
        </w:tc>
        <w:tc>
          <w:tcPr>
            <w:tcW w:w="796" w:type="dxa"/>
            <w:tcBorders>
              <w:top w:val="nil"/>
              <w:left w:val="nil"/>
              <w:bottom w:val="nil"/>
              <w:right w:val="nil"/>
            </w:tcBorders>
            <w:shd w:val="clear" w:color="auto" w:fill="auto"/>
            <w:noWrap/>
            <w:vAlign w:val="center"/>
            <w:hideMark/>
          </w:tcPr>
          <w:p w14:paraId="50E5C3B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3431</w:t>
            </w:r>
          </w:p>
        </w:tc>
        <w:tc>
          <w:tcPr>
            <w:tcW w:w="663" w:type="dxa"/>
            <w:tcBorders>
              <w:top w:val="nil"/>
              <w:left w:val="nil"/>
              <w:bottom w:val="nil"/>
              <w:right w:val="nil"/>
            </w:tcBorders>
            <w:shd w:val="clear" w:color="auto" w:fill="auto"/>
            <w:noWrap/>
            <w:vAlign w:val="center"/>
            <w:hideMark/>
          </w:tcPr>
          <w:p w14:paraId="1992C61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3348</w:t>
            </w:r>
          </w:p>
        </w:tc>
        <w:tc>
          <w:tcPr>
            <w:tcW w:w="663" w:type="dxa"/>
            <w:tcBorders>
              <w:top w:val="nil"/>
              <w:left w:val="nil"/>
              <w:bottom w:val="nil"/>
              <w:right w:val="single" w:sz="8" w:space="0" w:color="002060"/>
            </w:tcBorders>
            <w:shd w:val="clear" w:color="auto" w:fill="auto"/>
            <w:noWrap/>
            <w:vAlign w:val="center"/>
            <w:hideMark/>
          </w:tcPr>
          <w:p w14:paraId="2EC5013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3508</w:t>
            </w:r>
          </w:p>
        </w:tc>
      </w:tr>
      <w:tr w:rsidR="00AE564D" w:rsidRPr="005E2286" w14:paraId="26202CC3" w14:textId="77777777" w:rsidTr="005E2286">
        <w:trPr>
          <w:trHeight w:val="255"/>
          <w:jc w:val="center"/>
        </w:trPr>
        <w:tc>
          <w:tcPr>
            <w:tcW w:w="768" w:type="dxa"/>
            <w:vMerge/>
            <w:tcBorders>
              <w:top w:val="single" w:sz="8" w:space="0" w:color="002060"/>
              <w:left w:val="single" w:sz="8" w:space="0" w:color="002060"/>
              <w:bottom w:val="nil"/>
              <w:right w:val="single" w:sz="8" w:space="0" w:color="002060"/>
            </w:tcBorders>
            <w:vAlign w:val="center"/>
            <w:hideMark/>
          </w:tcPr>
          <w:p w14:paraId="02D766D6"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1C90CFA0"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McCoy's Bridge</w:t>
            </w:r>
          </w:p>
        </w:tc>
        <w:tc>
          <w:tcPr>
            <w:tcW w:w="1008" w:type="dxa"/>
            <w:tcBorders>
              <w:top w:val="single" w:sz="8" w:space="0" w:color="002060"/>
              <w:left w:val="nil"/>
              <w:bottom w:val="nil"/>
              <w:right w:val="nil"/>
            </w:tcBorders>
            <w:shd w:val="clear" w:color="auto" w:fill="auto"/>
            <w:noWrap/>
            <w:vAlign w:val="center"/>
            <w:hideMark/>
          </w:tcPr>
          <w:p w14:paraId="7A79E339"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Very Low</w:t>
            </w:r>
          </w:p>
        </w:tc>
        <w:tc>
          <w:tcPr>
            <w:tcW w:w="551" w:type="dxa"/>
            <w:tcBorders>
              <w:top w:val="single" w:sz="8" w:space="0" w:color="002060"/>
              <w:left w:val="nil"/>
              <w:bottom w:val="nil"/>
              <w:right w:val="nil"/>
            </w:tcBorders>
            <w:shd w:val="clear" w:color="auto" w:fill="auto"/>
            <w:noWrap/>
            <w:vAlign w:val="center"/>
            <w:hideMark/>
          </w:tcPr>
          <w:p w14:paraId="310EF81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97</w:t>
            </w:r>
          </w:p>
        </w:tc>
        <w:tc>
          <w:tcPr>
            <w:tcW w:w="663" w:type="dxa"/>
            <w:tcBorders>
              <w:top w:val="single" w:sz="8" w:space="0" w:color="002060"/>
              <w:left w:val="nil"/>
              <w:bottom w:val="nil"/>
              <w:right w:val="nil"/>
            </w:tcBorders>
            <w:shd w:val="clear" w:color="auto" w:fill="auto"/>
            <w:noWrap/>
            <w:vAlign w:val="center"/>
            <w:hideMark/>
          </w:tcPr>
          <w:p w14:paraId="26508A4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813</w:t>
            </w:r>
          </w:p>
        </w:tc>
        <w:tc>
          <w:tcPr>
            <w:tcW w:w="842" w:type="dxa"/>
            <w:tcBorders>
              <w:top w:val="single" w:sz="8" w:space="0" w:color="002060"/>
              <w:left w:val="nil"/>
              <w:bottom w:val="nil"/>
              <w:right w:val="nil"/>
            </w:tcBorders>
            <w:shd w:val="clear" w:color="auto" w:fill="auto"/>
            <w:noWrap/>
            <w:vAlign w:val="center"/>
            <w:hideMark/>
          </w:tcPr>
          <w:p w14:paraId="7AD4E22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125</w:t>
            </w:r>
          </w:p>
        </w:tc>
        <w:tc>
          <w:tcPr>
            <w:tcW w:w="663" w:type="dxa"/>
            <w:tcBorders>
              <w:top w:val="single" w:sz="8" w:space="0" w:color="002060"/>
              <w:left w:val="nil"/>
              <w:bottom w:val="nil"/>
              <w:right w:val="nil"/>
            </w:tcBorders>
            <w:shd w:val="clear" w:color="auto" w:fill="auto"/>
            <w:noWrap/>
            <w:vAlign w:val="center"/>
            <w:hideMark/>
          </w:tcPr>
          <w:p w14:paraId="53F4429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504</w:t>
            </w:r>
          </w:p>
        </w:tc>
        <w:tc>
          <w:tcPr>
            <w:tcW w:w="663" w:type="dxa"/>
            <w:tcBorders>
              <w:top w:val="single" w:sz="8" w:space="0" w:color="002060"/>
              <w:left w:val="nil"/>
              <w:bottom w:val="nil"/>
              <w:right w:val="nil"/>
            </w:tcBorders>
            <w:shd w:val="clear" w:color="auto" w:fill="auto"/>
            <w:noWrap/>
            <w:vAlign w:val="center"/>
            <w:hideMark/>
          </w:tcPr>
          <w:p w14:paraId="5CAB67A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958</w:t>
            </w:r>
          </w:p>
        </w:tc>
        <w:tc>
          <w:tcPr>
            <w:tcW w:w="776" w:type="dxa"/>
            <w:tcBorders>
              <w:top w:val="single" w:sz="8" w:space="0" w:color="002060"/>
              <w:left w:val="nil"/>
              <w:bottom w:val="nil"/>
              <w:right w:val="nil"/>
            </w:tcBorders>
            <w:shd w:val="clear" w:color="auto" w:fill="auto"/>
            <w:noWrap/>
            <w:vAlign w:val="center"/>
            <w:hideMark/>
          </w:tcPr>
          <w:p w14:paraId="36B478D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860</w:t>
            </w:r>
          </w:p>
        </w:tc>
        <w:tc>
          <w:tcPr>
            <w:tcW w:w="663" w:type="dxa"/>
            <w:tcBorders>
              <w:top w:val="single" w:sz="8" w:space="0" w:color="002060"/>
              <w:left w:val="nil"/>
              <w:bottom w:val="nil"/>
              <w:right w:val="nil"/>
            </w:tcBorders>
            <w:shd w:val="clear" w:color="auto" w:fill="auto"/>
            <w:noWrap/>
            <w:vAlign w:val="center"/>
            <w:hideMark/>
          </w:tcPr>
          <w:p w14:paraId="448C9DA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724</w:t>
            </w:r>
          </w:p>
        </w:tc>
        <w:tc>
          <w:tcPr>
            <w:tcW w:w="663" w:type="dxa"/>
            <w:tcBorders>
              <w:top w:val="single" w:sz="8" w:space="0" w:color="002060"/>
              <w:left w:val="nil"/>
              <w:bottom w:val="nil"/>
              <w:right w:val="single" w:sz="8" w:space="0" w:color="002060"/>
            </w:tcBorders>
            <w:shd w:val="clear" w:color="auto" w:fill="auto"/>
            <w:noWrap/>
            <w:vAlign w:val="center"/>
            <w:hideMark/>
          </w:tcPr>
          <w:p w14:paraId="61890FC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915</w:t>
            </w:r>
          </w:p>
        </w:tc>
        <w:tc>
          <w:tcPr>
            <w:tcW w:w="880" w:type="dxa"/>
            <w:vMerge/>
            <w:tcBorders>
              <w:top w:val="single" w:sz="8" w:space="0" w:color="002060"/>
              <w:left w:val="single" w:sz="8" w:space="0" w:color="002060"/>
              <w:bottom w:val="nil"/>
              <w:right w:val="single" w:sz="8" w:space="0" w:color="002060"/>
            </w:tcBorders>
            <w:vAlign w:val="center"/>
            <w:hideMark/>
          </w:tcPr>
          <w:p w14:paraId="622FCFD0"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single" w:sz="8" w:space="0" w:color="002060"/>
              <w:left w:val="nil"/>
              <w:bottom w:val="nil"/>
              <w:right w:val="nil"/>
            </w:tcBorders>
            <w:shd w:val="clear" w:color="auto" w:fill="auto"/>
            <w:noWrap/>
            <w:vAlign w:val="center"/>
            <w:hideMark/>
          </w:tcPr>
          <w:p w14:paraId="5F443C1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97</w:t>
            </w:r>
          </w:p>
        </w:tc>
        <w:tc>
          <w:tcPr>
            <w:tcW w:w="663" w:type="dxa"/>
            <w:tcBorders>
              <w:top w:val="single" w:sz="8" w:space="0" w:color="002060"/>
              <w:left w:val="nil"/>
              <w:bottom w:val="nil"/>
              <w:right w:val="nil"/>
            </w:tcBorders>
            <w:shd w:val="clear" w:color="auto" w:fill="auto"/>
            <w:noWrap/>
            <w:vAlign w:val="center"/>
            <w:hideMark/>
          </w:tcPr>
          <w:p w14:paraId="57C172C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856</w:t>
            </w:r>
          </w:p>
        </w:tc>
        <w:tc>
          <w:tcPr>
            <w:tcW w:w="894" w:type="dxa"/>
            <w:tcBorders>
              <w:top w:val="single" w:sz="8" w:space="0" w:color="002060"/>
              <w:left w:val="nil"/>
              <w:bottom w:val="nil"/>
              <w:right w:val="nil"/>
            </w:tcBorders>
            <w:shd w:val="clear" w:color="auto" w:fill="auto"/>
            <w:noWrap/>
            <w:vAlign w:val="center"/>
            <w:hideMark/>
          </w:tcPr>
          <w:p w14:paraId="335C256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114</w:t>
            </w:r>
          </w:p>
        </w:tc>
        <w:tc>
          <w:tcPr>
            <w:tcW w:w="663" w:type="dxa"/>
            <w:tcBorders>
              <w:top w:val="single" w:sz="8" w:space="0" w:color="002060"/>
              <w:left w:val="nil"/>
              <w:bottom w:val="nil"/>
              <w:right w:val="nil"/>
            </w:tcBorders>
            <w:shd w:val="clear" w:color="auto" w:fill="auto"/>
            <w:noWrap/>
            <w:vAlign w:val="center"/>
            <w:hideMark/>
          </w:tcPr>
          <w:p w14:paraId="7113278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551</w:t>
            </w:r>
          </w:p>
        </w:tc>
        <w:tc>
          <w:tcPr>
            <w:tcW w:w="663" w:type="dxa"/>
            <w:tcBorders>
              <w:top w:val="single" w:sz="8" w:space="0" w:color="002060"/>
              <w:left w:val="nil"/>
              <w:bottom w:val="nil"/>
              <w:right w:val="nil"/>
            </w:tcBorders>
            <w:shd w:val="clear" w:color="auto" w:fill="auto"/>
            <w:noWrap/>
            <w:vAlign w:val="center"/>
            <w:hideMark/>
          </w:tcPr>
          <w:p w14:paraId="06E104D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960</w:t>
            </w:r>
          </w:p>
        </w:tc>
        <w:tc>
          <w:tcPr>
            <w:tcW w:w="796" w:type="dxa"/>
            <w:tcBorders>
              <w:top w:val="single" w:sz="8" w:space="0" w:color="002060"/>
              <w:left w:val="nil"/>
              <w:bottom w:val="nil"/>
              <w:right w:val="nil"/>
            </w:tcBorders>
            <w:shd w:val="clear" w:color="auto" w:fill="auto"/>
            <w:noWrap/>
            <w:vAlign w:val="center"/>
            <w:hideMark/>
          </w:tcPr>
          <w:p w14:paraId="01849EC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903</w:t>
            </w:r>
          </w:p>
        </w:tc>
        <w:tc>
          <w:tcPr>
            <w:tcW w:w="663" w:type="dxa"/>
            <w:tcBorders>
              <w:top w:val="single" w:sz="8" w:space="0" w:color="002060"/>
              <w:left w:val="nil"/>
              <w:bottom w:val="nil"/>
              <w:right w:val="nil"/>
            </w:tcBorders>
            <w:shd w:val="clear" w:color="auto" w:fill="auto"/>
            <w:noWrap/>
            <w:vAlign w:val="center"/>
            <w:hideMark/>
          </w:tcPr>
          <w:p w14:paraId="57CC01D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836</w:t>
            </w:r>
          </w:p>
        </w:tc>
        <w:tc>
          <w:tcPr>
            <w:tcW w:w="663" w:type="dxa"/>
            <w:tcBorders>
              <w:top w:val="single" w:sz="8" w:space="0" w:color="002060"/>
              <w:left w:val="nil"/>
              <w:bottom w:val="nil"/>
              <w:right w:val="single" w:sz="8" w:space="0" w:color="002060"/>
            </w:tcBorders>
            <w:shd w:val="clear" w:color="auto" w:fill="auto"/>
            <w:noWrap/>
            <w:vAlign w:val="center"/>
            <w:hideMark/>
          </w:tcPr>
          <w:p w14:paraId="4870B01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929</w:t>
            </w:r>
          </w:p>
        </w:tc>
      </w:tr>
      <w:tr w:rsidR="00AE564D" w:rsidRPr="005E2286" w14:paraId="210BD5AD" w14:textId="77777777" w:rsidTr="005E2286">
        <w:trPr>
          <w:trHeight w:val="255"/>
          <w:jc w:val="center"/>
        </w:trPr>
        <w:tc>
          <w:tcPr>
            <w:tcW w:w="768" w:type="dxa"/>
            <w:vMerge/>
            <w:tcBorders>
              <w:top w:val="single" w:sz="8" w:space="0" w:color="002060"/>
              <w:left w:val="single" w:sz="8" w:space="0" w:color="002060"/>
              <w:bottom w:val="nil"/>
              <w:right w:val="single" w:sz="8" w:space="0" w:color="002060"/>
            </w:tcBorders>
            <w:vAlign w:val="center"/>
            <w:hideMark/>
          </w:tcPr>
          <w:p w14:paraId="3B61F67A"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383984A8"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11A2EECF"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Mod Low</w:t>
            </w:r>
          </w:p>
        </w:tc>
        <w:tc>
          <w:tcPr>
            <w:tcW w:w="551" w:type="dxa"/>
            <w:tcBorders>
              <w:top w:val="nil"/>
              <w:left w:val="nil"/>
              <w:bottom w:val="nil"/>
              <w:right w:val="nil"/>
            </w:tcBorders>
            <w:shd w:val="clear" w:color="auto" w:fill="auto"/>
            <w:noWrap/>
            <w:vAlign w:val="center"/>
            <w:hideMark/>
          </w:tcPr>
          <w:p w14:paraId="32B0438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120</w:t>
            </w:r>
          </w:p>
        </w:tc>
        <w:tc>
          <w:tcPr>
            <w:tcW w:w="663" w:type="dxa"/>
            <w:tcBorders>
              <w:top w:val="nil"/>
              <w:left w:val="nil"/>
              <w:bottom w:val="nil"/>
              <w:right w:val="nil"/>
            </w:tcBorders>
            <w:shd w:val="clear" w:color="auto" w:fill="auto"/>
            <w:noWrap/>
            <w:vAlign w:val="center"/>
            <w:hideMark/>
          </w:tcPr>
          <w:p w14:paraId="2F1A909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1305</w:t>
            </w:r>
          </w:p>
        </w:tc>
        <w:tc>
          <w:tcPr>
            <w:tcW w:w="842" w:type="dxa"/>
            <w:tcBorders>
              <w:top w:val="nil"/>
              <w:left w:val="nil"/>
              <w:bottom w:val="nil"/>
              <w:right w:val="nil"/>
            </w:tcBorders>
            <w:shd w:val="clear" w:color="auto" w:fill="auto"/>
            <w:noWrap/>
            <w:vAlign w:val="center"/>
            <w:hideMark/>
          </w:tcPr>
          <w:p w14:paraId="2928E95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241</w:t>
            </w:r>
          </w:p>
        </w:tc>
        <w:tc>
          <w:tcPr>
            <w:tcW w:w="663" w:type="dxa"/>
            <w:tcBorders>
              <w:top w:val="nil"/>
              <w:left w:val="nil"/>
              <w:bottom w:val="nil"/>
              <w:right w:val="nil"/>
            </w:tcBorders>
            <w:shd w:val="clear" w:color="auto" w:fill="auto"/>
            <w:noWrap/>
            <w:vAlign w:val="center"/>
            <w:hideMark/>
          </w:tcPr>
          <w:p w14:paraId="218B655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964</w:t>
            </w:r>
          </w:p>
        </w:tc>
        <w:tc>
          <w:tcPr>
            <w:tcW w:w="663" w:type="dxa"/>
            <w:tcBorders>
              <w:top w:val="nil"/>
              <w:left w:val="nil"/>
              <w:bottom w:val="nil"/>
              <w:right w:val="nil"/>
            </w:tcBorders>
            <w:shd w:val="clear" w:color="auto" w:fill="auto"/>
            <w:noWrap/>
            <w:vAlign w:val="center"/>
            <w:hideMark/>
          </w:tcPr>
          <w:p w14:paraId="7BBBE58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1797</w:t>
            </w:r>
          </w:p>
        </w:tc>
        <w:tc>
          <w:tcPr>
            <w:tcW w:w="776" w:type="dxa"/>
            <w:tcBorders>
              <w:top w:val="nil"/>
              <w:left w:val="nil"/>
              <w:bottom w:val="nil"/>
              <w:right w:val="nil"/>
            </w:tcBorders>
            <w:shd w:val="clear" w:color="auto" w:fill="auto"/>
            <w:noWrap/>
            <w:vAlign w:val="center"/>
            <w:hideMark/>
          </w:tcPr>
          <w:p w14:paraId="7260DF2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1275</w:t>
            </w:r>
          </w:p>
        </w:tc>
        <w:tc>
          <w:tcPr>
            <w:tcW w:w="663" w:type="dxa"/>
            <w:tcBorders>
              <w:top w:val="nil"/>
              <w:left w:val="nil"/>
              <w:bottom w:val="nil"/>
              <w:right w:val="nil"/>
            </w:tcBorders>
            <w:shd w:val="clear" w:color="auto" w:fill="auto"/>
            <w:noWrap/>
            <w:vAlign w:val="center"/>
            <w:hideMark/>
          </w:tcPr>
          <w:p w14:paraId="095DD21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1098</w:t>
            </w:r>
          </w:p>
        </w:tc>
        <w:tc>
          <w:tcPr>
            <w:tcW w:w="663" w:type="dxa"/>
            <w:tcBorders>
              <w:top w:val="nil"/>
              <w:left w:val="nil"/>
              <w:bottom w:val="nil"/>
              <w:right w:val="single" w:sz="8" w:space="0" w:color="002060"/>
            </w:tcBorders>
            <w:shd w:val="clear" w:color="auto" w:fill="auto"/>
            <w:noWrap/>
            <w:vAlign w:val="center"/>
            <w:hideMark/>
          </w:tcPr>
          <w:p w14:paraId="6F512D4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1516</w:t>
            </w:r>
          </w:p>
        </w:tc>
        <w:tc>
          <w:tcPr>
            <w:tcW w:w="880" w:type="dxa"/>
            <w:vMerge/>
            <w:tcBorders>
              <w:top w:val="single" w:sz="8" w:space="0" w:color="002060"/>
              <w:left w:val="single" w:sz="8" w:space="0" w:color="002060"/>
              <w:bottom w:val="nil"/>
              <w:right w:val="single" w:sz="8" w:space="0" w:color="002060"/>
            </w:tcBorders>
            <w:vAlign w:val="center"/>
            <w:hideMark/>
          </w:tcPr>
          <w:p w14:paraId="184382E5"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71014D5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226</w:t>
            </w:r>
          </w:p>
        </w:tc>
        <w:tc>
          <w:tcPr>
            <w:tcW w:w="663" w:type="dxa"/>
            <w:tcBorders>
              <w:top w:val="nil"/>
              <w:left w:val="nil"/>
              <w:bottom w:val="nil"/>
              <w:right w:val="nil"/>
            </w:tcBorders>
            <w:shd w:val="clear" w:color="auto" w:fill="auto"/>
            <w:noWrap/>
            <w:vAlign w:val="center"/>
            <w:hideMark/>
          </w:tcPr>
          <w:p w14:paraId="5A015E7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1291</w:t>
            </w:r>
          </w:p>
        </w:tc>
        <w:tc>
          <w:tcPr>
            <w:tcW w:w="894" w:type="dxa"/>
            <w:tcBorders>
              <w:top w:val="nil"/>
              <w:left w:val="nil"/>
              <w:bottom w:val="nil"/>
              <w:right w:val="nil"/>
            </w:tcBorders>
            <w:shd w:val="clear" w:color="auto" w:fill="auto"/>
            <w:noWrap/>
            <w:vAlign w:val="center"/>
            <w:hideMark/>
          </w:tcPr>
          <w:p w14:paraId="019112D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208</w:t>
            </w:r>
          </w:p>
        </w:tc>
        <w:tc>
          <w:tcPr>
            <w:tcW w:w="663" w:type="dxa"/>
            <w:tcBorders>
              <w:top w:val="nil"/>
              <w:left w:val="nil"/>
              <w:bottom w:val="nil"/>
              <w:right w:val="nil"/>
            </w:tcBorders>
            <w:shd w:val="clear" w:color="auto" w:fill="auto"/>
            <w:noWrap/>
            <w:vAlign w:val="center"/>
            <w:hideMark/>
          </w:tcPr>
          <w:p w14:paraId="358D346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962</w:t>
            </w:r>
          </w:p>
        </w:tc>
        <w:tc>
          <w:tcPr>
            <w:tcW w:w="663" w:type="dxa"/>
            <w:tcBorders>
              <w:top w:val="nil"/>
              <w:left w:val="nil"/>
              <w:bottom w:val="nil"/>
              <w:right w:val="nil"/>
            </w:tcBorders>
            <w:shd w:val="clear" w:color="auto" w:fill="auto"/>
            <w:noWrap/>
            <w:vAlign w:val="center"/>
            <w:hideMark/>
          </w:tcPr>
          <w:p w14:paraId="0520FD6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1805</w:t>
            </w:r>
          </w:p>
        </w:tc>
        <w:tc>
          <w:tcPr>
            <w:tcW w:w="796" w:type="dxa"/>
            <w:tcBorders>
              <w:top w:val="nil"/>
              <w:left w:val="nil"/>
              <w:bottom w:val="nil"/>
              <w:right w:val="nil"/>
            </w:tcBorders>
            <w:shd w:val="clear" w:color="auto" w:fill="auto"/>
            <w:noWrap/>
            <w:vAlign w:val="center"/>
            <w:hideMark/>
          </w:tcPr>
          <w:p w14:paraId="5DA672D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1271</w:t>
            </w:r>
          </w:p>
        </w:tc>
        <w:tc>
          <w:tcPr>
            <w:tcW w:w="663" w:type="dxa"/>
            <w:tcBorders>
              <w:top w:val="nil"/>
              <w:left w:val="nil"/>
              <w:bottom w:val="nil"/>
              <w:right w:val="nil"/>
            </w:tcBorders>
            <w:shd w:val="clear" w:color="auto" w:fill="auto"/>
            <w:noWrap/>
            <w:vAlign w:val="center"/>
            <w:hideMark/>
          </w:tcPr>
          <w:p w14:paraId="5590B02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1118</w:t>
            </w:r>
          </w:p>
        </w:tc>
        <w:tc>
          <w:tcPr>
            <w:tcW w:w="663" w:type="dxa"/>
            <w:tcBorders>
              <w:top w:val="nil"/>
              <w:left w:val="nil"/>
              <w:bottom w:val="nil"/>
              <w:right w:val="single" w:sz="8" w:space="0" w:color="002060"/>
            </w:tcBorders>
            <w:shd w:val="clear" w:color="auto" w:fill="auto"/>
            <w:noWrap/>
            <w:vAlign w:val="center"/>
            <w:hideMark/>
          </w:tcPr>
          <w:p w14:paraId="2AC34A7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1416</w:t>
            </w:r>
          </w:p>
        </w:tc>
      </w:tr>
      <w:tr w:rsidR="00AE564D" w:rsidRPr="005E2286" w14:paraId="281D0214" w14:textId="77777777" w:rsidTr="005E2286">
        <w:trPr>
          <w:trHeight w:val="255"/>
          <w:jc w:val="center"/>
        </w:trPr>
        <w:tc>
          <w:tcPr>
            <w:tcW w:w="768" w:type="dxa"/>
            <w:vMerge/>
            <w:tcBorders>
              <w:top w:val="single" w:sz="8" w:space="0" w:color="002060"/>
              <w:left w:val="single" w:sz="8" w:space="0" w:color="002060"/>
              <w:bottom w:val="nil"/>
              <w:right w:val="single" w:sz="8" w:space="0" w:color="002060"/>
            </w:tcBorders>
            <w:vAlign w:val="center"/>
            <w:hideMark/>
          </w:tcPr>
          <w:p w14:paraId="5E1114A7"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50523D75"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7E0C95D4"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Low Fresh</w:t>
            </w:r>
          </w:p>
        </w:tc>
        <w:tc>
          <w:tcPr>
            <w:tcW w:w="551" w:type="dxa"/>
            <w:tcBorders>
              <w:top w:val="nil"/>
              <w:left w:val="nil"/>
              <w:bottom w:val="nil"/>
              <w:right w:val="nil"/>
            </w:tcBorders>
            <w:shd w:val="clear" w:color="auto" w:fill="auto"/>
            <w:noWrap/>
            <w:vAlign w:val="center"/>
            <w:hideMark/>
          </w:tcPr>
          <w:p w14:paraId="43DCEE8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49</w:t>
            </w:r>
          </w:p>
        </w:tc>
        <w:tc>
          <w:tcPr>
            <w:tcW w:w="663" w:type="dxa"/>
            <w:tcBorders>
              <w:top w:val="nil"/>
              <w:left w:val="nil"/>
              <w:bottom w:val="nil"/>
              <w:right w:val="nil"/>
            </w:tcBorders>
            <w:shd w:val="clear" w:color="auto" w:fill="auto"/>
            <w:noWrap/>
            <w:vAlign w:val="center"/>
            <w:hideMark/>
          </w:tcPr>
          <w:p w14:paraId="0DB7D5D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2495</w:t>
            </w:r>
          </w:p>
        </w:tc>
        <w:tc>
          <w:tcPr>
            <w:tcW w:w="842" w:type="dxa"/>
            <w:tcBorders>
              <w:top w:val="nil"/>
              <w:left w:val="nil"/>
              <w:bottom w:val="nil"/>
              <w:right w:val="nil"/>
            </w:tcBorders>
            <w:shd w:val="clear" w:color="auto" w:fill="auto"/>
            <w:noWrap/>
            <w:vAlign w:val="center"/>
            <w:hideMark/>
          </w:tcPr>
          <w:p w14:paraId="6092507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412</w:t>
            </w:r>
          </w:p>
        </w:tc>
        <w:tc>
          <w:tcPr>
            <w:tcW w:w="663" w:type="dxa"/>
            <w:tcBorders>
              <w:top w:val="nil"/>
              <w:left w:val="nil"/>
              <w:bottom w:val="nil"/>
              <w:right w:val="nil"/>
            </w:tcBorders>
            <w:shd w:val="clear" w:color="auto" w:fill="auto"/>
            <w:noWrap/>
            <w:vAlign w:val="center"/>
            <w:hideMark/>
          </w:tcPr>
          <w:p w14:paraId="682514F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1877</w:t>
            </w:r>
          </w:p>
        </w:tc>
        <w:tc>
          <w:tcPr>
            <w:tcW w:w="663" w:type="dxa"/>
            <w:tcBorders>
              <w:top w:val="nil"/>
              <w:left w:val="nil"/>
              <w:bottom w:val="nil"/>
              <w:right w:val="nil"/>
            </w:tcBorders>
            <w:shd w:val="clear" w:color="auto" w:fill="auto"/>
            <w:noWrap/>
            <w:vAlign w:val="center"/>
            <w:hideMark/>
          </w:tcPr>
          <w:p w14:paraId="71A2CCC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3126</w:t>
            </w:r>
          </w:p>
        </w:tc>
        <w:tc>
          <w:tcPr>
            <w:tcW w:w="776" w:type="dxa"/>
            <w:tcBorders>
              <w:top w:val="nil"/>
              <w:left w:val="nil"/>
              <w:bottom w:val="nil"/>
              <w:right w:val="nil"/>
            </w:tcBorders>
            <w:shd w:val="clear" w:color="auto" w:fill="auto"/>
            <w:noWrap/>
            <w:vAlign w:val="center"/>
            <w:hideMark/>
          </w:tcPr>
          <w:p w14:paraId="0D96E83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2469</w:t>
            </w:r>
          </w:p>
        </w:tc>
        <w:tc>
          <w:tcPr>
            <w:tcW w:w="663" w:type="dxa"/>
            <w:tcBorders>
              <w:top w:val="nil"/>
              <w:left w:val="nil"/>
              <w:bottom w:val="nil"/>
              <w:right w:val="nil"/>
            </w:tcBorders>
            <w:shd w:val="clear" w:color="auto" w:fill="auto"/>
            <w:noWrap/>
            <w:vAlign w:val="center"/>
            <w:hideMark/>
          </w:tcPr>
          <w:p w14:paraId="7156DAB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2061</w:t>
            </w:r>
          </w:p>
        </w:tc>
        <w:tc>
          <w:tcPr>
            <w:tcW w:w="663" w:type="dxa"/>
            <w:tcBorders>
              <w:top w:val="nil"/>
              <w:left w:val="nil"/>
              <w:bottom w:val="nil"/>
              <w:right w:val="single" w:sz="8" w:space="0" w:color="002060"/>
            </w:tcBorders>
            <w:shd w:val="clear" w:color="auto" w:fill="auto"/>
            <w:noWrap/>
            <w:vAlign w:val="center"/>
            <w:hideMark/>
          </w:tcPr>
          <w:p w14:paraId="2C12B2A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2928</w:t>
            </w:r>
          </w:p>
        </w:tc>
        <w:tc>
          <w:tcPr>
            <w:tcW w:w="880" w:type="dxa"/>
            <w:vMerge/>
            <w:tcBorders>
              <w:top w:val="single" w:sz="8" w:space="0" w:color="002060"/>
              <w:left w:val="single" w:sz="8" w:space="0" w:color="002060"/>
              <w:bottom w:val="nil"/>
              <w:right w:val="single" w:sz="8" w:space="0" w:color="002060"/>
            </w:tcBorders>
            <w:vAlign w:val="center"/>
            <w:hideMark/>
          </w:tcPr>
          <w:p w14:paraId="645C3516"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406D825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169</w:t>
            </w:r>
          </w:p>
        </w:tc>
        <w:tc>
          <w:tcPr>
            <w:tcW w:w="663" w:type="dxa"/>
            <w:tcBorders>
              <w:top w:val="nil"/>
              <w:left w:val="nil"/>
              <w:bottom w:val="nil"/>
              <w:right w:val="nil"/>
            </w:tcBorders>
            <w:shd w:val="clear" w:color="auto" w:fill="auto"/>
            <w:noWrap/>
            <w:vAlign w:val="center"/>
            <w:hideMark/>
          </w:tcPr>
          <w:p w14:paraId="442DBB9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2512</w:t>
            </w:r>
          </w:p>
        </w:tc>
        <w:tc>
          <w:tcPr>
            <w:tcW w:w="894" w:type="dxa"/>
            <w:tcBorders>
              <w:top w:val="nil"/>
              <w:left w:val="nil"/>
              <w:bottom w:val="nil"/>
              <w:right w:val="nil"/>
            </w:tcBorders>
            <w:shd w:val="clear" w:color="auto" w:fill="auto"/>
            <w:noWrap/>
            <w:vAlign w:val="center"/>
            <w:hideMark/>
          </w:tcPr>
          <w:p w14:paraId="298258F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367</w:t>
            </w:r>
          </w:p>
        </w:tc>
        <w:tc>
          <w:tcPr>
            <w:tcW w:w="663" w:type="dxa"/>
            <w:tcBorders>
              <w:top w:val="nil"/>
              <w:left w:val="nil"/>
              <w:bottom w:val="nil"/>
              <w:right w:val="nil"/>
            </w:tcBorders>
            <w:shd w:val="clear" w:color="auto" w:fill="auto"/>
            <w:noWrap/>
            <w:vAlign w:val="center"/>
            <w:hideMark/>
          </w:tcPr>
          <w:p w14:paraId="089CA02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1830</w:t>
            </w:r>
          </w:p>
        </w:tc>
        <w:tc>
          <w:tcPr>
            <w:tcW w:w="663" w:type="dxa"/>
            <w:tcBorders>
              <w:top w:val="nil"/>
              <w:left w:val="nil"/>
              <w:bottom w:val="nil"/>
              <w:right w:val="nil"/>
            </w:tcBorders>
            <w:shd w:val="clear" w:color="auto" w:fill="auto"/>
            <w:noWrap/>
            <w:vAlign w:val="center"/>
            <w:hideMark/>
          </w:tcPr>
          <w:p w14:paraId="7BB9B60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3062</w:t>
            </w:r>
          </w:p>
        </w:tc>
        <w:tc>
          <w:tcPr>
            <w:tcW w:w="796" w:type="dxa"/>
            <w:tcBorders>
              <w:top w:val="nil"/>
              <w:left w:val="nil"/>
              <w:bottom w:val="nil"/>
              <w:right w:val="nil"/>
            </w:tcBorders>
            <w:shd w:val="clear" w:color="auto" w:fill="auto"/>
            <w:noWrap/>
            <w:vAlign w:val="center"/>
            <w:hideMark/>
          </w:tcPr>
          <w:p w14:paraId="1E887ED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2580</w:t>
            </w:r>
          </w:p>
        </w:tc>
        <w:tc>
          <w:tcPr>
            <w:tcW w:w="663" w:type="dxa"/>
            <w:tcBorders>
              <w:top w:val="nil"/>
              <w:left w:val="nil"/>
              <w:bottom w:val="nil"/>
              <w:right w:val="nil"/>
            </w:tcBorders>
            <w:shd w:val="clear" w:color="auto" w:fill="auto"/>
            <w:noWrap/>
            <w:vAlign w:val="center"/>
            <w:hideMark/>
          </w:tcPr>
          <w:p w14:paraId="75779BC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2168</w:t>
            </w:r>
          </w:p>
        </w:tc>
        <w:tc>
          <w:tcPr>
            <w:tcW w:w="663" w:type="dxa"/>
            <w:tcBorders>
              <w:top w:val="nil"/>
              <w:left w:val="nil"/>
              <w:bottom w:val="nil"/>
              <w:right w:val="single" w:sz="8" w:space="0" w:color="002060"/>
            </w:tcBorders>
            <w:shd w:val="clear" w:color="auto" w:fill="auto"/>
            <w:noWrap/>
            <w:vAlign w:val="center"/>
            <w:hideMark/>
          </w:tcPr>
          <w:p w14:paraId="08A11E8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2848</w:t>
            </w:r>
          </w:p>
        </w:tc>
      </w:tr>
      <w:tr w:rsidR="00AE564D" w:rsidRPr="005E2286" w14:paraId="58CCF35A" w14:textId="77777777" w:rsidTr="005E2286">
        <w:trPr>
          <w:trHeight w:val="255"/>
          <w:jc w:val="center"/>
        </w:trPr>
        <w:tc>
          <w:tcPr>
            <w:tcW w:w="768" w:type="dxa"/>
            <w:vMerge/>
            <w:tcBorders>
              <w:top w:val="single" w:sz="8" w:space="0" w:color="002060"/>
              <w:left w:val="single" w:sz="8" w:space="0" w:color="002060"/>
              <w:bottom w:val="nil"/>
              <w:right w:val="single" w:sz="8" w:space="0" w:color="002060"/>
            </w:tcBorders>
            <w:vAlign w:val="center"/>
            <w:hideMark/>
          </w:tcPr>
          <w:p w14:paraId="7BE5755B"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2CD417D3"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5FA2C58E"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Med Fresh</w:t>
            </w:r>
          </w:p>
        </w:tc>
        <w:tc>
          <w:tcPr>
            <w:tcW w:w="551" w:type="dxa"/>
            <w:tcBorders>
              <w:top w:val="nil"/>
              <w:left w:val="nil"/>
              <w:bottom w:val="nil"/>
              <w:right w:val="nil"/>
            </w:tcBorders>
            <w:shd w:val="clear" w:color="auto" w:fill="auto"/>
            <w:noWrap/>
            <w:vAlign w:val="center"/>
            <w:hideMark/>
          </w:tcPr>
          <w:p w14:paraId="0281B28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85</w:t>
            </w:r>
          </w:p>
        </w:tc>
        <w:tc>
          <w:tcPr>
            <w:tcW w:w="663" w:type="dxa"/>
            <w:tcBorders>
              <w:top w:val="nil"/>
              <w:left w:val="nil"/>
              <w:bottom w:val="nil"/>
              <w:right w:val="nil"/>
            </w:tcBorders>
            <w:shd w:val="clear" w:color="auto" w:fill="auto"/>
            <w:noWrap/>
            <w:vAlign w:val="center"/>
            <w:hideMark/>
          </w:tcPr>
          <w:p w14:paraId="44A9B12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5228</w:t>
            </w:r>
          </w:p>
        </w:tc>
        <w:tc>
          <w:tcPr>
            <w:tcW w:w="842" w:type="dxa"/>
            <w:tcBorders>
              <w:top w:val="nil"/>
              <w:left w:val="nil"/>
              <w:bottom w:val="nil"/>
              <w:right w:val="nil"/>
            </w:tcBorders>
            <w:shd w:val="clear" w:color="auto" w:fill="auto"/>
            <w:noWrap/>
            <w:vAlign w:val="center"/>
            <w:hideMark/>
          </w:tcPr>
          <w:p w14:paraId="3CFD875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1225</w:t>
            </w:r>
          </w:p>
        </w:tc>
        <w:tc>
          <w:tcPr>
            <w:tcW w:w="663" w:type="dxa"/>
            <w:tcBorders>
              <w:top w:val="nil"/>
              <w:left w:val="nil"/>
              <w:bottom w:val="nil"/>
              <w:right w:val="nil"/>
            </w:tcBorders>
            <w:shd w:val="clear" w:color="auto" w:fill="auto"/>
            <w:noWrap/>
            <w:vAlign w:val="center"/>
            <w:hideMark/>
          </w:tcPr>
          <w:p w14:paraId="653E46E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3137</w:t>
            </w:r>
          </w:p>
        </w:tc>
        <w:tc>
          <w:tcPr>
            <w:tcW w:w="663" w:type="dxa"/>
            <w:tcBorders>
              <w:top w:val="nil"/>
              <w:left w:val="nil"/>
              <w:bottom w:val="nil"/>
              <w:right w:val="nil"/>
            </w:tcBorders>
            <w:shd w:val="clear" w:color="auto" w:fill="auto"/>
            <w:noWrap/>
            <w:vAlign w:val="center"/>
            <w:hideMark/>
          </w:tcPr>
          <w:p w14:paraId="2134245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7452</w:t>
            </w:r>
          </w:p>
        </w:tc>
        <w:tc>
          <w:tcPr>
            <w:tcW w:w="776" w:type="dxa"/>
            <w:tcBorders>
              <w:top w:val="nil"/>
              <w:left w:val="nil"/>
              <w:bottom w:val="nil"/>
              <w:right w:val="nil"/>
            </w:tcBorders>
            <w:shd w:val="clear" w:color="auto" w:fill="auto"/>
            <w:noWrap/>
            <w:vAlign w:val="center"/>
            <w:hideMark/>
          </w:tcPr>
          <w:p w14:paraId="68636F4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5290</w:t>
            </w:r>
          </w:p>
        </w:tc>
        <w:tc>
          <w:tcPr>
            <w:tcW w:w="663" w:type="dxa"/>
            <w:tcBorders>
              <w:top w:val="nil"/>
              <w:left w:val="nil"/>
              <w:bottom w:val="nil"/>
              <w:right w:val="nil"/>
            </w:tcBorders>
            <w:shd w:val="clear" w:color="auto" w:fill="auto"/>
            <w:noWrap/>
            <w:vAlign w:val="center"/>
            <w:hideMark/>
          </w:tcPr>
          <w:p w14:paraId="49AFF34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4071</w:t>
            </w:r>
          </w:p>
        </w:tc>
        <w:tc>
          <w:tcPr>
            <w:tcW w:w="663" w:type="dxa"/>
            <w:tcBorders>
              <w:top w:val="nil"/>
              <w:left w:val="nil"/>
              <w:bottom w:val="nil"/>
              <w:right w:val="single" w:sz="8" w:space="0" w:color="002060"/>
            </w:tcBorders>
            <w:shd w:val="clear" w:color="auto" w:fill="auto"/>
            <w:noWrap/>
            <w:vAlign w:val="center"/>
            <w:hideMark/>
          </w:tcPr>
          <w:p w14:paraId="7E15668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6292</w:t>
            </w:r>
          </w:p>
        </w:tc>
        <w:tc>
          <w:tcPr>
            <w:tcW w:w="880" w:type="dxa"/>
            <w:vMerge/>
            <w:tcBorders>
              <w:top w:val="single" w:sz="8" w:space="0" w:color="002060"/>
              <w:left w:val="single" w:sz="8" w:space="0" w:color="002060"/>
              <w:bottom w:val="nil"/>
              <w:right w:val="single" w:sz="8" w:space="0" w:color="002060"/>
            </w:tcBorders>
            <w:vAlign w:val="center"/>
            <w:hideMark/>
          </w:tcPr>
          <w:p w14:paraId="160C150E"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689067D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eastAsia="Times New Roman" w:cstheme="minorHAnsi"/>
                <w:color w:val="000000" w:themeColor="text1"/>
                <w:sz w:val="18"/>
                <w:szCs w:val="18"/>
                <w:lang w:eastAsia="en-AU"/>
              </w:rPr>
              <w:t>2</w:t>
            </w:r>
          </w:p>
        </w:tc>
        <w:tc>
          <w:tcPr>
            <w:tcW w:w="663" w:type="dxa"/>
            <w:tcBorders>
              <w:top w:val="nil"/>
              <w:left w:val="nil"/>
              <w:bottom w:val="nil"/>
              <w:right w:val="nil"/>
            </w:tcBorders>
            <w:shd w:val="clear" w:color="auto" w:fill="auto"/>
            <w:noWrap/>
            <w:vAlign w:val="center"/>
            <w:hideMark/>
          </w:tcPr>
          <w:p w14:paraId="06ED88D1"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894" w:type="dxa"/>
            <w:tcBorders>
              <w:top w:val="nil"/>
              <w:left w:val="nil"/>
              <w:bottom w:val="nil"/>
              <w:right w:val="nil"/>
            </w:tcBorders>
            <w:shd w:val="clear" w:color="auto" w:fill="auto"/>
            <w:noWrap/>
            <w:vAlign w:val="center"/>
            <w:hideMark/>
          </w:tcPr>
          <w:p w14:paraId="61A6733F"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663" w:type="dxa"/>
            <w:tcBorders>
              <w:top w:val="nil"/>
              <w:left w:val="nil"/>
              <w:bottom w:val="nil"/>
              <w:right w:val="nil"/>
            </w:tcBorders>
            <w:shd w:val="clear" w:color="auto" w:fill="auto"/>
            <w:noWrap/>
            <w:vAlign w:val="center"/>
            <w:hideMark/>
          </w:tcPr>
          <w:p w14:paraId="49A01001"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663" w:type="dxa"/>
            <w:tcBorders>
              <w:top w:val="nil"/>
              <w:left w:val="nil"/>
              <w:bottom w:val="nil"/>
              <w:right w:val="nil"/>
            </w:tcBorders>
            <w:shd w:val="clear" w:color="auto" w:fill="auto"/>
            <w:noWrap/>
            <w:vAlign w:val="center"/>
            <w:hideMark/>
          </w:tcPr>
          <w:p w14:paraId="1C92C138"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796" w:type="dxa"/>
            <w:tcBorders>
              <w:top w:val="nil"/>
              <w:left w:val="nil"/>
              <w:bottom w:val="nil"/>
              <w:right w:val="nil"/>
            </w:tcBorders>
            <w:shd w:val="clear" w:color="auto" w:fill="auto"/>
            <w:noWrap/>
            <w:vAlign w:val="center"/>
            <w:hideMark/>
          </w:tcPr>
          <w:p w14:paraId="450B466D"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663" w:type="dxa"/>
            <w:tcBorders>
              <w:top w:val="nil"/>
              <w:left w:val="nil"/>
              <w:bottom w:val="nil"/>
              <w:right w:val="nil"/>
            </w:tcBorders>
            <w:shd w:val="clear" w:color="auto" w:fill="auto"/>
            <w:noWrap/>
            <w:vAlign w:val="center"/>
            <w:hideMark/>
          </w:tcPr>
          <w:p w14:paraId="5C99AF91"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663" w:type="dxa"/>
            <w:tcBorders>
              <w:top w:val="nil"/>
              <w:left w:val="nil"/>
              <w:bottom w:val="nil"/>
              <w:right w:val="single" w:sz="8" w:space="0" w:color="002060"/>
            </w:tcBorders>
            <w:shd w:val="clear" w:color="auto" w:fill="auto"/>
            <w:noWrap/>
            <w:vAlign w:val="center"/>
            <w:hideMark/>
          </w:tcPr>
          <w:p w14:paraId="0EF1441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eastAsia="Times New Roman" w:cstheme="minorHAnsi"/>
                <w:color w:val="FF0000"/>
                <w:sz w:val="18"/>
                <w:szCs w:val="18"/>
                <w:lang w:eastAsia="en-AU"/>
              </w:rPr>
              <w:t> </w:t>
            </w:r>
          </w:p>
        </w:tc>
      </w:tr>
      <w:tr w:rsidR="00AE564D" w:rsidRPr="005E2286" w14:paraId="57784776" w14:textId="77777777" w:rsidTr="005E2286">
        <w:trPr>
          <w:trHeight w:val="255"/>
          <w:jc w:val="center"/>
        </w:trPr>
        <w:tc>
          <w:tcPr>
            <w:tcW w:w="768" w:type="dxa"/>
            <w:vMerge/>
            <w:tcBorders>
              <w:top w:val="single" w:sz="8" w:space="0" w:color="002060"/>
              <w:left w:val="single" w:sz="8" w:space="0" w:color="002060"/>
              <w:bottom w:val="nil"/>
              <w:right w:val="single" w:sz="8" w:space="0" w:color="002060"/>
            </w:tcBorders>
            <w:vAlign w:val="center"/>
            <w:hideMark/>
          </w:tcPr>
          <w:p w14:paraId="49A09FDB"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32217E6F"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Moss Rd / Day Rd / Murchison</w:t>
            </w:r>
          </w:p>
        </w:tc>
        <w:tc>
          <w:tcPr>
            <w:tcW w:w="1008" w:type="dxa"/>
            <w:tcBorders>
              <w:top w:val="single" w:sz="8" w:space="0" w:color="002060"/>
              <w:left w:val="nil"/>
              <w:bottom w:val="nil"/>
              <w:right w:val="nil"/>
            </w:tcBorders>
            <w:shd w:val="clear" w:color="auto" w:fill="auto"/>
            <w:noWrap/>
            <w:vAlign w:val="center"/>
            <w:hideMark/>
          </w:tcPr>
          <w:p w14:paraId="49FC350D"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Very Low</w:t>
            </w:r>
          </w:p>
        </w:tc>
        <w:tc>
          <w:tcPr>
            <w:tcW w:w="551" w:type="dxa"/>
            <w:tcBorders>
              <w:top w:val="single" w:sz="8" w:space="0" w:color="002060"/>
              <w:left w:val="nil"/>
              <w:bottom w:val="nil"/>
              <w:right w:val="nil"/>
            </w:tcBorders>
            <w:shd w:val="clear" w:color="auto" w:fill="auto"/>
            <w:noWrap/>
            <w:vAlign w:val="center"/>
            <w:hideMark/>
          </w:tcPr>
          <w:p w14:paraId="6B8C0D8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42</w:t>
            </w:r>
          </w:p>
        </w:tc>
        <w:tc>
          <w:tcPr>
            <w:tcW w:w="663" w:type="dxa"/>
            <w:tcBorders>
              <w:top w:val="single" w:sz="8" w:space="0" w:color="002060"/>
              <w:left w:val="nil"/>
              <w:bottom w:val="nil"/>
              <w:right w:val="nil"/>
            </w:tcBorders>
            <w:shd w:val="clear" w:color="auto" w:fill="auto"/>
            <w:noWrap/>
            <w:vAlign w:val="center"/>
            <w:hideMark/>
          </w:tcPr>
          <w:p w14:paraId="76F11EF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695</w:t>
            </w:r>
          </w:p>
        </w:tc>
        <w:tc>
          <w:tcPr>
            <w:tcW w:w="842" w:type="dxa"/>
            <w:tcBorders>
              <w:top w:val="single" w:sz="8" w:space="0" w:color="002060"/>
              <w:left w:val="nil"/>
              <w:bottom w:val="nil"/>
              <w:right w:val="nil"/>
            </w:tcBorders>
            <w:shd w:val="clear" w:color="auto" w:fill="auto"/>
            <w:noWrap/>
            <w:vAlign w:val="center"/>
            <w:hideMark/>
          </w:tcPr>
          <w:p w14:paraId="1B3E831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146</w:t>
            </w:r>
          </w:p>
        </w:tc>
        <w:tc>
          <w:tcPr>
            <w:tcW w:w="663" w:type="dxa"/>
            <w:tcBorders>
              <w:top w:val="single" w:sz="8" w:space="0" w:color="002060"/>
              <w:left w:val="nil"/>
              <w:bottom w:val="nil"/>
              <w:right w:val="nil"/>
            </w:tcBorders>
            <w:shd w:val="clear" w:color="auto" w:fill="auto"/>
            <w:noWrap/>
            <w:vAlign w:val="center"/>
            <w:hideMark/>
          </w:tcPr>
          <w:p w14:paraId="4837BF3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469</w:t>
            </w:r>
          </w:p>
        </w:tc>
        <w:tc>
          <w:tcPr>
            <w:tcW w:w="663" w:type="dxa"/>
            <w:tcBorders>
              <w:top w:val="single" w:sz="8" w:space="0" w:color="002060"/>
              <w:left w:val="nil"/>
              <w:bottom w:val="nil"/>
              <w:right w:val="nil"/>
            </w:tcBorders>
            <w:shd w:val="clear" w:color="auto" w:fill="auto"/>
            <w:noWrap/>
            <w:vAlign w:val="center"/>
            <w:hideMark/>
          </w:tcPr>
          <w:p w14:paraId="1DB004E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868</w:t>
            </w:r>
          </w:p>
        </w:tc>
        <w:tc>
          <w:tcPr>
            <w:tcW w:w="776" w:type="dxa"/>
            <w:tcBorders>
              <w:top w:val="single" w:sz="8" w:space="0" w:color="002060"/>
              <w:left w:val="nil"/>
              <w:bottom w:val="nil"/>
              <w:right w:val="nil"/>
            </w:tcBorders>
            <w:shd w:val="clear" w:color="auto" w:fill="auto"/>
            <w:noWrap/>
            <w:vAlign w:val="center"/>
            <w:hideMark/>
          </w:tcPr>
          <w:p w14:paraId="04B94D9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683</w:t>
            </w:r>
          </w:p>
        </w:tc>
        <w:tc>
          <w:tcPr>
            <w:tcW w:w="663" w:type="dxa"/>
            <w:tcBorders>
              <w:top w:val="single" w:sz="8" w:space="0" w:color="002060"/>
              <w:left w:val="nil"/>
              <w:bottom w:val="nil"/>
              <w:right w:val="nil"/>
            </w:tcBorders>
            <w:shd w:val="clear" w:color="auto" w:fill="auto"/>
            <w:noWrap/>
            <w:vAlign w:val="center"/>
            <w:hideMark/>
          </w:tcPr>
          <w:p w14:paraId="53E35A3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545</w:t>
            </w:r>
          </w:p>
        </w:tc>
        <w:tc>
          <w:tcPr>
            <w:tcW w:w="663" w:type="dxa"/>
            <w:tcBorders>
              <w:top w:val="single" w:sz="8" w:space="0" w:color="002060"/>
              <w:left w:val="nil"/>
              <w:bottom w:val="nil"/>
              <w:right w:val="single" w:sz="8" w:space="0" w:color="002060"/>
            </w:tcBorders>
            <w:shd w:val="clear" w:color="auto" w:fill="auto"/>
            <w:noWrap/>
            <w:vAlign w:val="center"/>
            <w:hideMark/>
          </w:tcPr>
          <w:p w14:paraId="540A176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844</w:t>
            </w:r>
          </w:p>
        </w:tc>
        <w:tc>
          <w:tcPr>
            <w:tcW w:w="880" w:type="dxa"/>
            <w:vMerge/>
            <w:tcBorders>
              <w:top w:val="single" w:sz="8" w:space="0" w:color="002060"/>
              <w:left w:val="single" w:sz="8" w:space="0" w:color="002060"/>
              <w:bottom w:val="nil"/>
              <w:right w:val="single" w:sz="8" w:space="0" w:color="002060"/>
            </w:tcBorders>
            <w:vAlign w:val="center"/>
            <w:hideMark/>
          </w:tcPr>
          <w:p w14:paraId="22308F34"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single" w:sz="8" w:space="0" w:color="002060"/>
              <w:left w:val="nil"/>
              <w:bottom w:val="nil"/>
              <w:right w:val="nil"/>
            </w:tcBorders>
            <w:shd w:val="clear" w:color="auto" w:fill="auto"/>
            <w:noWrap/>
            <w:vAlign w:val="center"/>
            <w:hideMark/>
          </w:tcPr>
          <w:p w14:paraId="3BF28DF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30</w:t>
            </w:r>
          </w:p>
        </w:tc>
        <w:tc>
          <w:tcPr>
            <w:tcW w:w="663" w:type="dxa"/>
            <w:tcBorders>
              <w:top w:val="single" w:sz="8" w:space="0" w:color="002060"/>
              <w:left w:val="nil"/>
              <w:bottom w:val="nil"/>
              <w:right w:val="nil"/>
            </w:tcBorders>
            <w:shd w:val="clear" w:color="auto" w:fill="auto"/>
            <w:noWrap/>
            <w:vAlign w:val="center"/>
            <w:hideMark/>
          </w:tcPr>
          <w:p w14:paraId="633E036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778</w:t>
            </w:r>
          </w:p>
        </w:tc>
        <w:tc>
          <w:tcPr>
            <w:tcW w:w="894" w:type="dxa"/>
            <w:tcBorders>
              <w:top w:val="single" w:sz="8" w:space="0" w:color="002060"/>
              <w:left w:val="nil"/>
              <w:bottom w:val="nil"/>
              <w:right w:val="nil"/>
            </w:tcBorders>
            <w:shd w:val="clear" w:color="auto" w:fill="auto"/>
            <w:noWrap/>
            <w:vAlign w:val="center"/>
            <w:hideMark/>
          </w:tcPr>
          <w:p w14:paraId="5D15F7E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62</w:t>
            </w:r>
          </w:p>
        </w:tc>
        <w:tc>
          <w:tcPr>
            <w:tcW w:w="663" w:type="dxa"/>
            <w:tcBorders>
              <w:top w:val="single" w:sz="8" w:space="0" w:color="002060"/>
              <w:left w:val="nil"/>
              <w:bottom w:val="nil"/>
              <w:right w:val="nil"/>
            </w:tcBorders>
            <w:shd w:val="clear" w:color="auto" w:fill="auto"/>
            <w:noWrap/>
            <w:vAlign w:val="center"/>
            <w:hideMark/>
          </w:tcPr>
          <w:p w14:paraId="2ED48FE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702</w:t>
            </w:r>
          </w:p>
        </w:tc>
        <w:tc>
          <w:tcPr>
            <w:tcW w:w="663" w:type="dxa"/>
            <w:tcBorders>
              <w:top w:val="single" w:sz="8" w:space="0" w:color="002060"/>
              <w:left w:val="nil"/>
              <w:bottom w:val="nil"/>
              <w:right w:val="nil"/>
            </w:tcBorders>
            <w:shd w:val="clear" w:color="auto" w:fill="auto"/>
            <w:noWrap/>
            <w:vAlign w:val="center"/>
            <w:hideMark/>
          </w:tcPr>
          <w:p w14:paraId="2BA10D6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861</w:t>
            </w:r>
          </w:p>
        </w:tc>
        <w:tc>
          <w:tcPr>
            <w:tcW w:w="796" w:type="dxa"/>
            <w:tcBorders>
              <w:top w:val="single" w:sz="8" w:space="0" w:color="002060"/>
              <w:left w:val="nil"/>
              <w:bottom w:val="nil"/>
              <w:right w:val="nil"/>
            </w:tcBorders>
            <w:shd w:val="clear" w:color="auto" w:fill="auto"/>
            <w:noWrap/>
            <w:vAlign w:val="center"/>
            <w:hideMark/>
          </w:tcPr>
          <w:p w14:paraId="5C8BC74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791</w:t>
            </w:r>
          </w:p>
        </w:tc>
        <w:tc>
          <w:tcPr>
            <w:tcW w:w="663" w:type="dxa"/>
            <w:tcBorders>
              <w:top w:val="single" w:sz="8" w:space="0" w:color="002060"/>
              <w:left w:val="nil"/>
              <w:bottom w:val="nil"/>
              <w:right w:val="nil"/>
            </w:tcBorders>
            <w:shd w:val="clear" w:color="auto" w:fill="auto"/>
            <w:noWrap/>
            <w:vAlign w:val="center"/>
            <w:hideMark/>
          </w:tcPr>
          <w:p w14:paraId="7969356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710</w:t>
            </w:r>
          </w:p>
        </w:tc>
        <w:tc>
          <w:tcPr>
            <w:tcW w:w="663" w:type="dxa"/>
            <w:tcBorders>
              <w:top w:val="single" w:sz="8" w:space="0" w:color="002060"/>
              <w:left w:val="nil"/>
              <w:bottom w:val="nil"/>
              <w:right w:val="single" w:sz="8" w:space="0" w:color="002060"/>
            </w:tcBorders>
            <w:shd w:val="clear" w:color="auto" w:fill="auto"/>
            <w:noWrap/>
            <w:vAlign w:val="center"/>
            <w:hideMark/>
          </w:tcPr>
          <w:p w14:paraId="543384B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840</w:t>
            </w:r>
          </w:p>
        </w:tc>
      </w:tr>
      <w:tr w:rsidR="00AE564D" w:rsidRPr="005E2286" w14:paraId="4F919A10" w14:textId="77777777" w:rsidTr="005E2286">
        <w:trPr>
          <w:trHeight w:val="255"/>
          <w:jc w:val="center"/>
        </w:trPr>
        <w:tc>
          <w:tcPr>
            <w:tcW w:w="768" w:type="dxa"/>
            <w:vMerge/>
            <w:tcBorders>
              <w:top w:val="single" w:sz="8" w:space="0" w:color="002060"/>
              <w:left w:val="single" w:sz="8" w:space="0" w:color="002060"/>
              <w:bottom w:val="nil"/>
              <w:right w:val="single" w:sz="8" w:space="0" w:color="002060"/>
            </w:tcBorders>
            <w:vAlign w:val="center"/>
            <w:hideMark/>
          </w:tcPr>
          <w:p w14:paraId="3C5A5CEC"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71ABA884"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616CC789"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Mod Low</w:t>
            </w:r>
          </w:p>
        </w:tc>
        <w:tc>
          <w:tcPr>
            <w:tcW w:w="551" w:type="dxa"/>
            <w:tcBorders>
              <w:top w:val="nil"/>
              <w:left w:val="nil"/>
              <w:bottom w:val="nil"/>
              <w:right w:val="nil"/>
            </w:tcBorders>
            <w:shd w:val="clear" w:color="auto" w:fill="auto"/>
            <w:noWrap/>
            <w:vAlign w:val="center"/>
            <w:hideMark/>
          </w:tcPr>
          <w:p w14:paraId="252FCF1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33</w:t>
            </w:r>
          </w:p>
        </w:tc>
        <w:tc>
          <w:tcPr>
            <w:tcW w:w="663" w:type="dxa"/>
            <w:tcBorders>
              <w:top w:val="nil"/>
              <w:left w:val="nil"/>
              <w:bottom w:val="nil"/>
              <w:right w:val="nil"/>
            </w:tcBorders>
            <w:shd w:val="clear" w:color="auto" w:fill="auto"/>
            <w:noWrap/>
            <w:vAlign w:val="center"/>
            <w:hideMark/>
          </w:tcPr>
          <w:p w14:paraId="3627F2D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1109</w:t>
            </w:r>
          </w:p>
        </w:tc>
        <w:tc>
          <w:tcPr>
            <w:tcW w:w="842" w:type="dxa"/>
            <w:tcBorders>
              <w:top w:val="nil"/>
              <w:left w:val="nil"/>
              <w:bottom w:val="nil"/>
              <w:right w:val="nil"/>
            </w:tcBorders>
            <w:shd w:val="clear" w:color="auto" w:fill="auto"/>
            <w:noWrap/>
            <w:vAlign w:val="center"/>
            <w:hideMark/>
          </w:tcPr>
          <w:p w14:paraId="359C851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231</w:t>
            </w:r>
          </w:p>
        </w:tc>
        <w:tc>
          <w:tcPr>
            <w:tcW w:w="663" w:type="dxa"/>
            <w:tcBorders>
              <w:top w:val="nil"/>
              <w:left w:val="nil"/>
              <w:bottom w:val="nil"/>
              <w:right w:val="nil"/>
            </w:tcBorders>
            <w:shd w:val="clear" w:color="auto" w:fill="auto"/>
            <w:noWrap/>
            <w:vAlign w:val="center"/>
            <w:hideMark/>
          </w:tcPr>
          <w:p w14:paraId="50A997E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876</w:t>
            </w:r>
          </w:p>
        </w:tc>
        <w:tc>
          <w:tcPr>
            <w:tcW w:w="663" w:type="dxa"/>
            <w:tcBorders>
              <w:top w:val="nil"/>
              <w:left w:val="nil"/>
              <w:bottom w:val="nil"/>
              <w:right w:val="nil"/>
            </w:tcBorders>
            <w:shd w:val="clear" w:color="auto" w:fill="auto"/>
            <w:noWrap/>
            <w:vAlign w:val="center"/>
            <w:hideMark/>
          </w:tcPr>
          <w:p w14:paraId="1535FBC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1698</w:t>
            </w:r>
          </w:p>
        </w:tc>
        <w:tc>
          <w:tcPr>
            <w:tcW w:w="776" w:type="dxa"/>
            <w:tcBorders>
              <w:top w:val="nil"/>
              <w:left w:val="nil"/>
              <w:bottom w:val="nil"/>
              <w:right w:val="nil"/>
            </w:tcBorders>
            <w:shd w:val="clear" w:color="auto" w:fill="auto"/>
            <w:noWrap/>
            <w:vAlign w:val="center"/>
            <w:hideMark/>
          </w:tcPr>
          <w:p w14:paraId="53098A6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976</w:t>
            </w:r>
          </w:p>
        </w:tc>
        <w:tc>
          <w:tcPr>
            <w:tcW w:w="663" w:type="dxa"/>
            <w:tcBorders>
              <w:top w:val="nil"/>
              <w:left w:val="nil"/>
              <w:bottom w:val="nil"/>
              <w:right w:val="nil"/>
            </w:tcBorders>
            <w:shd w:val="clear" w:color="auto" w:fill="auto"/>
            <w:noWrap/>
            <w:vAlign w:val="center"/>
            <w:hideMark/>
          </w:tcPr>
          <w:p w14:paraId="300EEA8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949</w:t>
            </w:r>
          </w:p>
        </w:tc>
        <w:tc>
          <w:tcPr>
            <w:tcW w:w="663" w:type="dxa"/>
            <w:tcBorders>
              <w:top w:val="nil"/>
              <w:left w:val="nil"/>
              <w:bottom w:val="nil"/>
              <w:right w:val="single" w:sz="8" w:space="0" w:color="002060"/>
            </w:tcBorders>
            <w:shd w:val="clear" w:color="auto" w:fill="auto"/>
            <w:noWrap/>
            <w:vAlign w:val="center"/>
            <w:hideMark/>
          </w:tcPr>
          <w:p w14:paraId="474832D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1255</w:t>
            </w:r>
          </w:p>
        </w:tc>
        <w:tc>
          <w:tcPr>
            <w:tcW w:w="880" w:type="dxa"/>
            <w:vMerge/>
            <w:tcBorders>
              <w:top w:val="single" w:sz="8" w:space="0" w:color="002060"/>
              <w:left w:val="single" w:sz="8" w:space="0" w:color="002060"/>
              <w:bottom w:val="nil"/>
              <w:right w:val="single" w:sz="8" w:space="0" w:color="002060"/>
            </w:tcBorders>
            <w:vAlign w:val="center"/>
            <w:hideMark/>
          </w:tcPr>
          <w:p w14:paraId="37D2DD89"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2F89A78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164</w:t>
            </w:r>
          </w:p>
        </w:tc>
        <w:tc>
          <w:tcPr>
            <w:tcW w:w="663" w:type="dxa"/>
            <w:tcBorders>
              <w:top w:val="nil"/>
              <w:left w:val="nil"/>
              <w:bottom w:val="nil"/>
              <w:right w:val="nil"/>
            </w:tcBorders>
            <w:shd w:val="clear" w:color="auto" w:fill="auto"/>
            <w:noWrap/>
            <w:vAlign w:val="center"/>
            <w:hideMark/>
          </w:tcPr>
          <w:p w14:paraId="4EED19A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1240</w:t>
            </w:r>
          </w:p>
        </w:tc>
        <w:tc>
          <w:tcPr>
            <w:tcW w:w="894" w:type="dxa"/>
            <w:tcBorders>
              <w:top w:val="nil"/>
              <w:left w:val="nil"/>
              <w:bottom w:val="nil"/>
              <w:right w:val="nil"/>
            </w:tcBorders>
            <w:shd w:val="clear" w:color="auto" w:fill="auto"/>
            <w:noWrap/>
            <w:vAlign w:val="center"/>
            <w:hideMark/>
          </w:tcPr>
          <w:p w14:paraId="78FDB7D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210</w:t>
            </w:r>
          </w:p>
        </w:tc>
        <w:tc>
          <w:tcPr>
            <w:tcW w:w="663" w:type="dxa"/>
            <w:tcBorders>
              <w:top w:val="nil"/>
              <w:left w:val="nil"/>
              <w:bottom w:val="nil"/>
              <w:right w:val="nil"/>
            </w:tcBorders>
            <w:shd w:val="clear" w:color="auto" w:fill="auto"/>
            <w:noWrap/>
            <w:vAlign w:val="center"/>
            <w:hideMark/>
          </w:tcPr>
          <w:p w14:paraId="3882985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870</w:t>
            </w:r>
          </w:p>
        </w:tc>
        <w:tc>
          <w:tcPr>
            <w:tcW w:w="663" w:type="dxa"/>
            <w:tcBorders>
              <w:top w:val="nil"/>
              <w:left w:val="nil"/>
              <w:bottom w:val="nil"/>
              <w:right w:val="nil"/>
            </w:tcBorders>
            <w:shd w:val="clear" w:color="auto" w:fill="auto"/>
            <w:noWrap/>
            <w:vAlign w:val="center"/>
            <w:hideMark/>
          </w:tcPr>
          <w:p w14:paraId="051ADE0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1747</w:t>
            </w:r>
          </w:p>
        </w:tc>
        <w:tc>
          <w:tcPr>
            <w:tcW w:w="796" w:type="dxa"/>
            <w:tcBorders>
              <w:top w:val="nil"/>
              <w:left w:val="nil"/>
              <w:bottom w:val="nil"/>
              <w:right w:val="nil"/>
            </w:tcBorders>
            <w:shd w:val="clear" w:color="auto" w:fill="auto"/>
            <w:noWrap/>
            <w:vAlign w:val="center"/>
            <w:hideMark/>
          </w:tcPr>
          <w:p w14:paraId="72C3A02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1257</w:t>
            </w:r>
          </w:p>
        </w:tc>
        <w:tc>
          <w:tcPr>
            <w:tcW w:w="663" w:type="dxa"/>
            <w:tcBorders>
              <w:top w:val="nil"/>
              <w:left w:val="nil"/>
              <w:bottom w:val="nil"/>
              <w:right w:val="nil"/>
            </w:tcBorders>
            <w:shd w:val="clear" w:color="auto" w:fill="auto"/>
            <w:noWrap/>
            <w:vAlign w:val="center"/>
            <w:hideMark/>
          </w:tcPr>
          <w:p w14:paraId="55E3150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1095</w:t>
            </w:r>
          </w:p>
        </w:tc>
        <w:tc>
          <w:tcPr>
            <w:tcW w:w="663" w:type="dxa"/>
            <w:tcBorders>
              <w:top w:val="nil"/>
              <w:left w:val="nil"/>
              <w:bottom w:val="nil"/>
              <w:right w:val="single" w:sz="8" w:space="0" w:color="002060"/>
            </w:tcBorders>
            <w:shd w:val="clear" w:color="auto" w:fill="auto"/>
            <w:noWrap/>
            <w:vAlign w:val="center"/>
            <w:hideMark/>
          </w:tcPr>
          <w:p w14:paraId="03AAEEA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1380</w:t>
            </w:r>
          </w:p>
        </w:tc>
      </w:tr>
      <w:tr w:rsidR="00AE564D" w:rsidRPr="005E2286" w14:paraId="610A57E3" w14:textId="77777777" w:rsidTr="005E2286">
        <w:trPr>
          <w:trHeight w:val="255"/>
          <w:jc w:val="center"/>
        </w:trPr>
        <w:tc>
          <w:tcPr>
            <w:tcW w:w="768" w:type="dxa"/>
            <w:vMerge/>
            <w:tcBorders>
              <w:top w:val="single" w:sz="8" w:space="0" w:color="002060"/>
              <w:left w:val="single" w:sz="8" w:space="0" w:color="002060"/>
              <w:bottom w:val="nil"/>
              <w:right w:val="single" w:sz="8" w:space="0" w:color="002060"/>
            </w:tcBorders>
            <w:vAlign w:val="center"/>
            <w:hideMark/>
          </w:tcPr>
          <w:p w14:paraId="1FD03028"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10D427EE"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360C8E2F"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Low Fresh</w:t>
            </w:r>
          </w:p>
        </w:tc>
        <w:tc>
          <w:tcPr>
            <w:tcW w:w="551" w:type="dxa"/>
            <w:tcBorders>
              <w:top w:val="nil"/>
              <w:left w:val="nil"/>
              <w:bottom w:val="nil"/>
              <w:right w:val="nil"/>
            </w:tcBorders>
            <w:shd w:val="clear" w:color="auto" w:fill="auto"/>
            <w:noWrap/>
            <w:vAlign w:val="center"/>
            <w:hideMark/>
          </w:tcPr>
          <w:p w14:paraId="1AB767CF" w14:textId="77777777" w:rsidR="00AE564D" w:rsidRPr="005E2286" w:rsidRDefault="00AE564D" w:rsidP="00E26D3C">
            <w:pPr>
              <w:spacing w:after="0" w:line="240" w:lineRule="auto"/>
              <w:jc w:val="center"/>
              <w:rPr>
                <w:rFonts w:eastAsia="Times New Roman" w:cstheme="minorHAnsi"/>
                <w:color w:val="000000" w:themeColor="text1"/>
                <w:sz w:val="18"/>
                <w:szCs w:val="18"/>
                <w:lang w:eastAsia="en-AU"/>
              </w:rPr>
            </w:pPr>
            <w:r w:rsidRPr="005E2286">
              <w:rPr>
                <w:rFonts w:cstheme="minorHAnsi"/>
                <w:color w:val="000000" w:themeColor="text1"/>
                <w:sz w:val="18"/>
                <w:szCs w:val="18"/>
              </w:rPr>
              <w:t>29</w:t>
            </w:r>
          </w:p>
        </w:tc>
        <w:tc>
          <w:tcPr>
            <w:tcW w:w="663" w:type="dxa"/>
            <w:tcBorders>
              <w:top w:val="nil"/>
              <w:left w:val="nil"/>
              <w:bottom w:val="nil"/>
              <w:right w:val="nil"/>
            </w:tcBorders>
            <w:shd w:val="clear" w:color="auto" w:fill="auto"/>
            <w:noWrap/>
            <w:vAlign w:val="center"/>
            <w:hideMark/>
          </w:tcPr>
          <w:p w14:paraId="091635A9" w14:textId="77777777" w:rsidR="00AE564D" w:rsidRPr="005E2286" w:rsidRDefault="00AE564D" w:rsidP="00E26D3C">
            <w:pPr>
              <w:spacing w:after="0" w:line="240" w:lineRule="auto"/>
              <w:jc w:val="center"/>
              <w:rPr>
                <w:rFonts w:eastAsia="Times New Roman" w:cstheme="minorHAnsi"/>
                <w:color w:val="000000" w:themeColor="text1"/>
                <w:sz w:val="18"/>
                <w:szCs w:val="18"/>
                <w:lang w:eastAsia="en-AU"/>
              </w:rPr>
            </w:pPr>
            <w:r w:rsidRPr="005E2286">
              <w:rPr>
                <w:rFonts w:cstheme="minorHAnsi"/>
                <w:color w:val="000000" w:themeColor="text1"/>
                <w:sz w:val="18"/>
                <w:szCs w:val="18"/>
              </w:rPr>
              <w:t>2418</w:t>
            </w:r>
          </w:p>
        </w:tc>
        <w:tc>
          <w:tcPr>
            <w:tcW w:w="842" w:type="dxa"/>
            <w:tcBorders>
              <w:top w:val="nil"/>
              <w:left w:val="nil"/>
              <w:bottom w:val="nil"/>
              <w:right w:val="nil"/>
            </w:tcBorders>
            <w:shd w:val="clear" w:color="auto" w:fill="auto"/>
            <w:noWrap/>
            <w:vAlign w:val="center"/>
            <w:hideMark/>
          </w:tcPr>
          <w:p w14:paraId="3415567B" w14:textId="77777777" w:rsidR="00AE564D" w:rsidRPr="005E2286" w:rsidRDefault="00AE564D" w:rsidP="00E26D3C">
            <w:pPr>
              <w:spacing w:after="0" w:line="240" w:lineRule="auto"/>
              <w:jc w:val="center"/>
              <w:rPr>
                <w:rFonts w:eastAsia="Times New Roman" w:cstheme="minorHAnsi"/>
                <w:color w:val="000000" w:themeColor="text1"/>
                <w:sz w:val="18"/>
                <w:szCs w:val="18"/>
                <w:lang w:eastAsia="en-AU"/>
              </w:rPr>
            </w:pPr>
            <w:r w:rsidRPr="005E2286">
              <w:rPr>
                <w:rFonts w:cstheme="minorHAnsi"/>
                <w:color w:val="000000" w:themeColor="text1"/>
                <w:sz w:val="18"/>
                <w:szCs w:val="18"/>
              </w:rPr>
              <w:t>451</w:t>
            </w:r>
          </w:p>
        </w:tc>
        <w:tc>
          <w:tcPr>
            <w:tcW w:w="663" w:type="dxa"/>
            <w:tcBorders>
              <w:top w:val="nil"/>
              <w:left w:val="nil"/>
              <w:bottom w:val="nil"/>
              <w:right w:val="nil"/>
            </w:tcBorders>
            <w:shd w:val="clear" w:color="auto" w:fill="auto"/>
            <w:noWrap/>
            <w:vAlign w:val="center"/>
            <w:hideMark/>
          </w:tcPr>
          <w:p w14:paraId="31A38E77" w14:textId="77777777" w:rsidR="00AE564D" w:rsidRPr="005E2286" w:rsidRDefault="00AE564D" w:rsidP="00E26D3C">
            <w:pPr>
              <w:spacing w:after="0" w:line="240" w:lineRule="auto"/>
              <w:jc w:val="center"/>
              <w:rPr>
                <w:rFonts w:eastAsia="Times New Roman" w:cstheme="minorHAnsi"/>
                <w:color w:val="000000" w:themeColor="text1"/>
                <w:sz w:val="18"/>
                <w:szCs w:val="18"/>
                <w:lang w:eastAsia="en-AU"/>
              </w:rPr>
            </w:pPr>
            <w:r w:rsidRPr="005E2286">
              <w:rPr>
                <w:rFonts w:cstheme="minorHAnsi"/>
                <w:color w:val="000000" w:themeColor="text1"/>
                <w:sz w:val="18"/>
                <w:szCs w:val="18"/>
              </w:rPr>
              <w:t>1775</w:t>
            </w:r>
          </w:p>
        </w:tc>
        <w:tc>
          <w:tcPr>
            <w:tcW w:w="663" w:type="dxa"/>
            <w:tcBorders>
              <w:top w:val="nil"/>
              <w:left w:val="nil"/>
              <w:bottom w:val="nil"/>
              <w:right w:val="nil"/>
            </w:tcBorders>
            <w:shd w:val="clear" w:color="auto" w:fill="auto"/>
            <w:noWrap/>
            <w:vAlign w:val="center"/>
            <w:hideMark/>
          </w:tcPr>
          <w:p w14:paraId="6A9D46A4" w14:textId="77777777" w:rsidR="00AE564D" w:rsidRPr="005E2286" w:rsidRDefault="00AE564D" w:rsidP="00E26D3C">
            <w:pPr>
              <w:spacing w:after="0" w:line="240" w:lineRule="auto"/>
              <w:jc w:val="center"/>
              <w:rPr>
                <w:rFonts w:eastAsia="Times New Roman" w:cstheme="minorHAnsi"/>
                <w:color w:val="000000" w:themeColor="text1"/>
                <w:sz w:val="18"/>
                <w:szCs w:val="18"/>
                <w:lang w:eastAsia="en-AU"/>
              </w:rPr>
            </w:pPr>
            <w:r w:rsidRPr="005E2286">
              <w:rPr>
                <w:rFonts w:cstheme="minorHAnsi"/>
                <w:color w:val="000000" w:themeColor="text1"/>
                <w:sz w:val="18"/>
                <w:szCs w:val="18"/>
              </w:rPr>
              <w:t>3196</w:t>
            </w:r>
          </w:p>
        </w:tc>
        <w:tc>
          <w:tcPr>
            <w:tcW w:w="776" w:type="dxa"/>
            <w:tcBorders>
              <w:top w:val="nil"/>
              <w:left w:val="nil"/>
              <w:bottom w:val="nil"/>
              <w:right w:val="nil"/>
            </w:tcBorders>
            <w:shd w:val="clear" w:color="auto" w:fill="auto"/>
            <w:noWrap/>
            <w:vAlign w:val="center"/>
            <w:hideMark/>
          </w:tcPr>
          <w:p w14:paraId="2EABF27F" w14:textId="77777777" w:rsidR="00AE564D" w:rsidRPr="005E2286" w:rsidRDefault="00AE564D" w:rsidP="00E26D3C">
            <w:pPr>
              <w:spacing w:after="0" w:line="240" w:lineRule="auto"/>
              <w:jc w:val="center"/>
              <w:rPr>
                <w:rFonts w:eastAsia="Times New Roman" w:cstheme="minorHAnsi"/>
                <w:color w:val="000000" w:themeColor="text1"/>
                <w:sz w:val="18"/>
                <w:szCs w:val="18"/>
                <w:lang w:eastAsia="en-AU"/>
              </w:rPr>
            </w:pPr>
            <w:r w:rsidRPr="005E2286">
              <w:rPr>
                <w:rFonts w:cstheme="minorHAnsi"/>
                <w:color w:val="000000" w:themeColor="text1"/>
                <w:sz w:val="18"/>
                <w:szCs w:val="18"/>
              </w:rPr>
              <w:t>2283</w:t>
            </w:r>
          </w:p>
        </w:tc>
        <w:tc>
          <w:tcPr>
            <w:tcW w:w="663" w:type="dxa"/>
            <w:tcBorders>
              <w:top w:val="nil"/>
              <w:left w:val="nil"/>
              <w:bottom w:val="nil"/>
              <w:right w:val="nil"/>
            </w:tcBorders>
            <w:shd w:val="clear" w:color="auto" w:fill="auto"/>
            <w:noWrap/>
            <w:vAlign w:val="center"/>
            <w:hideMark/>
          </w:tcPr>
          <w:p w14:paraId="1582C1B7" w14:textId="77777777" w:rsidR="00AE564D" w:rsidRPr="005E2286" w:rsidRDefault="00AE564D" w:rsidP="00E26D3C">
            <w:pPr>
              <w:spacing w:after="0" w:line="240" w:lineRule="auto"/>
              <w:jc w:val="center"/>
              <w:rPr>
                <w:rFonts w:eastAsia="Times New Roman" w:cstheme="minorHAnsi"/>
                <w:color w:val="000000" w:themeColor="text1"/>
                <w:sz w:val="18"/>
                <w:szCs w:val="18"/>
                <w:lang w:eastAsia="en-AU"/>
              </w:rPr>
            </w:pPr>
            <w:r w:rsidRPr="005E2286">
              <w:rPr>
                <w:rFonts w:cstheme="minorHAnsi"/>
                <w:color w:val="000000" w:themeColor="text1"/>
                <w:sz w:val="18"/>
                <w:szCs w:val="18"/>
              </w:rPr>
              <w:t>2028</w:t>
            </w:r>
          </w:p>
        </w:tc>
        <w:tc>
          <w:tcPr>
            <w:tcW w:w="663" w:type="dxa"/>
            <w:tcBorders>
              <w:top w:val="nil"/>
              <w:left w:val="nil"/>
              <w:bottom w:val="nil"/>
              <w:right w:val="single" w:sz="8" w:space="0" w:color="002060"/>
            </w:tcBorders>
            <w:shd w:val="clear" w:color="auto" w:fill="auto"/>
            <w:noWrap/>
            <w:vAlign w:val="center"/>
            <w:hideMark/>
          </w:tcPr>
          <w:p w14:paraId="544E3935" w14:textId="77777777" w:rsidR="00AE564D" w:rsidRPr="005E2286" w:rsidRDefault="00AE564D" w:rsidP="00E26D3C">
            <w:pPr>
              <w:spacing w:after="0" w:line="240" w:lineRule="auto"/>
              <w:jc w:val="center"/>
              <w:rPr>
                <w:rFonts w:eastAsia="Times New Roman" w:cstheme="minorHAnsi"/>
                <w:color w:val="000000" w:themeColor="text1"/>
                <w:sz w:val="18"/>
                <w:szCs w:val="18"/>
                <w:lang w:eastAsia="en-AU"/>
              </w:rPr>
            </w:pPr>
            <w:r w:rsidRPr="005E2286">
              <w:rPr>
                <w:rFonts w:cstheme="minorHAnsi"/>
                <w:color w:val="000000" w:themeColor="text1"/>
                <w:sz w:val="18"/>
                <w:szCs w:val="18"/>
              </w:rPr>
              <w:t>2833</w:t>
            </w:r>
          </w:p>
        </w:tc>
        <w:tc>
          <w:tcPr>
            <w:tcW w:w="880" w:type="dxa"/>
            <w:vMerge/>
            <w:tcBorders>
              <w:top w:val="single" w:sz="8" w:space="0" w:color="002060"/>
              <w:left w:val="single" w:sz="8" w:space="0" w:color="002060"/>
              <w:bottom w:val="nil"/>
              <w:right w:val="single" w:sz="8" w:space="0" w:color="002060"/>
            </w:tcBorders>
            <w:vAlign w:val="center"/>
            <w:hideMark/>
          </w:tcPr>
          <w:p w14:paraId="57F59B24"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044D9BB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84</w:t>
            </w:r>
          </w:p>
        </w:tc>
        <w:tc>
          <w:tcPr>
            <w:tcW w:w="663" w:type="dxa"/>
            <w:tcBorders>
              <w:top w:val="nil"/>
              <w:left w:val="nil"/>
              <w:bottom w:val="nil"/>
              <w:right w:val="nil"/>
            </w:tcBorders>
            <w:shd w:val="clear" w:color="auto" w:fill="auto"/>
            <w:noWrap/>
            <w:vAlign w:val="center"/>
            <w:hideMark/>
          </w:tcPr>
          <w:p w14:paraId="305B2A4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2580</w:t>
            </w:r>
          </w:p>
        </w:tc>
        <w:tc>
          <w:tcPr>
            <w:tcW w:w="894" w:type="dxa"/>
            <w:tcBorders>
              <w:top w:val="nil"/>
              <w:left w:val="nil"/>
              <w:bottom w:val="nil"/>
              <w:right w:val="nil"/>
            </w:tcBorders>
            <w:shd w:val="clear" w:color="auto" w:fill="auto"/>
            <w:noWrap/>
            <w:vAlign w:val="center"/>
            <w:hideMark/>
          </w:tcPr>
          <w:p w14:paraId="3470954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424</w:t>
            </w:r>
          </w:p>
        </w:tc>
        <w:tc>
          <w:tcPr>
            <w:tcW w:w="663" w:type="dxa"/>
            <w:tcBorders>
              <w:top w:val="nil"/>
              <w:left w:val="nil"/>
              <w:bottom w:val="nil"/>
              <w:right w:val="nil"/>
            </w:tcBorders>
            <w:shd w:val="clear" w:color="auto" w:fill="auto"/>
            <w:noWrap/>
            <w:vAlign w:val="center"/>
            <w:hideMark/>
          </w:tcPr>
          <w:p w14:paraId="5E1B3E7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1785</w:t>
            </w:r>
          </w:p>
        </w:tc>
        <w:tc>
          <w:tcPr>
            <w:tcW w:w="663" w:type="dxa"/>
            <w:tcBorders>
              <w:top w:val="nil"/>
              <w:left w:val="nil"/>
              <w:bottom w:val="nil"/>
              <w:right w:val="nil"/>
            </w:tcBorders>
            <w:shd w:val="clear" w:color="auto" w:fill="auto"/>
            <w:noWrap/>
            <w:vAlign w:val="center"/>
            <w:hideMark/>
          </w:tcPr>
          <w:p w14:paraId="5639847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3150</w:t>
            </w:r>
          </w:p>
        </w:tc>
        <w:tc>
          <w:tcPr>
            <w:tcW w:w="796" w:type="dxa"/>
            <w:tcBorders>
              <w:top w:val="nil"/>
              <w:left w:val="nil"/>
              <w:bottom w:val="nil"/>
              <w:right w:val="nil"/>
            </w:tcBorders>
            <w:shd w:val="clear" w:color="auto" w:fill="auto"/>
            <w:noWrap/>
            <w:vAlign w:val="center"/>
            <w:hideMark/>
          </w:tcPr>
          <w:p w14:paraId="779B025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2640</w:t>
            </w:r>
          </w:p>
        </w:tc>
        <w:tc>
          <w:tcPr>
            <w:tcW w:w="663" w:type="dxa"/>
            <w:tcBorders>
              <w:top w:val="nil"/>
              <w:left w:val="nil"/>
              <w:bottom w:val="nil"/>
              <w:right w:val="nil"/>
            </w:tcBorders>
            <w:shd w:val="clear" w:color="auto" w:fill="auto"/>
            <w:noWrap/>
            <w:vAlign w:val="center"/>
            <w:hideMark/>
          </w:tcPr>
          <w:p w14:paraId="10B5F09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2259</w:t>
            </w:r>
          </w:p>
        </w:tc>
        <w:tc>
          <w:tcPr>
            <w:tcW w:w="663" w:type="dxa"/>
            <w:tcBorders>
              <w:top w:val="nil"/>
              <w:left w:val="nil"/>
              <w:bottom w:val="nil"/>
              <w:right w:val="single" w:sz="8" w:space="0" w:color="002060"/>
            </w:tcBorders>
            <w:shd w:val="clear" w:color="auto" w:fill="auto"/>
            <w:noWrap/>
            <w:vAlign w:val="center"/>
            <w:hideMark/>
          </w:tcPr>
          <w:p w14:paraId="2EDCA09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2985</w:t>
            </w:r>
          </w:p>
        </w:tc>
      </w:tr>
      <w:tr w:rsidR="00AE564D" w:rsidRPr="005E2286" w14:paraId="572DD348" w14:textId="77777777" w:rsidTr="005E2286">
        <w:trPr>
          <w:trHeight w:val="255"/>
          <w:jc w:val="center"/>
        </w:trPr>
        <w:tc>
          <w:tcPr>
            <w:tcW w:w="768" w:type="dxa"/>
            <w:vMerge/>
            <w:tcBorders>
              <w:top w:val="single" w:sz="8" w:space="0" w:color="002060"/>
              <w:left w:val="single" w:sz="8" w:space="0" w:color="002060"/>
              <w:bottom w:val="nil"/>
              <w:right w:val="single" w:sz="8" w:space="0" w:color="002060"/>
            </w:tcBorders>
            <w:vAlign w:val="center"/>
            <w:hideMark/>
          </w:tcPr>
          <w:p w14:paraId="64DA89C9"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2EE4DA8F"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single" w:sz="8" w:space="0" w:color="002060"/>
              <w:right w:val="nil"/>
            </w:tcBorders>
            <w:shd w:val="clear" w:color="auto" w:fill="auto"/>
            <w:noWrap/>
            <w:vAlign w:val="center"/>
            <w:hideMark/>
          </w:tcPr>
          <w:p w14:paraId="1CA16110"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Med Fresh</w:t>
            </w:r>
          </w:p>
        </w:tc>
        <w:tc>
          <w:tcPr>
            <w:tcW w:w="551" w:type="dxa"/>
            <w:tcBorders>
              <w:top w:val="nil"/>
              <w:left w:val="nil"/>
              <w:bottom w:val="single" w:sz="8" w:space="0" w:color="002060"/>
              <w:right w:val="nil"/>
            </w:tcBorders>
            <w:shd w:val="clear" w:color="auto" w:fill="auto"/>
            <w:noWrap/>
            <w:vAlign w:val="center"/>
            <w:hideMark/>
          </w:tcPr>
          <w:p w14:paraId="761576B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22</w:t>
            </w:r>
          </w:p>
        </w:tc>
        <w:tc>
          <w:tcPr>
            <w:tcW w:w="663" w:type="dxa"/>
            <w:tcBorders>
              <w:top w:val="nil"/>
              <w:left w:val="nil"/>
              <w:bottom w:val="single" w:sz="8" w:space="0" w:color="002060"/>
              <w:right w:val="nil"/>
            </w:tcBorders>
            <w:shd w:val="clear" w:color="auto" w:fill="auto"/>
            <w:noWrap/>
            <w:vAlign w:val="center"/>
            <w:hideMark/>
          </w:tcPr>
          <w:p w14:paraId="3078CE8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5576</w:t>
            </w:r>
          </w:p>
        </w:tc>
        <w:tc>
          <w:tcPr>
            <w:tcW w:w="842" w:type="dxa"/>
            <w:tcBorders>
              <w:top w:val="nil"/>
              <w:left w:val="nil"/>
              <w:bottom w:val="single" w:sz="8" w:space="0" w:color="002060"/>
              <w:right w:val="nil"/>
            </w:tcBorders>
            <w:shd w:val="clear" w:color="auto" w:fill="auto"/>
            <w:noWrap/>
            <w:vAlign w:val="center"/>
            <w:hideMark/>
          </w:tcPr>
          <w:p w14:paraId="259909B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1461</w:t>
            </w:r>
          </w:p>
        </w:tc>
        <w:tc>
          <w:tcPr>
            <w:tcW w:w="663" w:type="dxa"/>
            <w:tcBorders>
              <w:top w:val="nil"/>
              <w:left w:val="nil"/>
              <w:bottom w:val="single" w:sz="8" w:space="0" w:color="002060"/>
              <w:right w:val="nil"/>
            </w:tcBorders>
            <w:shd w:val="clear" w:color="auto" w:fill="auto"/>
            <w:noWrap/>
            <w:vAlign w:val="center"/>
            <w:hideMark/>
          </w:tcPr>
          <w:p w14:paraId="7B1642B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3272</w:t>
            </w:r>
          </w:p>
        </w:tc>
        <w:tc>
          <w:tcPr>
            <w:tcW w:w="663" w:type="dxa"/>
            <w:tcBorders>
              <w:top w:val="nil"/>
              <w:left w:val="nil"/>
              <w:bottom w:val="single" w:sz="8" w:space="0" w:color="002060"/>
              <w:right w:val="nil"/>
            </w:tcBorders>
            <w:shd w:val="clear" w:color="auto" w:fill="auto"/>
            <w:noWrap/>
            <w:vAlign w:val="center"/>
            <w:hideMark/>
          </w:tcPr>
          <w:p w14:paraId="200A37C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8071</w:t>
            </w:r>
          </w:p>
        </w:tc>
        <w:tc>
          <w:tcPr>
            <w:tcW w:w="776" w:type="dxa"/>
            <w:tcBorders>
              <w:top w:val="nil"/>
              <w:left w:val="nil"/>
              <w:bottom w:val="single" w:sz="8" w:space="0" w:color="002060"/>
              <w:right w:val="nil"/>
            </w:tcBorders>
            <w:shd w:val="clear" w:color="auto" w:fill="auto"/>
            <w:noWrap/>
            <w:vAlign w:val="center"/>
            <w:hideMark/>
          </w:tcPr>
          <w:p w14:paraId="430AAA4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5716</w:t>
            </w:r>
          </w:p>
        </w:tc>
        <w:tc>
          <w:tcPr>
            <w:tcW w:w="663" w:type="dxa"/>
            <w:tcBorders>
              <w:top w:val="nil"/>
              <w:left w:val="nil"/>
              <w:bottom w:val="single" w:sz="8" w:space="0" w:color="002060"/>
              <w:right w:val="nil"/>
            </w:tcBorders>
            <w:shd w:val="clear" w:color="auto" w:fill="auto"/>
            <w:noWrap/>
            <w:vAlign w:val="center"/>
            <w:hideMark/>
          </w:tcPr>
          <w:p w14:paraId="0B334F9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4505</w:t>
            </w:r>
          </w:p>
        </w:tc>
        <w:tc>
          <w:tcPr>
            <w:tcW w:w="663" w:type="dxa"/>
            <w:tcBorders>
              <w:top w:val="nil"/>
              <w:left w:val="nil"/>
              <w:bottom w:val="single" w:sz="8" w:space="0" w:color="002060"/>
              <w:right w:val="single" w:sz="8" w:space="0" w:color="002060"/>
            </w:tcBorders>
            <w:shd w:val="clear" w:color="auto" w:fill="auto"/>
            <w:noWrap/>
            <w:vAlign w:val="center"/>
            <w:hideMark/>
          </w:tcPr>
          <w:p w14:paraId="4A813FF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6789</w:t>
            </w:r>
          </w:p>
        </w:tc>
        <w:tc>
          <w:tcPr>
            <w:tcW w:w="880" w:type="dxa"/>
            <w:vMerge/>
            <w:tcBorders>
              <w:top w:val="single" w:sz="8" w:space="0" w:color="002060"/>
              <w:left w:val="single" w:sz="8" w:space="0" w:color="002060"/>
              <w:bottom w:val="nil"/>
              <w:right w:val="single" w:sz="8" w:space="0" w:color="002060"/>
            </w:tcBorders>
            <w:vAlign w:val="center"/>
            <w:hideMark/>
          </w:tcPr>
          <w:p w14:paraId="5B8037C7"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single" w:sz="8" w:space="0" w:color="002060"/>
              <w:right w:val="nil"/>
            </w:tcBorders>
            <w:shd w:val="clear" w:color="auto" w:fill="auto"/>
            <w:noWrap/>
            <w:vAlign w:val="center"/>
            <w:hideMark/>
          </w:tcPr>
          <w:p w14:paraId="60E8C4F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9</w:t>
            </w:r>
          </w:p>
        </w:tc>
        <w:tc>
          <w:tcPr>
            <w:tcW w:w="663" w:type="dxa"/>
            <w:tcBorders>
              <w:top w:val="nil"/>
              <w:left w:val="nil"/>
              <w:bottom w:val="single" w:sz="8" w:space="0" w:color="002060"/>
              <w:right w:val="nil"/>
            </w:tcBorders>
            <w:shd w:val="clear" w:color="auto" w:fill="auto"/>
            <w:noWrap/>
            <w:vAlign w:val="center"/>
            <w:hideMark/>
          </w:tcPr>
          <w:p w14:paraId="5CD8A18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3238</w:t>
            </w:r>
          </w:p>
        </w:tc>
        <w:tc>
          <w:tcPr>
            <w:tcW w:w="894" w:type="dxa"/>
            <w:tcBorders>
              <w:top w:val="nil"/>
              <w:left w:val="nil"/>
              <w:bottom w:val="single" w:sz="8" w:space="0" w:color="002060"/>
              <w:right w:val="nil"/>
            </w:tcBorders>
            <w:shd w:val="clear" w:color="auto" w:fill="auto"/>
            <w:noWrap/>
            <w:vAlign w:val="center"/>
            <w:hideMark/>
          </w:tcPr>
          <w:p w14:paraId="7DBA810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19</w:t>
            </w:r>
          </w:p>
        </w:tc>
        <w:tc>
          <w:tcPr>
            <w:tcW w:w="663" w:type="dxa"/>
            <w:tcBorders>
              <w:top w:val="nil"/>
              <w:left w:val="nil"/>
              <w:bottom w:val="single" w:sz="8" w:space="0" w:color="002060"/>
              <w:right w:val="nil"/>
            </w:tcBorders>
            <w:shd w:val="clear" w:color="auto" w:fill="auto"/>
            <w:noWrap/>
            <w:vAlign w:val="center"/>
            <w:hideMark/>
          </w:tcPr>
          <w:p w14:paraId="76F5BFF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3211</w:t>
            </w:r>
          </w:p>
        </w:tc>
        <w:tc>
          <w:tcPr>
            <w:tcW w:w="663" w:type="dxa"/>
            <w:tcBorders>
              <w:top w:val="nil"/>
              <w:left w:val="nil"/>
              <w:bottom w:val="single" w:sz="8" w:space="0" w:color="002060"/>
              <w:right w:val="nil"/>
            </w:tcBorders>
            <w:shd w:val="clear" w:color="auto" w:fill="auto"/>
            <w:noWrap/>
            <w:vAlign w:val="center"/>
            <w:hideMark/>
          </w:tcPr>
          <w:p w14:paraId="4CD2447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3261</w:t>
            </w:r>
          </w:p>
        </w:tc>
        <w:tc>
          <w:tcPr>
            <w:tcW w:w="796" w:type="dxa"/>
            <w:tcBorders>
              <w:top w:val="nil"/>
              <w:left w:val="nil"/>
              <w:bottom w:val="single" w:sz="8" w:space="0" w:color="002060"/>
              <w:right w:val="nil"/>
            </w:tcBorders>
            <w:shd w:val="clear" w:color="auto" w:fill="auto"/>
            <w:noWrap/>
            <w:vAlign w:val="center"/>
            <w:hideMark/>
          </w:tcPr>
          <w:p w14:paraId="39996C1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3234</w:t>
            </w:r>
          </w:p>
        </w:tc>
        <w:tc>
          <w:tcPr>
            <w:tcW w:w="663" w:type="dxa"/>
            <w:tcBorders>
              <w:top w:val="nil"/>
              <w:left w:val="nil"/>
              <w:bottom w:val="single" w:sz="8" w:space="0" w:color="002060"/>
              <w:right w:val="nil"/>
            </w:tcBorders>
            <w:shd w:val="clear" w:color="auto" w:fill="auto"/>
            <w:noWrap/>
            <w:vAlign w:val="center"/>
            <w:hideMark/>
          </w:tcPr>
          <w:p w14:paraId="4DD36BB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3223</w:t>
            </w:r>
          </w:p>
        </w:tc>
        <w:tc>
          <w:tcPr>
            <w:tcW w:w="663" w:type="dxa"/>
            <w:tcBorders>
              <w:top w:val="nil"/>
              <w:left w:val="nil"/>
              <w:bottom w:val="single" w:sz="8" w:space="0" w:color="002060"/>
              <w:right w:val="single" w:sz="8" w:space="0" w:color="002060"/>
            </w:tcBorders>
            <w:shd w:val="clear" w:color="auto" w:fill="auto"/>
            <w:noWrap/>
            <w:vAlign w:val="center"/>
            <w:hideMark/>
          </w:tcPr>
          <w:p w14:paraId="42D742E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3260</w:t>
            </w:r>
          </w:p>
        </w:tc>
      </w:tr>
      <w:tr w:rsidR="00AE564D" w:rsidRPr="005E2286" w14:paraId="36563AD2" w14:textId="77777777" w:rsidTr="005E2286">
        <w:trPr>
          <w:trHeight w:val="255"/>
          <w:jc w:val="center"/>
        </w:trPr>
        <w:tc>
          <w:tcPr>
            <w:tcW w:w="768" w:type="dxa"/>
            <w:vMerge w:val="restart"/>
            <w:tcBorders>
              <w:top w:val="single" w:sz="8" w:space="0" w:color="FFFFFF"/>
              <w:left w:val="single" w:sz="8" w:space="0" w:color="002060"/>
              <w:bottom w:val="single" w:sz="8" w:space="0" w:color="002060"/>
              <w:right w:val="single" w:sz="8" w:space="0" w:color="002060"/>
            </w:tcBorders>
            <w:shd w:val="clear" w:color="000000" w:fill="002060"/>
            <w:noWrap/>
            <w:vAlign w:val="center"/>
            <w:hideMark/>
          </w:tcPr>
          <w:p w14:paraId="140F62AD"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Autumn</w:t>
            </w: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2D494171"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Arcadia Downs / Darcy's Track</w:t>
            </w:r>
          </w:p>
        </w:tc>
        <w:tc>
          <w:tcPr>
            <w:tcW w:w="1008" w:type="dxa"/>
            <w:tcBorders>
              <w:top w:val="nil"/>
              <w:left w:val="nil"/>
              <w:bottom w:val="nil"/>
              <w:right w:val="nil"/>
            </w:tcBorders>
            <w:shd w:val="clear" w:color="auto" w:fill="auto"/>
            <w:noWrap/>
            <w:vAlign w:val="center"/>
            <w:hideMark/>
          </w:tcPr>
          <w:p w14:paraId="6E606789"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Very Low</w:t>
            </w:r>
          </w:p>
        </w:tc>
        <w:tc>
          <w:tcPr>
            <w:tcW w:w="551" w:type="dxa"/>
            <w:tcBorders>
              <w:top w:val="nil"/>
              <w:left w:val="nil"/>
              <w:bottom w:val="nil"/>
              <w:right w:val="nil"/>
            </w:tcBorders>
            <w:shd w:val="clear" w:color="auto" w:fill="auto"/>
            <w:noWrap/>
            <w:vAlign w:val="center"/>
            <w:hideMark/>
          </w:tcPr>
          <w:p w14:paraId="0370EAA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eastAsia="Times New Roman" w:cstheme="minorHAnsi"/>
                <w:color w:val="000000" w:themeColor="text1"/>
                <w:sz w:val="18"/>
                <w:szCs w:val="18"/>
                <w:lang w:eastAsia="en-AU"/>
              </w:rPr>
              <w:t>1</w:t>
            </w:r>
          </w:p>
        </w:tc>
        <w:tc>
          <w:tcPr>
            <w:tcW w:w="663" w:type="dxa"/>
            <w:tcBorders>
              <w:top w:val="nil"/>
              <w:left w:val="nil"/>
              <w:bottom w:val="nil"/>
              <w:right w:val="nil"/>
            </w:tcBorders>
            <w:shd w:val="clear" w:color="auto" w:fill="auto"/>
            <w:noWrap/>
            <w:vAlign w:val="center"/>
          </w:tcPr>
          <w:p w14:paraId="1DE6FA7D"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842" w:type="dxa"/>
            <w:tcBorders>
              <w:top w:val="nil"/>
              <w:left w:val="nil"/>
              <w:bottom w:val="nil"/>
              <w:right w:val="nil"/>
            </w:tcBorders>
            <w:shd w:val="clear" w:color="auto" w:fill="auto"/>
            <w:noWrap/>
            <w:vAlign w:val="center"/>
          </w:tcPr>
          <w:p w14:paraId="41243D84"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663" w:type="dxa"/>
            <w:tcBorders>
              <w:top w:val="nil"/>
              <w:left w:val="nil"/>
              <w:bottom w:val="nil"/>
              <w:right w:val="nil"/>
            </w:tcBorders>
            <w:shd w:val="clear" w:color="auto" w:fill="auto"/>
            <w:noWrap/>
            <w:vAlign w:val="center"/>
          </w:tcPr>
          <w:p w14:paraId="2658BBF5"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663" w:type="dxa"/>
            <w:tcBorders>
              <w:top w:val="nil"/>
              <w:left w:val="nil"/>
              <w:bottom w:val="nil"/>
              <w:right w:val="nil"/>
            </w:tcBorders>
            <w:shd w:val="clear" w:color="auto" w:fill="auto"/>
            <w:noWrap/>
            <w:vAlign w:val="center"/>
          </w:tcPr>
          <w:p w14:paraId="352F7907"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776" w:type="dxa"/>
            <w:tcBorders>
              <w:top w:val="nil"/>
              <w:left w:val="nil"/>
              <w:bottom w:val="nil"/>
              <w:right w:val="nil"/>
            </w:tcBorders>
            <w:shd w:val="clear" w:color="auto" w:fill="auto"/>
            <w:noWrap/>
            <w:vAlign w:val="center"/>
          </w:tcPr>
          <w:p w14:paraId="7942BEE8"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663" w:type="dxa"/>
            <w:tcBorders>
              <w:top w:val="nil"/>
              <w:left w:val="nil"/>
              <w:bottom w:val="nil"/>
              <w:right w:val="nil"/>
            </w:tcBorders>
            <w:shd w:val="clear" w:color="auto" w:fill="auto"/>
            <w:noWrap/>
            <w:vAlign w:val="center"/>
          </w:tcPr>
          <w:p w14:paraId="10A2C16C"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663" w:type="dxa"/>
            <w:tcBorders>
              <w:top w:val="nil"/>
              <w:left w:val="nil"/>
              <w:bottom w:val="nil"/>
              <w:right w:val="single" w:sz="8" w:space="0" w:color="002060"/>
            </w:tcBorders>
            <w:shd w:val="clear" w:color="auto" w:fill="auto"/>
            <w:noWrap/>
            <w:vAlign w:val="center"/>
          </w:tcPr>
          <w:p w14:paraId="4EE2F884"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880" w:type="dxa"/>
            <w:vMerge w:val="restart"/>
            <w:tcBorders>
              <w:top w:val="single" w:sz="8" w:space="0" w:color="FFFFFF"/>
              <w:left w:val="single" w:sz="8" w:space="0" w:color="002060"/>
              <w:bottom w:val="single" w:sz="8" w:space="0" w:color="002060"/>
              <w:right w:val="single" w:sz="8" w:space="0" w:color="002060"/>
            </w:tcBorders>
            <w:shd w:val="clear" w:color="000000" w:fill="002060"/>
            <w:noWrap/>
            <w:vAlign w:val="center"/>
            <w:hideMark/>
          </w:tcPr>
          <w:p w14:paraId="7464C734" w14:textId="77777777" w:rsidR="00AE564D" w:rsidRPr="005E2286" w:rsidRDefault="00AE564D" w:rsidP="00E26D3C">
            <w:pPr>
              <w:spacing w:after="0" w:line="240" w:lineRule="auto"/>
              <w:jc w:val="center"/>
              <w:rPr>
                <w:rFonts w:eastAsia="Times New Roman" w:cstheme="minorHAnsi"/>
                <w:color w:val="FFFFFF"/>
                <w:sz w:val="18"/>
                <w:szCs w:val="18"/>
                <w:lang w:eastAsia="en-AU"/>
              </w:rPr>
            </w:pPr>
            <w:r w:rsidRPr="005E2286">
              <w:rPr>
                <w:rFonts w:eastAsia="Times New Roman" w:cstheme="minorHAnsi"/>
                <w:color w:val="FFFFFF"/>
                <w:sz w:val="18"/>
                <w:szCs w:val="18"/>
                <w:lang w:eastAsia="en-AU"/>
              </w:rPr>
              <w:t>Winter</w:t>
            </w:r>
          </w:p>
        </w:tc>
        <w:tc>
          <w:tcPr>
            <w:tcW w:w="551" w:type="dxa"/>
            <w:tcBorders>
              <w:top w:val="nil"/>
              <w:left w:val="nil"/>
              <w:bottom w:val="nil"/>
              <w:right w:val="nil"/>
            </w:tcBorders>
            <w:shd w:val="clear" w:color="auto" w:fill="auto"/>
            <w:noWrap/>
            <w:vAlign w:val="center"/>
            <w:hideMark/>
          </w:tcPr>
          <w:p w14:paraId="593AFB4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eastAsia="Times New Roman" w:cstheme="minorHAnsi"/>
                <w:color w:val="000000" w:themeColor="text1"/>
                <w:sz w:val="18"/>
                <w:szCs w:val="18"/>
                <w:lang w:eastAsia="en-AU"/>
              </w:rPr>
              <w:t>1</w:t>
            </w:r>
          </w:p>
        </w:tc>
        <w:tc>
          <w:tcPr>
            <w:tcW w:w="663" w:type="dxa"/>
            <w:tcBorders>
              <w:top w:val="nil"/>
              <w:left w:val="nil"/>
              <w:bottom w:val="nil"/>
              <w:right w:val="nil"/>
            </w:tcBorders>
            <w:shd w:val="clear" w:color="auto" w:fill="auto"/>
            <w:noWrap/>
            <w:vAlign w:val="center"/>
            <w:hideMark/>
          </w:tcPr>
          <w:p w14:paraId="46C656C4"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894" w:type="dxa"/>
            <w:tcBorders>
              <w:top w:val="nil"/>
              <w:left w:val="nil"/>
              <w:bottom w:val="nil"/>
              <w:right w:val="nil"/>
            </w:tcBorders>
            <w:shd w:val="clear" w:color="auto" w:fill="auto"/>
            <w:noWrap/>
            <w:vAlign w:val="center"/>
            <w:hideMark/>
          </w:tcPr>
          <w:p w14:paraId="41FB68BB"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663" w:type="dxa"/>
            <w:tcBorders>
              <w:top w:val="nil"/>
              <w:left w:val="nil"/>
              <w:bottom w:val="nil"/>
              <w:right w:val="nil"/>
            </w:tcBorders>
            <w:shd w:val="clear" w:color="auto" w:fill="auto"/>
            <w:noWrap/>
            <w:vAlign w:val="center"/>
            <w:hideMark/>
          </w:tcPr>
          <w:p w14:paraId="64EDAB5E"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663" w:type="dxa"/>
            <w:tcBorders>
              <w:top w:val="nil"/>
              <w:left w:val="nil"/>
              <w:bottom w:val="nil"/>
              <w:right w:val="nil"/>
            </w:tcBorders>
            <w:shd w:val="clear" w:color="auto" w:fill="auto"/>
            <w:noWrap/>
            <w:vAlign w:val="center"/>
            <w:hideMark/>
          </w:tcPr>
          <w:p w14:paraId="0CD42266"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796" w:type="dxa"/>
            <w:tcBorders>
              <w:top w:val="nil"/>
              <w:left w:val="nil"/>
              <w:bottom w:val="nil"/>
              <w:right w:val="nil"/>
            </w:tcBorders>
            <w:shd w:val="clear" w:color="auto" w:fill="auto"/>
            <w:noWrap/>
            <w:vAlign w:val="center"/>
            <w:hideMark/>
          </w:tcPr>
          <w:p w14:paraId="41385016"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663" w:type="dxa"/>
            <w:tcBorders>
              <w:top w:val="nil"/>
              <w:left w:val="nil"/>
              <w:bottom w:val="nil"/>
              <w:right w:val="nil"/>
            </w:tcBorders>
            <w:shd w:val="clear" w:color="auto" w:fill="auto"/>
            <w:noWrap/>
            <w:vAlign w:val="center"/>
            <w:hideMark/>
          </w:tcPr>
          <w:p w14:paraId="28653C34"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c>
          <w:tcPr>
            <w:tcW w:w="663" w:type="dxa"/>
            <w:tcBorders>
              <w:top w:val="nil"/>
              <w:left w:val="nil"/>
              <w:bottom w:val="nil"/>
              <w:right w:val="single" w:sz="8" w:space="0" w:color="002060"/>
            </w:tcBorders>
            <w:shd w:val="clear" w:color="auto" w:fill="auto"/>
            <w:noWrap/>
            <w:vAlign w:val="center"/>
            <w:hideMark/>
          </w:tcPr>
          <w:p w14:paraId="4EC3530F" w14:textId="77777777" w:rsidR="00AE564D" w:rsidRPr="005E2286" w:rsidRDefault="00AE564D" w:rsidP="00E26D3C">
            <w:pPr>
              <w:spacing w:after="0" w:line="240" w:lineRule="auto"/>
              <w:jc w:val="center"/>
              <w:rPr>
                <w:rFonts w:eastAsia="Times New Roman" w:cstheme="minorHAnsi"/>
                <w:color w:val="FF0000"/>
                <w:sz w:val="18"/>
                <w:szCs w:val="18"/>
                <w:lang w:eastAsia="en-AU"/>
              </w:rPr>
            </w:pPr>
          </w:p>
        </w:tc>
      </w:tr>
      <w:tr w:rsidR="00AE564D" w:rsidRPr="005E2286" w14:paraId="6660D4CE" w14:textId="77777777" w:rsidTr="005E2286">
        <w:trPr>
          <w:trHeight w:val="255"/>
          <w:jc w:val="center"/>
        </w:trPr>
        <w:tc>
          <w:tcPr>
            <w:tcW w:w="768" w:type="dxa"/>
            <w:vMerge/>
            <w:tcBorders>
              <w:top w:val="single" w:sz="8" w:space="0" w:color="FFFFFF"/>
              <w:left w:val="single" w:sz="8" w:space="0" w:color="002060"/>
              <w:bottom w:val="single" w:sz="8" w:space="0" w:color="002060"/>
              <w:right w:val="single" w:sz="8" w:space="0" w:color="002060"/>
            </w:tcBorders>
            <w:vAlign w:val="center"/>
            <w:hideMark/>
          </w:tcPr>
          <w:p w14:paraId="251B51FF"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242576F6"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4C516E3E"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Mod Low</w:t>
            </w:r>
          </w:p>
        </w:tc>
        <w:tc>
          <w:tcPr>
            <w:tcW w:w="551" w:type="dxa"/>
            <w:tcBorders>
              <w:top w:val="nil"/>
              <w:left w:val="nil"/>
              <w:bottom w:val="nil"/>
              <w:right w:val="nil"/>
            </w:tcBorders>
            <w:shd w:val="clear" w:color="auto" w:fill="auto"/>
            <w:noWrap/>
            <w:vAlign w:val="center"/>
            <w:hideMark/>
          </w:tcPr>
          <w:p w14:paraId="6AFF272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69</w:t>
            </w:r>
          </w:p>
        </w:tc>
        <w:tc>
          <w:tcPr>
            <w:tcW w:w="663" w:type="dxa"/>
            <w:tcBorders>
              <w:top w:val="nil"/>
              <w:left w:val="nil"/>
              <w:bottom w:val="nil"/>
              <w:right w:val="nil"/>
            </w:tcBorders>
            <w:shd w:val="clear" w:color="auto" w:fill="auto"/>
            <w:noWrap/>
            <w:vAlign w:val="center"/>
            <w:hideMark/>
          </w:tcPr>
          <w:p w14:paraId="598EBD5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1187</w:t>
            </w:r>
          </w:p>
        </w:tc>
        <w:tc>
          <w:tcPr>
            <w:tcW w:w="842" w:type="dxa"/>
            <w:tcBorders>
              <w:top w:val="nil"/>
              <w:left w:val="nil"/>
              <w:bottom w:val="nil"/>
              <w:right w:val="nil"/>
            </w:tcBorders>
            <w:shd w:val="clear" w:color="auto" w:fill="auto"/>
            <w:noWrap/>
            <w:vAlign w:val="center"/>
            <w:hideMark/>
          </w:tcPr>
          <w:p w14:paraId="5402A44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211</w:t>
            </w:r>
          </w:p>
        </w:tc>
        <w:tc>
          <w:tcPr>
            <w:tcW w:w="663" w:type="dxa"/>
            <w:tcBorders>
              <w:top w:val="nil"/>
              <w:left w:val="nil"/>
              <w:bottom w:val="nil"/>
              <w:right w:val="nil"/>
            </w:tcBorders>
            <w:shd w:val="clear" w:color="auto" w:fill="auto"/>
            <w:noWrap/>
            <w:vAlign w:val="center"/>
            <w:hideMark/>
          </w:tcPr>
          <w:p w14:paraId="0464D9F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917</w:t>
            </w:r>
          </w:p>
        </w:tc>
        <w:tc>
          <w:tcPr>
            <w:tcW w:w="663" w:type="dxa"/>
            <w:tcBorders>
              <w:top w:val="nil"/>
              <w:left w:val="nil"/>
              <w:bottom w:val="nil"/>
              <w:right w:val="nil"/>
            </w:tcBorders>
            <w:shd w:val="clear" w:color="auto" w:fill="auto"/>
            <w:noWrap/>
            <w:vAlign w:val="center"/>
            <w:hideMark/>
          </w:tcPr>
          <w:p w14:paraId="2C0A859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1689</w:t>
            </w:r>
          </w:p>
        </w:tc>
        <w:tc>
          <w:tcPr>
            <w:tcW w:w="776" w:type="dxa"/>
            <w:tcBorders>
              <w:top w:val="nil"/>
              <w:left w:val="nil"/>
              <w:bottom w:val="nil"/>
              <w:right w:val="nil"/>
            </w:tcBorders>
            <w:shd w:val="clear" w:color="auto" w:fill="auto"/>
            <w:noWrap/>
            <w:vAlign w:val="center"/>
            <w:hideMark/>
          </w:tcPr>
          <w:p w14:paraId="2AB4AA4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1105</w:t>
            </w:r>
          </w:p>
        </w:tc>
        <w:tc>
          <w:tcPr>
            <w:tcW w:w="663" w:type="dxa"/>
            <w:tcBorders>
              <w:top w:val="nil"/>
              <w:left w:val="nil"/>
              <w:bottom w:val="nil"/>
              <w:right w:val="nil"/>
            </w:tcBorders>
            <w:shd w:val="clear" w:color="auto" w:fill="auto"/>
            <w:noWrap/>
            <w:vAlign w:val="center"/>
            <w:hideMark/>
          </w:tcPr>
          <w:p w14:paraId="6FF65D1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1048</w:t>
            </w:r>
          </w:p>
        </w:tc>
        <w:tc>
          <w:tcPr>
            <w:tcW w:w="663" w:type="dxa"/>
            <w:tcBorders>
              <w:top w:val="nil"/>
              <w:left w:val="nil"/>
              <w:bottom w:val="nil"/>
              <w:right w:val="single" w:sz="8" w:space="0" w:color="002060"/>
            </w:tcBorders>
            <w:shd w:val="clear" w:color="auto" w:fill="auto"/>
            <w:noWrap/>
            <w:vAlign w:val="center"/>
            <w:hideMark/>
          </w:tcPr>
          <w:p w14:paraId="595ECEC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1328</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2530107F"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3FF5AE4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13</w:t>
            </w:r>
          </w:p>
        </w:tc>
        <w:tc>
          <w:tcPr>
            <w:tcW w:w="663" w:type="dxa"/>
            <w:tcBorders>
              <w:top w:val="nil"/>
              <w:left w:val="nil"/>
              <w:bottom w:val="nil"/>
              <w:right w:val="nil"/>
            </w:tcBorders>
            <w:shd w:val="clear" w:color="auto" w:fill="auto"/>
            <w:noWrap/>
            <w:vAlign w:val="center"/>
            <w:hideMark/>
          </w:tcPr>
          <w:p w14:paraId="4F2CBBD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1313</w:t>
            </w:r>
          </w:p>
        </w:tc>
        <w:tc>
          <w:tcPr>
            <w:tcW w:w="894" w:type="dxa"/>
            <w:tcBorders>
              <w:top w:val="nil"/>
              <w:left w:val="nil"/>
              <w:bottom w:val="nil"/>
              <w:right w:val="nil"/>
            </w:tcBorders>
            <w:shd w:val="clear" w:color="auto" w:fill="auto"/>
            <w:noWrap/>
            <w:vAlign w:val="center"/>
            <w:hideMark/>
          </w:tcPr>
          <w:p w14:paraId="022E978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198</w:t>
            </w:r>
          </w:p>
        </w:tc>
        <w:tc>
          <w:tcPr>
            <w:tcW w:w="663" w:type="dxa"/>
            <w:tcBorders>
              <w:top w:val="nil"/>
              <w:left w:val="nil"/>
              <w:bottom w:val="nil"/>
              <w:right w:val="nil"/>
            </w:tcBorders>
            <w:shd w:val="clear" w:color="auto" w:fill="auto"/>
            <w:noWrap/>
            <w:vAlign w:val="center"/>
            <w:hideMark/>
          </w:tcPr>
          <w:p w14:paraId="5077AB8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1099</w:t>
            </w:r>
          </w:p>
        </w:tc>
        <w:tc>
          <w:tcPr>
            <w:tcW w:w="663" w:type="dxa"/>
            <w:tcBorders>
              <w:top w:val="nil"/>
              <w:left w:val="nil"/>
              <w:bottom w:val="nil"/>
              <w:right w:val="nil"/>
            </w:tcBorders>
            <w:shd w:val="clear" w:color="auto" w:fill="auto"/>
            <w:noWrap/>
            <w:vAlign w:val="center"/>
            <w:hideMark/>
          </w:tcPr>
          <w:p w14:paraId="19FCF8B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1676</w:t>
            </w:r>
          </w:p>
        </w:tc>
        <w:tc>
          <w:tcPr>
            <w:tcW w:w="796" w:type="dxa"/>
            <w:tcBorders>
              <w:top w:val="nil"/>
              <w:left w:val="nil"/>
              <w:bottom w:val="nil"/>
              <w:right w:val="nil"/>
            </w:tcBorders>
            <w:shd w:val="clear" w:color="auto" w:fill="auto"/>
            <w:noWrap/>
            <w:vAlign w:val="center"/>
            <w:hideMark/>
          </w:tcPr>
          <w:p w14:paraId="18DE9A0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1218</w:t>
            </w:r>
          </w:p>
        </w:tc>
        <w:tc>
          <w:tcPr>
            <w:tcW w:w="663" w:type="dxa"/>
            <w:tcBorders>
              <w:top w:val="nil"/>
              <w:left w:val="nil"/>
              <w:bottom w:val="nil"/>
              <w:right w:val="nil"/>
            </w:tcBorders>
            <w:shd w:val="clear" w:color="auto" w:fill="auto"/>
            <w:noWrap/>
            <w:vAlign w:val="center"/>
            <w:hideMark/>
          </w:tcPr>
          <w:p w14:paraId="2EC83A6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1164</w:t>
            </w:r>
          </w:p>
        </w:tc>
        <w:tc>
          <w:tcPr>
            <w:tcW w:w="663" w:type="dxa"/>
            <w:tcBorders>
              <w:top w:val="nil"/>
              <w:left w:val="nil"/>
              <w:bottom w:val="nil"/>
              <w:right w:val="single" w:sz="8" w:space="0" w:color="002060"/>
            </w:tcBorders>
            <w:shd w:val="clear" w:color="auto" w:fill="auto"/>
            <w:noWrap/>
            <w:vAlign w:val="center"/>
            <w:hideMark/>
          </w:tcPr>
          <w:p w14:paraId="5274D01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1493</w:t>
            </w:r>
          </w:p>
        </w:tc>
      </w:tr>
      <w:tr w:rsidR="00AE564D" w:rsidRPr="005E2286" w14:paraId="077CC78F" w14:textId="77777777" w:rsidTr="005E2286">
        <w:trPr>
          <w:trHeight w:val="255"/>
          <w:jc w:val="center"/>
        </w:trPr>
        <w:tc>
          <w:tcPr>
            <w:tcW w:w="768" w:type="dxa"/>
            <w:vMerge/>
            <w:tcBorders>
              <w:top w:val="single" w:sz="8" w:space="0" w:color="FFFFFF"/>
              <w:left w:val="single" w:sz="8" w:space="0" w:color="002060"/>
              <w:bottom w:val="single" w:sz="8" w:space="0" w:color="002060"/>
              <w:right w:val="single" w:sz="8" w:space="0" w:color="002060"/>
            </w:tcBorders>
            <w:vAlign w:val="center"/>
            <w:hideMark/>
          </w:tcPr>
          <w:p w14:paraId="2BD0CEBC"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0497CB5B"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4E61195B"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Low Fresh</w:t>
            </w:r>
          </w:p>
        </w:tc>
        <w:tc>
          <w:tcPr>
            <w:tcW w:w="551" w:type="dxa"/>
            <w:tcBorders>
              <w:top w:val="nil"/>
              <w:left w:val="nil"/>
              <w:bottom w:val="nil"/>
              <w:right w:val="nil"/>
            </w:tcBorders>
            <w:shd w:val="clear" w:color="auto" w:fill="auto"/>
            <w:noWrap/>
            <w:vAlign w:val="center"/>
            <w:hideMark/>
          </w:tcPr>
          <w:p w14:paraId="7E1693D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14</w:t>
            </w:r>
          </w:p>
        </w:tc>
        <w:tc>
          <w:tcPr>
            <w:tcW w:w="663" w:type="dxa"/>
            <w:tcBorders>
              <w:top w:val="nil"/>
              <w:left w:val="nil"/>
              <w:bottom w:val="nil"/>
              <w:right w:val="nil"/>
            </w:tcBorders>
            <w:shd w:val="clear" w:color="auto" w:fill="auto"/>
            <w:noWrap/>
            <w:vAlign w:val="center"/>
            <w:hideMark/>
          </w:tcPr>
          <w:p w14:paraId="4332B2D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2266</w:t>
            </w:r>
          </w:p>
        </w:tc>
        <w:tc>
          <w:tcPr>
            <w:tcW w:w="842" w:type="dxa"/>
            <w:tcBorders>
              <w:top w:val="nil"/>
              <w:left w:val="nil"/>
              <w:bottom w:val="nil"/>
              <w:right w:val="nil"/>
            </w:tcBorders>
            <w:shd w:val="clear" w:color="auto" w:fill="auto"/>
            <w:noWrap/>
            <w:vAlign w:val="center"/>
            <w:hideMark/>
          </w:tcPr>
          <w:p w14:paraId="0B04A99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386</w:t>
            </w:r>
          </w:p>
        </w:tc>
        <w:tc>
          <w:tcPr>
            <w:tcW w:w="663" w:type="dxa"/>
            <w:tcBorders>
              <w:top w:val="nil"/>
              <w:left w:val="nil"/>
              <w:bottom w:val="nil"/>
              <w:right w:val="nil"/>
            </w:tcBorders>
            <w:shd w:val="clear" w:color="auto" w:fill="auto"/>
            <w:noWrap/>
            <w:vAlign w:val="center"/>
            <w:hideMark/>
          </w:tcPr>
          <w:p w14:paraId="4CEBEA5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1775</w:t>
            </w:r>
          </w:p>
        </w:tc>
        <w:tc>
          <w:tcPr>
            <w:tcW w:w="663" w:type="dxa"/>
            <w:tcBorders>
              <w:top w:val="nil"/>
              <w:left w:val="nil"/>
              <w:bottom w:val="nil"/>
              <w:right w:val="nil"/>
            </w:tcBorders>
            <w:shd w:val="clear" w:color="auto" w:fill="auto"/>
            <w:noWrap/>
            <w:vAlign w:val="center"/>
            <w:hideMark/>
          </w:tcPr>
          <w:p w14:paraId="118AD51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2957</w:t>
            </w:r>
          </w:p>
        </w:tc>
        <w:tc>
          <w:tcPr>
            <w:tcW w:w="776" w:type="dxa"/>
            <w:tcBorders>
              <w:top w:val="nil"/>
              <w:left w:val="nil"/>
              <w:bottom w:val="nil"/>
              <w:right w:val="nil"/>
            </w:tcBorders>
            <w:shd w:val="clear" w:color="auto" w:fill="auto"/>
            <w:noWrap/>
            <w:vAlign w:val="center"/>
            <w:hideMark/>
          </w:tcPr>
          <w:p w14:paraId="161CBA8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2198</w:t>
            </w:r>
          </w:p>
        </w:tc>
        <w:tc>
          <w:tcPr>
            <w:tcW w:w="663" w:type="dxa"/>
            <w:tcBorders>
              <w:top w:val="nil"/>
              <w:left w:val="nil"/>
              <w:bottom w:val="nil"/>
              <w:right w:val="nil"/>
            </w:tcBorders>
            <w:shd w:val="clear" w:color="auto" w:fill="auto"/>
            <w:noWrap/>
            <w:vAlign w:val="center"/>
            <w:hideMark/>
          </w:tcPr>
          <w:p w14:paraId="672BABB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1948</w:t>
            </w:r>
          </w:p>
        </w:tc>
        <w:tc>
          <w:tcPr>
            <w:tcW w:w="663" w:type="dxa"/>
            <w:tcBorders>
              <w:top w:val="nil"/>
              <w:left w:val="nil"/>
              <w:bottom w:val="nil"/>
              <w:right w:val="single" w:sz="8" w:space="0" w:color="002060"/>
            </w:tcBorders>
            <w:shd w:val="clear" w:color="auto" w:fill="auto"/>
            <w:noWrap/>
            <w:vAlign w:val="center"/>
            <w:hideMark/>
          </w:tcPr>
          <w:p w14:paraId="1167AF4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2715</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51BBECD1"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3178E65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12</w:t>
            </w:r>
          </w:p>
        </w:tc>
        <w:tc>
          <w:tcPr>
            <w:tcW w:w="663" w:type="dxa"/>
            <w:tcBorders>
              <w:top w:val="nil"/>
              <w:left w:val="nil"/>
              <w:bottom w:val="nil"/>
              <w:right w:val="nil"/>
            </w:tcBorders>
            <w:shd w:val="clear" w:color="auto" w:fill="auto"/>
            <w:noWrap/>
            <w:vAlign w:val="center"/>
            <w:hideMark/>
          </w:tcPr>
          <w:p w14:paraId="06297E5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2301</w:t>
            </w:r>
          </w:p>
        </w:tc>
        <w:tc>
          <w:tcPr>
            <w:tcW w:w="894" w:type="dxa"/>
            <w:tcBorders>
              <w:top w:val="nil"/>
              <w:left w:val="nil"/>
              <w:bottom w:val="nil"/>
              <w:right w:val="nil"/>
            </w:tcBorders>
            <w:shd w:val="clear" w:color="auto" w:fill="auto"/>
            <w:noWrap/>
            <w:vAlign w:val="center"/>
            <w:hideMark/>
          </w:tcPr>
          <w:p w14:paraId="00E05DD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463</w:t>
            </w:r>
          </w:p>
        </w:tc>
        <w:tc>
          <w:tcPr>
            <w:tcW w:w="663" w:type="dxa"/>
            <w:tcBorders>
              <w:top w:val="nil"/>
              <w:left w:val="nil"/>
              <w:bottom w:val="nil"/>
              <w:right w:val="nil"/>
            </w:tcBorders>
            <w:shd w:val="clear" w:color="auto" w:fill="auto"/>
            <w:noWrap/>
            <w:vAlign w:val="center"/>
            <w:hideMark/>
          </w:tcPr>
          <w:p w14:paraId="3A7CEE9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1794</w:t>
            </w:r>
          </w:p>
        </w:tc>
        <w:tc>
          <w:tcPr>
            <w:tcW w:w="663" w:type="dxa"/>
            <w:tcBorders>
              <w:top w:val="nil"/>
              <w:left w:val="nil"/>
              <w:bottom w:val="nil"/>
              <w:right w:val="nil"/>
            </w:tcBorders>
            <w:shd w:val="clear" w:color="auto" w:fill="auto"/>
            <w:noWrap/>
            <w:vAlign w:val="center"/>
            <w:hideMark/>
          </w:tcPr>
          <w:p w14:paraId="65D965B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3183</w:t>
            </w:r>
          </w:p>
        </w:tc>
        <w:tc>
          <w:tcPr>
            <w:tcW w:w="796" w:type="dxa"/>
            <w:tcBorders>
              <w:top w:val="nil"/>
              <w:left w:val="nil"/>
              <w:bottom w:val="nil"/>
              <w:right w:val="nil"/>
            </w:tcBorders>
            <w:shd w:val="clear" w:color="auto" w:fill="auto"/>
            <w:noWrap/>
            <w:vAlign w:val="center"/>
            <w:hideMark/>
          </w:tcPr>
          <w:p w14:paraId="601F89B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2258</w:t>
            </w:r>
          </w:p>
        </w:tc>
        <w:tc>
          <w:tcPr>
            <w:tcW w:w="663" w:type="dxa"/>
            <w:tcBorders>
              <w:top w:val="nil"/>
              <w:left w:val="nil"/>
              <w:bottom w:val="nil"/>
              <w:right w:val="nil"/>
            </w:tcBorders>
            <w:shd w:val="clear" w:color="auto" w:fill="auto"/>
            <w:noWrap/>
            <w:vAlign w:val="center"/>
            <w:hideMark/>
          </w:tcPr>
          <w:p w14:paraId="34F273A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1833</w:t>
            </w:r>
          </w:p>
        </w:tc>
        <w:tc>
          <w:tcPr>
            <w:tcW w:w="663" w:type="dxa"/>
            <w:tcBorders>
              <w:top w:val="nil"/>
              <w:left w:val="nil"/>
              <w:bottom w:val="nil"/>
              <w:right w:val="single" w:sz="8" w:space="0" w:color="002060"/>
            </w:tcBorders>
            <w:shd w:val="clear" w:color="auto" w:fill="auto"/>
            <w:noWrap/>
            <w:vAlign w:val="center"/>
            <w:hideMark/>
          </w:tcPr>
          <w:p w14:paraId="544C203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2708</w:t>
            </w:r>
          </w:p>
        </w:tc>
      </w:tr>
      <w:tr w:rsidR="00AE564D" w:rsidRPr="005E2286" w14:paraId="5703147F" w14:textId="77777777" w:rsidTr="005E2286">
        <w:trPr>
          <w:trHeight w:val="255"/>
          <w:jc w:val="center"/>
        </w:trPr>
        <w:tc>
          <w:tcPr>
            <w:tcW w:w="768" w:type="dxa"/>
            <w:vMerge/>
            <w:tcBorders>
              <w:top w:val="single" w:sz="8" w:space="0" w:color="FFFFFF"/>
              <w:left w:val="single" w:sz="8" w:space="0" w:color="002060"/>
              <w:bottom w:val="single" w:sz="8" w:space="0" w:color="002060"/>
              <w:right w:val="single" w:sz="8" w:space="0" w:color="002060"/>
            </w:tcBorders>
            <w:vAlign w:val="center"/>
            <w:hideMark/>
          </w:tcPr>
          <w:p w14:paraId="590069CD"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7FE7C7CB"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79E8AD48"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Med Fresh</w:t>
            </w:r>
          </w:p>
        </w:tc>
        <w:tc>
          <w:tcPr>
            <w:tcW w:w="551" w:type="dxa"/>
            <w:tcBorders>
              <w:top w:val="nil"/>
              <w:left w:val="nil"/>
              <w:bottom w:val="nil"/>
              <w:right w:val="nil"/>
            </w:tcBorders>
            <w:shd w:val="clear" w:color="auto" w:fill="auto"/>
            <w:noWrap/>
            <w:vAlign w:val="center"/>
            <w:hideMark/>
          </w:tcPr>
          <w:p w14:paraId="6E4C8AC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18</w:t>
            </w:r>
          </w:p>
        </w:tc>
        <w:tc>
          <w:tcPr>
            <w:tcW w:w="663" w:type="dxa"/>
            <w:tcBorders>
              <w:top w:val="nil"/>
              <w:left w:val="nil"/>
              <w:bottom w:val="nil"/>
              <w:right w:val="nil"/>
            </w:tcBorders>
            <w:shd w:val="clear" w:color="auto" w:fill="auto"/>
            <w:noWrap/>
            <w:vAlign w:val="center"/>
            <w:hideMark/>
          </w:tcPr>
          <w:p w14:paraId="0974FC9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4288</w:t>
            </w:r>
          </w:p>
        </w:tc>
        <w:tc>
          <w:tcPr>
            <w:tcW w:w="842" w:type="dxa"/>
            <w:tcBorders>
              <w:top w:val="nil"/>
              <w:left w:val="nil"/>
              <w:bottom w:val="nil"/>
              <w:right w:val="nil"/>
            </w:tcBorders>
            <w:shd w:val="clear" w:color="auto" w:fill="auto"/>
            <w:noWrap/>
            <w:vAlign w:val="center"/>
            <w:hideMark/>
          </w:tcPr>
          <w:p w14:paraId="680AEFE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888</w:t>
            </w:r>
          </w:p>
        </w:tc>
        <w:tc>
          <w:tcPr>
            <w:tcW w:w="663" w:type="dxa"/>
            <w:tcBorders>
              <w:top w:val="nil"/>
              <w:left w:val="nil"/>
              <w:bottom w:val="nil"/>
              <w:right w:val="nil"/>
            </w:tcBorders>
            <w:shd w:val="clear" w:color="auto" w:fill="auto"/>
            <w:noWrap/>
            <w:vAlign w:val="center"/>
            <w:hideMark/>
          </w:tcPr>
          <w:p w14:paraId="06A2D3A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3215</w:t>
            </w:r>
          </w:p>
        </w:tc>
        <w:tc>
          <w:tcPr>
            <w:tcW w:w="663" w:type="dxa"/>
            <w:tcBorders>
              <w:top w:val="nil"/>
              <w:left w:val="nil"/>
              <w:bottom w:val="nil"/>
              <w:right w:val="nil"/>
            </w:tcBorders>
            <w:shd w:val="clear" w:color="auto" w:fill="auto"/>
            <w:noWrap/>
            <w:vAlign w:val="center"/>
            <w:hideMark/>
          </w:tcPr>
          <w:p w14:paraId="2F9E79D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6997</w:t>
            </w:r>
          </w:p>
        </w:tc>
        <w:tc>
          <w:tcPr>
            <w:tcW w:w="776" w:type="dxa"/>
            <w:tcBorders>
              <w:top w:val="nil"/>
              <w:left w:val="nil"/>
              <w:bottom w:val="nil"/>
              <w:right w:val="nil"/>
            </w:tcBorders>
            <w:shd w:val="clear" w:color="auto" w:fill="auto"/>
            <w:noWrap/>
            <w:vAlign w:val="center"/>
            <w:hideMark/>
          </w:tcPr>
          <w:p w14:paraId="6DB62F6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4188</w:t>
            </w:r>
          </w:p>
        </w:tc>
        <w:tc>
          <w:tcPr>
            <w:tcW w:w="663" w:type="dxa"/>
            <w:tcBorders>
              <w:top w:val="nil"/>
              <w:left w:val="nil"/>
              <w:bottom w:val="nil"/>
              <w:right w:val="nil"/>
            </w:tcBorders>
            <w:shd w:val="clear" w:color="auto" w:fill="auto"/>
            <w:noWrap/>
            <w:vAlign w:val="center"/>
            <w:hideMark/>
          </w:tcPr>
          <w:p w14:paraId="0146A3D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3754</w:t>
            </w:r>
          </w:p>
        </w:tc>
        <w:tc>
          <w:tcPr>
            <w:tcW w:w="663" w:type="dxa"/>
            <w:tcBorders>
              <w:top w:val="nil"/>
              <w:left w:val="nil"/>
              <w:bottom w:val="nil"/>
              <w:right w:val="single" w:sz="8" w:space="0" w:color="002060"/>
            </w:tcBorders>
            <w:shd w:val="clear" w:color="auto" w:fill="auto"/>
            <w:noWrap/>
            <w:vAlign w:val="center"/>
            <w:hideMark/>
          </w:tcPr>
          <w:p w14:paraId="0E086C5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sz w:val="18"/>
                <w:szCs w:val="18"/>
              </w:rPr>
              <w:t>4417</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7430008B"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7091C4C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w:t>
            </w:r>
          </w:p>
        </w:tc>
        <w:tc>
          <w:tcPr>
            <w:tcW w:w="663" w:type="dxa"/>
            <w:tcBorders>
              <w:top w:val="nil"/>
              <w:left w:val="nil"/>
              <w:bottom w:val="nil"/>
              <w:right w:val="nil"/>
            </w:tcBorders>
            <w:shd w:val="clear" w:color="auto" w:fill="auto"/>
            <w:noWrap/>
            <w:vAlign w:val="center"/>
            <w:hideMark/>
          </w:tcPr>
          <w:p w14:paraId="2336D44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5133</w:t>
            </w:r>
          </w:p>
        </w:tc>
        <w:tc>
          <w:tcPr>
            <w:tcW w:w="894" w:type="dxa"/>
            <w:tcBorders>
              <w:top w:val="nil"/>
              <w:left w:val="nil"/>
              <w:bottom w:val="nil"/>
              <w:right w:val="nil"/>
            </w:tcBorders>
            <w:shd w:val="clear" w:color="auto" w:fill="auto"/>
            <w:noWrap/>
            <w:vAlign w:val="center"/>
            <w:hideMark/>
          </w:tcPr>
          <w:p w14:paraId="097B1E8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1732</w:t>
            </w:r>
          </w:p>
        </w:tc>
        <w:tc>
          <w:tcPr>
            <w:tcW w:w="663" w:type="dxa"/>
            <w:tcBorders>
              <w:top w:val="nil"/>
              <w:left w:val="nil"/>
              <w:bottom w:val="nil"/>
              <w:right w:val="nil"/>
            </w:tcBorders>
            <w:shd w:val="clear" w:color="auto" w:fill="auto"/>
            <w:noWrap/>
            <w:vAlign w:val="center"/>
            <w:hideMark/>
          </w:tcPr>
          <w:p w14:paraId="534F26B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3565</w:t>
            </w:r>
          </w:p>
        </w:tc>
        <w:tc>
          <w:tcPr>
            <w:tcW w:w="663" w:type="dxa"/>
            <w:tcBorders>
              <w:top w:val="nil"/>
              <w:left w:val="nil"/>
              <w:bottom w:val="nil"/>
              <w:right w:val="nil"/>
            </w:tcBorders>
            <w:shd w:val="clear" w:color="auto" w:fill="auto"/>
            <w:noWrap/>
            <w:vAlign w:val="center"/>
            <w:hideMark/>
          </w:tcPr>
          <w:p w14:paraId="1E8D161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7998</w:t>
            </w:r>
          </w:p>
        </w:tc>
        <w:tc>
          <w:tcPr>
            <w:tcW w:w="796" w:type="dxa"/>
            <w:tcBorders>
              <w:top w:val="nil"/>
              <w:left w:val="nil"/>
              <w:bottom w:val="nil"/>
              <w:right w:val="nil"/>
            </w:tcBorders>
            <w:shd w:val="clear" w:color="auto" w:fill="auto"/>
            <w:noWrap/>
            <w:vAlign w:val="center"/>
            <w:hideMark/>
          </w:tcPr>
          <w:p w14:paraId="25965C5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4775</w:t>
            </w:r>
          </w:p>
        </w:tc>
        <w:tc>
          <w:tcPr>
            <w:tcW w:w="663" w:type="dxa"/>
            <w:tcBorders>
              <w:top w:val="nil"/>
              <w:left w:val="nil"/>
              <w:bottom w:val="nil"/>
              <w:right w:val="nil"/>
            </w:tcBorders>
            <w:shd w:val="clear" w:color="auto" w:fill="auto"/>
            <w:noWrap/>
            <w:vAlign w:val="center"/>
            <w:hideMark/>
          </w:tcPr>
          <w:p w14:paraId="1461F8A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3592</w:t>
            </w:r>
          </w:p>
        </w:tc>
        <w:tc>
          <w:tcPr>
            <w:tcW w:w="663" w:type="dxa"/>
            <w:tcBorders>
              <w:top w:val="nil"/>
              <w:left w:val="nil"/>
              <w:bottom w:val="nil"/>
              <w:right w:val="single" w:sz="8" w:space="0" w:color="002060"/>
            </w:tcBorders>
            <w:shd w:val="clear" w:color="auto" w:fill="auto"/>
            <w:noWrap/>
            <w:vAlign w:val="center"/>
            <w:hideMark/>
          </w:tcPr>
          <w:p w14:paraId="0D8C361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6438</w:t>
            </w:r>
          </w:p>
        </w:tc>
      </w:tr>
      <w:tr w:rsidR="00AE564D" w:rsidRPr="005E2286" w14:paraId="2BD1739A" w14:textId="77777777" w:rsidTr="005E2286">
        <w:trPr>
          <w:trHeight w:val="255"/>
          <w:jc w:val="center"/>
        </w:trPr>
        <w:tc>
          <w:tcPr>
            <w:tcW w:w="768" w:type="dxa"/>
            <w:vMerge/>
            <w:tcBorders>
              <w:top w:val="single" w:sz="8" w:space="0" w:color="FFFFFF"/>
              <w:left w:val="single" w:sz="8" w:space="0" w:color="002060"/>
              <w:bottom w:val="single" w:sz="8" w:space="0" w:color="002060"/>
              <w:right w:val="single" w:sz="8" w:space="0" w:color="002060"/>
            </w:tcBorders>
            <w:vAlign w:val="center"/>
            <w:hideMark/>
          </w:tcPr>
          <w:p w14:paraId="2C3642AD"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38A8A7F6"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McCoy's Bridge</w:t>
            </w:r>
          </w:p>
        </w:tc>
        <w:tc>
          <w:tcPr>
            <w:tcW w:w="1008" w:type="dxa"/>
            <w:tcBorders>
              <w:top w:val="single" w:sz="8" w:space="0" w:color="002060"/>
              <w:left w:val="nil"/>
              <w:bottom w:val="nil"/>
              <w:right w:val="nil"/>
            </w:tcBorders>
            <w:shd w:val="clear" w:color="auto" w:fill="auto"/>
            <w:noWrap/>
            <w:vAlign w:val="center"/>
            <w:hideMark/>
          </w:tcPr>
          <w:p w14:paraId="39405C4A"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Very Low</w:t>
            </w:r>
          </w:p>
        </w:tc>
        <w:tc>
          <w:tcPr>
            <w:tcW w:w="551" w:type="dxa"/>
            <w:tcBorders>
              <w:top w:val="single" w:sz="8" w:space="0" w:color="002060"/>
              <w:left w:val="nil"/>
              <w:bottom w:val="nil"/>
              <w:right w:val="nil"/>
            </w:tcBorders>
            <w:shd w:val="clear" w:color="auto" w:fill="auto"/>
            <w:noWrap/>
            <w:vAlign w:val="center"/>
            <w:hideMark/>
          </w:tcPr>
          <w:p w14:paraId="7521472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100</w:t>
            </w:r>
          </w:p>
        </w:tc>
        <w:tc>
          <w:tcPr>
            <w:tcW w:w="663" w:type="dxa"/>
            <w:tcBorders>
              <w:top w:val="single" w:sz="8" w:space="0" w:color="002060"/>
              <w:left w:val="nil"/>
              <w:bottom w:val="nil"/>
              <w:right w:val="nil"/>
            </w:tcBorders>
            <w:shd w:val="clear" w:color="auto" w:fill="auto"/>
            <w:noWrap/>
            <w:vAlign w:val="center"/>
            <w:hideMark/>
          </w:tcPr>
          <w:p w14:paraId="18B31C2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872</w:t>
            </w:r>
          </w:p>
        </w:tc>
        <w:tc>
          <w:tcPr>
            <w:tcW w:w="842" w:type="dxa"/>
            <w:tcBorders>
              <w:top w:val="single" w:sz="8" w:space="0" w:color="002060"/>
              <w:left w:val="nil"/>
              <w:bottom w:val="nil"/>
              <w:right w:val="nil"/>
            </w:tcBorders>
            <w:shd w:val="clear" w:color="auto" w:fill="auto"/>
            <w:noWrap/>
            <w:vAlign w:val="center"/>
            <w:hideMark/>
          </w:tcPr>
          <w:p w14:paraId="2A4ACEC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78</w:t>
            </w:r>
          </w:p>
        </w:tc>
        <w:tc>
          <w:tcPr>
            <w:tcW w:w="663" w:type="dxa"/>
            <w:tcBorders>
              <w:top w:val="single" w:sz="8" w:space="0" w:color="002060"/>
              <w:left w:val="nil"/>
              <w:bottom w:val="nil"/>
              <w:right w:val="nil"/>
            </w:tcBorders>
            <w:shd w:val="clear" w:color="auto" w:fill="auto"/>
            <w:noWrap/>
            <w:vAlign w:val="center"/>
            <w:hideMark/>
          </w:tcPr>
          <w:p w14:paraId="12EB189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684</w:t>
            </w:r>
          </w:p>
        </w:tc>
        <w:tc>
          <w:tcPr>
            <w:tcW w:w="663" w:type="dxa"/>
            <w:tcBorders>
              <w:top w:val="single" w:sz="8" w:space="0" w:color="002060"/>
              <w:left w:val="nil"/>
              <w:bottom w:val="nil"/>
              <w:right w:val="nil"/>
            </w:tcBorders>
            <w:shd w:val="clear" w:color="auto" w:fill="auto"/>
            <w:noWrap/>
            <w:vAlign w:val="center"/>
            <w:hideMark/>
          </w:tcPr>
          <w:p w14:paraId="6019FA3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958</w:t>
            </w:r>
          </w:p>
        </w:tc>
        <w:tc>
          <w:tcPr>
            <w:tcW w:w="776" w:type="dxa"/>
            <w:tcBorders>
              <w:top w:val="single" w:sz="8" w:space="0" w:color="002060"/>
              <w:left w:val="nil"/>
              <w:bottom w:val="nil"/>
              <w:right w:val="nil"/>
            </w:tcBorders>
            <w:shd w:val="clear" w:color="auto" w:fill="auto"/>
            <w:noWrap/>
            <w:vAlign w:val="center"/>
            <w:hideMark/>
          </w:tcPr>
          <w:p w14:paraId="5FA203A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893</w:t>
            </w:r>
          </w:p>
        </w:tc>
        <w:tc>
          <w:tcPr>
            <w:tcW w:w="663" w:type="dxa"/>
            <w:tcBorders>
              <w:top w:val="single" w:sz="8" w:space="0" w:color="002060"/>
              <w:left w:val="nil"/>
              <w:bottom w:val="nil"/>
              <w:right w:val="nil"/>
            </w:tcBorders>
            <w:shd w:val="clear" w:color="auto" w:fill="auto"/>
            <w:noWrap/>
            <w:vAlign w:val="center"/>
            <w:hideMark/>
          </w:tcPr>
          <w:p w14:paraId="6571E89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830</w:t>
            </w:r>
          </w:p>
        </w:tc>
        <w:tc>
          <w:tcPr>
            <w:tcW w:w="663" w:type="dxa"/>
            <w:tcBorders>
              <w:top w:val="single" w:sz="8" w:space="0" w:color="002060"/>
              <w:left w:val="nil"/>
              <w:bottom w:val="nil"/>
              <w:right w:val="single" w:sz="8" w:space="0" w:color="002060"/>
            </w:tcBorders>
            <w:shd w:val="clear" w:color="auto" w:fill="auto"/>
            <w:noWrap/>
            <w:vAlign w:val="center"/>
            <w:hideMark/>
          </w:tcPr>
          <w:p w14:paraId="5DF3DB8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936</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6F3A274E"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single" w:sz="8" w:space="0" w:color="002060"/>
              <w:left w:val="nil"/>
              <w:bottom w:val="nil"/>
              <w:right w:val="nil"/>
            </w:tcBorders>
            <w:shd w:val="clear" w:color="auto" w:fill="auto"/>
            <w:noWrap/>
            <w:vAlign w:val="center"/>
            <w:hideMark/>
          </w:tcPr>
          <w:p w14:paraId="2502C3F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10</w:t>
            </w:r>
          </w:p>
        </w:tc>
        <w:tc>
          <w:tcPr>
            <w:tcW w:w="663" w:type="dxa"/>
            <w:tcBorders>
              <w:top w:val="single" w:sz="8" w:space="0" w:color="002060"/>
              <w:left w:val="nil"/>
              <w:bottom w:val="nil"/>
              <w:right w:val="nil"/>
            </w:tcBorders>
            <w:shd w:val="clear" w:color="auto" w:fill="auto"/>
            <w:noWrap/>
            <w:vAlign w:val="center"/>
            <w:hideMark/>
          </w:tcPr>
          <w:p w14:paraId="7623978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803</w:t>
            </w:r>
          </w:p>
        </w:tc>
        <w:tc>
          <w:tcPr>
            <w:tcW w:w="894" w:type="dxa"/>
            <w:tcBorders>
              <w:top w:val="single" w:sz="8" w:space="0" w:color="002060"/>
              <w:left w:val="nil"/>
              <w:bottom w:val="nil"/>
              <w:right w:val="nil"/>
            </w:tcBorders>
            <w:shd w:val="clear" w:color="auto" w:fill="auto"/>
            <w:noWrap/>
            <w:vAlign w:val="center"/>
            <w:hideMark/>
          </w:tcPr>
          <w:p w14:paraId="4E7982A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124</w:t>
            </w:r>
          </w:p>
        </w:tc>
        <w:tc>
          <w:tcPr>
            <w:tcW w:w="663" w:type="dxa"/>
            <w:tcBorders>
              <w:top w:val="single" w:sz="8" w:space="0" w:color="002060"/>
              <w:left w:val="nil"/>
              <w:bottom w:val="nil"/>
              <w:right w:val="nil"/>
            </w:tcBorders>
            <w:shd w:val="clear" w:color="auto" w:fill="auto"/>
            <w:noWrap/>
            <w:vAlign w:val="center"/>
            <w:hideMark/>
          </w:tcPr>
          <w:p w14:paraId="2696A59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632</w:t>
            </w:r>
          </w:p>
        </w:tc>
        <w:tc>
          <w:tcPr>
            <w:tcW w:w="663" w:type="dxa"/>
            <w:tcBorders>
              <w:top w:val="single" w:sz="8" w:space="0" w:color="002060"/>
              <w:left w:val="nil"/>
              <w:bottom w:val="nil"/>
              <w:right w:val="nil"/>
            </w:tcBorders>
            <w:shd w:val="clear" w:color="auto" w:fill="auto"/>
            <w:noWrap/>
            <w:vAlign w:val="center"/>
            <w:hideMark/>
          </w:tcPr>
          <w:p w14:paraId="7C5ACED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960</w:t>
            </w:r>
          </w:p>
        </w:tc>
        <w:tc>
          <w:tcPr>
            <w:tcW w:w="796" w:type="dxa"/>
            <w:tcBorders>
              <w:top w:val="single" w:sz="8" w:space="0" w:color="002060"/>
              <w:left w:val="nil"/>
              <w:bottom w:val="nil"/>
              <w:right w:val="nil"/>
            </w:tcBorders>
            <w:shd w:val="clear" w:color="auto" w:fill="auto"/>
            <w:noWrap/>
            <w:vAlign w:val="center"/>
            <w:hideMark/>
          </w:tcPr>
          <w:p w14:paraId="42BF0C0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818</w:t>
            </w:r>
          </w:p>
        </w:tc>
        <w:tc>
          <w:tcPr>
            <w:tcW w:w="663" w:type="dxa"/>
            <w:tcBorders>
              <w:top w:val="single" w:sz="8" w:space="0" w:color="002060"/>
              <w:left w:val="nil"/>
              <w:bottom w:val="nil"/>
              <w:right w:val="nil"/>
            </w:tcBorders>
            <w:shd w:val="clear" w:color="auto" w:fill="auto"/>
            <w:noWrap/>
            <w:vAlign w:val="center"/>
            <w:hideMark/>
          </w:tcPr>
          <w:p w14:paraId="363CC88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669</w:t>
            </w:r>
          </w:p>
        </w:tc>
        <w:tc>
          <w:tcPr>
            <w:tcW w:w="663" w:type="dxa"/>
            <w:tcBorders>
              <w:top w:val="single" w:sz="8" w:space="0" w:color="002060"/>
              <w:left w:val="nil"/>
              <w:bottom w:val="nil"/>
              <w:right w:val="single" w:sz="8" w:space="0" w:color="002060"/>
            </w:tcBorders>
            <w:shd w:val="clear" w:color="auto" w:fill="auto"/>
            <w:noWrap/>
            <w:vAlign w:val="center"/>
            <w:hideMark/>
          </w:tcPr>
          <w:p w14:paraId="54E68D8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930</w:t>
            </w:r>
          </w:p>
        </w:tc>
      </w:tr>
      <w:tr w:rsidR="00AE564D" w:rsidRPr="005E2286" w14:paraId="2D5C61CA" w14:textId="77777777" w:rsidTr="005E2286">
        <w:trPr>
          <w:trHeight w:val="255"/>
          <w:jc w:val="center"/>
        </w:trPr>
        <w:tc>
          <w:tcPr>
            <w:tcW w:w="768" w:type="dxa"/>
            <w:vMerge/>
            <w:tcBorders>
              <w:top w:val="single" w:sz="8" w:space="0" w:color="FFFFFF"/>
              <w:left w:val="single" w:sz="8" w:space="0" w:color="002060"/>
              <w:bottom w:val="single" w:sz="8" w:space="0" w:color="002060"/>
              <w:right w:val="single" w:sz="8" w:space="0" w:color="002060"/>
            </w:tcBorders>
            <w:vAlign w:val="center"/>
            <w:hideMark/>
          </w:tcPr>
          <w:p w14:paraId="1D4CADD2"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21B500B9"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37E96BDC"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Mod Low</w:t>
            </w:r>
          </w:p>
        </w:tc>
        <w:tc>
          <w:tcPr>
            <w:tcW w:w="551" w:type="dxa"/>
            <w:tcBorders>
              <w:top w:val="nil"/>
              <w:left w:val="nil"/>
              <w:bottom w:val="nil"/>
              <w:right w:val="nil"/>
            </w:tcBorders>
            <w:shd w:val="clear" w:color="auto" w:fill="auto"/>
            <w:noWrap/>
            <w:vAlign w:val="center"/>
            <w:hideMark/>
          </w:tcPr>
          <w:p w14:paraId="10DBA8A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188</w:t>
            </w:r>
          </w:p>
        </w:tc>
        <w:tc>
          <w:tcPr>
            <w:tcW w:w="663" w:type="dxa"/>
            <w:tcBorders>
              <w:top w:val="nil"/>
              <w:left w:val="nil"/>
              <w:bottom w:val="nil"/>
              <w:right w:val="nil"/>
            </w:tcBorders>
            <w:shd w:val="clear" w:color="auto" w:fill="auto"/>
            <w:noWrap/>
            <w:vAlign w:val="center"/>
            <w:hideMark/>
          </w:tcPr>
          <w:p w14:paraId="55E2887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1238</w:t>
            </w:r>
          </w:p>
        </w:tc>
        <w:tc>
          <w:tcPr>
            <w:tcW w:w="842" w:type="dxa"/>
            <w:tcBorders>
              <w:top w:val="nil"/>
              <w:left w:val="nil"/>
              <w:bottom w:val="nil"/>
              <w:right w:val="nil"/>
            </w:tcBorders>
            <w:shd w:val="clear" w:color="auto" w:fill="auto"/>
            <w:noWrap/>
            <w:vAlign w:val="center"/>
            <w:hideMark/>
          </w:tcPr>
          <w:p w14:paraId="6E9AA0C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241</w:t>
            </w:r>
          </w:p>
        </w:tc>
        <w:tc>
          <w:tcPr>
            <w:tcW w:w="663" w:type="dxa"/>
            <w:tcBorders>
              <w:top w:val="nil"/>
              <w:left w:val="nil"/>
              <w:bottom w:val="nil"/>
              <w:right w:val="nil"/>
            </w:tcBorders>
            <w:shd w:val="clear" w:color="auto" w:fill="auto"/>
            <w:noWrap/>
            <w:vAlign w:val="center"/>
            <w:hideMark/>
          </w:tcPr>
          <w:p w14:paraId="3D17318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963</w:t>
            </w:r>
          </w:p>
        </w:tc>
        <w:tc>
          <w:tcPr>
            <w:tcW w:w="663" w:type="dxa"/>
            <w:tcBorders>
              <w:top w:val="nil"/>
              <w:left w:val="nil"/>
              <w:bottom w:val="nil"/>
              <w:right w:val="nil"/>
            </w:tcBorders>
            <w:shd w:val="clear" w:color="auto" w:fill="auto"/>
            <w:noWrap/>
            <w:vAlign w:val="center"/>
            <w:hideMark/>
          </w:tcPr>
          <w:p w14:paraId="3DD3370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1809</w:t>
            </w:r>
          </w:p>
        </w:tc>
        <w:tc>
          <w:tcPr>
            <w:tcW w:w="776" w:type="dxa"/>
            <w:tcBorders>
              <w:top w:val="nil"/>
              <w:left w:val="nil"/>
              <w:bottom w:val="nil"/>
              <w:right w:val="nil"/>
            </w:tcBorders>
            <w:shd w:val="clear" w:color="auto" w:fill="auto"/>
            <w:noWrap/>
            <w:vAlign w:val="center"/>
            <w:hideMark/>
          </w:tcPr>
          <w:p w14:paraId="6AF393A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1169</w:t>
            </w:r>
          </w:p>
        </w:tc>
        <w:tc>
          <w:tcPr>
            <w:tcW w:w="663" w:type="dxa"/>
            <w:tcBorders>
              <w:top w:val="nil"/>
              <w:left w:val="nil"/>
              <w:bottom w:val="nil"/>
              <w:right w:val="nil"/>
            </w:tcBorders>
            <w:shd w:val="clear" w:color="auto" w:fill="auto"/>
            <w:noWrap/>
            <w:vAlign w:val="center"/>
            <w:hideMark/>
          </w:tcPr>
          <w:p w14:paraId="1D73AA9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1023</w:t>
            </w:r>
          </w:p>
        </w:tc>
        <w:tc>
          <w:tcPr>
            <w:tcW w:w="663" w:type="dxa"/>
            <w:tcBorders>
              <w:top w:val="nil"/>
              <w:left w:val="nil"/>
              <w:bottom w:val="nil"/>
              <w:right w:val="single" w:sz="8" w:space="0" w:color="002060"/>
            </w:tcBorders>
            <w:shd w:val="clear" w:color="auto" w:fill="auto"/>
            <w:noWrap/>
            <w:vAlign w:val="center"/>
            <w:hideMark/>
          </w:tcPr>
          <w:p w14:paraId="7964E6C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1412</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2EF664C4"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3D84927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100</w:t>
            </w:r>
          </w:p>
        </w:tc>
        <w:tc>
          <w:tcPr>
            <w:tcW w:w="663" w:type="dxa"/>
            <w:tcBorders>
              <w:top w:val="nil"/>
              <w:left w:val="nil"/>
              <w:bottom w:val="nil"/>
              <w:right w:val="nil"/>
            </w:tcBorders>
            <w:shd w:val="clear" w:color="auto" w:fill="auto"/>
            <w:noWrap/>
            <w:vAlign w:val="center"/>
            <w:hideMark/>
          </w:tcPr>
          <w:p w14:paraId="21F2A75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1167</w:t>
            </w:r>
          </w:p>
        </w:tc>
        <w:tc>
          <w:tcPr>
            <w:tcW w:w="894" w:type="dxa"/>
            <w:tcBorders>
              <w:top w:val="nil"/>
              <w:left w:val="nil"/>
              <w:bottom w:val="nil"/>
              <w:right w:val="nil"/>
            </w:tcBorders>
            <w:shd w:val="clear" w:color="auto" w:fill="auto"/>
            <w:noWrap/>
            <w:vAlign w:val="center"/>
            <w:hideMark/>
          </w:tcPr>
          <w:p w14:paraId="750B31A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195</w:t>
            </w:r>
          </w:p>
        </w:tc>
        <w:tc>
          <w:tcPr>
            <w:tcW w:w="663" w:type="dxa"/>
            <w:tcBorders>
              <w:top w:val="nil"/>
              <w:left w:val="nil"/>
              <w:bottom w:val="nil"/>
              <w:right w:val="nil"/>
            </w:tcBorders>
            <w:shd w:val="clear" w:color="auto" w:fill="auto"/>
            <w:noWrap/>
            <w:vAlign w:val="center"/>
            <w:hideMark/>
          </w:tcPr>
          <w:p w14:paraId="497C236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965</w:t>
            </w:r>
          </w:p>
        </w:tc>
        <w:tc>
          <w:tcPr>
            <w:tcW w:w="663" w:type="dxa"/>
            <w:tcBorders>
              <w:top w:val="nil"/>
              <w:left w:val="nil"/>
              <w:bottom w:val="nil"/>
              <w:right w:val="nil"/>
            </w:tcBorders>
            <w:shd w:val="clear" w:color="auto" w:fill="auto"/>
            <w:noWrap/>
            <w:vAlign w:val="center"/>
            <w:hideMark/>
          </w:tcPr>
          <w:p w14:paraId="3A67743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1732</w:t>
            </w:r>
          </w:p>
        </w:tc>
        <w:tc>
          <w:tcPr>
            <w:tcW w:w="796" w:type="dxa"/>
            <w:tcBorders>
              <w:top w:val="nil"/>
              <w:left w:val="nil"/>
              <w:bottom w:val="nil"/>
              <w:right w:val="nil"/>
            </w:tcBorders>
            <w:shd w:val="clear" w:color="auto" w:fill="auto"/>
            <w:noWrap/>
            <w:vAlign w:val="center"/>
            <w:hideMark/>
          </w:tcPr>
          <w:p w14:paraId="2DE36D7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1093</w:t>
            </w:r>
          </w:p>
        </w:tc>
        <w:tc>
          <w:tcPr>
            <w:tcW w:w="663" w:type="dxa"/>
            <w:tcBorders>
              <w:top w:val="nil"/>
              <w:left w:val="nil"/>
              <w:bottom w:val="nil"/>
              <w:right w:val="nil"/>
            </w:tcBorders>
            <w:shd w:val="clear" w:color="auto" w:fill="auto"/>
            <w:noWrap/>
            <w:vAlign w:val="center"/>
            <w:hideMark/>
          </w:tcPr>
          <w:p w14:paraId="08EAC97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1024</w:t>
            </w:r>
          </w:p>
        </w:tc>
        <w:tc>
          <w:tcPr>
            <w:tcW w:w="663" w:type="dxa"/>
            <w:tcBorders>
              <w:top w:val="nil"/>
              <w:left w:val="nil"/>
              <w:bottom w:val="nil"/>
              <w:right w:val="single" w:sz="8" w:space="0" w:color="002060"/>
            </w:tcBorders>
            <w:shd w:val="clear" w:color="auto" w:fill="auto"/>
            <w:noWrap/>
            <w:vAlign w:val="center"/>
            <w:hideMark/>
          </w:tcPr>
          <w:p w14:paraId="323EC6C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1262</w:t>
            </w:r>
          </w:p>
        </w:tc>
      </w:tr>
      <w:tr w:rsidR="00AE564D" w:rsidRPr="005E2286" w14:paraId="78036103" w14:textId="77777777" w:rsidTr="005E2286">
        <w:trPr>
          <w:trHeight w:val="255"/>
          <w:jc w:val="center"/>
        </w:trPr>
        <w:tc>
          <w:tcPr>
            <w:tcW w:w="768" w:type="dxa"/>
            <w:vMerge/>
            <w:tcBorders>
              <w:top w:val="single" w:sz="8" w:space="0" w:color="FFFFFF"/>
              <w:left w:val="single" w:sz="8" w:space="0" w:color="002060"/>
              <w:bottom w:val="single" w:sz="8" w:space="0" w:color="002060"/>
              <w:right w:val="single" w:sz="8" w:space="0" w:color="002060"/>
            </w:tcBorders>
            <w:vAlign w:val="center"/>
            <w:hideMark/>
          </w:tcPr>
          <w:p w14:paraId="4C203D47"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0BDB9DCB"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034135CA"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Low Fresh</w:t>
            </w:r>
          </w:p>
        </w:tc>
        <w:tc>
          <w:tcPr>
            <w:tcW w:w="551" w:type="dxa"/>
            <w:tcBorders>
              <w:top w:val="nil"/>
              <w:left w:val="nil"/>
              <w:bottom w:val="nil"/>
              <w:right w:val="nil"/>
            </w:tcBorders>
            <w:shd w:val="clear" w:color="auto" w:fill="auto"/>
            <w:noWrap/>
            <w:vAlign w:val="center"/>
            <w:hideMark/>
          </w:tcPr>
          <w:p w14:paraId="77B92CF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121</w:t>
            </w:r>
          </w:p>
        </w:tc>
        <w:tc>
          <w:tcPr>
            <w:tcW w:w="663" w:type="dxa"/>
            <w:tcBorders>
              <w:top w:val="nil"/>
              <w:left w:val="nil"/>
              <w:bottom w:val="nil"/>
              <w:right w:val="nil"/>
            </w:tcBorders>
            <w:shd w:val="clear" w:color="auto" w:fill="auto"/>
            <w:noWrap/>
            <w:vAlign w:val="center"/>
            <w:hideMark/>
          </w:tcPr>
          <w:p w14:paraId="15FF14D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2461</w:t>
            </w:r>
          </w:p>
        </w:tc>
        <w:tc>
          <w:tcPr>
            <w:tcW w:w="842" w:type="dxa"/>
            <w:tcBorders>
              <w:top w:val="nil"/>
              <w:left w:val="nil"/>
              <w:bottom w:val="nil"/>
              <w:right w:val="nil"/>
            </w:tcBorders>
            <w:shd w:val="clear" w:color="auto" w:fill="auto"/>
            <w:noWrap/>
            <w:vAlign w:val="center"/>
            <w:hideMark/>
          </w:tcPr>
          <w:p w14:paraId="75CF587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327</w:t>
            </w:r>
          </w:p>
        </w:tc>
        <w:tc>
          <w:tcPr>
            <w:tcW w:w="663" w:type="dxa"/>
            <w:tcBorders>
              <w:top w:val="nil"/>
              <w:left w:val="nil"/>
              <w:bottom w:val="nil"/>
              <w:right w:val="nil"/>
            </w:tcBorders>
            <w:shd w:val="clear" w:color="auto" w:fill="auto"/>
            <w:noWrap/>
            <w:vAlign w:val="center"/>
            <w:hideMark/>
          </w:tcPr>
          <w:p w14:paraId="2E82B23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1824</w:t>
            </w:r>
          </w:p>
        </w:tc>
        <w:tc>
          <w:tcPr>
            <w:tcW w:w="663" w:type="dxa"/>
            <w:tcBorders>
              <w:top w:val="nil"/>
              <w:left w:val="nil"/>
              <w:bottom w:val="nil"/>
              <w:right w:val="nil"/>
            </w:tcBorders>
            <w:shd w:val="clear" w:color="auto" w:fill="auto"/>
            <w:noWrap/>
            <w:vAlign w:val="center"/>
            <w:hideMark/>
          </w:tcPr>
          <w:p w14:paraId="66FAC22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3128</w:t>
            </w:r>
          </w:p>
        </w:tc>
        <w:tc>
          <w:tcPr>
            <w:tcW w:w="776" w:type="dxa"/>
            <w:tcBorders>
              <w:top w:val="nil"/>
              <w:left w:val="nil"/>
              <w:bottom w:val="nil"/>
              <w:right w:val="nil"/>
            </w:tcBorders>
            <w:shd w:val="clear" w:color="auto" w:fill="auto"/>
            <w:noWrap/>
            <w:vAlign w:val="center"/>
            <w:hideMark/>
          </w:tcPr>
          <w:p w14:paraId="3CF7A03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2480</w:t>
            </w:r>
          </w:p>
        </w:tc>
        <w:tc>
          <w:tcPr>
            <w:tcW w:w="663" w:type="dxa"/>
            <w:tcBorders>
              <w:top w:val="nil"/>
              <w:left w:val="nil"/>
              <w:bottom w:val="nil"/>
              <w:right w:val="nil"/>
            </w:tcBorders>
            <w:shd w:val="clear" w:color="auto" w:fill="auto"/>
            <w:noWrap/>
            <w:vAlign w:val="center"/>
            <w:hideMark/>
          </w:tcPr>
          <w:p w14:paraId="02CA71D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2189</w:t>
            </w:r>
          </w:p>
        </w:tc>
        <w:tc>
          <w:tcPr>
            <w:tcW w:w="663" w:type="dxa"/>
            <w:tcBorders>
              <w:top w:val="nil"/>
              <w:left w:val="nil"/>
              <w:bottom w:val="nil"/>
              <w:right w:val="single" w:sz="8" w:space="0" w:color="002060"/>
            </w:tcBorders>
            <w:shd w:val="clear" w:color="auto" w:fill="auto"/>
            <w:noWrap/>
            <w:vAlign w:val="center"/>
            <w:hideMark/>
          </w:tcPr>
          <w:p w14:paraId="2B7D20D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2736</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7A629221"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328CF6A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w:t>
            </w:r>
          </w:p>
        </w:tc>
        <w:tc>
          <w:tcPr>
            <w:tcW w:w="663" w:type="dxa"/>
            <w:tcBorders>
              <w:top w:val="nil"/>
              <w:left w:val="nil"/>
              <w:bottom w:val="nil"/>
              <w:right w:val="nil"/>
            </w:tcBorders>
            <w:shd w:val="clear" w:color="auto" w:fill="auto"/>
            <w:noWrap/>
            <w:vAlign w:val="center"/>
            <w:hideMark/>
          </w:tcPr>
          <w:p w14:paraId="64DEFF1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2241</w:t>
            </w:r>
          </w:p>
        </w:tc>
        <w:tc>
          <w:tcPr>
            <w:tcW w:w="894" w:type="dxa"/>
            <w:tcBorders>
              <w:top w:val="nil"/>
              <w:left w:val="nil"/>
              <w:bottom w:val="nil"/>
              <w:right w:val="nil"/>
            </w:tcBorders>
            <w:shd w:val="clear" w:color="auto" w:fill="auto"/>
            <w:noWrap/>
            <w:vAlign w:val="center"/>
            <w:hideMark/>
          </w:tcPr>
          <w:p w14:paraId="59EE004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303</w:t>
            </w:r>
          </w:p>
        </w:tc>
        <w:tc>
          <w:tcPr>
            <w:tcW w:w="663" w:type="dxa"/>
            <w:tcBorders>
              <w:top w:val="nil"/>
              <w:left w:val="nil"/>
              <w:bottom w:val="nil"/>
              <w:right w:val="nil"/>
            </w:tcBorders>
            <w:shd w:val="clear" w:color="auto" w:fill="auto"/>
            <w:noWrap/>
            <w:vAlign w:val="center"/>
            <w:hideMark/>
          </w:tcPr>
          <w:p w14:paraId="1A8EAB7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1856</w:t>
            </w:r>
          </w:p>
        </w:tc>
        <w:tc>
          <w:tcPr>
            <w:tcW w:w="663" w:type="dxa"/>
            <w:tcBorders>
              <w:top w:val="nil"/>
              <w:left w:val="nil"/>
              <w:bottom w:val="nil"/>
              <w:right w:val="nil"/>
            </w:tcBorders>
            <w:shd w:val="clear" w:color="auto" w:fill="auto"/>
            <w:noWrap/>
            <w:vAlign w:val="center"/>
            <w:hideMark/>
          </w:tcPr>
          <w:p w14:paraId="6E53F89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2746</w:t>
            </w:r>
          </w:p>
        </w:tc>
        <w:tc>
          <w:tcPr>
            <w:tcW w:w="796" w:type="dxa"/>
            <w:tcBorders>
              <w:top w:val="nil"/>
              <w:left w:val="nil"/>
              <w:bottom w:val="nil"/>
              <w:right w:val="nil"/>
            </w:tcBorders>
            <w:shd w:val="clear" w:color="auto" w:fill="auto"/>
            <w:noWrap/>
            <w:vAlign w:val="center"/>
            <w:hideMark/>
          </w:tcPr>
          <w:p w14:paraId="2674EAA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2245</w:t>
            </w:r>
          </w:p>
        </w:tc>
        <w:tc>
          <w:tcPr>
            <w:tcW w:w="663" w:type="dxa"/>
            <w:tcBorders>
              <w:top w:val="nil"/>
              <w:left w:val="nil"/>
              <w:bottom w:val="nil"/>
              <w:right w:val="nil"/>
            </w:tcBorders>
            <w:shd w:val="clear" w:color="auto" w:fill="auto"/>
            <w:noWrap/>
            <w:vAlign w:val="center"/>
            <w:hideMark/>
          </w:tcPr>
          <w:p w14:paraId="6E5B309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1948</w:t>
            </w:r>
          </w:p>
        </w:tc>
        <w:tc>
          <w:tcPr>
            <w:tcW w:w="663" w:type="dxa"/>
            <w:tcBorders>
              <w:top w:val="nil"/>
              <w:left w:val="nil"/>
              <w:bottom w:val="nil"/>
              <w:right w:val="single" w:sz="8" w:space="0" w:color="002060"/>
            </w:tcBorders>
            <w:shd w:val="clear" w:color="auto" w:fill="auto"/>
            <w:noWrap/>
            <w:vAlign w:val="center"/>
            <w:hideMark/>
          </w:tcPr>
          <w:p w14:paraId="3B63A02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2462</w:t>
            </w:r>
          </w:p>
        </w:tc>
      </w:tr>
      <w:tr w:rsidR="00AE564D" w:rsidRPr="005E2286" w14:paraId="5A6A09DB" w14:textId="77777777" w:rsidTr="005E2286">
        <w:trPr>
          <w:trHeight w:val="255"/>
          <w:jc w:val="center"/>
        </w:trPr>
        <w:tc>
          <w:tcPr>
            <w:tcW w:w="768" w:type="dxa"/>
            <w:vMerge/>
            <w:tcBorders>
              <w:top w:val="single" w:sz="8" w:space="0" w:color="FFFFFF"/>
              <w:left w:val="single" w:sz="8" w:space="0" w:color="002060"/>
              <w:bottom w:val="single" w:sz="8" w:space="0" w:color="002060"/>
              <w:right w:val="single" w:sz="8" w:space="0" w:color="002060"/>
            </w:tcBorders>
            <w:vAlign w:val="center"/>
            <w:hideMark/>
          </w:tcPr>
          <w:p w14:paraId="34ADAB6C"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0596277A"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6C75339B"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Med Fresh</w:t>
            </w:r>
          </w:p>
        </w:tc>
        <w:tc>
          <w:tcPr>
            <w:tcW w:w="551" w:type="dxa"/>
            <w:tcBorders>
              <w:top w:val="nil"/>
              <w:left w:val="nil"/>
              <w:bottom w:val="nil"/>
              <w:right w:val="nil"/>
            </w:tcBorders>
            <w:shd w:val="clear" w:color="auto" w:fill="auto"/>
            <w:noWrap/>
            <w:vAlign w:val="center"/>
            <w:hideMark/>
          </w:tcPr>
          <w:p w14:paraId="6749BBA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29</w:t>
            </w:r>
          </w:p>
        </w:tc>
        <w:tc>
          <w:tcPr>
            <w:tcW w:w="663" w:type="dxa"/>
            <w:tcBorders>
              <w:top w:val="nil"/>
              <w:left w:val="nil"/>
              <w:bottom w:val="nil"/>
              <w:right w:val="nil"/>
            </w:tcBorders>
            <w:shd w:val="clear" w:color="auto" w:fill="auto"/>
            <w:noWrap/>
            <w:vAlign w:val="center"/>
            <w:hideMark/>
          </w:tcPr>
          <w:p w14:paraId="12B15A6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3920</w:t>
            </w:r>
          </w:p>
        </w:tc>
        <w:tc>
          <w:tcPr>
            <w:tcW w:w="842" w:type="dxa"/>
            <w:tcBorders>
              <w:top w:val="nil"/>
              <w:left w:val="nil"/>
              <w:bottom w:val="nil"/>
              <w:right w:val="nil"/>
            </w:tcBorders>
            <w:shd w:val="clear" w:color="auto" w:fill="auto"/>
            <w:noWrap/>
            <w:vAlign w:val="center"/>
            <w:hideMark/>
          </w:tcPr>
          <w:p w14:paraId="38E6D02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477</w:t>
            </w:r>
          </w:p>
        </w:tc>
        <w:tc>
          <w:tcPr>
            <w:tcW w:w="663" w:type="dxa"/>
            <w:tcBorders>
              <w:top w:val="nil"/>
              <w:left w:val="nil"/>
              <w:bottom w:val="nil"/>
              <w:right w:val="nil"/>
            </w:tcBorders>
            <w:shd w:val="clear" w:color="auto" w:fill="auto"/>
            <w:noWrap/>
            <w:vAlign w:val="center"/>
            <w:hideMark/>
          </w:tcPr>
          <w:p w14:paraId="09CB553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3162</w:t>
            </w:r>
          </w:p>
        </w:tc>
        <w:tc>
          <w:tcPr>
            <w:tcW w:w="663" w:type="dxa"/>
            <w:tcBorders>
              <w:top w:val="nil"/>
              <w:left w:val="nil"/>
              <w:bottom w:val="nil"/>
              <w:right w:val="nil"/>
            </w:tcBorders>
            <w:shd w:val="clear" w:color="auto" w:fill="auto"/>
            <w:noWrap/>
            <w:vAlign w:val="center"/>
            <w:hideMark/>
          </w:tcPr>
          <w:p w14:paraId="5891B11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5615</w:t>
            </w:r>
          </w:p>
        </w:tc>
        <w:tc>
          <w:tcPr>
            <w:tcW w:w="776" w:type="dxa"/>
            <w:tcBorders>
              <w:top w:val="nil"/>
              <w:left w:val="nil"/>
              <w:bottom w:val="nil"/>
              <w:right w:val="nil"/>
            </w:tcBorders>
            <w:shd w:val="clear" w:color="auto" w:fill="auto"/>
            <w:noWrap/>
            <w:vAlign w:val="center"/>
            <w:hideMark/>
          </w:tcPr>
          <w:p w14:paraId="6842C3F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3904</w:t>
            </w:r>
          </w:p>
        </w:tc>
        <w:tc>
          <w:tcPr>
            <w:tcW w:w="663" w:type="dxa"/>
            <w:tcBorders>
              <w:top w:val="nil"/>
              <w:left w:val="nil"/>
              <w:bottom w:val="nil"/>
              <w:right w:val="nil"/>
            </w:tcBorders>
            <w:shd w:val="clear" w:color="auto" w:fill="auto"/>
            <w:noWrap/>
            <w:vAlign w:val="center"/>
            <w:hideMark/>
          </w:tcPr>
          <w:p w14:paraId="646414E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3594</w:t>
            </w:r>
          </w:p>
        </w:tc>
        <w:tc>
          <w:tcPr>
            <w:tcW w:w="663" w:type="dxa"/>
            <w:tcBorders>
              <w:top w:val="nil"/>
              <w:left w:val="nil"/>
              <w:bottom w:val="nil"/>
              <w:right w:val="single" w:sz="8" w:space="0" w:color="002060"/>
            </w:tcBorders>
            <w:shd w:val="clear" w:color="auto" w:fill="auto"/>
            <w:noWrap/>
            <w:vAlign w:val="center"/>
            <w:hideMark/>
          </w:tcPr>
          <w:p w14:paraId="6E828A4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4180</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2100A881"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314D328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5</w:t>
            </w:r>
          </w:p>
        </w:tc>
        <w:tc>
          <w:tcPr>
            <w:tcW w:w="663" w:type="dxa"/>
            <w:tcBorders>
              <w:top w:val="nil"/>
              <w:left w:val="nil"/>
              <w:bottom w:val="nil"/>
              <w:right w:val="nil"/>
            </w:tcBorders>
            <w:shd w:val="clear" w:color="auto" w:fill="auto"/>
            <w:noWrap/>
            <w:vAlign w:val="center"/>
            <w:hideMark/>
          </w:tcPr>
          <w:p w14:paraId="7997704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4513</w:t>
            </w:r>
          </w:p>
        </w:tc>
        <w:tc>
          <w:tcPr>
            <w:tcW w:w="894" w:type="dxa"/>
            <w:tcBorders>
              <w:top w:val="nil"/>
              <w:left w:val="nil"/>
              <w:bottom w:val="nil"/>
              <w:right w:val="nil"/>
            </w:tcBorders>
            <w:shd w:val="clear" w:color="auto" w:fill="auto"/>
            <w:noWrap/>
            <w:vAlign w:val="center"/>
            <w:hideMark/>
          </w:tcPr>
          <w:p w14:paraId="41BC3A5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1636</w:t>
            </w:r>
          </w:p>
        </w:tc>
        <w:tc>
          <w:tcPr>
            <w:tcW w:w="663" w:type="dxa"/>
            <w:tcBorders>
              <w:top w:val="nil"/>
              <w:left w:val="nil"/>
              <w:bottom w:val="nil"/>
              <w:right w:val="nil"/>
            </w:tcBorders>
            <w:shd w:val="clear" w:color="auto" w:fill="auto"/>
            <w:noWrap/>
            <w:vAlign w:val="center"/>
            <w:hideMark/>
          </w:tcPr>
          <w:p w14:paraId="6D1661D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3331</w:t>
            </w:r>
          </w:p>
        </w:tc>
        <w:tc>
          <w:tcPr>
            <w:tcW w:w="663" w:type="dxa"/>
            <w:tcBorders>
              <w:top w:val="nil"/>
              <w:left w:val="nil"/>
              <w:bottom w:val="nil"/>
              <w:right w:val="nil"/>
            </w:tcBorders>
            <w:shd w:val="clear" w:color="auto" w:fill="auto"/>
            <w:noWrap/>
            <w:vAlign w:val="center"/>
            <w:hideMark/>
          </w:tcPr>
          <w:p w14:paraId="0EB426D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7188</w:t>
            </w:r>
          </w:p>
        </w:tc>
        <w:tc>
          <w:tcPr>
            <w:tcW w:w="796" w:type="dxa"/>
            <w:tcBorders>
              <w:top w:val="nil"/>
              <w:left w:val="nil"/>
              <w:bottom w:val="nil"/>
              <w:right w:val="nil"/>
            </w:tcBorders>
            <w:shd w:val="clear" w:color="auto" w:fill="auto"/>
            <w:noWrap/>
            <w:vAlign w:val="center"/>
            <w:hideMark/>
          </w:tcPr>
          <w:p w14:paraId="304390C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3537</w:t>
            </w:r>
          </w:p>
        </w:tc>
        <w:tc>
          <w:tcPr>
            <w:tcW w:w="663" w:type="dxa"/>
            <w:tcBorders>
              <w:top w:val="nil"/>
              <w:left w:val="nil"/>
              <w:bottom w:val="nil"/>
              <w:right w:val="nil"/>
            </w:tcBorders>
            <w:shd w:val="clear" w:color="auto" w:fill="auto"/>
            <w:noWrap/>
            <w:vAlign w:val="center"/>
            <w:hideMark/>
          </w:tcPr>
          <w:p w14:paraId="2B15E76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3428</w:t>
            </w:r>
          </w:p>
        </w:tc>
        <w:tc>
          <w:tcPr>
            <w:tcW w:w="663" w:type="dxa"/>
            <w:tcBorders>
              <w:top w:val="nil"/>
              <w:left w:val="nil"/>
              <w:bottom w:val="nil"/>
              <w:right w:val="single" w:sz="8" w:space="0" w:color="002060"/>
            </w:tcBorders>
            <w:shd w:val="clear" w:color="auto" w:fill="auto"/>
            <w:noWrap/>
            <w:vAlign w:val="center"/>
            <w:hideMark/>
          </w:tcPr>
          <w:p w14:paraId="025A39D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6086</w:t>
            </w:r>
          </w:p>
        </w:tc>
      </w:tr>
      <w:tr w:rsidR="00AE564D" w:rsidRPr="005E2286" w14:paraId="429CED54" w14:textId="77777777" w:rsidTr="005E2286">
        <w:trPr>
          <w:trHeight w:val="255"/>
          <w:jc w:val="center"/>
        </w:trPr>
        <w:tc>
          <w:tcPr>
            <w:tcW w:w="768" w:type="dxa"/>
            <w:vMerge/>
            <w:tcBorders>
              <w:top w:val="single" w:sz="8" w:space="0" w:color="FFFFFF"/>
              <w:left w:val="single" w:sz="8" w:space="0" w:color="002060"/>
              <w:bottom w:val="single" w:sz="8" w:space="0" w:color="002060"/>
              <w:right w:val="single" w:sz="8" w:space="0" w:color="002060"/>
            </w:tcBorders>
            <w:vAlign w:val="center"/>
            <w:hideMark/>
          </w:tcPr>
          <w:p w14:paraId="3108F01A"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3EEFE23F"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Moss Rd / Day Rd / Murchison</w:t>
            </w:r>
          </w:p>
        </w:tc>
        <w:tc>
          <w:tcPr>
            <w:tcW w:w="1008" w:type="dxa"/>
            <w:tcBorders>
              <w:top w:val="single" w:sz="8" w:space="0" w:color="002060"/>
              <w:left w:val="nil"/>
              <w:bottom w:val="nil"/>
              <w:right w:val="nil"/>
            </w:tcBorders>
            <w:shd w:val="clear" w:color="auto" w:fill="auto"/>
            <w:noWrap/>
            <w:vAlign w:val="center"/>
            <w:hideMark/>
          </w:tcPr>
          <w:p w14:paraId="13C76BB2"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Very Low</w:t>
            </w:r>
          </w:p>
        </w:tc>
        <w:tc>
          <w:tcPr>
            <w:tcW w:w="551" w:type="dxa"/>
            <w:tcBorders>
              <w:top w:val="single" w:sz="8" w:space="0" w:color="002060"/>
              <w:left w:val="nil"/>
              <w:bottom w:val="nil"/>
              <w:right w:val="nil"/>
            </w:tcBorders>
            <w:shd w:val="clear" w:color="auto" w:fill="auto"/>
            <w:noWrap/>
            <w:vAlign w:val="center"/>
            <w:hideMark/>
          </w:tcPr>
          <w:p w14:paraId="647B593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12</w:t>
            </w:r>
          </w:p>
        </w:tc>
        <w:tc>
          <w:tcPr>
            <w:tcW w:w="663" w:type="dxa"/>
            <w:tcBorders>
              <w:top w:val="single" w:sz="8" w:space="0" w:color="002060"/>
              <w:left w:val="nil"/>
              <w:bottom w:val="nil"/>
              <w:right w:val="nil"/>
            </w:tcBorders>
            <w:shd w:val="clear" w:color="auto" w:fill="auto"/>
            <w:noWrap/>
            <w:vAlign w:val="center"/>
            <w:hideMark/>
          </w:tcPr>
          <w:p w14:paraId="6B1A6CB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763</w:t>
            </w:r>
          </w:p>
        </w:tc>
        <w:tc>
          <w:tcPr>
            <w:tcW w:w="842" w:type="dxa"/>
            <w:tcBorders>
              <w:top w:val="single" w:sz="8" w:space="0" w:color="002060"/>
              <w:left w:val="nil"/>
              <w:bottom w:val="nil"/>
              <w:right w:val="nil"/>
            </w:tcBorders>
            <w:shd w:val="clear" w:color="auto" w:fill="auto"/>
            <w:noWrap/>
            <w:vAlign w:val="center"/>
            <w:hideMark/>
          </w:tcPr>
          <w:p w14:paraId="6FCAA61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127</w:t>
            </w:r>
          </w:p>
        </w:tc>
        <w:tc>
          <w:tcPr>
            <w:tcW w:w="663" w:type="dxa"/>
            <w:tcBorders>
              <w:top w:val="single" w:sz="8" w:space="0" w:color="002060"/>
              <w:left w:val="nil"/>
              <w:bottom w:val="nil"/>
              <w:right w:val="nil"/>
            </w:tcBorders>
            <w:shd w:val="clear" w:color="auto" w:fill="auto"/>
            <w:noWrap/>
            <w:vAlign w:val="center"/>
            <w:hideMark/>
          </w:tcPr>
          <w:p w14:paraId="4C529DF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539</w:t>
            </w:r>
          </w:p>
        </w:tc>
        <w:tc>
          <w:tcPr>
            <w:tcW w:w="663" w:type="dxa"/>
            <w:tcBorders>
              <w:top w:val="single" w:sz="8" w:space="0" w:color="002060"/>
              <w:left w:val="nil"/>
              <w:bottom w:val="nil"/>
              <w:right w:val="nil"/>
            </w:tcBorders>
            <w:shd w:val="clear" w:color="auto" w:fill="auto"/>
            <w:noWrap/>
            <w:vAlign w:val="center"/>
            <w:hideMark/>
          </w:tcPr>
          <w:p w14:paraId="1881FB7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866</w:t>
            </w:r>
          </w:p>
        </w:tc>
        <w:tc>
          <w:tcPr>
            <w:tcW w:w="776" w:type="dxa"/>
            <w:tcBorders>
              <w:top w:val="single" w:sz="8" w:space="0" w:color="002060"/>
              <w:left w:val="nil"/>
              <w:bottom w:val="nil"/>
              <w:right w:val="nil"/>
            </w:tcBorders>
            <w:shd w:val="clear" w:color="auto" w:fill="auto"/>
            <w:noWrap/>
            <w:vAlign w:val="center"/>
            <w:hideMark/>
          </w:tcPr>
          <w:p w14:paraId="4D98168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842</w:t>
            </w:r>
          </w:p>
        </w:tc>
        <w:tc>
          <w:tcPr>
            <w:tcW w:w="663" w:type="dxa"/>
            <w:tcBorders>
              <w:top w:val="single" w:sz="8" w:space="0" w:color="002060"/>
              <w:left w:val="nil"/>
              <w:bottom w:val="nil"/>
              <w:right w:val="nil"/>
            </w:tcBorders>
            <w:shd w:val="clear" w:color="auto" w:fill="auto"/>
            <w:noWrap/>
            <w:vAlign w:val="center"/>
            <w:hideMark/>
          </w:tcPr>
          <w:p w14:paraId="5EA5629B"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635</w:t>
            </w:r>
          </w:p>
        </w:tc>
        <w:tc>
          <w:tcPr>
            <w:tcW w:w="663" w:type="dxa"/>
            <w:tcBorders>
              <w:top w:val="single" w:sz="8" w:space="0" w:color="002060"/>
              <w:left w:val="nil"/>
              <w:bottom w:val="nil"/>
              <w:right w:val="single" w:sz="8" w:space="0" w:color="002060"/>
            </w:tcBorders>
            <w:shd w:val="clear" w:color="auto" w:fill="auto"/>
            <w:noWrap/>
            <w:vAlign w:val="center"/>
            <w:hideMark/>
          </w:tcPr>
          <w:p w14:paraId="09C4B02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849</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59A755FC"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single" w:sz="8" w:space="0" w:color="002060"/>
              <w:left w:val="nil"/>
              <w:bottom w:val="nil"/>
              <w:right w:val="nil"/>
            </w:tcBorders>
            <w:shd w:val="clear" w:color="auto" w:fill="auto"/>
            <w:noWrap/>
            <w:vAlign w:val="center"/>
            <w:hideMark/>
          </w:tcPr>
          <w:p w14:paraId="039A81C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6</w:t>
            </w:r>
          </w:p>
        </w:tc>
        <w:tc>
          <w:tcPr>
            <w:tcW w:w="663" w:type="dxa"/>
            <w:tcBorders>
              <w:top w:val="single" w:sz="8" w:space="0" w:color="002060"/>
              <w:left w:val="nil"/>
              <w:bottom w:val="nil"/>
              <w:right w:val="nil"/>
            </w:tcBorders>
            <w:shd w:val="clear" w:color="auto" w:fill="auto"/>
            <w:noWrap/>
            <w:vAlign w:val="center"/>
            <w:hideMark/>
          </w:tcPr>
          <w:p w14:paraId="5970C7D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825</w:t>
            </w:r>
          </w:p>
        </w:tc>
        <w:tc>
          <w:tcPr>
            <w:tcW w:w="894" w:type="dxa"/>
            <w:tcBorders>
              <w:top w:val="single" w:sz="8" w:space="0" w:color="002060"/>
              <w:left w:val="nil"/>
              <w:bottom w:val="nil"/>
              <w:right w:val="nil"/>
            </w:tcBorders>
            <w:shd w:val="clear" w:color="auto" w:fill="auto"/>
            <w:noWrap/>
            <w:vAlign w:val="center"/>
            <w:hideMark/>
          </w:tcPr>
          <w:p w14:paraId="56AE7CA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31</w:t>
            </w:r>
          </w:p>
        </w:tc>
        <w:tc>
          <w:tcPr>
            <w:tcW w:w="663" w:type="dxa"/>
            <w:tcBorders>
              <w:top w:val="single" w:sz="8" w:space="0" w:color="002060"/>
              <w:left w:val="nil"/>
              <w:bottom w:val="nil"/>
              <w:right w:val="nil"/>
            </w:tcBorders>
            <w:shd w:val="clear" w:color="auto" w:fill="auto"/>
            <w:noWrap/>
            <w:vAlign w:val="center"/>
            <w:hideMark/>
          </w:tcPr>
          <w:p w14:paraId="7EF224A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783</w:t>
            </w:r>
          </w:p>
        </w:tc>
        <w:tc>
          <w:tcPr>
            <w:tcW w:w="663" w:type="dxa"/>
            <w:tcBorders>
              <w:top w:val="single" w:sz="8" w:space="0" w:color="002060"/>
              <w:left w:val="nil"/>
              <w:bottom w:val="nil"/>
              <w:right w:val="nil"/>
            </w:tcBorders>
            <w:shd w:val="clear" w:color="auto" w:fill="auto"/>
            <w:noWrap/>
            <w:vAlign w:val="center"/>
            <w:hideMark/>
          </w:tcPr>
          <w:p w14:paraId="2A752E2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853</w:t>
            </w:r>
          </w:p>
        </w:tc>
        <w:tc>
          <w:tcPr>
            <w:tcW w:w="796" w:type="dxa"/>
            <w:tcBorders>
              <w:top w:val="single" w:sz="8" w:space="0" w:color="002060"/>
              <w:left w:val="nil"/>
              <w:bottom w:val="nil"/>
              <w:right w:val="nil"/>
            </w:tcBorders>
            <w:shd w:val="clear" w:color="auto" w:fill="auto"/>
            <w:noWrap/>
            <w:vAlign w:val="center"/>
            <w:hideMark/>
          </w:tcPr>
          <w:p w14:paraId="6C776D7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828</w:t>
            </w:r>
          </w:p>
        </w:tc>
        <w:tc>
          <w:tcPr>
            <w:tcW w:w="663" w:type="dxa"/>
            <w:tcBorders>
              <w:top w:val="single" w:sz="8" w:space="0" w:color="002060"/>
              <w:left w:val="nil"/>
              <w:bottom w:val="nil"/>
              <w:right w:val="nil"/>
            </w:tcBorders>
            <w:shd w:val="clear" w:color="auto" w:fill="auto"/>
            <w:noWrap/>
            <w:vAlign w:val="center"/>
            <w:hideMark/>
          </w:tcPr>
          <w:p w14:paraId="3CAE96D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800</w:t>
            </w:r>
          </w:p>
        </w:tc>
        <w:tc>
          <w:tcPr>
            <w:tcW w:w="663" w:type="dxa"/>
            <w:tcBorders>
              <w:top w:val="single" w:sz="8" w:space="0" w:color="002060"/>
              <w:left w:val="nil"/>
              <w:bottom w:val="nil"/>
              <w:right w:val="single" w:sz="8" w:space="0" w:color="002060"/>
            </w:tcBorders>
            <w:shd w:val="clear" w:color="auto" w:fill="auto"/>
            <w:noWrap/>
            <w:vAlign w:val="center"/>
            <w:hideMark/>
          </w:tcPr>
          <w:p w14:paraId="10DE7E3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852</w:t>
            </w:r>
          </w:p>
        </w:tc>
      </w:tr>
      <w:tr w:rsidR="00AE564D" w:rsidRPr="005E2286" w14:paraId="31A9F2DD" w14:textId="77777777" w:rsidTr="005E2286">
        <w:trPr>
          <w:trHeight w:val="255"/>
          <w:jc w:val="center"/>
        </w:trPr>
        <w:tc>
          <w:tcPr>
            <w:tcW w:w="768" w:type="dxa"/>
            <w:vMerge/>
            <w:tcBorders>
              <w:top w:val="single" w:sz="8" w:space="0" w:color="FFFFFF"/>
              <w:left w:val="single" w:sz="8" w:space="0" w:color="002060"/>
              <w:bottom w:val="single" w:sz="8" w:space="0" w:color="002060"/>
              <w:right w:val="single" w:sz="8" w:space="0" w:color="002060"/>
            </w:tcBorders>
            <w:vAlign w:val="center"/>
            <w:hideMark/>
          </w:tcPr>
          <w:p w14:paraId="19499831"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37606020"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07547AAE"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Mod Low</w:t>
            </w:r>
          </w:p>
        </w:tc>
        <w:tc>
          <w:tcPr>
            <w:tcW w:w="551" w:type="dxa"/>
            <w:tcBorders>
              <w:top w:val="nil"/>
              <w:left w:val="nil"/>
              <w:bottom w:val="nil"/>
              <w:right w:val="nil"/>
            </w:tcBorders>
            <w:shd w:val="clear" w:color="auto" w:fill="auto"/>
            <w:noWrap/>
            <w:vAlign w:val="center"/>
            <w:hideMark/>
          </w:tcPr>
          <w:p w14:paraId="4EF30A8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53</w:t>
            </w:r>
          </w:p>
        </w:tc>
        <w:tc>
          <w:tcPr>
            <w:tcW w:w="663" w:type="dxa"/>
            <w:tcBorders>
              <w:top w:val="nil"/>
              <w:left w:val="nil"/>
              <w:bottom w:val="nil"/>
              <w:right w:val="nil"/>
            </w:tcBorders>
            <w:shd w:val="clear" w:color="auto" w:fill="auto"/>
            <w:noWrap/>
            <w:vAlign w:val="center"/>
            <w:hideMark/>
          </w:tcPr>
          <w:p w14:paraId="5CE7A20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1058</w:t>
            </w:r>
          </w:p>
        </w:tc>
        <w:tc>
          <w:tcPr>
            <w:tcW w:w="842" w:type="dxa"/>
            <w:tcBorders>
              <w:top w:val="nil"/>
              <w:left w:val="nil"/>
              <w:bottom w:val="nil"/>
              <w:right w:val="nil"/>
            </w:tcBorders>
            <w:shd w:val="clear" w:color="auto" w:fill="auto"/>
            <w:noWrap/>
            <w:vAlign w:val="center"/>
            <w:hideMark/>
          </w:tcPr>
          <w:p w14:paraId="3D40B1B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225</w:t>
            </w:r>
          </w:p>
        </w:tc>
        <w:tc>
          <w:tcPr>
            <w:tcW w:w="663" w:type="dxa"/>
            <w:tcBorders>
              <w:top w:val="nil"/>
              <w:left w:val="nil"/>
              <w:bottom w:val="nil"/>
              <w:right w:val="nil"/>
            </w:tcBorders>
            <w:shd w:val="clear" w:color="auto" w:fill="auto"/>
            <w:noWrap/>
            <w:vAlign w:val="center"/>
            <w:hideMark/>
          </w:tcPr>
          <w:p w14:paraId="75EF00B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895</w:t>
            </w:r>
          </w:p>
        </w:tc>
        <w:tc>
          <w:tcPr>
            <w:tcW w:w="663" w:type="dxa"/>
            <w:tcBorders>
              <w:top w:val="nil"/>
              <w:left w:val="nil"/>
              <w:bottom w:val="nil"/>
              <w:right w:val="nil"/>
            </w:tcBorders>
            <w:shd w:val="clear" w:color="auto" w:fill="auto"/>
            <w:noWrap/>
            <w:vAlign w:val="center"/>
            <w:hideMark/>
          </w:tcPr>
          <w:p w14:paraId="6CFB45A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1707</w:t>
            </w:r>
          </w:p>
        </w:tc>
        <w:tc>
          <w:tcPr>
            <w:tcW w:w="776" w:type="dxa"/>
            <w:tcBorders>
              <w:top w:val="nil"/>
              <w:left w:val="nil"/>
              <w:bottom w:val="nil"/>
              <w:right w:val="nil"/>
            </w:tcBorders>
            <w:shd w:val="clear" w:color="auto" w:fill="auto"/>
            <w:noWrap/>
            <w:vAlign w:val="center"/>
            <w:hideMark/>
          </w:tcPr>
          <w:p w14:paraId="7EABAAC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978</w:t>
            </w:r>
          </w:p>
        </w:tc>
        <w:tc>
          <w:tcPr>
            <w:tcW w:w="663" w:type="dxa"/>
            <w:tcBorders>
              <w:top w:val="nil"/>
              <w:left w:val="nil"/>
              <w:bottom w:val="nil"/>
              <w:right w:val="nil"/>
            </w:tcBorders>
            <w:shd w:val="clear" w:color="auto" w:fill="auto"/>
            <w:noWrap/>
            <w:vAlign w:val="center"/>
            <w:hideMark/>
          </w:tcPr>
          <w:p w14:paraId="1AC3540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929</w:t>
            </w:r>
          </w:p>
        </w:tc>
        <w:tc>
          <w:tcPr>
            <w:tcW w:w="663" w:type="dxa"/>
            <w:tcBorders>
              <w:top w:val="nil"/>
              <w:left w:val="nil"/>
              <w:bottom w:val="nil"/>
              <w:right w:val="single" w:sz="8" w:space="0" w:color="002060"/>
            </w:tcBorders>
            <w:shd w:val="clear" w:color="auto" w:fill="auto"/>
            <w:noWrap/>
            <w:vAlign w:val="center"/>
            <w:hideMark/>
          </w:tcPr>
          <w:p w14:paraId="527C8D1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1039</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0F3E0D7E"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5A98559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15</w:t>
            </w:r>
          </w:p>
        </w:tc>
        <w:tc>
          <w:tcPr>
            <w:tcW w:w="663" w:type="dxa"/>
            <w:tcBorders>
              <w:top w:val="nil"/>
              <w:left w:val="nil"/>
              <w:bottom w:val="nil"/>
              <w:right w:val="nil"/>
            </w:tcBorders>
            <w:shd w:val="clear" w:color="auto" w:fill="auto"/>
            <w:noWrap/>
            <w:vAlign w:val="center"/>
            <w:hideMark/>
          </w:tcPr>
          <w:p w14:paraId="2118724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1150</w:t>
            </w:r>
          </w:p>
        </w:tc>
        <w:tc>
          <w:tcPr>
            <w:tcW w:w="894" w:type="dxa"/>
            <w:tcBorders>
              <w:top w:val="nil"/>
              <w:left w:val="nil"/>
              <w:bottom w:val="nil"/>
              <w:right w:val="nil"/>
            </w:tcBorders>
            <w:shd w:val="clear" w:color="auto" w:fill="auto"/>
            <w:noWrap/>
            <w:vAlign w:val="center"/>
            <w:hideMark/>
          </w:tcPr>
          <w:p w14:paraId="41E3C66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259</w:t>
            </w:r>
          </w:p>
        </w:tc>
        <w:tc>
          <w:tcPr>
            <w:tcW w:w="663" w:type="dxa"/>
            <w:tcBorders>
              <w:top w:val="nil"/>
              <w:left w:val="nil"/>
              <w:bottom w:val="nil"/>
              <w:right w:val="nil"/>
            </w:tcBorders>
            <w:shd w:val="clear" w:color="auto" w:fill="auto"/>
            <w:noWrap/>
            <w:vAlign w:val="center"/>
            <w:hideMark/>
          </w:tcPr>
          <w:p w14:paraId="5A3F76B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880</w:t>
            </w:r>
          </w:p>
        </w:tc>
        <w:tc>
          <w:tcPr>
            <w:tcW w:w="663" w:type="dxa"/>
            <w:tcBorders>
              <w:top w:val="nil"/>
              <w:left w:val="nil"/>
              <w:bottom w:val="nil"/>
              <w:right w:val="nil"/>
            </w:tcBorders>
            <w:shd w:val="clear" w:color="auto" w:fill="auto"/>
            <w:noWrap/>
            <w:vAlign w:val="center"/>
            <w:hideMark/>
          </w:tcPr>
          <w:p w14:paraId="4FBA631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1651</w:t>
            </w:r>
          </w:p>
        </w:tc>
        <w:tc>
          <w:tcPr>
            <w:tcW w:w="796" w:type="dxa"/>
            <w:tcBorders>
              <w:top w:val="nil"/>
              <w:left w:val="nil"/>
              <w:bottom w:val="nil"/>
              <w:right w:val="nil"/>
            </w:tcBorders>
            <w:shd w:val="clear" w:color="auto" w:fill="auto"/>
            <w:noWrap/>
            <w:vAlign w:val="center"/>
            <w:hideMark/>
          </w:tcPr>
          <w:p w14:paraId="3C790316"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1038</w:t>
            </w:r>
          </w:p>
        </w:tc>
        <w:tc>
          <w:tcPr>
            <w:tcW w:w="663" w:type="dxa"/>
            <w:tcBorders>
              <w:top w:val="nil"/>
              <w:left w:val="nil"/>
              <w:bottom w:val="nil"/>
              <w:right w:val="nil"/>
            </w:tcBorders>
            <w:shd w:val="clear" w:color="auto" w:fill="auto"/>
            <w:noWrap/>
            <w:vAlign w:val="center"/>
            <w:hideMark/>
          </w:tcPr>
          <w:p w14:paraId="09783BA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963</w:t>
            </w:r>
          </w:p>
        </w:tc>
        <w:tc>
          <w:tcPr>
            <w:tcW w:w="663" w:type="dxa"/>
            <w:tcBorders>
              <w:top w:val="nil"/>
              <w:left w:val="nil"/>
              <w:bottom w:val="nil"/>
              <w:right w:val="single" w:sz="8" w:space="0" w:color="002060"/>
            </w:tcBorders>
            <w:shd w:val="clear" w:color="auto" w:fill="auto"/>
            <w:noWrap/>
            <w:vAlign w:val="center"/>
            <w:hideMark/>
          </w:tcPr>
          <w:p w14:paraId="64948B1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1353</w:t>
            </w:r>
          </w:p>
        </w:tc>
      </w:tr>
      <w:tr w:rsidR="00AE564D" w:rsidRPr="005E2286" w14:paraId="1CF24464" w14:textId="77777777" w:rsidTr="005E2286">
        <w:trPr>
          <w:trHeight w:val="255"/>
          <w:jc w:val="center"/>
        </w:trPr>
        <w:tc>
          <w:tcPr>
            <w:tcW w:w="768" w:type="dxa"/>
            <w:vMerge/>
            <w:tcBorders>
              <w:top w:val="single" w:sz="8" w:space="0" w:color="FFFFFF"/>
              <w:left w:val="single" w:sz="8" w:space="0" w:color="002060"/>
              <w:bottom w:val="single" w:sz="8" w:space="0" w:color="002060"/>
              <w:right w:val="single" w:sz="8" w:space="0" w:color="002060"/>
            </w:tcBorders>
            <w:vAlign w:val="center"/>
            <w:hideMark/>
          </w:tcPr>
          <w:p w14:paraId="5FD6D084"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4F0A35B0"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55BA83B1"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Low Fresh</w:t>
            </w:r>
          </w:p>
        </w:tc>
        <w:tc>
          <w:tcPr>
            <w:tcW w:w="551" w:type="dxa"/>
            <w:tcBorders>
              <w:top w:val="nil"/>
              <w:left w:val="nil"/>
              <w:bottom w:val="nil"/>
              <w:right w:val="nil"/>
            </w:tcBorders>
            <w:shd w:val="clear" w:color="auto" w:fill="auto"/>
            <w:noWrap/>
            <w:vAlign w:val="center"/>
            <w:hideMark/>
          </w:tcPr>
          <w:p w14:paraId="6F5B069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24</w:t>
            </w:r>
          </w:p>
        </w:tc>
        <w:tc>
          <w:tcPr>
            <w:tcW w:w="663" w:type="dxa"/>
            <w:tcBorders>
              <w:top w:val="nil"/>
              <w:left w:val="nil"/>
              <w:bottom w:val="nil"/>
              <w:right w:val="nil"/>
            </w:tcBorders>
            <w:shd w:val="clear" w:color="auto" w:fill="auto"/>
            <w:noWrap/>
            <w:vAlign w:val="center"/>
            <w:hideMark/>
          </w:tcPr>
          <w:p w14:paraId="1218171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2690</w:t>
            </w:r>
          </w:p>
        </w:tc>
        <w:tc>
          <w:tcPr>
            <w:tcW w:w="842" w:type="dxa"/>
            <w:tcBorders>
              <w:top w:val="nil"/>
              <w:left w:val="nil"/>
              <w:bottom w:val="nil"/>
              <w:right w:val="nil"/>
            </w:tcBorders>
            <w:shd w:val="clear" w:color="auto" w:fill="auto"/>
            <w:noWrap/>
            <w:vAlign w:val="center"/>
            <w:hideMark/>
          </w:tcPr>
          <w:p w14:paraId="413B619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422</w:t>
            </w:r>
          </w:p>
        </w:tc>
        <w:tc>
          <w:tcPr>
            <w:tcW w:w="663" w:type="dxa"/>
            <w:tcBorders>
              <w:top w:val="nil"/>
              <w:left w:val="nil"/>
              <w:bottom w:val="nil"/>
              <w:right w:val="nil"/>
            </w:tcBorders>
            <w:shd w:val="clear" w:color="auto" w:fill="auto"/>
            <w:noWrap/>
            <w:vAlign w:val="center"/>
            <w:hideMark/>
          </w:tcPr>
          <w:p w14:paraId="1E1CB91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1817</w:t>
            </w:r>
          </w:p>
        </w:tc>
        <w:tc>
          <w:tcPr>
            <w:tcW w:w="663" w:type="dxa"/>
            <w:tcBorders>
              <w:top w:val="nil"/>
              <w:left w:val="nil"/>
              <w:bottom w:val="nil"/>
              <w:right w:val="nil"/>
            </w:tcBorders>
            <w:shd w:val="clear" w:color="auto" w:fill="auto"/>
            <w:noWrap/>
            <w:vAlign w:val="center"/>
            <w:hideMark/>
          </w:tcPr>
          <w:p w14:paraId="4EF4DD1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3187</w:t>
            </w:r>
          </w:p>
        </w:tc>
        <w:tc>
          <w:tcPr>
            <w:tcW w:w="776" w:type="dxa"/>
            <w:tcBorders>
              <w:top w:val="nil"/>
              <w:left w:val="nil"/>
              <w:bottom w:val="nil"/>
              <w:right w:val="nil"/>
            </w:tcBorders>
            <w:shd w:val="clear" w:color="auto" w:fill="auto"/>
            <w:noWrap/>
            <w:vAlign w:val="center"/>
            <w:hideMark/>
          </w:tcPr>
          <w:p w14:paraId="22D3081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2831</w:t>
            </w:r>
          </w:p>
        </w:tc>
        <w:tc>
          <w:tcPr>
            <w:tcW w:w="663" w:type="dxa"/>
            <w:tcBorders>
              <w:top w:val="nil"/>
              <w:left w:val="nil"/>
              <w:bottom w:val="nil"/>
              <w:right w:val="nil"/>
            </w:tcBorders>
            <w:shd w:val="clear" w:color="auto" w:fill="auto"/>
            <w:noWrap/>
            <w:vAlign w:val="center"/>
            <w:hideMark/>
          </w:tcPr>
          <w:p w14:paraId="14E90A9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2319</w:t>
            </w:r>
          </w:p>
        </w:tc>
        <w:tc>
          <w:tcPr>
            <w:tcW w:w="663" w:type="dxa"/>
            <w:tcBorders>
              <w:top w:val="nil"/>
              <w:left w:val="nil"/>
              <w:bottom w:val="nil"/>
              <w:right w:val="single" w:sz="8" w:space="0" w:color="002060"/>
            </w:tcBorders>
            <w:shd w:val="clear" w:color="auto" w:fill="auto"/>
            <w:noWrap/>
            <w:vAlign w:val="center"/>
            <w:hideMark/>
          </w:tcPr>
          <w:p w14:paraId="4B47B58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3035</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190B7C6C"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nil"/>
              <w:right w:val="nil"/>
            </w:tcBorders>
            <w:shd w:val="clear" w:color="auto" w:fill="auto"/>
            <w:noWrap/>
            <w:vAlign w:val="center"/>
            <w:hideMark/>
          </w:tcPr>
          <w:p w14:paraId="68B0EB3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7</w:t>
            </w:r>
          </w:p>
        </w:tc>
        <w:tc>
          <w:tcPr>
            <w:tcW w:w="663" w:type="dxa"/>
            <w:tcBorders>
              <w:top w:val="nil"/>
              <w:left w:val="nil"/>
              <w:bottom w:val="nil"/>
              <w:right w:val="nil"/>
            </w:tcBorders>
            <w:shd w:val="clear" w:color="auto" w:fill="auto"/>
            <w:noWrap/>
            <w:vAlign w:val="center"/>
            <w:hideMark/>
          </w:tcPr>
          <w:p w14:paraId="663B73DE"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2180</w:t>
            </w:r>
          </w:p>
        </w:tc>
        <w:tc>
          <w:tcPr>
            <w:tcW w:w="894" w:type="dxa"/>
            <w:tcBorders>
              <w:top w:val="nil"/>
              <w:left w:val="nil"/>
              <w:bottom w:val="nil"/>
              <w:right w:val="nil"/>
            </w:tcBorders>
            <w:shd w:val="clear" w:color="auto" w:fill="auto"/>
            <w:noWrap/>
            <w:vAlign w:val="center"/>
            <w:hideMark/>
          </w:tcPr>
          <w:p w14:paraId="11D8E6E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282</w:t>
            </w:r>
          </w:p>
        </w:tc>
        <w:tc>
          <w:tcPr>
            <w:tcW w:w="663" w:type="dxa"/>
            <w:tcBorders>
              <w:top w:val="nil"/>
              <w:left w:val="nil"/>
              <w:bottom w:val="nil"/>
              <w:right w:val="nil"/>
            </w:tcBorders>
            <w:shd w:val="clear" w:color="auto" w:fill="auto"/>
            <w:noWrap/>
            <w:vAlign w:val="center"/>
            <w:hideMark/>
          </w:tcPr>
          <w:p w14:paraId="491F5BA0"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1801</w:t>
            </w:r>
          </w:p>
        </w:tc>
        <w:tc>
          <w:tcPr>
            <w:tcW w:w="663" w:type="dxa"/>
            <w:tcBorders>
              <w:top w:val="nil"/>
              <w:left w:val="nil"/>
              <w:bottom w:val="nil"/>
              <w:right w:val="nil"/>
            </w:tcBorders>
            <w:shd w:val="clear" w:color="auto" w:fill="auto"/>
            <w:noWrap/>
            <w:vAlign w:val="center"/>
            <w:hideMark/>
          </w:tcPr>
          <w:p w14:paraId="530AE0F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2516</w:t>
            </w:r>
          </w:p>
        </w:tc>
        <w:tc>
          <w:tcPr>
            <w:tcW w:w="796" w:type="dxa"/>
            <w:tcBorders>
              <w:top w:val="nil"/>
              <w:left w:val="nil"/>
              <w:bottom w:val="nil"/>
              <w:right w:val="nil"/>
            </w:tcBorders>
            <w:shd w:val="clear" w:color="auto" w:fill="auto"/>
            <w:noWrap/>
            <w:vAlign w:val="center"/>
            <w:hideMark/>
          </w:tcPr>
          <w:p w14:paraId="636452E4"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2244</w:t>
            </w:r>
          </w:p>
        </w:tc>
        <w:tc>
          <w:tcPr>
            <w:tcW w:w="663" w:type="dxa"/>
            <w:tcBorders>
              <w:top w:val="nil"/>
              <w:left w:val="nil"/>
              <w:bottom w:val="nil"/>
              <w:right w:val="nil"/>
            </w:tcBorders>
            <w:shd w:val="clear" w:color="auto" w:fill="auto"/>
            <w:noWrap/>
            <w:vAlign w:val="center"/>
            <w:hideMark/>
          </w:tcPr>
          <w:p w14:paraId="1ACCF0C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1821</w:t>
            </w:r>
          </w:p>
        </w:tc>
        <w:tc>
          <w:tcPr>
            <w:tcW w:w="663" w:type="dxa"/>
            <w:tcBorders>
              <w:top w:val="nil"/>
              <w:left w:val="nil"/>
              <w:bottom w:val="nil"/>
              <w:right w:val="single" w:sz="8" w:space="0" w:color="002060"/>
            </w:tcBorders>
            <w:shd w:val="clear" w:color="auto" w:fill="auto"/>
            <w:noWrap/>
            <w:vAlign w:val="center"/>
            <w:hideMark/>
          </w:tcPr>
          <w:p w14:paraId="433D2CF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2420</w:t>
            </w:r>
          </w:p>
        </w:tc>
      </w:tr>
      <w:tr w:rsidR="00AE564D" w:rsidRPr="005E2286" w14:paraId="5EDB5FA5" w14:textId="77777777" w:rsidTr="005E2286">
        <w:trPr>
          <w:trHeight w:val="255"/>
          <w:jc w:val="center"/>
        </w:trPr>
        <w:tc>
          <w:tcPr>
            <w:tcW w:w="768" w:type="dxa"/>
            <w:vMerge/>
            <w:tcBorders>
              <w:top w:val="single" w:sz="8" w:space="0" w:color="FFFFFF"/>
              <w:left w:val="single" w:sz="8" w:space="0" w:color="002060"/>
              <w:bottom w:val="single" w:sz="8" w:space="0" w:color="002060"/>
              <w:right w:val="single" w:sz="8" w:space="0" w:color="002060"/>
            </w:tcBorders>
            <w:vAlign w:val="center"/>
            <w:hideMark/>
          </w:tcPr>
          <w:p w14:paraId="15366934"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636E9E32" w14:textId="77777777" w:rsidR="00AE564D" w:rsidRPr="005E2286"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single" w:sz="8" w:space="0" w:color="002060"/>
              <w:right w:val="nil"/>
            </w:tcBorders>
            <w:shd w:val="clear" w:color="auto" w:fill="auto"/>
            <w:noWrap/>
            <w:vAlign w:val="center"/>
            <w:hideMark/>
          </w:tcPr>
          <w:p w14:paraId="25B7C7BF" w14:textId="77777777" w:rsidR="00AE564D" w:rsidRPr="005E2286" w:rsidRDefault="00AE564D" w:rsidP="00E26D3C">
            <w:pPr>
              <w:spacing w:after="0" w:line="240" w:lineRule="auto"/>
              <w:jc w:val="center"/>
              <w:rPr>
                <w:rFonts w:eastAsia="Times New Roman" w:cstheme="minorHAnsi"/>
                <w:color w:val="000000"/>
                <w:sz w:val="18"/>
                <w:szCs w:val="18"/>
                <w:lang w:eastAsia="en-AU"/>
              </w:rPr>
            </w:pPr>
            <w:r w:rsidRPr="005E2286">
              <w:rPr>
                <w:rFonts w:eastAsia="Times New Roman" w:cstheme="minorHAnsi"/>
                <w:color w:val="000000"/>
                <w:sz w:val="18"/>
                <w:szCs w:val="18"/>
                <w:lang w:eastAsia="en-AU"/>
              </w:rPr>
              <w:t>Med Fresh</w:t>
            </w:r>
          </w:p>
        </w:tc>
        <w:tc>
          <w:tcPr>
            <w:tcW w:w="551" w:type="dxa"/>
            <w:tcBorders>
              <w:top w:val="nil"/>
              <w:left w:val="nil"/>
              <w:bottom w:val="single" w:sz="8" w:space="0" w:color="002060"/>
              <w:right w:val="nil"/>
            </w:tcBorders>
            <w:shd w:val="clear" w:color="auto" w:fill="auto"/>
            <w:noWrap/>
            <w:vAlign w:val="center"/>
            <w:hideMark/>
          </w:tcPr>
          <w:p w14:paraId="1676AD3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15</w:t>
            </w:r>
          </w:p>
        </w:tc>
        <w:tc>
          <w:tcPr>
            <w:tcW w:w="663" w:type="dxa"/>
            <w:tcBorders>
              <w:top w:val="nil"/>
              <w:left w:val="nil"/>
              <w:bottom w:val="single" w:sz="8" w:space="0" w:color="002060"/>
              <w:right w:val="nil"/>
            </w:tcBorders>
            <w:shd w:val="clear" w:color="auto" w:fill="auto"/>
            <w:noWrap/>
            <w:vAlign w:val="center"/>
            <w:hideMark/>
          </w:tcPr>
          <w:p w14:paraId="61E03E72"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4162</w:t>
            </w:r>
          </w:p>
        </w:tc>
        <w:tc>
          <w:tcPr>
            <w:tcW w:w="842" w:type="dxa"/>
            <w:tcBorders>
              <w:top w:val="nil"/>
              <w:left w:val="nil"/>
              <w:bottom w:val="single" w:sz="8" w:space="0" w:color="002060"/>
              <w:right w:val="nil"/>
            </w:tcBorders>
            <w:shd w:val="clear" w:color="auto" w:fill="auto"/>
            <w:noWrap/>
            <w:vAlign w:val="center"/>
            <w:hideMark/>
          </w:tcPr>
          <w:p w14:paraId="72C873FA"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346</w:t>
            </w:r>
          </w:p>
        </w:tc>
        <w:tc>
          <w:tcPr>
            <w:tcW w:w="663" w:type="dxa"/>
            <w:tcBorders>
              <w:top w:val="nil"/>
              <w:left w:val="nil"/>
              <w:bottom w:val="single" w:sz="8" w:space="0" w:color="002060"/>
              <w:right w:val="nil"/>
            </w:tcBorders>
            <w:shd w:val="clear" w:color="auto" w:fill="auto"/>
            <w:noWrap/>
            <w:vAlign w:val="center"/>
            <w:hideMark/>
          </w:tcPr>
          <w:p w14:paraId="0F16327D"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3554</w:t>
            </w:r>
          </w:p>
        </w:tc>
        <w:tc>
          <w:tcPr>
            <w:tcW w:w="663" w:type="dxa"/>
            <w:tcBorders>
              <w:top w:val="nil"/>
              <w:left w:val="nil"/>
              <w:bottom w:val="single" w:sz="8" w:space="0" w:color="002060"/>
              <w:right w:val="nil"/>
            </w:tcBorders>
            <w:shd w:val="clear" w:color="auto" w:fill="auto"/>
            <w:noWrap/>
            <w:vAlign w:val="center"/>
            <w:hideMark/>
          </w:tcPr>
          <w:p w14:paraId="619B91D7"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4587</w:t>
            </w:r>
          </w:p>
        </w:tc>
        <w:tc>
          <w:tcPr>
            <w:tcW w:w="776" w:type="dxa"/>
            <w:tcBorders>
              <w:top w:val="nil"/>
              <w:left w:val="nil"/>
              <w:bottom w:val="single" w:sz="8" w:space="0" w:color="002060"/>
              <w:right w:val="nil"/>
            </w:tcBorders>
            <w:shd w:val="clear" w:color="auto" w:fill="auto"/>
            <w:noWrap/>
            <w:vAlign w:val="center"/>
            <w:hideMark/>
          </w:tcPr>
          <w:p w14:paraId="2836DA4C"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4253</w:t>
            </w:r>
          </w:p>
        </w:tc>
        <w:tc>
          <w:tcPr>
            <w:tcW w:w="663" w:type="dxa"/>
            <w:tcBorders>
              <w:top w:val="nil"/>
              <w:left w:val="nil"/>
              <w:bottom w:val="single" w:sz="8" w:space="0" w:color="002060"/>
              <w:right w:val="nil"/>
            </w:tcBorders>
            <w:shd w:val="clear" w:color="auto" w:fill="auto"/>
            <w:noWrap/>
            <w:vAlign w:val="center"/>
            <w:hideMark/>
          </w:tcPr>
          <w:p w14:paraId="5B614C6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3778</w:t>
            </w:r>
          </w:p>
        </w:tc>
        <w:tc>
          <w:tcPr>
            <w:tcW w:w="663" w:type="dxa"/>
            <w:tcBorders>
              <w:top w:val="nil"/>
              <w:left w:val="nil"/>
              <w:bottom w:val="single" w:sz="8" w:space="0" w:color="002060"/>
              <w:right w:val="single" w:sz="8" w:space="0" w:color="002060"/>
            </w:tcBorders>
            <w:shd w:val="clear" w:color="auto" w:fill="auto"/>
            <w:noWrap/>
            <w:vAlign w:val="center"/>
            <w:hideMark/>
          </w:tcPr>
          <w:p w14:paraId="3EBC1CF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cstheme="minorHAnsi"/>
                <w:color w:val="000000"/>
                <w:sz w:val="18"/>
                <w:szCs w:val="18"/>
              </w:rPr>
              <w:t>4474</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51B06056" w14:textId="77777777" w:rsidR="00AE564D" w:rsidRPr="005E2286" w:rsidRDefault="00AE564D" w:rsidP="00E26D3C">
            <w:pPr>
              <w:spacing w:after="0" w:line="240" w:lineRule="auto"/>
              <w:rPr>
                <w:rFonts w:eastAsia="Times New Roman" w:cstheme="minorHAnsi"/>
                <w:color w:val="FFFFFF"/>
                <w:sz w:val="18"/>
                <w:szCs w:val="18"/>
                <w:lang w:eastAsia="en-AU"/>
              </w:rPr>
            </w:pPr>
          </w:p>
        </w:tc>
        <w:tc>
          <w:tcPr>
            <w:tcW w:w="551" w:type="dxa"/>
            <w:tcBorders>
              <w:top w:val="nil"/>
              <w:left w:val="nil"/>
              <w:bottom w:val="single" w:sz="8" w:space="0" w:color="002060"/>
              <w:right w:val="nil"/>
            </w:tcBorders>
            <w:shd w:val="clear" w:color="auto" w:fill="auto"/>
            <w:noWrap/>
            <w:vAlign w:val="center"/>
            <w:hideMark/>
          </w:tcPr>
          <w:p w14:paraId="766CA1F3"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eastAsia="Times New Roman" w:cstheme="minorHAnsi"/>
                <w:color w:val="000000" w:themeColor="text1"/>
                <w:sz w:val="18"/>
                <w:szCs w:val="18"/>
                <w:lang w:eastAsia="en-AU"/>
              </w:rPr>
              <w:t>4</w:t>
            </w:r>
          </w:p>
        </w:tc>
        <w:tc>
          <w:tcPr>
            <w:tcW w:w="663" w:type="dxa"/>
            <w:tcBorders>
              <w:top w:val="nil"/>
              <w:left w:val="nil"/>
              <w:bottom w:val="single" w:sz="8" w:space="0" w:color="002060"/>
              <w:right w:val="nil"/>
            </w:tcBorders>
            <w:shd w:val="clear" w:color="auto" w:fill="auto"/>
            <w:noWrap/>
            <w:vAlign w:val="center"/>
            <w:hideMark/>
          </w:tcPr>
          <w:p w14:paraId="408DD7E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eastAsia="Times New Roman" w:cstheme="minorHAnsi"/>
                <w:color w:val="FF0000"/>
                <w:sz w:val="18"/>
                <w:szCs w:val="18"/>
                <w:lang w:eastAsia="en-AU"/>
              </w:rPr>
              <w:t> </w:t>
            </w:r>
          </w:p>
        </w:tc>
        <w:tc>
          <w:tcPr>
            <w:tcW w:w="894" w:type="dxa"/>
            <w:tcBorders>
              <w:top w:val="nil"/>
              <w:left w:val="nil"/>
              <w:bottom w:val="single" w:sz="8" w:space="0" w:color="002060"/>
              <w:right w:val="nil"/>
            </w:tcBorders>
            <w:shd w:val="clear" w:color="auto" w:fill="auto"/>
            <w:noWrap/>
            <w:vAlign w:val="center"/>
            <w:hideMark/>
          </w:tcPr>
          <w:p w14:paraId="1CA0465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eastAsia="Times New Roman" w:cstheme="minorHAnsi"/>
                <w:color w:val="FF0000"/>
                <w:sz w:val="18"/>
                <w:szCs w:val="18"/>
                <w:lang w:eastAsia="en-AU"/>
              </w:rPr>
              <w:t> </w:t>
            </w:r>
          </w:p>
        </w:tc>
        <w:tc>
          <w:tcPr>
            <w:tcW w:w="663" w:type="dxa"/>
            <w:tcBorders>
              <w:top w:val="nil"/>
              <w:left w:val="nil"/>
              <w:bottom w:val="single" w:sz="8" w:space="0" w:color="002060"/>
              <w:right w:val="nil"/>
            </w:tcBorders>
            <w:shd w:val="clear" w:color="auto" w:fill="auto"/>
            <w:noWrap/>
            <w:vAlign w:val="center"/>
            <w:hideMark/>
          </w:tcPr>
          <w:p w14:paraId="4BB6F20F"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eastAsia="Times New Roman" w:cstheme="minorHAnsi"/>
                <w:color w:val="FF0000"/>
                <w:sz w:val="18"/>
                <w:szCs w:val="18"/>
                <w:lang w:eastAsia="en-AU"/>
              </w:rPr>
              <w:t> </w:t>
            </w:r>
          </w:p>
        </w:tc>
        <w:tc>
          <w:tcPr>
            <w:tcW w:w="663" w:type="dxa"/>
            <w:tcBorders>
              <w:top w:val="nil"/>
              <w:left w:val="nil"/>
              <w:bottom w:val="single" w:sz="8" w:space="0" w:color="002060"/>
              <w:right w:val="nil"/>
            </w:tcBorders>
            <w:shd w:val="clear" w:color="auto" w:fill="auto"/>
            <w:noWrap/>
            <w:vAlign w:val="center"/>
            <w:hideMark/>
          </w:tcPr>
          <w:p w14:paraId="447118B8"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eastAsia="Times New Roman" w:cstheme="minorHAnsi"/>
                <w:color w:val="FF0000"/>
                <w:sz w:val="18"/>
                <w:szCs w:val="18"/>
                <w:lang w:eastAsia="en-AU"/>
              </w:rPr>
              <w:t> </w:t>
            </w:r>
          </w:p>
        </w:tc>
        <w:tc>
          <w:tcPr>
            <w:tcW w:w="796" w:type="dxa"/>
            <w:tcBorders>
              <w:top w:val="nil"/>
              <w:left w:val="nil"/>
              <w:bottom w:val="single" w:sz="8" w:space="0" w:color="002060"/>
              <w:right w:val="nil"/>
            </w:tcBorders>
            <w:shd w:val="clear" w:color="auto" w:fill="auto"/>
            <w:noWrap/>
            <w:vAlign w:val="center"/>
            <w:hideMark/>
          </w:tcPr>
          <w:p w14:paraId="41CE1A91"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eastAsia="Times New Roman" w:cstheme="minorHAnsi"/>
                <w:color w:val="FF0000"/>
                <w:sz w:val="18"/>
                <w:szCs w:val="18"/>
                <w:lang w:eastAsia="en-AU"/>
              </w:rPr>
              <w:t> </w:t>
            </w:r>
          </w:p>
        </w:tc>
        <w:tc>
          <w:tcPr>
            <w:tcW w:w="663" w:type="dxa"/>
            <w:tcBorders>
              <w:top w:val="nil"/>
              <w:left w:val="nil"/>
              <w:bottom w:val="single" w:sz="8" w:space="0" w:color="002060"/>
              <w:right w:val="nil"/>
            </w:tcBorders>
            <w:shd w:val="clear" w:color="auto" w:fill="auto"/>
            <w:noWrap/>
            <w:vAlign w:val="center"/>
            <w:hideMark/>
          </w:tcPr>
          <w:p w14:paraId="1ADE10B5"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eastAsia="Times New Roman" w:cstheme="minorHAnsi"/>
                <w:color w:val="FF0000"/>
                <w:sz w:val="18"/>
                <w:szCs w:val="18"/>
                <w:lang w:eastAsia="en-AU"/>
              </w:rPr>
              <w:t> </w:t>
            </w:r>
          </w:p>
        </w:tc>
        <w:tc>
          <w:tcPr>
            <w:tcW w:w="663" w:type="dxa"/>
            <w:tcBorders>
              <w:top w:val="nil"/>
              <w:left w:val="nil"/>
              <w:bottom w:val="single" w:sz="8" w:space="0" w:color="002060"/>
              <w:right w:val="single" w:sz="8" w:space="0" w:color="002060"/>
            </w:tcBorders>
            <w:shd w:val="clear" w:color="auto" w:fill="auto"/>
            <w:noWrap/>
            <w:vAlign w:val="center"/>
            <w:hideMark/>
          </w:tcPr>
          <w:p w14:paraId="5433B609" w14:textId="77777777" w:rsidR="00AE564D" w:rsidRPr="005E2286" w:rsidRDefault="00AE564D" w:rsidP="00E26D3C">
            <w:pPr>
              <w:spacing w:after="0" w:line="240" w:lineRule="auto"/>
              <w:jc w:val="center"/>
              <w:rPr>
                <w:rFonts w:eastAsia="Times New Roman" w:cstheme="minorHAnsi"/>
                <w:color w:val="FF0000"/>
                <w:sz w:val="18"/>
                <w:szCs w:val="18"/>
                <w:lang w:eastAsia="en-AU"/>
              </w:rPr>
            </w:pPr>
            <w:r w:rsidRPr="005E2286">
              <w:rPr>
                <w:rFonts w:eastAsia="Times New Roman" w:cstheme="minorHAnsi"/>
                <w:color w:val="FF0000"/>
                <w:sz w:val="18"/>
                <w:szCs w:val="18"/>
                <w:lang w:eastAsia="en-AU"/>
              </w:rPr>
              <w:t> </w:t>
            </w:r>
          </w:p>
        </w:tc>
      </w:tr>
    </w:tbl>
    <w:p w14:paraId="20F117C2" w14:textId="77777777" w:rsidR="00AE564D" w:rsidRPr="00BA2632" w:rsidRDefault="00AE564D" w:rsidP="00AE564D">
      <w:pPr>
        <w:spacing w:after="0" w:line="240" w:lineRule="auto"/>
        <w:sectPr w:rsidR="00AE564D" w:rsidRPr="00BA2632" w:rsidSect="007C7C0F">
          <w:pgSz w:w="16838" w:h="11906" w:orient="landscape"/>
          <w:pgMar w:top="567" w:right="851" w:bottom="851" w:left="1134" w:header="709" w:footer="709" w:gutter="0"/>
          <w:cols w:space="720"/>
        </w:sectPr>
      </w:pPr>
    </w:p>
    <w:p w14:paraId="5C2926A5" w14:textId="501E4BBD" w:rsidR="00AE564D" w:rsidRPr="00BA2632" w:rsidRDefault="00AE564D" w:rsidP="00AE564D">
      <w:pPr>
        <w:pStyle w:val="Heading3"/>
      </w:pPr>
      <w:bookmarkStart w:id="232" w:name="_Ref52390916"/>
      <w:bookmarkStart w:id="233" w:name="_Toc84417357"/>
      <w:r w:rsidRPr="00BA2632">
        <w:lastRenderedPageBreak/>
        <w:t xml:space="preserve">Metabolic </w:t>
      </w:r>
      <w:r w:rsidR="00503C0D">
        <w:t>p</w:t>
      </w:r>
      <w:r w:rsidRPr="00BA2632">
        <w:t>arameters</w:t>
      </w:r>
      <w:bookmarkEnd w:id="232"/>
      <w:bookmarkEnd w:id="233"/>
    </w:p>
    <w:p w14:paraId="31BC787C" w14:textId="77777777" w:rsidR="00AE564D" w:rsidRPr="009D2761" w:rsidRDefault="00AE564D" w:rsidP="00AE564D">
      <w:pPr>
        <w:rPr>
          <w:b/>
          <w:i/>
          <w:iCs/>
        </w:rPr>
      </w:pPr>
      <w:r w:rsidRPr="009D2761">
        <w:rPr>
          <w:b/>
          <w:i/>
          <w:iCs/>
        </w:rPr>
        <w:t>MER 2020-21</w:t>
      </w:r>
    </w:p>
    <w:p w14:paraId="26670025" w14:textId="045A018E" w:rsidR="00AE564D" w:rsidRPr="00BA2632" w:rsidRDefault="00AE564D" w:rsidP="00AE564D">
      <w:pPr>
        <w:rPr>
          <w:lang w:val="en-US"/>
        </w:rPr>
      </w:pPr>
      <w:r w:rsidRPr="00BA2632">
        <w:t xml:space="preserve">From the results of modelling using BASEv2, the parameter estimates for GPP, ER, the reaeration coefficient K and the ratio of Gross Primary Production to Ecosystem Respiration ratio (P / R) for all 5 sites monitored, derived from all days meeting the acceptance criteria, are presented in </w:t>
      </w:r>
      <w:r w:rsidR="00590768" w:rsidRPr="00BA2632">
        <w:t xml:space="preserve">Table </w:t>
      </w:r>
      <w:r w:rsidR="00590768">
        <w:rPr>
          <w:noProof/>
        </w:rPr>
        <w:t>5</w:t>
      </w:r>
      <w:r w:rsidR="00590768">
        <w:rPr>
          <w:noProof/>
        </w:rPr>
        <w:noBreakHyphen/>
        <w:t>6</w:t>
      </w:r>
      <w:r w:rsidRPr="00BA2632">
        <w:t>.</w:t>
      </w:r>
    </w:p>
    <w:p w14:paraId="587D4FC6" w14:textId="097CEC99" w:rsidR="00AE564D" w:rsidRPr="00BA2632" w:rsidRDefault="00AE564D" w:rsidP="00AE564D">
      <w:pPr>
        <w:pStyle w:val="Caption"/>
        <w:keepNext/>
      </w:pPr>
      <w:bookmarkStart w:id="234" w:name="_Ref52388882"/>
      <w:bookmarkStart w:id="235" w:name="_Toc95391467"/>
      <w:r w:rsidRPr="00BA2632">
        <w:t xml:space="preserve">Table </w:t>
      </w:r>
      <w:r w:rsidR="00590768">
        <w:rPr>
          <w:noProof/>
        </w:rPr>
        <w:t>5</w:t>
      </w:r>
      <w:r w:rsidR="000B75AF">
        <w:noBreakHyphen/>
      </w:r>
      <w:r w:rsidR="00590768">
        <w:rPr>
          <w:noProof/>
        </w:rPr>
        <w:t>6</w:t>
      </w:r>
      <w:bookmarkEnd w:id="234"/>
      <w:r w:rsidRPr="00BA2632">
        <w:t xml:space="preserve"> Summary of primary production (GPP) and ecosystem respiration (ER) rates, P/R ratios and reaeration coefficients for the five study sites, 20</w:t>
      </w:r>
      <w:r>
        <w:t>20</w:t>
      </w:r>
      <w:r w:rsidRPr="00BA2632">
        <w:t>-2</w:t>
      </w:r>
      <w:r>
        <w:t>1</w:t>
      </w:r>
      <w:r w:rsidRPr="00BA2632">
        <w:t>.</w:t>
      </w:r>
      <w:bookmarkEnd w:id="235"/>
    </w:p>
    <w:tbl>
      <w:tblPr>
        <w:tblW w:w="0" w:type="auto"/>
        <w:jc w:val="center"/>
        <w:tblLayout w:type="fixed"/>
        <w:tblLook w:val="0000" w:firstRow="0" w:lastRow="0" w:firstColumn="0" w:lastColumn="0" w:noHBand="0" w:noVBand="0"/>
      </w:tblPr>
      <w:tblGrid>
        <w:gridCol w:w="1692"/>
        <w:gridCol w:w="950"/>
        <w:gridCol w:w="968"/>
        <w:gridCol w:w="919"/>
        <w:gridCol w:w="933"/>
        <w:gridCol w:w="886"/>
        <w:gridCol w:w="821"/>
      </w:tblGrid>
      <w:tr w:rsidR="00AE564D" w:rsidRPr="00313E8D" w14:paraId="71228393" w14:textId="77777777" w:rsidTr="00E26D3C">
        <w:trPr>
          <w:trHeight w:val="305"/>
          <w:jc w:val="center"/>
        </w:trPr>
        <w:tc>
          <w:tcPr>
            <w:tcW w:w="1692" w:type="dxa"/>
            <w:tcBorders>
              <w:top w:val="single" w:sz="12" w:space="0" w:color="002060"/>
              <w:left w:val="single" w:sz="12" w:space="0" w:color="002060"/>
              <w:bottom w:val="nil"/>
              <w:right w:val="single" w:sz="12" w:space="0" w:color="002060"/>
            </w:tcBorders>
            <w:shd w:val="clear" w:color="auto" w:fill="002060"/>
            <w:vAlign w:val="center"/>
          </w:tcPr>
          <w:p w14:paraId="5A6A51F1" w14:textId="77777777" w:rsidR="00AE564D" w:rsidRPr="00313E8D" w:rsidRDefault="00AE564D" w:rsidP="00E26D3C">
            <w:pPr>
              <w:autoSpaceDE w:val="0"/>
              <w:autoSpaceDN w:val="0"/>
              <w:adjustRightInd w:val="0"/>
              <w:spacing w:after="0" w:line="240" w:lineRule="auto"/>
              <w:jc w:val="center"/>
              <w:rPr>
                <w:rFonts w:cstheme="minorHAnsi"/>
                <w:b/>
                <w:bCs/>
                <w:color w:val="FFFFFF"/>
                <w:sz w:val="18"/>
                <w:szCs w:val="18"/>
              </w:rPr>
            </w:pPr>
            <w:r w:rsidRPr="00313E8D">
              <w:rPr>
                <w:rFonts w:cstheme="minorHAnsi"/>
                <w:b/>
                <w:bCs/>
                <w:color w:val="FFFFFF"/>
                <w:sz w:val="18"/>
                <w:szCs w:val="18"/>
              </w:rPr>
              <w:t>Parameter</w:t>
            </w:r>
          </w:p>
        </w:tc>
        <w:tc>
          <w:tcPr>
            <w:tcW w:w="2837" w:type="dxa"/>
            <w:gridSpan w:val="3"/>
            <w:tcBorders>
              <w:top w:val="single" w:sz="12" w:space="0" w:color="000080"/>
              <w:left w:val="single" w:sz="12" w:space="0" w:color="002060"/>
              <w:bottom w:val="single" w:sz="12" w:space="0" w:color="003366"/>
              <w:right w:val="single" w:sz="12" w:space="0" w:color="002060"/>
            </w:tcBorders>
            <w:shd w:val="clear" w:color="auto" w:fill="002060"/>
            <w:vAlign w:val="center"/>
          </w:tcPr>
          <w:p w14:paraId="3BD683C9" w14:textId="77777777" w:rsidR="00AE564D" w:rsidRPr="00313E8D" w:rsidRDefault="00AE564D" w:rsidP="00E26D3C">
            <w:pPr>
              <w:autoSpaceDE w:val="0"/>
              <w:autoSpaceDN w:val="0"/>
              <w:adjustRightInd w:val="0"/>
              <w:spacing w:after="0" w:line="240" w:lineRule="auto"/>
              <w:jc w:val="center"/>
              <w:rPr>
                <w:rFonts w:cstheme="minorHAnsi"/>
                <w:b/>
                <w:bCs/>
                <w:color w:val="FFFFFF"/>
                <w:sz w:val="18"/>
                <w:szCs w:val="18"/>
              </w:rPr>
            </w:pPr>
            <w:r w:rsidRPr="00313E8D">
              <w:rPr>
                <w:rFonts w:cstheme="minorHAnsi"/>
                <w:b/>
                <w:bCs/>
                <w:color w:val="FFFFFF"/>
                <w:sz w:val="18"/>
                <w:szCs w:val="18"/>
              </w:rPr>
              <w:t>Murchison (n = 118)</w:t>
            </w:r>
          </w:p>
        </w:tc>
        <w:tc>
          <w:tcPr>
            <w:tcW w:w="2640" w:type="dxa"/>
            <w:gridSpan w:val="3"/>
            <w:tcBorders>
              <w:top w:val="single" w:sz="12" w:space="0" w:color="002060"/>
              <w:left w:val="single" w:sz="12" w:space="0" w:color="002060"/>
              <w:bottom w:val="single" w:sz="12" w:space="0" w:color="002060"/>
              <w:right w:val="single" w:sz="12" w:space="0" w:color="002060"/>
            </w:tcBorders>
            <w:shd w:val="clear" w:color="auto" w:fill="002060"/>
            <w:vAlign w:val="center"/>
          </w:tcPr>
          <w:p w14:paraId="2F8A8BD0" w14:textId="77777777" w:rsidR="00AE564D" w:rsidRPr="00313E8D" w:rsidRDefault="00AE564D" w:rsidP="00E26D3C">
            <w:pPr>
              <w:autoSpaceDE w:val="0"/>
              <w:autoSpaceDN w:val="0"/>
              <w:adjustRightInd w:val="0"/>
              <w:spacing w:after="0" w:line="240" w:lineRule="auto"/>
              <w:jc w:val="center"/>
              <w:rPr>
                <w:rFonts w:cstheme="minorHAnsi"/>
                <w:b/>
                <w:bCs/>
                <w:color w:val="FFFFFF"/>
                <w:sz w:val="18"/>
                <w:szCs w:val="18"/>
              </w:rPr>
            </w:pPr>
            <w:r w:rsidRPr="00313E8D">
              <w:rPr>
                <w:rFonts w:cstheme="minorHAnsi"/>
                <w:b/>
                <w:bCs/>
                <w:color w:val="FFFFFF"/>
                <w:sz w:val="18"/>
                <w:szCs w:val="18"/>
              </w:rPr>
              <w:t>Arcadia Downs (n = 85)</w:t>
            </w:r>
          </w:p>
        </w:tc>
      </w:tr>
      <w:tr w:rsidR="00AE564D" w:rsidRPr="00313E8D" w14:paraId="245FB174" w14:textId="77777777" w:rsidTr="00E26D3C">
        <w:trPr>
          <w:trHeight w:val="305"/>
          <w:jc w:val="center"/>
        </w:trPr>
        <w:tc>
          <w:tcPr>
            <w:tcW w:w="1692" w:type="dxa"/>
            <w:tcBorders>
              <w:top w:val="nil"/>
              <w:left w:val="single" w:sz="12" w:space="0" w:color="002060"/>
              <w:bottom w:val="single" w:sz="12" w:space="0" w:color="003366"/>
              <w:right w:val="single" w:sz="12" w:space="0" w:color="002060"/>
            </w:tcBorders>
            <w:shd w:val="clear" w:color="auto" w:fill="002060"/>
            <w:vAlign w:val="center"/>
          </w:tcPr>
          <w:p w14:paraId="541E9683" w14:textId="77777777" w:rsidR="00AE564D" w:rsidRPr="00313E8D" w:rsidRDefault="00AE564D" w:rsidP="00E26D3C">
            <w:pPr>
              <w:autoSpaceDE w:val="0"/>
              <w:autoSpaceDN w:val="0"/>
              <w:adjustRightInd w:val="0"/>
              <w:spacing w:after="0" w:line="240" w:lineRule="auto"/>
              <w:jc w:val="center"/>
              <w:rPr>
                <w:rFonts w:cstheme="minorHAnsi"/>
                <w:b/>
                <w:bCs/>
                <w:color w:val="FFFFFF"/>
                <w:sz w:val="18"/>
                <w:szCs w:val="18"/>
              </w:rPr>
            </w:pPr>
          </w:p>
        </w:tc>
        <w:tc>
          <w:tcPr>
            <w:tcW w:w="950" w:type="dxa"/>
            <w:tcBorders>
              <w:top w:val="single" w:sz="12" w:space="0" w:color="003366"/>
              <w:left w:val="single" w:sz="12" w:space="0" w:color="002060"/>
              <w:bottom w:val="single" w:sz="12" w:space="0" w:color="003366"/>
              <w:right w:val="nil"/>
            </w:tcBorders>
            <w:vAlign w:val="center"/>
          </w:tcPr>
          <w:p w14:paraId="34810006"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Median</w:t>
            </w:r>
          </w:p>
        </w:tc>
        <w:tc>
          <w:tcPr>
            <w:tcW w:w="968" w:type="dxa"/>
            <w:tcBorders>
              <w:top w:val="single" w:sz="12" w:space="0" w:color="003366"/>
              <w:left w:val="nil"/>
              <w:bottom w:val="single" w:sz="12" w:space="0" w:color="003366"/>
              <w:right w:val="nil"/>
            </w:tcBorders>
            <w:vAlign w:val="center"/>
          </w:tcPr>
          <w:p w14:paraId="53EAB740"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Min</w:t>
            </w:r>
          </w:p>
        </w:tc>
        <w:tc>
          <w:tcPr>
            <w:tcW w:w="919" w:type="dxa"/>
            <w:tcBorders>
              <w:top w:val="single" w:sz="12" w:space="0" w:color="003366"/>
              <w:left w:val="nil"/>
              <w:bottom w:val="single" w:sz="12" w:space="0" w:color="003366"/>
              <w:right w:val="single" w:sz="12" w:space="0" w:color="003366"/>
            </w:tcBorders>
            <w:vAlign w:val="center"/>
          </w:tcPr>
          <w:p w14:paraId="6E85009E"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Max</w:t>
            </w:r>
          </w:p>
        </w:tc>
        <w:tc>
          <w:tcPr>
            <w:tcW w:w="933" w:type="dxa"/>
            <w:tcBorders>
              <w:top w:val="single" w:sz="12" w:space="0" w:color="002060"/>
              <w:left w:val="single" w:sz="12" w:space="0" w:color="003366"/>
              <w:bottom w:val="single" w:sz="12" w:space="0" w:color="003366"/>
              <w:right w:val="nil"/>
            </w:tcBorders>
            <w:vAlign w:val="center"/>
          </w:tcPr>
          <w:p w14:paraId="7F759C97"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Median</w:t>
            </w:r>
          </w:p>
        </w:tc>
        <w:tc>
          <w:tcPr>
            <w:tcW w:w="886" w:type="dxa"/>
            <w:tcBorders>
              <w:top w:val="single" w:sz="12" w:space="0" w:color="002060"/>
              <w:left w:val="nil"/>
              <w:bottom w:val="single" w:sz="12" w:space="0" w:color="003366"/>
              <w:right w:val="nil"/>
            </w:tcBorders>
            <w:vAlign w:val="center"/>
          </w:tcPr>
          <w:p w14:paraId="5E053BF9"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Min</w:t>
            </w:r>
          </w:p>
        </w:tc>
        <w:tc>
          <w:tcPr>
            <w:tcW w:w="821" w:type="dxa"/>
            <w:tcBorders>
              <w:top w:val="single" w:sz="12" w:space="0" w:color="002060"/>
              <w:left w:val="nil"/>
              <w:bottom w:val="single" w:sz="12" w:space="0" w:color="003366"/>
              <w:right w:val="single" w:sz="12" w:space="0" w:color="003366"/>
            </w:tcBorders>
            <w:vAlign w:val="center"/>
          </w:tcPr>
          <w:p w14:paraId="09DAA7B0"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Max</w:t>
            </w:r>
          </w:p>
        </w:tc>
      </w:tr>
      <w:tr w:rsidR="00AE564D" w:rsidRPr="00313E8D" w14:paraId="28FDAA11" w14:textId="77777777" w:rsidTr="00E26D3C">
        <w:trPr>
          <w:trHeight w:val="305"/>
          <w:jc w:val="center"/>
        </w:trPr>
        <w:tc>
          <w:tcPr>
            <w:tcW w:w="1692" w:type="dxa"/>
            <w:tcBorders>
              <w:top w:val="nil"/>
              <w:left w:val="single" w:sz="12" w:space="0" w:color="002060"/>
              <w:bottom w:val="nil"/>
              <w:right w:val="single" w:sz="12" w:space="0" w:color="002060"/>
            </w:tcBorders>
            <w:vAlign w:val="center"/>
          </w:tcPr>
          <w:p w14:paraId="0627708F" w14:textId="77777777" w:rsidR="00AE564D" w:rsidRPr="00313E8D" w:rsidRDefault="00AE564D" w:rsidP="00E26D3C">
            <w:pPr>
              <w:autoSpaceDE w:val="0"/>
              <w:autoSpaceDN w:val="0"/>
              <w:adjustRightInd w:val="0"/>
              <w:spacing w:after="0" w:line="240" w:lineRule="auto"/>
              <w:jc w:val="center"/>
              <w:rPr>
                <w:rFonts w:cstheme="minorHAnsi"/>
                <w:b/>
                <w:bCs/>
                <w:color w:val="000000"/>
                <w:sz w:val="18"/>
                <w:szCs w:val="18"/>
              </w:rPr>
            </w:pPr>
            <w:r w:rsidRPr="00313E8D">
              <w:rPr>
                <w:rFonts w:cstheme="minorHAnsi"/>
                <w:b/>
                <w:bCs/>
                <w:color w:val="000000"/>
                <w:sz w:val="18"/>
                <w:szCs w:val="18"/>
              </w:rPr>
              <w:t>GPP (mg O</w:t>
            </w:r>
            <w:r w:rsidRPr="00313E8D">
              <w:rPr>
                <w:rFonts w:cstheme="minorHAnsi"/>
                <w:b/>
                <w:bCs/>
                <w:color w:val="000000"/>
                <w:sz w:val="18"/>
                <w:szCs w:val="18"/>
                <w:vertAlign w:val="subscript"/>
              </w:rPr>
              <w:t>2</w:t>
            </w:r>
            <w:r w:rsidRPr="00313E8D">
              <w:rPr>
                <w:rFonts w:cstheme="minorHAnsi"/>
                <w:b/>
                <w:bCs/>
                <w:color w:val="000000"/>
                <w:sz w:val="18"/>
                <w:szCs w:val="18"/>
              </w:rPr>
              <w:t>/L/Day)</w:t>
            </w:r>
          </w:p>
        </w:tc>
        <w:tc>
          <w:tcPr>
            <w:tcW w:w="950" w:type="dxa"/>
            <w:tcBorders>
              <w:top w:val="single" w:sz="12" w:space="0" w:color="003366"/>
              <w:left w:val="single" w:sz="12" w:space="0" w:color="002060"/>
              <w:bottom w:val="single" w:sz="12" w:space="0" w:color="003366"/>
              <w:right w:val="nil"/>
            </w:tcBorders>
            <w:vAlign w:val="center"/>
          </w:tcPr>
          <w:p w14:paraId="3215C104"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1.05</w:t>
            </w:r>
          </w:p>
        </w:tc>
        <w:tc>
          <w:tcPr>
            <w:tcW w:w="968" w:type="dxa"/>
            <w:tcBorders>
              <w:top w:val="single" w:sz="12" w:space="0" w:color="003366"/>
              <w:left w:val="nil"/>
              <w:bottom w:val="single" w:sz="12" w:space="0" w:color="003366"/>
              <w:right w:val="nil"/>
            </w:tcBorders>
            <w:vAlign w:val="center"/>
          </w:tcPr>
          <w:p w14:paraId="079A9098"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0.02</w:t>
            </w:r>
          </w:p>
        </w:tc>
        <w:tc>
          <w:tcPr>
            <w:tcW w:w="919" w:type="dxa"/>
            <w:tcBorders>
              <w:top w:val="single" w:sz="12" w:space="0" w:color="003366"/>
              <w:left w:val="nil"/>
              <w:bottom w:val="single" w:sz="12" w:space="0" w:color="003366"/>
              <w:right w:val="single" w:sz="12" w:space="0" w:color="003366"/>
            </w:tcBorders>
            <w:vAlign w:val="center"/>
          </w:tcPr>
          <w:p w14:paraId="4FA9DE66"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7.42</w:t>
            </w:r>
          </w:p>
        </w:tc>
        <w:tc>
          <w:tcPr>
            <w:tcW w:w="933" w:type="dxa"/>
            <w:tcBorders>
              <w:top w:val="nil"/>
              <w:left w:val="single" w:sz="12" w:space="0" w:color="003366"/>
              <w:bottom w:val="nil"/>
              <w:right w:val="nil"/>
            </w:tcBorders>
            <w:vAlign w:val="center"/>
          </w:tcPr>
          <w:p w14:paraId="42C5DE53"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1.40</w:t>
            </w:r>
          </w:p>
        </w:tc>
        <w:tc>
          <w:tcPr>
            <w:tcW w:w="886" w:type="dxa"/>
            <w:tcBorders>
              <w:top w:val="nil"/>
              <w:left w:val="nil"/>
              <w:bottom w:val="nil"/>
              <w:right w:val="nil"/>
            </w:tcBorders>
            <w:vAlign w:val="center"/>
          </w:tcPr>
          <w:p w14:paraId="3BEEE5E0"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0.02</w:t>
            </w:r>
          </w:p>
        </w:tc>
        <w:tc>
          <w:tcPr>
            <w:tcW w:w="821" w:type="dxa"/>
            <w:tcBorders>
              <w:top w:val="nil"/>
              <w:left w:val="nil"/>
              <w:bottom w:val="nil"/>
              <w:right w:val="single" w:sz="12" w:space="0" w:color="003366"/>
            </w:tcBorders>
            <w:vAlign w:val="center"/>
          </w:tcPr>
          <w:p w14:paraId="56F5A667"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9.47</w:t>
            </w:r>
          </w:p>
        </w:tc>
      </w:tr>
      <w:tr w:rsidR="00AE564D" w:rsidRPr="00313E8D" w14:paraId="1CC9D336" w14:textId="77777777" w:rsidTr="00E26D3C">
        <w:trPr>
          <w:trHeight w:val="305"/>
          <w:jc w:val="center"/>
        </w:trPr>
        <w:tc>
          <w:tcPr>
            <w:tcW w:w="1692" w:type="dxa"/>
            <w:tcBorders>
              <w:top w:val="single" w:sz="12" w:space="0" w:color="003366"/>
              <w:left w:val="single" w:sz="12" w:space="0" w:color="002060"/>
              <w:bottom w:val="single" w:sz="12" w:space="0" w:color="003366"/>
              <w:right w:val="single" w:sz="12" w:space="0" w:color="002060"/>
            </w:tcBorders>
            <w:vAlign w:val="center"/>
          </w:tcPr>
          <w:p w14:paraId="26721031" w14:textId="77777777" w:rsidR="00AE564D" w:rsidRPr="00313E8D" w:rsidRDefault="00AE564D" w:rsidP="00E26D3C">
            <w:pPr>
              <w:autoSpaceDE w:val="0"/>
              <w:autoSpaceDN w:val="0"/>
              <w:adjustRightInd w:val="0"/>
              <w:spacing w:after="0" w:line="240" w:lineRule="auto"/>
              <w:jc w:val="center"/>
              <w:rPr>
                <w:rFonts w:cstheme="minorHAnsi"/>
                <w:b/>
                <w:bCs/>
                <w:color w:val="000000"/>
                <w:sz w:val="18"/>
                <w:szCs w:val="18"/>
              </w:rPr>
            </w:pPr>
            <w:r w:rsidRPr="00313E8D">
              <w:rPr>
                <w:rFonts w:cstheme="minorHAnsi"/>
                <w:b/>
                <w:bCs/>
                <w:color w:val="000000"/>
                <w:sz w:val="18"/>
                <w:szCs w:val="18"/>
              </w:rPr>
              <w:t>ER (mg O</w:t>
            </w:r>
            <w:r w:rsidRPr="00313E8D">
              <w:rPr>
                <w:rFonts w:cstheme="minorHAnsi"/>
                <w:b/>
                <w:bCs/>
                <w:color w:val="000000"/>
                <w:sz w:val="18"/>
                <w:szCs w:val="18"/>
                <w:vertAlign w:val="subscript"/>
              </w:rPr>
              <w:t>2</w:t>
            </w:r>
            <w:r w:rsidRPr="00313E8D">
              <w:rPr>
                <w:rFonts w:cstheme="minorHAnsi"/>
                <w:b/>
                <w:bCs/>
                <w:color w:val="000000"/>
                <w:sz w:val="18"/>
                <w:szCs w:val="18"/>
              </w:rPr>
              <w:t>/L/Day)</w:t>
            </w:r>
          </w:p>
        </w:tc>
        <w:tc>
          <w:tcPr>
            <w:tcW w:w="950" w:type="dxa"/>
            <w:tcBorders>
              <w:top w:val="single" w:sz="12" w:space="0" w:color="003366"/>
              <w:left w:val="single" w:sz="12" w:space="0" w:color="002060"/>
              <w:bottom w:val="single" w:sz="12" w:space="0" w:color="003366"/>
              <w:right w:val="nil"/>
            </w:tcBorders>
            <w:vAlign w:val="center"/>
          </w:tcPr>
          <w:p w14:paraId="00E3DC41"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2.94</w:t>
            </w:r>
          </w:p>
        </w:tc>
        <w:tc>
          <w:tcPr>
            <w:tcW w:w="968" w:type="dxa"/>
            <w:tcBorders>
              <w:top w:val="single" w:sz="12" w:space="0" w:color="003366"/>
              <w:left w:val="nil"/>
              <w:bottom w:val="single" w:sz="12" w:space="0" w:color="003366"/>
              <w:right w:val="nil"/>
            </w:tcBorders>
            <w:vAlign w:val="center"/>
          </w:tcPr>
          <w:p w14:paraId="408562C9"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0.14</w:t>
            </w:r>
          </w:p>
        </w:tc>
        <w:tc>
          <w:tcPr>
            <w:tcW w:w="919" w:type="dxa"/>
            <w:tcBorders>
              <w:top w:val="single" w:sz="12" w:space="0" w:color="003366"/>
              <w:left w:val="nil"/>
              <w:bottom w:val="single" w:sz="12" w:space="0" w:color="003366"/>
              <w:right w:val="single" w:sz="12" w:space="0" w:color="003366"/>
            </w:tcBorders>
            <w:vAlign w:val="center"/>
          </w:tcPr>
          <w:p w14:paraId="582B8333"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38.9</w:t>
            </w:r>
          </w:p>
        </w:tc>
        <w:tc>
          <w:tcPr>
            <w:tcW w:w="933" w:type="dxa"/>
            <w:tcBorders>
              <w:top w:val="single" w:sz="12" w:space="0" w:color="003366"/>
              <w:left w:val="single" w:sz="12" w:space="0" w:color="003366"/>
              <w:bottom w:val="single" w:sz="12" w:space="0" w:color="003366"/>
              <w:right w:val="nil"/>
            </w:tcBorders>
            <w:vAlign w:val="center"/>
          </w:tcPr>
          <w:p w14:paraId="18551A17"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2.46</w:t>
            </w:r>
          </w:p>
        </w:tc>
        <w:tc>
          <w:tcPr>
            <w:tcW w:w="886" w:type="dxa"/>
            <w:tcBorders>
              <w:top w:val="single" w:sz="12" w:space="0" w:color="003366"/>
              <w:left w:val="nil"/>
              <w:bottom w:val="single" w:sz="12" w:space="0" w:color="003366"/>
              <w:right w:val="nil"/>
            </w:tcBorders>
            <w:vAlign w:val="center"/>
          </w:tcPr>
          <w:p w14:paraId="13D6A0AD"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0.12</w:t>
            </w:r>
          </w:p>
        </w:tc>
        <w:tc>
          <w:tcPr>
            <w:tcW w:w="821" w:type="dxa"/>
            <w:tcBorders>
              <w:top w:val="single" w:sz="12" w:space="0" w:color="003366"/>
              <w:left w:val="nil"/>
              <w:bottom w:val="single" w:sz="12" w:space="0" w:color="003366"/>
              <w:right w:val="single" w:sz="12" w:space="0" w:color="003366"/>
            </w:tcBorders>
            <w:vAlign w:val="center"/>
          </w:tcPr>
          <w:p w14:paraId="2BDEC8CB"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30.5</w:t>
            </w:r>
          </w:p>
        </w:tc>
      </w:tr>
      <w:tr w:rsidR="00AE564D" w:rsidRPr="00313E8D" w14:paraId="30361721" w14:textId="77777777" w:rsidTr="00E26D3C">
        <w:trPr>
          <w:trHeight w:val="305"/>
          <w:jc w:val="center"/>
        </w:trPr>
        <w:tc>
          <w:tcPr>
            <w:tcW w:w="1692" w:type="dxa"/>
            <w:tcBorders>
              <w:top w:val="nil"/>
              <w:left w:val="single" w:sz="12" w:space="0" w:color="002060"/>
              <w:bottom w:val="nil"/>
              <w:right w:val="single" w:sz="12" w:space="0" w:color="002060"/>
            </w:tcBorders>
            <w:vAlign w:val="center"/>
          </w:tcPr>
          <w:p w14:paraId="05B892B1" w14:textId="77777777" w:rsidR="00AE564D" w:rsidRPr="00313E8D" w:rsidRDefault="00AE564D" w:rsidP="00E26D3C">
            <w:pPr>
              <w:autoSpaceDE w:val="0"/>
              <w:autoSpaceDN w:val="0"/>
              <w:adjustRightInd w:val="0"/>
              <w:spacing w:after="0" w:line="240" w:lineRule="auto"/>
              <w:jc w:val="center"/>
              <w:rPr>
                <w:rFonts w:cstheme="minorHAnsi"/>
                <w:b/>
                <w:bCs/>
                <w:color w:val="000000"/>
                <w:sz w:val="18"/>
                <w:szCs w:val="18"/>
              </w:rPr>
            </w:pPr>
            <w:r w:rsidRPr="00313E8D">
              <w:rPr>
                <w:rFonts w:cstheme="minorHAnsi"/>
                <w:b/>
                <w:bCs/>
                <w:color w:val="000000"/>
                <w:sz w:val="18"/>
                <w:szCs w:val="18"/>
              </w:rPr>
              <w:t>P / R</w:t>
            </w:r>
          </w:p>
        </w:tc>
        <w:tc>
          <w:tcPr>
            <w:tcW w:w="950" w:type="dxa"/>
            <w:tcBorders>
              <w:top w:val="single" w:sz="12" w:space="0" w:color="003366"/>
              <w:left w:val="single" w:sz="12" w:space="0" w:color="002060"/>
              <w:bottom w:val="single" w:sz="12" w:space="0" w:color="003366"/>
              <w:right w:val="nil"/>
            </w:tcBorders>
            <w:vAlign w:val="center"/>
          </w:tcPr>
          <w:p w14:paraId="14E03C23"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0.39</w:t>
            </w:r>
          </w:p>
        </w:tc>
        <w:tc>
          <w:tcPr>
            <w:tcW w:w="968" w:type="dxa"/>
            <w:tcBorders>
              <w:top w:val="single" w:sz="12" w:space="0" w:color="003366"/>
              <w:left w:val="nil"/>
              <w:bottom w:val="single" w:sz="12" w:space="0" w:color="003366"/>
              <w:right w:val="nil"/>
            </w:tcBorders>
            <w:vAlign w:val="center"/>
          </w:tcPr>
          <w:p w14:paraId="796FC827"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0.02</w:t>
            </w:r>
          </w:p>
        </w:tc>
        <w:tc>
          <w:tcPr>
            <w:tcW w:w="919" w:type="dxa"/>
            <w:tcBorders>
              <w:top w:val="single" w:sz="12" w:space="0" w:color="003366"/>
              <w:left w:val="nil"/>
              <w:bottom w:val="single" w:sz="12" w:space="0" w:color="003366"/>
              <w:right w:val="single" w:sz="12" w:space="0" w:color="003366"/>
            </w:tcBorders>
            <w:vAlign w:val="center"/>
          </w:tcPr>
          <w:p w14:paraId="505E7E46"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1.35</w:t>
            </w:r>
          </w:p>
        </w:tc>
        <w:tc>
          <w:tcPr>
            <w:tcW w:w="933" w:type="dxa"/>
            <w:tcBorders>
              <w:top w:val="nil"/>
              <w:left w:val="single" w:sz="12" w:space="0" w:color="003366"/>
              <w:bottom w:val="nil"/>
              <w:right w:val="nil"/>
            </w:tcBorders>
            <w:vAlign w:val="center"/>
          </w:tcPr>
          <w:p w14:paraId="541F11E1"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0.43</w:t>
            </w:r>
          </w:p>
        </w:tc>
        <w:tc>
          <w:tcPr>
            <w:tcW w:w="886" w:type="dxa"/>
            <w:tcBorders>
              <w:top w:val="nil"/>
              <w:left w:val="nil"/>
              <w:bottom w:val="nil"/>
              <w:right w:val="nil"/>
            </w:tcBorders>
            <w:vAlign w:val="center"/>
          </w:tcPr>
          <w:p w14:paraId="46FDC565"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0.01</w:t>
            </w:r>
          </w:p>
        </w:tc>
        <w:tc>
          <w:tcPr>
            <w:tcW w:w="821" w:type="dxa"/>
            <w:tcBorders>
              <w:top w:val="nil"/>
              <w:left w:val="nil"/>
              <w:bottom w:val="nil"/>
              <w:right w:val="single" w:sz="12" w:space="0" w:color="003366"/>
            </w:tcBorders>
            <w:vAlign w:val="center"/>
          </w:tcPr>
          <w:p w14:paraId="108A99AC"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1.24</w:t>
            </w:r>
          </w:p>
        </w:tc>
      </w:tr>
      <w:tr w:rsidR="00AE564D" w:rsidRPr="00313E8D" w14:paraId="2803FEFE" w14:textId="77777777" w:rsidTr="00E26D3C">
        <w:trPr>
          <w:trHeight w:val="305"/>
          <w:jc w:val="center"/>
        </w:trPr>
        <w:tc>
          <w:tcPr>
            <w:tcW w:w="1692" w:type="dxa"/>
            <w:tcBorders>
              <w:top w:val="single" w:sz="12" w:space="0" w:color="003366"/>
              <w:left w:val="single" w:sz="12" w:space="0" w:color="002060"/>
              <w:bottom w:val="single" w:sz="12" w:space="0" w:color="003366"/>
              <w:right w:val="single" w:sz="12" w:space="0" w:color="002060"/>
            </w:tcBorders>
            <w:vAlign w:val="center"/>
          </w:tcPr>
          <w:p w14:paraId="262216F2" w14:textId="77777777" w:rsidR="00AE564D" w:rsidRPr="00313E8D" w:rsidRDefault="00AE564D" w:rsidP="00E26D3C">
            <w:pPr>
              <w:autoSpaceDE w:val="0"/>
              <w:autoSpaceDN w:val="0"/>
              <w:adjustRightInd w:val="0"/>
              <w:spacing w:after="0" w:line="240" w:lineRule="auto"/>
              <w:jc w:val="center"/>
              <w:rPr>
                <w:rFonts w:cstheme="minorHAnsi"/>
                <w:b/>
                <w:bCs/>
                <w:color w:val="000000"/>
                <w:sz w:val="18"/>
                <w:szCs w:val="18"/>
              </w:rPr>
            </w:pPr>
            <w:r w:rsidRPr="00313E8D">
              <w:rPr>
                <w:rFonts w:cstheme="minorHAnsi"/>
                <w:b/>
                <w:bCs/>
                <w:color w:val="000000"/>
                <w:sz w:val="18"/>
                <w:szCs w:val="18"/>
              </w:rPr>
              <w:t>K (/Day)</w:t>
            </w:r>
          </w:p>
        </w:tc>
        <w:tc>
          <w:tcPr>
            <w:tcW w:w="950" w:type="dxa"/>
            <w:tcBorders>
              <w:top w:val="single" w:sz="12" w:space="0" w:color="003366"/>
              <w:left w:val="single" w:sz="12" w:space="0" w:color="002060"/>
              <w:bottom w:val="single" w:sz="12" w:space="0" w:color="003366"/>
              <w:right w:val="nil"/>
            </w:tcBorders>
            <w:vAlign w:val="center"/>
          </w:tcPr>
          <w:p w14:paraId="04D7001C"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2.66</w:t>
            </w:r>
          </w:p>
        </w:tc>
        <w:tc>
          <w:tcPr>
            <w:tcW w:w="968" w:type="dxa"/>
            <w:tcBorders>
              <w:top w:val="single" w:sz="12" w:space="0" w:color="003366"/>
              <w:left w:val="nil"/>
              <w:bottom w:val="single" w:sz="12" w:space="0" w:color="003366"/>
              <w:right w:val="nil"/>
            </w:tcBorders>
            <w:vAlign w:val="center"/>
          </w:tcPr>
          <w:p w14:paraId="472BDC82"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0.14</w:t>
            </w:r>
          </w:p>
        </w:tc>
        <w:tc>
          <w:tcPr>
            <w:tcW w:w="919" w:type="dxa"/>
            <w:tcBorders>
              <w:top w:val="single" w:sz="12" w:space="0" w:color="003366"/>
              <w:left w:val="nil"/>
              <w:bottom w:val="single" w:sz="12" w:space="0" w:color="003366"/>
              <w:right w:val="single" w:sz="12" w:space="0" w:color="003366"/>
            </w:tcBorders>
            <w:vAlign w:val="center"/>
          </w:tcPr>
          <w:p w14:paraId="78B732C0"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13.9</w:t>
            </w:r>
          </w:p>
        </w:tc>
        <w:tc>
          <w:tcPr>
            <w:tcW w:w="933" w:type="dxa"/>
            <w:tcBorders>
              <w:top w:val="single" w:sz="12" w:space="0" w:color="003366"/>
              <w:left w:val="single" w:sz="12" w:space="0" w:color="003366"/>
              <w:bottom w:val="single" w:sz="12" w:space="0" w:color="002060"/>
              <w:right w:val="nil"/>
            </w:tcBorders>
            <w:vAlign w:val="center"/>
          </w:tcPr>
          <w:p w14:paraId="2722F38D"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1.76</w:t>
            </w:r>
          </w:p>
        </w:tc>
        <w:tc>
          <w:tcPr>
            <w:tcW w:w="886" w:type="dxa"/>
            <w:tcBorders>
              <w:top w:val="single" w:sz="12" w:space="0" w:color="003366"/>
              <w:left w:val="nil"/>
              <w:bottom w:val="single" w:sz="12" w:space="0" w:color="002060"/>
              <w:right w:val="nil"/>
            </w:tcBorders>
            <w:vAlign w:val="center"/>
          </w:tcPr>
          <w:p w14:paraId="02E62F2F"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0.37</w:t>
            </w:r>
          </w:p>
        </w:tc>
        <w:tc>
          <w:tcPr>
            <w:tcW w:w="821" w:type="dxa"/>
            <w:tcBorders>
              <w:top w:val="single" w:sz="12" w:space="0" w:color="003366"/>
              <w:left w:val="nil"/>
              <w:bottom w:val="single" w:sz="12" w:space="0" w:color="002060"/>
              <w:right w:val="single" w:sz="12" w:space="0" w:color="003366"/>
            </w:tcBorders>
            <w:vAlign w:val="center"/>
          </w:tcPr>
          <w:p w14:paraId="53ACD213"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10.3</w:t>
            </w:r>
          </w:p>
        </w:tc>
      </w:tr>
      <w:tr w:rsidR="00AE564D" w:rsidRPr="00313E8D" w14:paraId="68638322" w14:textId="77777777" w:rsidTr="00E26D3C">
        <w:trPr>
          <w:trHeight w:val="319"/>
          <w:jc w:val="center"/>
        </w:trPr>
        <w:tc>
          <w:tcPr>
            <w:tcW w:w="1692" w:type="dxa"/>
            <w:tcBorders>
              <w:top w:val="single" w:sz="12" w:space="0" w:color="003366"/>
              <w:left w:val="single" w:sz="12" w:space="0" w:color="002060"/>
              <w:bottom w:val="nil"/>
              <w:right w:val="single" w:sz="12" w:space="0" w:color="002060"/>
            </w:tcBorders>
            <w:shd w:val="clear" w:color="auto" w:fill="002060"/>
            <w:vAlign w:val="center"/>
          </w:tcPr>
          <w:p w14:paraId="3C5A29D2" w14:textId="77777777" w:rsidR="00AE564D" w:rsidRPr="00313E8D" w:rsidRDefault="00AE564D" w:rsidP="00E26D3C">
            <w:pPr>
              <w:autoSpaceDE w:val="0"/>
              <w:autoSpaceDN w:val="0"/>
              <w:adjustRightInd w:val="0"/>
              <w:spacing w:after="0" w:line="240" w:lineRule="auto"/>
              <w:jc w:val="center"/>
              <w:rPr>
                <w:rFonts w:cstheme="minorHAnsi"/>
                <w:b/>
                <w:bCs/>
                <w:color w:val="FFFFFF"/>
                <w:sz w:val="18"/>
                <w:szCs w:val="18"/>
              </w:rPr>
            </w:pPr>
            <w:r w:rsidRPr="00313E8D">
              <w:rPr>
                <w:rFonts w:cstheme="minorHAnsi"/>
                <w:b/>
                <w:bCs/>
                <w:color w:val="FFFFFF"/>
                <w:sz w:val="18"/>
                <w:szCs w:val="18"/>
              </w:rPr>
              <w:t>Parameter</w:t>
            </w:r>
          </w:p>
        </w:tc>
        <w:tc>
          <w:tcPr>
            <w:tcW w:w="2837" w:type="dxa"/>
            <w:gridSpan w:val="3"/>
            <w:tcBorders>
              <w:top w:val="single" w:sz="12" w:space="0" w:color="003366"/>
              <w:left w:val="single" w:sz="12" w:space="0" w:color="002060"/>
              <w:bottom w:val="single" w:sz="12" w:space="0" w:color="003366"/>
              <w:right w:val="single" w:sz="12" w:space="0" w:color="002060"/>
            </w:tcBorders>
            <w:shd w:val="clear" w:color="auto" w:fill="002060"/>
            <w:vAlign w:val="center"/>
          </w:tcPr>
          <w:p w14:paraId="6A032511" w14:textId="77777777" w:rsidR="00AE564D" w:rsidRPr="00313E8D" w:rsidRDefault="00AE564D" w:rsidP="00E26D3C">
            <w:pPr>
              <w:autoSpaceDE w:val="0"/>
              <w:autoSpaceDN w:val="0"/>
              <w:adjustRightInd w:val="0"/>
              <w:spacing w:after="0" w:line="240" w:lineRule="auto"/>
              <w:jc w:val="center"/>
              <w:rPr>
                <w:rFonts w:cstheme="minorHAnsi"/>
                <w:b/>
                <w:bCs/>
                <w:color w:val="FFFFFF"/>
                <w:sz w:val="18"/>
                <w:szCs w:val="18"/>
              </w:rPr>
            </w:pPr>
            <w:r w:rsidRPr="00313E8D">
              <w:rPr>
                <w:rFonts w:cstheme="minorHAnsi"/>
                <w:b/>
                <w:bCs/>
                <w:color w:val="FFFFFF"/>
                <w:sz w:val="18"/>
                <w:szCs w:val="18"/>
              </w:rPr>
              <w:t>Shepparton GC (n = 117)</w:t>
            </w:r>
          </w:p>
        </w:tc>
        <w:tc>
          <w:tcPr>
            <w:tcW w:w="2640" w:type="dxa"/>
            <w:gridSpan w:val="3"/>
            <w:tcBorders>
              <w:top w:val="single" w:sz="12" w:space="0" w:color="002060"/>
              <w:left w:val="single" w:sz="12" w:space="0" w:color="002060"/>
              <w:bottom w:val="single" w:sz="12" w:space="0" w:color="002060"/>
              <w:right w:val="single" w:sz="12" w:space="0" w:color="002060"/>
            </w:tcBorders>
            <w:shd w:val="clear" w:color="auto" w:fill="002060"/>
            <w:vAlign w:val="center"/>
          </w:tcPr>
          <w:p w14:paraId="15B1FDD5" w14:textId="77777777" w:rsidR="00AE564D" w:rsidRPr="00313E8D" w:rsidRDefault="00AE564D" w:rsidP="00E26D3C">
            <w:pPr>
              <w:autoSpaceDE w:val="0"/>
              <w:autoSpaceDN w:val="0"/>
              <w:adjustRightInd w:val="0"/>
              <w:spacing w:after="0" w:line="240" w:lineRule="auto"/>
              <w:jc w:val="center"/>
              <w:rPr>
                <w:rFonts w:cstheme="minorHAnsi"/>
                <w:b/>
                <w:bCs/>
                <w:color w:val="FFFFFF"/>
                <w:sz w:val="18"/>
                <w:szCs w:val="18"/>
              </w:rPr>
            </w:pPr>
            <w:r w:rsidRPr="00313E8D">
              <w:rPr>
                <w:rFonts w:cstheme="minorHAnsi"/>
                <w:b/>
                <w:bCs/>
                <w:color w:val="FFFFFF"/>
                <w:sz w:val="18"/>
                <w:szCs w:val="18"/>
              </w:rPr>
              <w:t>Loch Garry (n = 61)</w:t>
            </w:r>
          </w:p>
        </w:tc>
      </w:tr>
      <w:tr w:rsidR="00AE564D" w:rsidRPr="00313E8D" w14:paraId="508A6FE4" w14:textId="77777777" w:rsidTr="00E26D3C">
        <w:trPr>
          <w:trHeight w:val="305"/>
          <w:jc w:val="center"/>
        </w:trPr>
        <w:tc>
          <w:tcPr>
            <w:tcW w:w="1692" w:type="dxa"/>
            <w:tcBorders>
              <w:top w:val="nil"/>
              <w:left w:val="single" w:sz="12" w:space="0" w:color="002060"/>
              <w:bottom w:val="single" w:sz="12" w:space="0" w:color="003366"/>
              <w:right w:val="single" w:sz="12" w:space="0" w:color="002060"/>
            </w:tcBorders>
            <w:shd w:val="clear" w:color="auto" w:fill="002060"/>
            <w:vAlign w:val="center"/>
          </w:tcPr>
          <w:p w14:paraId="4CAA9661" w14:textId="77777777" w:rsidR="00AE564D" w:rsidRPr="00313E8D" w:rsidRDefault="00AE564D" w:rsidP="00E26D3C">
            <w:pPr>
              <w:autoSpaceDE w:val="0"/>
              <w:autoSpaceDN w:val="0"/>
              <w:adjustRightInd w:val="0"/>
              <w:spacing w:after="0" w:line="240" w:lineRule="auto"/>
              <w:jc w:val="center"/>
              <w:rPr>
                <w:rFonts w:cstheme="minorHAnsi"/>
                <w:b/>
                <w:bCs/>
                <w:color w:val="FFFFFF"/>
                <w:sz w:val="18"/>
                <w:szCs w:val="18"/>
              </w:rPr>
            </w:pPr>
          </w:p>
        </w:tc>
        <w:tc>
          <w:tcPr>
            <w:tcW w:w="950" w:type="dxa"/>
            <w:tcBorders>
              <w:top w:val="single" w:sz="12" w:space="0" w:color="003366"/>
              <w:left w:val="single" w:sz="12" w:space="0" w:color="002060"/>
              <w:bottom w:val="single" w:sz="12" w:space="0" w:color="003366"/>
              <w:right w:val="nil"/>
            </w:tcBorders>
            <w:vAlign w:val="center"/>
          </w:tcPr>
          <w:p w14:paraId="4757D7B6"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Median</w:t>
            </w:r>
          </w:p>
        </w:tc>
        <w:tc>
          <w:tcPr>
            <w:tcW w:w="968" w:type="dxa"/>
            <w:tcBorders>
              <w:top w:val="single" w:sz="12" w:space="0" w:color="003366"/>
              <w:left w:val="nil"/>
              <w:bottom w:val="single" w:sz="12" w:space="0" w:color="003366"/>
              <w:right w:val="nil"/>
            </w:tcBorders>
            <w:vAlign w:val="center"/>
          </w:tcPr>
          <w:p w14:paraId="0FFB3E1B"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Min</w:t>
            </w:r>
          </w:p>
        </w:tc>
        <w:tc>
          <w:tcPr>
            <w:tcW w:w="919" w:type="dxa"/>
            <w:tcBorders>
              <w:top w:val="single" w:sz="12" w:space="0" w:color="003366"/>
              <w:left w:val="nil"/>
              <w:bottom w:val="single" w:sz="12" w:space="0" w:color="003366"/>
              <w:right w:val="single" w:sz="12" w:space="0" w:color="003366"/>
            </w:tcBorders>
            <w:vAlign w:val="center"/>
          </w:tcPr>
          <w:p w14:paraId="348A553F"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Max</w:t>
            </w:r>
          </w:p>
        </w:tc>
        <w:tc>
          <w:tcPr>
            <w:tcW w:w="933" w:type="dxa"/>
            <w:tcBorders>
              <w:top w:val="single" w:sz="12" w:space="0" w:color="003366"/>
              <w:left w:val="single" w:sz="12" w:space="0" w:color="003366"/>
              <w:bottom w:val="single" w:sz="12" w:space="0" w:color="003366"/>
              <w:right w:val="nil"/>
            </w:tcBorders>
            <w:vAlign w:val="center"/>
          </w:tcPr>
          <w:p w14:paraId="39F517A5"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Median</w:t>
            </w:r>
          </w:p>
        </w:tc>
        <w:tc>
          <w:tcPr>
            <w:tcW w:w="886" w:type="dxa"/>
            <w:tcBorders>
              <w:top w:val="single" w:sz="12" w:space="0" w:color="003366"/>
              <w:left w:val="nil"/>
              <w:bottom w:val="single" w:sz="12" w:space="0" w:color="003366"/>
              <w:right w:val="nil"/>
            </w:tcBorders>
            <w:vAlign w:val="center"/>
          </w:tcPr>
          <w:p w14:paraId="0A98F2E8"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Min</w:t>
            </w:r>
          </w:p>
        </w:tc>
        <w:tc>
          <w:tcPr>
            <w:tcW w:w="821" w:type="dxa"/>
            <w:tcBorders>
              <w:top w:val="single" w:sz="12" w:space="0" w:color="003366"/>
              <w:left w:val="nil"/>
              <w:bottom w:val="single" w:sz="12" w:space="0" w:color="003366"/>
              <w:right w:val="single" w:sz="12" w:space="0" w:color="003366"/>
            </w:tcBorders>
            <w:vAlign w:val="center"/>
          </w:tcPr>
          <w:p w14:paraId="28AB5938"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Max</w:t>
            </w:r>
          </w:p>
        </w:tc>
      </w:tr>
      <w:tr w:rsidR="00AE564D" w:rsidRPr="00313E8D" w14:paraId="0AD2F1F3" w14:textId="77777777" w:rsidTr="00E26D3C">
        <w:trPr>
          <w:trHeight w:val="305"/>
          <w:jc w:val="center"/>
        </w:trPr>
        <w:tc>
          <w:tcPr>
            <w:tcW w:w="1692" w:type="dxa"/>
            <w:tcBorders>
              <w:top w:val="nil"/>
              <w:left w:val="single" w:sz="12" w:space="0" w:color="002060"/>
              <w:bottom w:val="nil"/>
              <w:right w:val="single" w:sz="12" w:space="0" w:color="002060"/>
            </w:tcBorders>
            <w:vAlign w:val="center"/>
          </w:tcPr>
          <w:p w14:paraId="69F360A8" w14:textId="77777777" w:rsidR="00AE564D" w:rsidRPr="00313E8D" w:rsidRDefault="00AE564D" w:rsidP="00E26D3C">
            <w:pPr>
              <w:autoSpaceDE w:val="0"/>
              <w:autoSpaceDN w:val="0"/>
              <w:adjustRightInd w:val="0"/>
              <w:spacing w:after="0" w:line="240" w:lineRule="auto"/>
              <w:jc w:val="center"/>
              <w:rPr>
                <w:rFonts w:cstheme="minorHAnsi"/>
                <w:b/>
                <w:bCs/>
                <w:color w:val="000000"/>
                <w:sz w:val="18"/>
                <w:szCs w:val="18"/>
              </w:rPr>
            </w:pPr>
            <w:r w:rsidRPr="00313E8D">
              <w:rPr>
                <w:rFonts w:cstheme="minorHAnsi"/>
                <w:b/>
                <w:bCs/>
                <w:color w:val="000000"/>
                <w:sz w:val="18"/>
                <w:szCs w:val="18"/>
              </w:rPr>
              <w:t>GPP (mg O</w:t>
            </w:r>
            <w:r w:rsidRPr="00313E8D">
              <w:rPr>
                <w:rFonts w:cstheme="minorHAnsi"/>
                <w:b/>
                <w:bCs/>
                <w:color w:val="000000"/>
                <w:sz w:val="18"/>
                <w:szCs w:val="18"/>
                <w:vertAlign w:val="subscript"/>
              </w:rPr>
              <w:t>2</w:t>
            </w:r>
            <w:r w:rsidRPr="00313E8D">
              <w:rPr>
                <w:rFonts w:cstheme="minorHAnsi"/>
                <w:b/>
                <w:bCs/>
                <w:color w:val="000000"/>
                <w:sz w:val="18"/>
                <w:szCs w:val="18"/>
              </w:rPr>
              <w:t>/L/Day)</w:t>
            </w:r>
          </w:p>
        </w:tc>
        <w:tc>
          <w:tcPr>
            <w:tcW w:w="950" w:type="dxa"/>
            <w:tcBorders>
              <w:top w:val="single" w:sz="12" w:space="0" w:color="003366"/>
              <w:left w:val="single" w:sz="12" w:space="0" w:color="002060"/>
              <w:bottom w:val="single" w:sz="12" w:space="0" w:color="003366"/>
              <w:right w:val="nil"/>
            </w:tcBorders>
            <w:vAlign w:val="center"/>
          </w:tcPr>
          <w:p w14:paraId="38CFFD46"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0.99</w:t>
            </w:r>
          </w:p>
        </w:tc>
        <w:tc>
          <w:tcPr>
            <w:tcW w:w="968" w:type="dxa"/>
            <w:tcBorders>
              <w:top w:val="single" w:sz="12" w:space="0" w:color="003366"/>
              <w:left w:val="nil"/>
              <w:bottom w:val="single" w:sz="12" w:space="0" w:color="003366"/>
              <w:right w:val="nil"/>
            </w:tcBorders>
            <w:vAlign w:val="center"/>
          </w:tcPr>
          <w:p w14:paraId="1E344404"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0.02</w:t>
            </w:r>
          </w:p>
        </w:tc>
        <w:tc>
          <w:tcPr>
            <w:tcW w:w="919" w:type="dxa"/>
            <w:tcBorders>
              <w:top w:val="single" w:sz="12" w:space="0" w:color="003366"/>
              <w:left w:val="nil"/>
              <w:bottom w:val="single" w:sz="12" w:space="0" w:color="003366"/>
              <w:right w:val="single" w:sz="12" w:space="0" w:color="003366"/>
            </w:tcBorders>
            <w:vAlign w:val="center"/>
          </w:tcPr>
          <w:p w14:paraId="56222245"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9.93</w:t>
            </w:r>
          </w:p>
        </w:tc>
        <w:tc>
          <w:tcPr>
            <w:tcW w:w="933" w:type="dxa"/>
            <w:tcBorders>
              <w:top w:val="nil"/>
              <w:left w:val="single" w:sz="12" w:space="0" w:color="003366"/>
              <w:bottom w:val="nil"/>
              <w:right w:val="nil"/>
            </w:tcBorders>
            <w:vAlign w:val="center"/>
          </w:tcPr>
          <w:p w14:paraId="7689A294"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1.35</w:t>
            </w:r>
          </w:p>
        </w:tc>
        <w:tc>
          <w:tcPr>
            <w:tcW w:w="886" w:type="dxa"/>
            <w:tcBorders>
              <w:top w:val="nil"/>
              <w:left w:val="nil"/>
              <w:bottom w:val="nil"/>
              <w:right w:val="nil"/>
            </w:tcBorders>
            <w:vAlign w:val="center"/>
          </w:tcPr>
          <w:p w14:paraId="192F0F17"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0.05</w:t>
            </w:r>
          </w:p>
        </w:tc>
        <w:tc>
          <w:tcPr>
            <w:tcW w:w="821" w:type="dxa"/>
            <w:tcBorders>
              <w:top w:val="nil"/>
              <w:left w:val="nil"/>
              <w:bottom w:val="nil"/>
              <w:right w:val="single" w:sz="12" w:space="0" w:color="003366"/>
            </w:tcBorders>
            <w:vAlign w:val="center"/>
          </w:tcPr>
          <w:p w14:paraId="3D629AA1"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8.31</w:t>
            </w:r>
          </w:p>
        </w:tc>
      </w:tr>
      <w:tr w:rsidR="00AE564D" w:rsidRPr="00313E8D" w14:paraId="2C839817" w14:textId="77777777" w:rsidTr="00E26D3C">
        <w:trPr>
          <w:trHeight w:val="305"/>
          <w:jc w:val="center"/>
        </w:trPr>
        <w:tc>
          <w:tcPr>
            <w:tcW w:w="1692" w:type="dxa"/>
            <w:tcBorders>
              <w:top w:val="single" w:sz="12" w:space="0" w:color="003366"/>
              <w:left w:val="single" w:sz="12" w:space="0" w:color="002060"/>
              <w:bottom w:val="single" w:sz="12" w:space="0" w:color="003366"/>
              <w:right w:val="single" w:sz="12" w:space="0" w:color="002060"/>
            </w:tcBorders>
            <w:vAlign w:val="center"/>
          </w:tcPr>
          <w:p w14:paraId="5998BA7D" w14:textId="77777777" w:rsidR="00AE564D" w:rsidRPr="00313E8D" w:rsidRDefault="00AE564D" w:rsidP="00E26D3C">
            <w:pPr>
              <w:autoSpaceDE w:val="0"/>
              <w:autoSpaceDN w:val="0"/>
              <w:adjustRightInd w:val="0"/>
              <w:spacing w:after="0" w:line="240" w:lineRule="auto"/>
              <w:jc w:val="center"/>
              <w:rPr>
                <w:rFonts w:cstheme="minorHAnsi"/>
                <w:b/>
                <w:bCs/>
                <w:color w:val="000000"/>
                <w:sz w:val="18"/>
                <w:szCs w:val="18"/>
              </w:rPr>
            </w:pPr>
            <w:r w:rsidRPr="00313E8D">
              <w:rPr>
                <w:rFonts w:cstheme="minorHAnsi"/>
                <w:b/>
                <w:bCs/>
                <w:color w:val="000000"/>
                <w:sz w:val="18"/>
                <w:szCs w:val="18"/>
              </w:rPr>
              <w:t>ER (mg O</w:t>
            </w:r>
            <w:r w:rsidRPr="00313E8D">
              <w:rPr>
                <w:rFonts w:cstheme="minorHAnsi"/>
                <w:b/>
                <w:bCs/>
                <w:color w:val="000000"/>
                <w:sz w:val="18"/>
                <w:szCs w:val="18"/>
                <w:vertAlign w:val="subscript"/>
              </w:rPr>
              <w:t>2</w:t>
            </w:r>
            <w:r w:rsidRPr="00313E8D">
              <w:rPr>
                <w:rFonts w:cstheme="minorHAnsi"/>
                <w:b/>
                <w:bCs/>
                <w:color w:val="000000"/>
                <w:sz w:val="18"/>
                <w:szCs w:val="18"/>
              </w:rPr>
              <w:t>/L/Day)</w:t>
            </w:r>
          </w:p>
        </w:tc>
        <w:tc>
          <w:tcPr>
            <w:tcW w:w="950" w:type="dxa"/>
            <w:tcBorders>
              <w:top w:val="single" w:sz="12" w:space="0" w:color="003366"/>
              <w:left w:val="single" w:sz="12" w:space="0" w:color="002060"/>
              <w:bottom w:val="single" w:sz="12" w:space="0" w:color="003366"/>
              <w:right w:val="nil"/>
            </w:tcBorders>
            <w:vAlign w:val="center"/>
          </w:tcPr>
          <w:p w14:paraId="533724A0"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3.78</w:t>
            </w:r>
          </w:p>
        </w:tc>
        <w:tc>
          <w:tcPr>
            <w:tcW w:w="968" w:type="dxa"/>
            <w:tcBorders>
              <w:top w:val="single" w:sz="12" w:space="0" w:color="003366"/>
              <w:left w:val="nil"/>
              <w:bottom w:val="single" w:sz="12" w:space="0" w:color="003366"/>
              <w:right w:val="nil"/>
            </w:tcBorders>
            <w:vAlign w:val="center"/>
          </w:tcPr>
          <w:p w14:paraId="0584F874"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0.20</w:t>
            </w:r>
          </w:p>
        </w:tc>
        <w:tc>
          <w:tcPr>
            <w:tcW w:w="919" w:type="dxa"/>
            <w:tcBorders>
              <w:top w:val="single" w:sz="12" w:space="0" w:color="003366"/>
              <w:left w:val="nil"/>
              <w:bottom w:val="single" w:sz="12" w:space="0" w:color="003366"/>
              <w:right w:val="single" w:sz="12" w:space="0" w:color="003366"/>
            </w:tcBorders>
            <w:vAlign w:val="center"/>
          </w:tcPr>
          <w:p w14:paraId="593C23F3"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24.8</w:t>
            </w:r>
          </w:p>
        </w:tc>
        <w:tc>
          <w:tcPr>
            <w:tcW w:w="933" w:type="dxa"/>
            <w:tcBorders>
              <w:top w:val="single" w:sz="12" w:space="0" w:color="003366"/>
              <w:left w:val="single" w:sz="12" w:space="0" w:color="003366"/>
              <w:bottom w:val="single" w:sz="12" w:space="0" w:color="003366"/>
              <w:right w:val="nil"/>
            </w:tcBorders>
            <w:vAlign w:val="center"/>
          </w:tcPr>
          <w:p w14:paraId="733C08C0"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2.97</w:t>
            </w:r>
          </w:p>
        </w:tc>
        <w:tc>
          <w:tcPr>
            <w:tcW w:w="886" w:type="dxa"/>
            <w:tcBorders>
              <w:top w:val="single" w:sz="12" w:space="0" w:color="003366"/>
              <w:left w:val="nil"/>
              <w:bottom w:val="single" w:sz="12" w:space="0" w:color="003366"/>
              <w:right w:val="nil"/>
            </w:tcBorders>
            <w:vAlign w:val="center"/>
          </w:tcPr>
          <w:p w14:paraId="6128A808"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0.22</w:t>
            </w:r>
          </w:p>
        </w:tc>
        <w:tc>
          <w:tcPr>
            <w:tcW w:w="821" w:type="dxa"/>
            <w:tcBorders>
              <w:top w:val="single" w:sz="12" w:space="0" w:color="003366"/>
              <w:left w:val="nil"/>
              <w:bottom w:val="single" w:sz="12" w:space="0" w:color="003366"/>
              <w:right w:val="single" w:sz="12" w:space="0" w:color="003366"/>
            </w:tcBorders>
            <w:vAlign w:val="center"/>
          </w:tcPr>
          <w:p w14:paraId="6FC32587"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14.1</w:t>
            </w:r>
          </w:p>
        </w:tc>
      </w:tr>
      <w:tr w:rsidR="00AE564D" w:rsidRPr="00313E8D" w14:paraId="0598225B" w14:textId="77777777" w:rsidTr="00E26D3C">
        <w:trPr>
          <w:trHeight w:val="305"/>
          <w:jc w:val="center"/>
        </w:trPr>
        <w:tc>
          <w:tcPr>
            <w:tcW w:w="1692" w:type="dxa"/>
            <w:tcBorders>
              <w:top w:val="nil"/>
              <w:left w:val="single" w:sz="12" w:space="0" w:color="002060"/>
              <w:bottom w:val="nil"/>
              <w:right w:val="single" w:sz="12" w:space="0" w:color="002060"/>
            </w:tcBorders>
            <w:vAlign w:val="center"/>
          </w:tcPr>
          <w:p w14:paraId="4F6E817F" w14:textId="77777777" w:rsidR="00AE564D" w:rsidRPr="00313E8D" w:rsidRDefault="00AE564D" w:rsidP="00E26D3C">
            <w:pPr>
              <w:autoSpaceDE w:val="0"/>
              <w:autoSpaceDN w:val="0"/>
              <w:adjustRightInd w:val="0"/>
              <w:spacing w:after="0" w:line="240" w:lineRule="auto"/>
              <w:jc w:val="center"/>
              <w:rPr>
                <w:rFonts w:cstheme="minorHAnsi"/>
                <w:b/>
                <w:bCs/>
                <w:color w:val="000000"/>
                <w:sz w:val="18"/>
                <w:szCs w:val="18"/>
              </w:rPr>
            </w:pPr>
            <w:r w:rsidRPr="00313E8D">
              <w:rPr>
                <w:rFonts w:cstheme="minorHAnsi"/>
                <w:b/>
                <w:bCs/>
                <w:color w:val="000000"/>
                <w:sz w:val="18"/>
                <w:szCs w:val="18"/>
              </w:rPr>
              <w:t>P / R</w:t>
            </w:r>
          </w:p>
        </w:tc>
        <w:tc>
          <w:tcPr>
            <w:tcW w:w="950" w:type="dxa"/>
            <w:tcBorders>
              <w:top w:val="single" w:sz="12" w:space="0" w:color="003366"/>
              <w:left w:val="single" w:sz="12" w:space="0" w:color="002060"/>
              <w:bottom w:val="single" w:sz="12" w:space="0" w:color="003366"/>
              <w:right w:val="nil"/>
            </w:tcBorders>
            <w:vAlign w:val="center"/>
          </w:tcPr>
          <w:p w14:paraId="5D6AC87D"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0.26</w:t>
            </w:r>
          </w:p>
        </w:tc>
        <w:tc>
          <w:tcPr>
            <w:tcW w:w="968" w:type="dxa"/>
            <w:tcBorders>
              <w:top w:val="single" w:sz="12" w:space="0" w:color="003366"/>
              <w:left w:val="nil"/>
              <w:bottom w:val="single" w:sz="12" w:space="0" w:color="003366"/>
              <w:right w:val="nil"/>
            </w:tcBorders>
            <w:vAlign w:val="center"/>
          </w:tcPr>
          <w:p w14:paraId="649A5E11"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0.01</w:t>
            </w:r>
          </w:p>
        </w:tc>
        <w:tc>
          <w:tcPr>
            <w:tcW w:w="919" w:type="dxa"/>
            <w:tcBorders>
              <w:top w:val="single" w:sz="12" w:space="0" w:color="003366"/>
              <w:left w:val="nil"/>
              <w:bottom w:val="single" w:sz="12" w:space="0" w:color="003366"/>
              <w:right w:val="single" w:sz="12" w:space="0" w:color="003366"/>
            </w:tcBorders>
            <w:vAlign w:val="center"/>
          </w:tcPr>
          <w:p w14:paraId="11179948"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1.03</w:t>
            </w:r>
          </w:p>
        </w:tc>
        <w:tc>
          <w:tcPr>
            <w:tcW w:w="933" w:type="dxa"/>
            <w:tcBorders>
              <w:top w:val="nil"/>
              <w:left w:val="single" w:sz="12" w:space="0" w:color="003366"/>
              <w:bottom w:val="nil"/>
              <w:right w:val="nil"/>
            </w:tcBorders>
            <w:vAlign w:val="center"/>
          </w:tcPr>
          <w:p w14:paraId="5160103C"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0.47</w:t>
            </w:r>
          </w:p>
        </w:tc>
        <w:tc>
          <w:tcPr>
            <w:tcW w:w="886" w:type="dxa"/>
            <w:tcBorders>
              <w:top w:val="nil"/>
              <w:left w:val="nil"/>
              <w:bottom w:val="nil"/>
              <w:right w:val="nil"/>
            </w:tcBorders>
            <w:vAlign w:val="center"/>
          </w:tcPr>
          <w:p w14:paraId="6D5BA6A9"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0.04</w:t>
            </w:r>
          </w:p>
        </w:tc>
        <w:tc>
          <w:tcPr>
            <w:tcW w:w="821" w:type="dxa"/>
            <w:tcBorders>
              <w:top w:val="nil"/>
              <w:left w:val="nil"/>
              <w:bottom w:val="nil"/>
              <w:right w:val="single" w:sz="12" w:space="0" w:color="003366"/>
            </w:tcBorders>
            <w:vAlign w:val="center"/>
          </w:tcPr>
          <w:p w14:paraId="70158B91"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0.93</w:t>
            </w:r>
          </w:p>
        </w:tc>
      </w:tr>
      <w:tr w:rsidR="00AE564D" w:rsidRPr="00313E8D" w14:paraId="7005A722" w14:textId="77777777" w:rsidTr="00E26D3C">
        <w:trPr>
          <w:trHeight w:val="305"/>
          <w:jc w:val="center"/>
        </w:trPr>
        <w:tc>
          <w:tcPr>
            <w:tcW w:w="1692" w:type="dxa"/>
            <w:tcBorders>
              <w:top w:val="single" w:sz="12" w:space="0" w:color="003366"/>
              <w:left w:val="single" w:sz="12" w:space="0" w:color="002060"/>
              <w:bottom w:val="single" w:sz="12" w:space="0" w:color="002060"/>
              <w:right w:val="single" w:sz="12" w:space="0" w:color="002060"/>
            </w:tcBorders>
            <w:vAlign w:val="center"/>
          </w:tcPr>
          <w:p w14:paraId="386AA718" w14:textId="77777777" w:rsidR="00AE564D" w:rsidRPr="00313E8D" w:rsidRDefault="00AE564D" w:rsidP="00E26D3C">
            <w:pPr>
              <w:autoSpaceDE w:val="0"/>
              <w:autoSpaceDN w:val="0"/>
              <w:adjustRightInd w:val="0"/>
              <w:spacing w:after="0" w:line="240" w:lineRule="auto"/>
              <w:jc w:val="center"/>
              <w:rPr>
                <w:rFonts w:cstheme="minorHAnsi"/>
                <w:b/>
                <w:bCs/>
                <w:color w:val="000000"/>
                <w:sz w:val="18"/>
                <w:szCs w:val="18"/>
              </w:rPr>
            </w:pPr>
            <w:r w:rsidRPr="00313E8D">
              <w:rPr>
                <w:rFonts w:cstheme="minorHAnsi"/>
                <w:b/>
                <w:bCs/>
                <w:color w:val="000000"/>
                <w:sz w:val="18"/>
                <w:szCs w:val="18"/>
              </w:rPr>
              <w:t>K (/Day)</w:t>
            </w:r>
          </w:p>
        </w:tc>
        <w:tc>
          <w:tcPr>
            <w:tcW w:w="950" w:type="dxa"/>
            <w:tcBorders>
              <w:top w:val="single" w:sz="12" w:space="0" w:color="003366"/>
              <w:left w:val="single" w:sz="12" w:space="0" w:color="002060"/>
              <w:bottom w:val="single" w:sz="12" w:space="0" w:color="002060"/>
              <w:right w:val="nil"/>
            </w:tcBorders>
            <w:vAlign w:val="center"/>
          </w:tcPr>
          <w:p w14:paraId="6E9919BC"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2.09</w:t>
            </w:r>
          </w:p>
        </w:tc>
        <w:tc>
          <w:tcPr>
            <w:tcW w:w="968" w:type="dxa"/>
            <w:tcBorders>
              <w:top w:val="single" w:sz="12" w:space="0" w:color="003366"/>
              <w:left w:val="nil"/>
              <w:bottom w:val="single" w:sz="12" w:space="0" w:color="002060"/>
              <w:right w:val="nil"/>
            </w:tcBorders>
            <w:vAlign w:val="center"/>
          </w:tcPr>
          <w:p w14:paraId="027D2F39"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0.15</w:t>
            </w:r>
          </w:p>
        </w:tc>
        <w:tc>
          <w:tcPr>
            <w:tcW w:w="919" w:type="dxa"/>
            <w:tcBorders>
              <w:top w:val="single" w:sz="12" w:space="0" w:color="003366"/>
              <w:left w:val="nil"/>
              <w:bottom w:val="single" w:sz="12" w:space="0" w:color="002060"/>
              <w:right w:val="single" w:sz="12" w:space="0" w:color="003366"/>
            </w:tcBorders>
            <w:vAlign w:val="center"/>
          </w:tcPr>
          <w:p w14:paraId="17893CCE"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11.4</w:t>
            </w:r>
          </w:p>
        </w:tc>
        <w:tc>
          <w:tcPr>
            <w:tcW w:w="933" w:type="dxa"/>
            <w:tcBorders>
              <w:top w:val="single" w:sz="12" w:space="0" w:color="003366"/>
              <w:left w:val="single" w:sz="12" w:space="0" w:color="003366"/>
              <w:bottom w:val="single" w:sz="12" w:space="0" w:color="002060"/>
              <w:right w:val="nil"/>
            </w:tcBorders>
            <w:vAlign w:val="center"/>
          </w:tcPr>
          <w:p w14:paraId="06EE6CEE"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2.90</w:t>
            </w:r>
          </w:p>
        </w:tc>
        <w:tc>
          <w:tcPr>
            <w:tcW w:w="886" w:type="dxa"/>
            <w:tcBorders>
              <w:top w:val="single" w:sz="12" w:space="0" w:color="003366"/>
              <w:left w:val="nil"/>
              <w:bottom w:val="single" w:sz="12" w:space="0" w:color="002060"/>
              <w:right w:val="nil"/>
            </w:tcBorders>
            <w:vAlign w:val="center"/>
          </w:tcPr>
          <w:p w14:paraId="03D59286"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0.32</w:t>
            </w:r>
          </w:p>
        </w:tc>
        <w:tc>
          <w:tcPr>
            <w:tcW w:w="821" w:type="dxa"/>
            <w:tcBorders>
              <w:top w:val="single" w:sz="12" w:space="0" w:color="003366"/>
              <w:left w:val="nil"/>
              <w:bottom w:val="single" w:sz="12" w:space="0" w:color="002060"/>
              <w:right w:val="single" w:sz="12" w:space="0" w:color="003366"/>
            </w:tcBorders>
            <w:vAlign w:val="center"/>
          </w:tcPr>
          <w:p w14:paraId="3362CAAA"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10.4</w:t>
            </w:r>
          </w:p>
        </w:tc>
      </w:tr>
      <w:tr w:rsidR="00AE564D" w:rsidRPr="00313E8D" w14:paraId="27B22B49" w14:textId="77777777" w:rsidTr="00E26D3C">
        <w:trPr>
          <w:trHeight w:val="305"/>
          <w:jc w:val="center"/>
        </w:trPr>
        <w:tc>
          <w:tcPr>
            <w:tcW w:w="1692" w:type="dxa"/>
            <w:tcBorders>
              <w:top w:val="single" w:sz="12" w:space="0" w:color="002060"/>
              <w:left w:val="single" w:sz="12" w:space="0" w:color="002060"/>
              <w:bottom w:val="single" w:sz="12" w:space="0" w:color="002060"/>
              <w:right w:val="single" w:sz="12" w:space="0" w:color="002060"/>
            </w:tcBorders>
            <w:shd w:val="clear" w:color="auto" w:fill="002060"/>
            <w:vAlign w:val="center"/>
          </w:tcPr>
          <w:p w14:paraId="23E9B937" w14:textId="77777777" w:rsidR="00AE564D" w:rsidRPr="00313E8D" w:rsidRDefault="00AE564D" w:rsidP="00E26D3C">
            <w:pPr>
              <w:autoSpaceDE w:val="0"/>
              <w:autoSpaceDN w:val="0"/>
              <w:adjustRightInd w:val="0"/>
              <w:spacing w:after="0" w:line="240" w:lineRule="auto"/>
              <w:jc w:val="center"/>
              <w:rPr>
                <w:rFonts w:cstheme="minorHAnsi"/>
                <w:b/>
                <w:bCs/>
                <w:color w:val="FFFFFF"/>
                <w:sz w:val="18"/>
                <w:szCs w:val="18"/>
              </w:rPr>
            </w:pPr>
            <w:r w:rsidRPr="00313E8D">
              <w:rPr>
                <w:rFonts w:cstheme="minorHAnsi"/>
                <w:b/>
                <w:bCs/>
                <w:color w:val="FFFFFF"/>
                <w:sz w:val="18"/>
                <w:szCs w:val="18"/>
              </w:rPr>
              <w:t>Parameter</w:t>
            </w:r>
          </w:p>
        </w:tc>
        <w:tc>
          <w:tcPr>
            <w:tcW w:w="2837" w:type="dxa"/>
            <w:gridSpan w:val="3"/>
            <w:tcBorders>
              <w:top w:val="single" w:sz="12" w:space="0" w:color="002060"/>
              <w:left w:val="single" w:sz="12" w:space="0" w:color="002060"/>
              <w:bottom w:val="single" w:sz="12" w:space="0" w:color="003366"/>
              <w:right w:val="single" w:sz="12" w:space="0" w:color="002060"/>
            </w:tcBorders>
            <w:shd w:val="clear" w:color="auto" w:fill="002060"/>
            <w:vAlign w:val="center"/>
          </w:tcPr>
          <w:p w14:paraId="5873422E" w14:textId="77777777" w:rsidR="00AE564D" w:rsidRPr="00313E8D" w:rsidRDefault="00AE564D" w:rsidP="00E26D3C">
            <w:pPr>
              <w:autoSpaceDE w:val="0"/>
              <w:autoSpaceDN w:val="0"/>
              <w:adjustRightInd w:val="0"/>
              <w:spacing w:after="0" w:line="240" w:lineRule="auto"/>
              <w:jc w:val="center"/>
              <w:rPr>
                <w:rFonts w:cstheme="minorHAnsi"/>
                <w:b/>
                <w:bCs/>
                <w:color w:val="FFFFFF"/>
                <w:sz w:val="18"/>
                <w:szCs w:val="18"/>
              </w:rPr>
            </w:pPr>
            <w:r w:rsidRPr="00313E8D">
              <w:rPr>
                <w:rFonts w:cstheme="minorHAnsi"/>
                <w:b/>
                <w:bCs/>
                <w:color w:val="FFFFFF"/>
                <w:sz w:val="18"/>
                <w:szCs w:val="18"/>
              </w:rPr>
              <w:t>McCoy's Bridge (n = 151)</w:t>
            </w:r>
          </w:p>
        </w:tc>
        <w:tc>
          <w:tcPr>
            <w:tcW w:w="2640" w:type="dxa"/>
            <w:gridSpan w:val="3"/>
            <w:tcBorders>
              <w:top w:val="single" w:sz="12" w:space="0" w:color="002060"/>
              <w:left w:val="single" w:sz="12" w:space="0" w:color="002060"/>
              <w:bottom w:val="single" w:sz="12" w:space="0" w:color="002060"/>
              <w:right w:val="single" w:sz="12" w:space="0" w:color="002060"/>
            </w:tcBorders>
            <w:shd w:val="clear" w:color="auto" w:fill="002060"/>
            <w:vAlign w:val="center"/>
          </w:tcPr>
          <w:p w14:paraId="58BEB853" w14:textId="77777777" w:rsidR="00AE564D" w:rsidRPr="00313E8D" w:rsidRDefault="00AE564D" w:rsidP="00E26D3C">
            <w:pPr>
              <w:autoSpaceDE w:val="0"/>
              <w:autoSpaceDN w:val="0"/>
              <w:adjustRightInd w:val="0"/>
              <w:spacing w:after="0" w:line="240" w:lineRule="auto"/>
              <w:jc w:val="center"/>
              <w:rPr>
                <w:rFonts w:cstheme="minorHAnsi"/>
                <w:b/>
                <w:color w:val="000000"/>
                <w:sz w:val="18"/>
                <w:szCs w:val="18"/>
              </w:rPr>
            </w:pPr>
            <w:r w:rsidRPr="00313E8D">
              <w:rPr>
                <w:rFonts w:cstheme="minorHAnsi"/>
                <w:b/>
                <w:color w:val="FFFFFF" w:themeColor="background1"/>
                <w:sz w:val="18"/>
                <w:szCs w:val="18"/>
              </w:rPr>
              <w:t>All Combined (n = 531)</w:t>
            </w:r>
          </w:p>
        </w:tc>
      </w:tr>
      <w:tr w:rsidR="00AE564D" w:rsidRPr="00313E8D" w14:paraId="48BA710B" w14:textId="77777777" w:rsidTr="00E26D3C">
        <w:trPr>
          <w:trHeight w:val="305"/>
          <w:jc w:val="center"/>
        </w:trPr>
        <w:tc>
          <w:tcPr>
            <w:tcW w:w="1692" w:type="dxa"/>
            <w:tcBorders>
              <w:top w:val="single" w:sz="12" w:space="0" w:color="002060"/>
              <w:left w:val="single" w:sz="12" w:space="0" w:color="002060"/>
              <w:bottom w:val="single" w:sz="12" w:space="0" w:color="003366"/>
              <w:right w:val="single" w:sz="12" w:space="0" w:color="002060"/>
            </w:tcBorders>
            <w:shd w:val="clear" w:color="auto" w:fill="002060"/>
            <w:vAlign w:val="center"/>
          </w:tcPr>
          <w:p w14:paraId="79334EE8" w14:textId="77777777" w:rsidR="00AE564D" w:rsidRPr="00313E8D" w:rsidRDefault="00AE564D" w:rsidP="00E26D3C">
            <w:pPr>
              <w:autoSpaceDE w:val="0"/>
              <w:autoSpaceDN w:val="0"/>
              <w:adjustRightInd w:val="0"/>
              <w:spacing w:after="0" w:line="240" w:lineRule="auto"/>
              <w:jc w:val="center"/>
              <w:rPr>
                <w:rFonts w:cstheme="minorHAnsi"/>
                <w:b/>
                <w:bCs/>
                <w:color w:val="000000"/>
                <w:sz w:val="18"/>
                <w:szCs w:val="18"/>
              </w:rPr>
            </w:pPr>
          </w:p>
        </w:tc>
        <w:tc>
          <w:tcPr>
            <w:tcW w:w="950" w:type="dxa"/>
            <w:tcBorders>
              <w:top w:val="single" w:sz="12" w:space="0" w:color="003366"/>
              <w:left w:val="single" w:sz="12" w:space="0" w:color="002060"/>
              <w:bottom w:val="single" w:sz="12" w:space="0" w:color="003366"/>
              <w:right w:val="nil"/>
            </w:tcBorders>
            <w:vAlign w:val="center"/>
          </w:tcPr>
          <w:p w14:paraId="40670DBF"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Median</w:t>
            </w:r>
          </w:p>
        </w:tc>
        <w:tc>
          <w:tcPr>
            <w:tcW w:w="968" w:type="dxa"/>
            <w:tcBorders>
              <w:top w:val="single" w:sz="12" w:space="0" w:color="003366"/>
              <w:left w:val="nil"/>
              <w:bottom w:val="single" w:sz="12" w:space="0" w:color="003366"/>
              <w:right w:val="nil"/>
            </w:tcBorders>
            <w:vAlign w:val="center"/>
          </w:tcPr>
          <w:p w14:paraId="4C872EC7"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Min</w:t>
            </w:r>
          </w:p>
        </w:tc>
        <w:tc>
          <w:tcPr>
            <w:tcW w:w="919" w:type="dxa"/>
            <w:tcBorders>
              <w:top w:val="single" w:sz="12" w:space="0" w:color="003366"/>
              <w:left w:val="nil"/>
              <w:bottom w:val="single" w:sz="12" w:space="0" w:color="003366"/>
              <w:right w:val="single" w:sz="12" w:space="0" w:color="003366"/>
            </w:tcBorders>
            <w:vAlign w:val="center"/>
          </w:tcPr>
          <w:p w14:paraId="791A72B0"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Max</w:t>
            </w:r>
          </w:p>
        </w:tc>
        <w:tc>
          <w:tcPr>
            <w:tcW w:w="933" w:type="dxa"/>
            <w:tcBorders>
              <w:top w:val="single" w:sz="12" w:space="0" w:color="003366"/>
              <w:left w:val="single" w:sz="12" w:space="0" w:color="003366"/>
              <w:bottom w:val="single" w:sz="12" w:space="0" w:color="003366"/>
              <w:right w:val="nil"/>
            </w:tcBorders>
            <w:vAlign w:val="center"/>
          </w:tcPr>
          <w:p w14:paraId="06AEC772"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Median</w:t>
            </w:r>
          </w:p>
        </w:tc>
        <w:tc>
          <w:tcPr>
            <w:tcW w:w="886" w:type="dxa"/>
            <w:tcBorders>
              <w:top w:val="single" w:sz="12" w:space="0" w:color="003366"/>
              <w:left w:val="nil"/>
              <w:bottom w:val="single" w:sz="12" w:space="0" w:color="003366"/>
              <w:right w:val="nil"/>
            </w:tcBorders>
            <w:vAlign w:val="center"/>
          </w:tcPr>
          <w:p w14:paraId="7A261D7A"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Min</w:t>
            </w:r>
          </w:p>
        </w:tc>
        <w:tc>
          <w:tcPr>
            <w:tcW w:w="821" w:type="dxa"/>
            <w:tcBorders>
              <w:top w:val="single" w:sz="12" w:space="0" w:color="003366"/>
              <w:left w:val="nil"/>
              <w:bottom w:val="single" w:sz="12" w:space="0" w:color="003366"/>
              <w:right w:val="single" w:sz="12" w:space="0" w:color="003366"/>
            </w:tcBorders>
            <w:vAlign w:val="center"/>
          </w:tcPr>
          <w:p w14:paraId="2345D2F3"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color w:val="000000"/>
                <w:sz w:val="18"/>
                <w:szCs w:val="18"/>
              </w:rPr>
              <w:t>Max</w:t>
            </w:r>
          </w:p>
        </w:tc>
      </w:tr>
      <w:tr w:rsidR="00AE564D" w:rsidRPr="00313E8D" w14:paraId="30E92BBC" w14:textId="77777777" w:rsidTr="00E26D3C">
        <w:trPr>
          <w:trHeight w:val="305"/>
          <w:jc w:val="center"/>
        </w:trPr>
        <w:tc>
          <w:tcPr>
            <w:tcW w:w="1692" w:type="dxa"/>
            <w:tcBorders>
              <w:top w:val="single" w:sz="12" w:space="0" w:color="003366"/>
              <w:left w:val="single" w:sz="12" w:space="0" w:color="002060"/>
              <w:bottom w:val="single" w:sz="12" w:space="0" w:color="003366"/>
              <w:right w:val="single" w:sz="12" w:space="0" w:color="002060"/>
            </w:tcBorders>
            <w:vAlign w:val="center"/>
          </w:tcPr>
          <w:p w14:paraId="338F98C0" w14:textId="77777777" w:rsidR="00AE564D" w:rsidRPr="00313E8D" w:rsidRDefault="00AE564D" w:rsidP="00E26D3C">
            <w:pPr>
              <w:autoSpaceDE w:val="0"/>
              <w:autoSpaceDN w:val="0"/>
              <w:adjustRightInd w:val="0"/>
              <w:spacing w:after="0" w:line="240" w:lineRule="auto"/>
              <w:jc w:val="center"/>
              <w:rPr>
                <w:rFonts w:cstheme="minorHAnsi"/>
                <w:b/>
                <w:bCs/>
                <w:color w:val="000000"/>
                <w:sz w:val="18"/>
                <w:szCs w:val="18"/>
              </w:rPr>
            </w:pPr>
            <w:r w:rsidRPr="00313E8D">
              <w:rPr>
                <w:rFonts w:cstheme="minorHAnsi"/>
                <w:b/>
                <w:bCs/>
                <w:color w:val="000000"/>
                <w:sz w:val="18"/>
                <w:szCs w:val="18"/>
              </w:rPr>
              <w:t>GPP (mg O</w:t>
            </w:r>
            <w:r w:rsidRPr="00313E8D">
              <w:rPr>
                <w:rFonts w:cstheme="minorHAnsi"/>
                <w:b/>
                <w:bCs/>
                <w:color w:val="000000"/>
                <w:sz w:val="18"/>
                <w:szCs w:val="18"/>
                <w:vertAlign w:val="subscript"/>
              </w:rPr>
              <w:t>2</w:t>
            </w:r>
            <w:r w:rsidRPr="00313E8D">
              <w:rPr>
                <w:rFonts w:cstheme="minorHAnsi"/>
                <w:b/>
                <w:bCs/>
                <w:color w:val="000000"/>
                <w:sz w:val="18"/>
                <w:szCs w:val="18"/>
              </w:rPr>
              <w:t>/L/Day)</w:t>
            </w:r>
          </w:p>
        </w:tc>
        <w:tc>
          <w:tcPr>
            <w:tcW w:w="950" w:type="dxa"/>
            <w:tcBorders>
              <w:top w:val="single" w:sz="12" w:space="0" w:color="003366"/>
              <w:left w:val="single" w:sz="12" w:space="0" w:color="002060"/>
              <w:bottom w:val="single" w:sz="12" w:space="0" w:color="003366"/>
              <w:right w:val="nil"/>
            </w:tcBorders>
            <w:vAlign w:val="center"/>
          </w:tcPr>
          <w:p w14:paraId="26E3CADA"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1.46</w:t>
            </w:r>
          </w:p>
        </w:tc>
        <w:tc>
          <w:tcPr>
            <w:tcW w:w="968" w:type="dxa"/>
            <w:tcBorders>
              <w:top w:val="single" w:sz="12" w:space="0" w:color="003366"/>
              <w:left w:val="nil"/>
              <w:bottom w:val="single" w:sz="12" w:space="0" w:color="003366"/>
              <w:right w:val="nil"/>
            </w:tcBorders>
            <w:vAlign w:val="center"/>
          </w:tcPr>
          <w:p w14:paraId="0BE9E384"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0.06</w:t>
            </w:r>
          </w:p>
        </w:tc>
        <w:tc>
          <w:tcPr>
            <w:tcW w:w="919" w:type="dxa"/>
            <w:tcBorders>
              <w:top w:val="single" w:sz="12" w:space="0" w:color="003366"/>
              <w:left w:val="nil"/>
              <w:bottom w:val="single" w:sz="12" w:space="0" w:color="003366"/>
              <w:right w:val="single" w:sz="12" w:space="0" w:color="003366"/>
            </w:tcBorders>
            <w:vAlign w:val="center"/>
          </w:tcPr>
          <w:p w14:paraId="26C9FC06"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11.62</w:t>
            </w:r>
          </w:p>
        </w:tc>
        <w:tc>
          <w:tcPr>
            <w:tcW w:w="933" w:type="dxa"/>
            <w:tcBorders>
              <w:top w:val="single" w:sz="12" w:space="0" w:color="003366"/>
              <w:left w:val="single" w:sz="12" w:space="0" w:color="003366"/>
              <w:bottom w:val="single" w:sz="12" w:space="0" w:color="003366"/>
              <w:right w:val="nil"/>
            </w:tcBorders>
            <w:vAlign w:val="center"/>
          </w:tcPr>
          <w:p w14:paraId="2DD62715"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1.23</w:t>
            </w:r>
          </w:p>
        </w:tc>
        <w:tc>
          <w:tcPr>
            <w:tcW w:w="886" w:type="dxa"/>
            <w:tcBorders>
              <w:top w:val="single" w:sz="12" w:space="0" w:color="003366"/>
              <w:left w:val="nil"/>
              <w:bottom w:val="single" w:sz="12" w:space="0" w:color="003366"/>
              <w:right w:val="nil"/>
            </w:tcBorders>
            <w:vAlign w:val="center"/>
          </w:tcPr>
          <w:p w14:paraId="0BA60D40"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0.02</w:t>
            </w:r>
          </w:p>
        </w:tc>
        <w:tc>
          <w:tcPr>
            <w:tcW w:w="821" w:type="dxa"/>
            <w:tcBorders>
              <w:top w:val="single" w:sz="12" w:space="0" w:color="003366"/>
              <w:left w:val="nil"/>
              <w:bottom w:val="single" w:sz="12" w:space="0" w:color="003366"/>
              <w:right w:val="single" w:sz="12" w:space="0" w:color="003366"/>
            </w:tcBorders>
            <w:vAlign w:val="center"/>
          </w:tcPr>
          <w:p w14:paraId="7C5701B3"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11.6</w:t>
            </w:r>
          </w:p>
        </w:tc>
      </w:tr>
      <w:tr w:rsidR="00AE564D" w:rsidRPr="00313E8D" w14:paraId="00FD387A" w14:textId="77777777" w:rsidTr="00E26D3C">
        <w:trPr>
          <w:trHeight w:val="305"/>
          <w:jc w:val="center"/>
        </w:trPr>
        <w:tc>
          <w:tcPr>
            <w:tcW w:w="1692" w:type="dxa"/>
            <w:tcBorders>
              <w:top w:val="single" w:sz="12" w:space="0" w:color="003366"/>
              <w:left w:val="single" w:sz="12" w:space="0" w:color="002060"/>
              <w:bottom w:val="single" w:sz="12" w:space="0" w:color="003366"/>
              <w:right w:val="single" w:sz="12" w:space="0" w:color="002060"/>
            </w:tcBorders>
            <w:vAlign w:val="center"/>
          </w:tcPr>
          <w:p w14:paraId="7C3FA0F0" w14:textId="77777777" w:rsidR="00AE564D" w:rsidRPr="00313E8D" w:rsidRDefault="00AE564D" w:rsidP="00E26D3C">
            <w:pPr>
              <w:autoSpaceDE w:val="0"/>
              <w:autoSpaceDN w:val="0"/>
              <w:adjustRightInd w:val="0"/>
              <w:spacing w:after="0" w:line="240" w:lineRule="auto"/>
              <w:jc w:val="center"/>
              <w:rPr>
                <w:rFonts w:cstheme="minorHAnsi"/>
                <w:b/>
                <w:bCs/>
                <w:color w:val="000000"/>
                <w:sz w:val="18"/>
                <w:szCs w:val="18"/>
              </w:rPr>
            </w:pPr>
            <w:r w:rsidRPr="00313E8D">
              <w:rPr>
                <w:rFonts w:cstheme="minorHAnsi"/>
                <w:b/>
                <w:bCs/>
                <w:color w:val="000000"/>
                <w:sz w:val="18"/>
                <w:szCs w:val="18"/>
              </w:rPr>
              <w:t>ER (mg O</w:t>
            </w:r>
            <w:r w:rsidRPr="00313E8D">
              <w:rPr>
                <w:rFonts w:cstheme="minorHAnsi"/>
                <w:b/>
                <w:bCs/>
                <w:color w:val="000000"/>
                <w:sz w:val="18"/>
                <w:szCs w:val="18"/>
                <w:vertAlign w:val="subscript"/>
              </w:rPr>
              <w:t>2</w:t>
            </w:r>
            <w:r w:rsidRPr="00313E8D">
              <w:rPr>
                <w:rFonts w:cstheme="minorHAnsi"/>
                <w:b/>
                <w:bCs/>
                <w:color w:val="000000"/>
                <w:sz w:val="18"/>
                <w:szCs w:val="18"/>
              </w:rPr>
              <w:t>/L/Day)</w:t>
            </w:r>
          </w:p>
        </w:tc>
        <w:tc>
          <w:tcPr>
            <w:tcW w:w="950" w:type="dxa"/>
            <w:tcBorders>
              <w:top w:val="single" w:sz="12" w:space="0" w:color="003366"/>
              <w:left w:val="single" w:sz="12" w:space="0" w:color="002060"/>
              <w:bottom w:val="single" w:sz="12" w:space="0" w:color="003366"/>
              <w:right w:val="nil"/>
            </w:tcBorders>
            <w:vAlign w:val="center"/>
          </w:tcPr>
          <w:p w14:paraId="300E08A1"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3.02</w:t>
            </w:r>
          </w:p>
        </w:tc>
        <w:tc>
          <w:tcPr>
            <w:tcW w:w="968" w:type="dxa"/>
            <w:tcBorders>
              <w:top w:val="single" w:sz="12" w:space="0" w:color="003366"/>
              <w:left w:val="nil"/>
              <w:bottom w:val="single" w:sz="12" w:space="0" w:color="003366"/>
              <w:right w:val="nil"/>
            </w:tcBorders>
            <w:vAlign w:val="center"/>
          </w:tcPr>
          <w:p w14:paraId="256DE2A1"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0.32</w:t>
            </w:r>
          </w:p>
        </w:tc>
        <w:tc>
          <w:tcPr>
            <w:tcW w:w="919" w:type="dxa"/>
            <w:tcBorders>
              <w:top w:val="single" w:sz="12" w:space="0" w:color="003366"/>
              <w:left w:val="nil"/>
              <w:bottom w:val="single" w:sz="12" w:space="0" w:color="003366"/>
              <w:right w:val="single" w:sz="12" w:space="0" w:color="003366"/>
            </w:tcBorders>
            <w:vAlign w:val="center"/>
          </w:tcPr>
          <w:p w14:paraId="039C01AD"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28.43</w:t>
            </w:r>
          </w:p>
        </w:tc>
        <w:tc>
          <w:tcPr>
            <w:tcW w:w="933" w:type="dxa"/>
            <w:tcBorders>
              <w:top w:val="single" w:sz="12" w:space="0" w:color="003366"/>
              <w:left w:val="single" w:sz="12" w:space="0" w:color="003366"/>
              <w:bottom w:val="single" w:sz="12" w:space="0" w:color="000080"/>
              <w:right w:val="nil"/>
            </w:tcBorders>
            <w:vAlign w:val="center"/>
          </w:tcPr>
          <w:p w14:paraId="12F8EC65"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3.01</w:t>
            </w:r>
          </w:p>
        </w:tc>
        <w:tc>
          <w:tcPr>
            <w:tcW w:w="886" w:type="dxa"/>
            <w:tcBorders>
              <w:top w:val="single" w:sz="12" w:space="0" w:color="003366"/>
              <w:left w:val="nil"/>
              <w:bottom w:val="single" w:sz="12" w:space="0" w:color="000080"/>
              <w:right w:val="nil"/>
            </w:tcBorders>
            <w:vAlign w:val="center"/>
          </w:tcPr>
          <w:p w14:paraId="7291880D"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0.12</w:t>
            </w:r>
          </w:p>
        </w:tc>
        <w:tc>
          <w:tcPr>
            <w:tcW w:w="821" w:type="dxa"/>
            <w:tcBorders>
              <w:top w:val="single" w:sz="12" w:space="0" w:color="003366"/>
              <w:left w:val="nil"/>
              <w:bottom w:val="single" w:sz="12" w:space="0" w:color="000080"/>
              <w:right w:val="single" w:sz="12" w:space="0" w:color="003366"/>
            </w:tcBorders>
            <w:vAlign w:val="center"/>
          </w:tcPr>
          <w:p w14:paraId="541D3EC0"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38.9</w:t>
            </w:r>
          </w:p>
        </w:tc>
      </w:tr>
      <w:tr w:rsidR="00AE564D" w:rsidRPr="00313E8D" w14:paraId="1774E5A6" w14:textId="77777777" w:rsidTr="00E26D3C">
        <w:trPr>
          <w:trHeight w:val="305"/>
          <w:jc w:val="center"/>
        </w:trPr>
        <w:tc>
          <w:tcPr>
            <w:tcW w:w="1692" w:type="dxa"/>
            <w:tcBorders>
              <w:top w:val="nil"/>
              <w:left w:val="single" w:sz="12" w:space="0" w:color="002060"/>
              <w:bottom w:val="nil"/>
              <w:right w:val="single" w:sz="12" w:space="0" w:color="002060"/>
            </w:tcBorders>
            <w:vAlign w:val="center"/>
          </w:tcPr>
          <w:p w14:paraId="0D6C42F1" w14:textId="77777777" w:rsidR="00AE564D" w:rsidRPr="00313E8D" w:rsidRDefault="00AE564D" w:rsidP="00E26D3C">
            <w:pPr>
              <w:autoSpaceDE w:val="0"/>
              <w:autoSpaceDN w:val="0"/>
              <w:adjustRightInd w:val="0"/>
              <w:spacing w:after="0" w:line="240" w:lineRule="auto"/>
              <w:jc w:val="center"/>
              <w:rPr>
                <w:rFonts w:cstheme="minorHAnsi"/>
                <w:b/>
                <w:bCs/>
                <w:color w:val="000000"/>
                <w:sz w:val="18"/>
                <w:szCs w:val="18"/>
              </w:rPr>
            </w:pPr>
            <w:r w:rsidRPr="00313E8D">
              <w:rPr>
                <w:rFonts w:cstheme="minorHAnsi"/>
                <w:b/>
                <w:bCs/>
                <w:color w:val="000000"/>
                <w:sz w:val="18"/>
                <w:szCs w:val="18"/>
              </w:rPr>
              <w:t>P / R</w:t>
            </w:r>
          </w:p>
        </w:tc>
        <w:tc>
          <w:tcPr>
            <w:tcW w:w="950" w:type="dxa"/>
            <w:tcBorders>
              <w:top w:val="single" w:sz="12" w:space="0" w:color="003366"/>
              <w:left w:val="single" w:sz="12" w:space="0" w:color="002060"/>
              <w:bottom w:val="single" w:sz="12" w:space="0" w:color="003366"/>
              <w:right w:val="nil"/>
            </w:tcBorders>
            <w:vAlign w:val="center"/>
          </w:tcPr>
          <w:p w14:paraId="0D50C7E2"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0.46</w:t>
            </w:r>
          </w:p>
        </w:tc>
        <w:tc>
          <w:tcPr>
            <w:tcW w:w="968" w:type="dxa"/>
            <w:tcBorders>
              <w:top w:val="single" w:sz="12" w:space="0" w:color="003366"/>
              <w:left w:val="nil"/>
              <w:bottom w:val="single" w:sz="12" w:space="0" w:color="003366"/>
              <w:right w:val="nil"/>
            </w:tcBorders>
            <w:vAlign w:val="center"/>
          </w:tcPr>
          <w:p w14:paraId="6F10EE25"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0.03</w:t>
            </w:r>
          </w:p>
        </w:tc>
        <w:tc>
          <w:tcPr>
            <w:tcW w:w="919" w:type="dxa"/>
            <w:tcBorders>
              <w:top w:val="single" w:sz="12" w:space="0" w:color="003366"/>
              <w:left w:val="nil"/>
              <w:bottom w:val="single" w:sz="12" w:space="0" w:color="003366"/>
              <w:right w:val="single" w:sz="12" w:space="0" w:color="003366"/>
            </w:tcBorders>
            <w:vAlign w:val="center"/>
          </w:tcPr>
          <w:p w14:paraId="778CFD1C"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1.20</w:t>
            </w:r>
          </w:p>
        </w:tc>
        <w:tc>
          <w:tcPr>
            <w:tcW w:w="933" w:type="dxa"/>
            <w:tcBorders>
              <w:top w:val="single" w:sz="12" w:space="0" w:color="000080"/>
              <w:left w:val="single" w:sz="12" w:space="0" w:color="003366"/>
              <w:bottom w:val="single" w:sz="12" w:space="0" w:color="000080"/>
              <w:right w:val="nil"/>
            </w:tcBorders>
            <w:vAlign w:val="center"/>
          </w:tcPr>
          <w:p w14:paraId="76D7008C"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0.39</w:t>
            </w:r>
          </w:p>
        </w:tc>
        <w:tc>
          <w:tcPr>
            <w:tcW w:w="886" w:type="dxa"/>
            <w:tcBorders>
              <w:top w:val="single" w:sz="12" w:space="0" w:color="000080"/>
              <w:left w:val="nil"/>
              <w:bottom w:val="single" w:sz="12" w:space="0" w:color="000080"/>
              <w:right w:val="nil"/>
            </w:tcBorders>
            <w:vAlign w:val="center"/>
          </w:tcPr>
          <w:p w14:paraId="313CF1EC"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0.01</w:t>
            </w:r>
          </w:p>
        </w:tc>
        <w:tc>
          <w:tcPr>
            <w:tcW w:w="821" w:type="dxa"/>
            <w:tcBorders>
              <w:top w:val="single" w:sz="12" w:space="0" w:color="000080"/>
              <w:left w:val="nil"/>
              <w:bottom w:val="single" w:sz="12" w:space="0" w:color="000080"/>
              <w:right w:val="single" w:sz="12" w:space="0" w:color="003366"/>
            </w:tcBorders>
            <w:vAlign w:val="center"/>
          </w:tcPr>
          <w:p w14:paraId="0A19B657"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1.35</w:t>
            </w:r>
          </w:p>
        </w:tc>
      </w:tr>
      <w:tr w:rsidR="00AE564D" w:rsidRPr="00313E8D" w14:paraId="7F3EFC57" w14:textId="77777777" w:rsidTr="00E26D3C">
        <w:trPr>
          <w:trHeight w:val="305"/>
          <w:jc w:val="center"/>
        </w:trPr>
        <w:tc>
          <w:tcPr>
            <w:tcW w:w="1692" w:type="dxa"/>
            <w:tcBorders>
              <w:top w:val="single" w:sz="12" w:space="0" w:color="003366"/>
              <w:left w:val="single" w:sz="12" w:space="0" w:color="002060"/>
              <w:bottom w:val="single" w:sz="12" w:space="0" w:color="002060"/>
              <w:right w:val="single" w:sz="12" w:space="0" w:color="002060"/>
            </w:tcBorders>
            <w:vAlign w:val="center"/>
          </w:tcPr>
          <w:p w14:paraId="7A9AD410" w14:textId="77777777" w:rsidR="00AE564D" w:rsidRPr="00313E8D" w:rsidRDefault="00AE564D" w:rsidP="00E26D3C">
            <w:pPr>
              <w:autoSpaceDE w:val="0"/>
              <w:autoSpaceDN w:val="0"/>
              <w:adjustRightInd w:val="0"/>
              <w:spacing w:after="0" w:line="240" w:lineRule="auto"/>
              <w:jc w:val="center"/>
              <w:rPr>
                <w:rFonts w:cstheme="minorHAnsi"/>
                <w:b/>
                <w:bCs/>
                <w:color w:val="000000"/>
                <w:sz w:val="18"/>
                <w:szCs w:val="18"/>
              </w:rPr>
            </w:pPr>
            <w:r w:rsidRPr="00313E8D">
              <w:rPr>
                <w:rFonts w:cstheme="minorHAnsi"/>
                <w:b/>
                <w:bCs/>
                <w:color w:val="000000"/>
                <w:sz w:val="18"/>
                <w:szCs w:val="18"/>
              </w:rPr>
              <w:t>K (/Day)</w:t>
            </w:r>
          </w:p>
        </w:tc>
        <w:tc>
          <w:tcPr>
            <w:tcW w:w="950" w:type="dxa"/>
            <w:tcBorders>
              <w:top w:val="single" w:sz="12" w:space="0" w:color="003366"/>
              <w:left w:val="single" w:sz="12" w:space="0" w:color="002060"/>
              <w:bottom w:val="single" w:sz="12" w:space="0" w:color="003366"/>
              <w:right w:val="nil"/>
            </w:tcBorders>
            <w:vAlign w:val="center"/>
          </w:tcPr>
          <w:p w14:paraId="20C663F3"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2.52</w:t>
            </w:r>
          </w:p>
        </w:tc>
        <w:tc>
          <w:tcPr>
            <w:tcW w:w="968" w:type="dxa"/>
            <w:tcBorders>
              <w:top w:val="single" w:sz="12" w:space="0" w:color="003366"/>
              <w:left w:val="nil"/>
              <w:bottom w:val="single" w:sz="12" w:space="0" w:color="003366"/>
              <w:right w:val="nil"/>
            </w:tcBorders>
            <w:vAlign w:val="center"/>
          </w:tcPr>
          <w:p w14:paraId="75F517BF"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0.23</w:t>
            </w:r>
          </w:p>
        </w:tc>
        <w:tc>
          <w:tcPr>
            <w:tcW w:w="919" w:type="dxa"/>
            <w:tcBorders>
              <w:top w:val="single" w:sz="12" w:space="0" w:color="003366"/>
              <w:left w:val="nil"/>
              <w:bottom w:val="single" w:sz="12" w:space="0" w:color="003366"/>
              <w:right w:val="single" w:sz="12" w:space="0" w:color="003366"/>
            </w:tcBorders>
            <w:vAlign w:val="center"/>
          </w:tcPr>
          <w:p w14:paraId="569CFC9C"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13.85</w:t>
            </w:r>
          </w:p>
        </w:tc>
        <w:tc>
          <w:tcPr>
            <w:tcW w:w="933" w:type="dxa"/>
            <w:tcBorders>
              <w:top w:val="single" w:sz="12" w:space="0" w:color="000080"/>
              <w:left w:val="single" w:sz="12" w:space="0" w:color="003366"/>
              <w:bottom w:val="single" w:sz="12" w:space="0" w:color="003366"/>
              <w:right w:val="nil"/>
            </w:tcBorders>
            <w:vAlign w:val="center"/>
          </w:tcPr>
          <w:p w14:paraId="5F93E12F"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2.40</w:t>
            </w:r>
          </w:p>
        </w:tc>
        <w:tc>
          <w:tcPr>
            <w:tcW w:w="886" w:type="dxa"/>
            <w:tcBorders>
              <w:top w:val="single" w:sz="12" w:space="0" w:color="000080"/>
              <w:left w:val="nil"/>
              <w:bottom w:val="single" w:sz="12" w:space="0" w:color="003366"/>
              <w:right w:val="nil"/>
            </w:tcBorders>
            <w:vAlign w:val="center"/>
          </w:tcPr>
          <w:p w14:paraId="4732B339"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0.14</w:t>
            </w:r>
          </w:p>
        </w:tc>
        <w:tc>
          <w:tcPr>
            <w:tcW w:w="821" w:type="dxa"/>
            <w:tcBorders>
              <w:top w:val="single" w:sz="12" w:space="0" w:color="000080"/>
              <w:left w:val="nil"/>
              <w:bottom w:val="single" w:sz="12" w:space="0" w:color="003366"/>
              <w:right w:val="single" w:sz="12" w:space="0" w:color="003366"/>
            </w:tcBorders>
            <w:vAlign w:val="center"/>
          </w:tcPr>
          <w:p w14:paraId="7F1261CD" w14:textId="77777777" w:rsidR="00AE564D" w:rsidRPr="00313E8D" w:rsidRDefault="00AE564D" w:rsidP="00E26D3C">
            <w:pPr>
              <w:autoSpaceDE w:val="0"/>
              <w:autoSpaceDN w:val="0"/>
              <w:adjustRightInd w:val="0"/>
              <w:spacing w:after="0" w:line="240" w:lineRule="auto"/>
              <w:jc w:val="center"/>
              <w:rPr>
                <w:rFonts w:cstheme="minorHAnsi"/>
                <w:color w:val="000000"/>
                <w:sz w:val="18"/>
                <w:szCs w:val="18"/>
              </w:rPr>
            </w:pPr>
            <w:r w:rsidRPr="00313E8D">
              <w:rPr>
                <w:rFonts w:cstheme="minorHAnsi"/>
                <w:sz w:val="18"/>
                <w:szCs w:val="18"/>
              </w:rPr>
              <w:t>13.9</w:t>
            </w:r>
          </w:p>
        </w:tc>
      </w:tr>
    </w:tbl>
    <w:p w14:paraId="2E639403" w14:textId="77777777" w:rsidR="00AE564D" w:rsidRPr="00BA2632" w:rsidRDefault="00AE564D" w:rsidP="00AE564D"/>
    <w:p w14:paraId="3D31FB0D" w14:textId="3D281A24" w:rsidR="00AE564D" w:rsidRPr="00D02365" w:rsidRDefault="00AE564D" w:rsidP="0098204D">
      <w:r w:rsidRPr="00D02365">
        <w:t xml:space="preserve">Each metabolic parameter in </w:t>
      </w:r>
      <w:r w:rsidR="00590768" w:rsidRPr="00BA2632">
        <w:t xml:space="preserve">Table </w:t>
      </w:r>
      <w:r w:rsidR="00590768">
        <w:t>5</w:t>
      </w:r>
      <w:r w:rsidR="00590768">
        <w:noBreakHyphen/>
        <w:t>6</w:t>
      </w:r>
      <w:r w:rsidR="00313E8D">
        <w:t xml:space="preserve"> </w:t>
      </w:r>
      <w:r w:rsidRPr="00D02365">
        <w:t>is expressed as a median with minimum and maximum values also included. The median provides a more representative estimate without the bias in the mean arising from a relatively few much higher values. As previously found with the combined 2014-20 LTIM/MER data set, the median GPP values from all five sites fall within a very narrow range of 0.99 (Shepparton Golf Club) to 1.46 (McCoy’s Bridge) mg O</w:t>
      </w:r>
      <w:r w:rsidRPr="00D02365">
        <w:rPr>
          <w:vertAlign w:val="subscript"/>
        </w:rPr>
        <w:t>2</w:t>
      </w:r>
      <w:r w:rsidRPr="00D02365">
        <w:t>/L/Day. The range of median ER values for the five sites is also relatively constrained, varying from 2.46 mg O</w:t>
      </w:r>
      <w:r w:rsidRPr="00D02365">
        <w:rPr>
          <w:vertAlign w:val="subscript"/>
        </w:rPr>
        <w:t>2</w:t>
      </w:r>
      <w:r w:rsidRPr="00D02365">
        <w:t>/L/Day (Arcadia Downs) up to 3.78 mg O</w:t>
      </w:r>
      <w:r w:rsidRPr="00D02365">
        <w:rPr>
          <w:vertAlign w:val="subscript"/>
        </w:rPr>
        <w:t>2</w:t>
      </w:r>
      <w:r w:rsidRPr="00D02365">
        <w:t xml:space="preserve">/L/Day at the Shepparton Golf Club site. </w:t>
      </w:r>
    </w:p>
    <w:p w14:paraId="4178F1E5" w14:textId="77777777" w:rsidR="00AE564D" w:rsidRPr="00D02365" w:rsidRDefault="00AE564D" w:rsidP="0098204D">
      <w:r w:rsidRPr="00D02365">
        <w:t xml:space="preserve">The P/R ratios (medians 0.26 to 0.47) are </w:t>
      </w:r>
      <w:proofErr w:type="gramStart"/>
      <w:r w:rsidRPr="00D02365">
        <w:t>similar to</w:t>
      </w:r>
      <w:proofErr w:type="gramEnd"/>
      <w:r w:rsidRPr="00D02365">
        <w:t xml:space="preserve"> those found in 2017-20 (LTIM/MER). The first three years of LTIM data have been excluded from this comparison as there was no winter-time data until the 2017-18 sampling year. GPP rates are constrained much more by season than ER rates. The median values indicate that, in general and </w:t>
      </w:r>
      <w:proofErr w:type="gramStart"/>
      <w:r w:rsidRPr="00D02365">
        <w:t>on a daily basis</w:t>
      </w:r>
      <w:proofErr w:type="gramEnd"/>
      <w:r w:rsidRPr="00D02365">
        <w:t xml:space="preserve">, significantly more oxygen is consumed in these reaches than is produced. The maximum P/R ratios in Table </w:t>
      </w:r>
      <w:r>
        <w:t>5-6</w:t>
      </w:r>
      <w:r w:rsidRPr="00D02365">
        <w:t xml:space="preserve"> indicate that on some occasions, oxygen production is as high or slightly higher than consumption via ecosystem respiration. In most cases, as observed in previous years, these high P/R readings are typically due to lower ER rates than significantly increased GPP. </w:t>
      </w:r>
    </w:p>
    <w:p w14:paraId="57E4C5AB" w14:textId="5A4B4D6D" w:rsidR="00AE564D" w:rsidRDefault="00AE564D" w:rsidP="00AE564D">
      <w:pPr>
        <w:rPr>
          <w:lang w:val="en-US"/>
        </w:rPr>
      </w:pPr>
      <w:r w:rsidRPr="00B5298E">
        <w:rPr>
          <w:lang w:val="en-US"/>
        </w:rPr>
        <w:t>To put these metabolic rates into a global context, a summary of world-wide stream metabolism data (mostly from the USA) shows that GPP and ER values are each typically in the range 2-20 mg O</w:t>
      </w:r>
      <w:r w:rsidRPr="00B5298E">
        <w:rPr>
          <w:vertAlign w:val="subscript"/>
          <w:lang w:val="en-US"/>
        </w:rPr>
        <w:t>2</w:t>
      </w:r>
      <w:r w:rsidRPr="00B5298E">
        <w:rPr>
          <w:lang w:val="en-US"/>
        </w:rPr>
        <w:t>/L/day</w:t>
      </w:r>
      <w:r w:rsidR="00847294">
        <w:rPr>
          <w:lang w:val="en-US"/>
        </w:rPr>
        <w:t xml:space="preserve"> </w:t>
      </w:r>
      <w:r w:rsidR="00566073">
        <w:rPr>
          <w:noProof/>
          <w:lang w:val="en-US"/>
        </w:rPr>
        <w:t>(Bernot et al. 2010, Marcarelli et al. 2011)</w:t>
      </w:r>
      <w:r w:rsidR="00477925">
        <w:rPr>
          <w:lang w:val="en-US"/>
        </w:rPr>
        <w:t xml:space="preserve"> </w:t>
      </w:r>
      <w:r w:rsidRPr="00B5298E">
        <w:rPr>
          <w:lang w:val="en-US"/>
        </w:rPr>
        <w:t xml:space="preserve">based on an assumption that the average water depth of 1 m (to convert the areal units of many reports to the volumetric units used in LTIM). Hence these Goulburn River data fall towards the bottom end of this global range. Whether these low rates, mirrored across the southern Basin, reflect a system under stress or are indicative of ‘normal’ rates for Australian lowland rivers should become more apparent as </w:t>
      </w:r>
      <w:r>
        <w:rPr>
          <w:lang w:val="en-US"/>
        </w:rPr>
        <w:t>MER</w:t>
      </w:r>
      <w:r w:rsidRPr="00B5298E">
        <w:rPr>
          <w:lang w:val="en-US"/>
        </w:rPr>
        <w:t xml:space="preserve"> evolves</w:t>
      </w:r>
      <w:r>
        <w:rPr>
          <w:lang w:val="en-US"/>
        </w:rPr>
        <w:t>, and is discussed further below</w:t>
      </w:r>
      <w:r w:rsidRPr="00B5298E">
        <w:rPr>
          <w:lang w:val="en-US"/>
        </w:rPr>
        <w:t xml:space="preserve">. Publication of a significantly </w:t>
      </w:r>
      <w:r w:rsidRPr="00B5298E">
        <w:rPr>
          <w:lang w:val="en-US"/>
        </w:rPr>
        <w:lastRenderedPageBreak/>
        <w:t xml:space="preserve">more extensive data set (from the USGS) covering many more biomes in the USA is </w:t>
      </w:r>
      <w:r>
        <w:rPr>
          <w:lang w:val="en-US"/>
        </w:rPr>
        <w:t xml:space="preserve">(still!) </w:t>
      </w:r>
      <w:r w:rsidRPr="00B5298E">
        <w:rPr>
          <w:lang w:val="en-US"/>
        </w:rPr>
        <w:t>imminent and will show that the Basin metabolic rates are</w:t>
      </w:r>
      <w:r>
        <w:rPr>
          <w:lang w:val="en-US"/>
        </w:rPr>
        <w:t xml:space="preserve"> low but</w:t>
      </w:r>
      <w:r w:rsidRPr="00B5298E">
        <w:rPr>
          <w:lang w:val="en-US"/>
        </w:rPr>
        <w:t xml:space="preserve"> </w:t>
      </w:r>
      <w:r w:rsidRPr="00B5298E">
        <w:rPr>
          <w:i/>
          <w:iCs/>
          <w:lang w:val="en-US"/>
        </w:rPr>
        <w:t>not</w:t>
      </w:r>
      <w:r w:rsidRPr="00B5298E">
        <w:rPr>
          <w:lang w:val="en-US"/>
        </w:rPr>
        <w:t xml:space="preserve"> unusually low.</w:t>
      </w:r>
    </w:p>
    <w:p w14:paraId="7E80050A" w14:textId="242C7FDF" w:rsidR="00AE564D" w:rsidRPr="00BA2632" w:rsidRDefault="00590768" w:rsidP="00AE564D">
      <w:pPr>
        <w:rPr>
          <w:lang w:val="en-GB"/>
        </w:rPr>
      </w:pPr>
      <w:r w:rsidRPr="00BA2632">
        <w:t xml:space="preserve">Figure </w:t>
      </w:r>
      <w:r>
        <w:rPr>
          <w:noProof/>
        </w:rPr>
        <w:t>5</w:t>
      </w:r>
      <w:r>
        <w:rPr>
          <w:noProof/>
        </w:rPr>
        <w:noBreakHyphen/>
        <w:t>4</w:t>
      </w:r>
      <w:r w:rsidR="00AE564D" w:rsidRPr="00BA2632">
        <w:t xml:space="preserve"> displays the daily rates of GPP and ER at McCoy’s Bridge – the site with the most data days in 20</w:t>
      </w:r>
      <w:r w:rsidR="00AE564D">
        <w:t>20</w:t>
      </w:r>
      <w:r w:rsidR="00AE564D" w:rsidRPr="00BA2632">
        <w:t>-2</w:t>
      </w:r>
      <w:r w:rsidR="00AE564D">
        <w:t>1</w:t>
      </w:r>
      <w:r w:rsidR="00AE564D" w:rsidRPr="00BA2632">
        <w:t xml:space="preserve"> (</w:t>
      </w:r>
      <w:r w:rsidRPr="00BA2632">
        <w:t xml:space="preserve">Table </w:t>
      </w:r>
      <w:r>
        <w:rPr>
          <w:noProof/>
        </w:rPr>
        <w:t>5</w:t>
      </w:r>
      <w:r>
        <w:rPr>
          <w:noProof/>
        </w:rPr>
        <w:noBreakHyphen/>
        <w:t>4</w:t>
      </w:r>
      <w:r w:rsidR="00AE564D" w:rsidRPr="00BA2632">
        <w:t xml:space="preserve">). The daily flow data </w:t>
      </w:r>
      <w:r w:rsidR="00AE564D">
        <w:t>are</w:t>
      </w:r>
      <w:r w:rsidR="00AE564D" w:rsidRPr="00BA2632">
        <w:t xml:space="preserve"> also plotted in this figure.</w:t>
      </w:r>
    </w:p>
    <w:p w14:paraId="104E3B42" w14:textId="77777777" w:rsidR="00AE564D" w:rsidRDefault="00AE564D" w:rsidP="00AE564D">
      <w:pPr>
        <w:pStyle w:val="Para0"/>
        <w:keepNext/>
      </w:pPr>
      <w:r w:rsidRPr="00890247">
        <w:rPr>
          <w:noProof/>
          <w:lang w:val="en-GB"/>
        </w:rPr>
        <w:drawing>
          <wp:inline distT="0" distB="0" distL="0" distR="0" wp14:anchorId="14B7C3F7" wp14:editId="07E580A7">
            <wp:extent cx="5731510" cy="3211830"/>
            <wp:effectExtent l="0" t="0" r="254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731510" cy="3211830"/>
                    </a:xfrm>
                    <a:prstGeom prst="rect">
                      <a:avLst/>
                    </a:prstGeom>
                    <a:noFill/>
                    <a:ln>
                      <a:noFill/>
                    </a:ln>
                  </pic:spPr>
                </pic:pic>
              </a:graphicData>
            </a:graphic>
          </wp:inline>
        </w:drawing>
      </w:r>
    </w:p>
    <w:p w14:paraId="244418BD" w14:textId="77777777" w:rsidR="00AE564D" w:rsidRPr="00BA2632" w:rsidRDefault="00AE564D" w:rsidP="00AE564D">
      <w:pPr>
        <w:pStyle w:val="Para0"/>
        <w:keepNext/>
        <w:jc w:val="center"/>
      </w:pPr>
      <w:r>
        <w:rPr>
          <w:noProof/>
          <w:lang w:val="en-GB"/>
        </w:rPr>
        <w:drawing>
          <wp:inline distT="0" distB="0" distL="0" distR="0" wp14:anchorId="4D86EB25" wp14:editId="4BF7C2C8">
            <wp:extent cx="2552400" cy="2822400"/>
            <wp:effectExtent l="0" t="0" r="635" b="0"/>
            <wp:docPr id="563" name="Picture 56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icture 563" descr="Chart&#10;&#10;Description automatically generated"/>
                    <pic:cNvPicPr/>
                  </pic:nvPicPr>
                  <pic:blipFill>
                    <a:blip r:embed="rId40" cstate="email">
                      <a:extLst>
                        <a:ext uri="{28A0092B-C50C-407E-A947-70E740481C1C}">
                          <a14:useLocalDpi xmlns:a14="http://schemas.microsoft.com/office/drawing/2010/main"/>
                        </a:ext>
                      </a:extLst>
                    </a:blip>
                    <a:stretch>
                      <a:fillRect/>
                    </a:stretch>
                  </pic:blipFill>
                  <pic:spPr>
                    <a:xfrm>
                      <a:off x="0" y="0"/>
                      <a:ext cx="2552400" cy="2822400"/>
                    </a:xfrm>
                    <a:prstGeom prst="rect">
                      <a:avLst/>
                    </a:prstGeom>
                  </pic:spPr>
                </pic:pic>
              </a:graphicData>
            </a:graphic>
          </wp:inline>
        </w:drawing>
      </w:r>
    </w:p>
    <w:p w14:paraId="6375C241" w14:textId="6F925001" w:rsidR="00AE564D" w:rsidRPr="00BA2632" w:rsidRDefault="00AE564D" w:rsidP="00AE564D">
      <w:pPr>
        <w:pStyle w:val="Caption"/>
      </w:pPr>
      <w:bookmarkStart w:id="236" w:name="_Ref52389052"/>
      <w:bookmarkStart w:id="237" w:name="_Toc83907748"/>
      <w:bookmarkStart w:id="238" w:name="_Toc84475649"/>
      <w:r w:rsidRPr="00BA2632">
        <w:t xml:space="preserve">Figure </w:t>
      </w:r>
      <w:r w:rsidR="00590768">
        <w:rPr>
          <w:noProof/>
        </w:rPr>
        <w:t>5</w:t>
      </w:r>
      <w:r w:rsidR="00B85158">
        <w:noBreakHyphen/>
      </w:r>
      <w:r w:rsidR="00590768">
        <w:rPr>
          <w:noProof/>
        </w:rPr>
        <w:t>4</w:t>
      </w:r>
      <w:bookmarkEnd w:id="236"/>
      <w:r w:rsidRPr="00BA2632">
        <w:t xml:space="preserve"> </w:t>
      </w:r>
      <w:r>
        <w:t xml:space="preserve">a) </w:t>
      </w:r>
      <w:r w:rsidRPr="00BA2632">
        <w:t>Stream Metabolism-Flow Relationships for McCoy’s Bridge (Zone 2) from May 2019 to April 2020: Gross Primary Production and Ecosystem Respiration</w:t>
      </w:r>
      <w:r>
        <w:t>; b) Magnified view of September-November 2020.</w:t>
      </w:r>
      <w:bookmarkEnd w:id="237"/>
      <w:bookmarkEnd w:id="238"/>
    </w:p>
    <w:p w14:paraId="37AA2F46" w14:textId="6ACC8085" w:rsidR="00AE564D" w:rsidRDefault="00590768" w:rsidP="00AE564D">
      <w:r w:rsidRPr="00BA2632">
        <w:t xml:space="preserve">Figure </w:t>
      </w:r>
      <w:r>
        <w:rPr>
          <w:noProof/>
        </w:rPr>
        <w:t>5</w:t>
      </w:r>
      <w:r>
        <w:noBreakHyphen/>
      </w:r>
      <w:r>
        <w:rPr>
          <w:noProof/>
        </w:rPr>
        <w:t>4</w:t>
      </w:r>
      <w:r w:rsidR="00065439">
        <w:t xml:space="preserve">a </w:t>
      </w:r>
      <w:r w:rsidR="00AE564D" w:rsidRPr="00727235">
        <w:t>highlights</w:t>
      </w:r>
      <w:r w:rsidR="00AE564D">
        <w:t xml:space="preserve"> one of the difficulties of establishing relationships between high flow events and stream metabolism. As noted above and is very evident from this figure, the extended period of elevated and varying flows from June to September 2020 meant that almost no data days that met the acceptance criteria were found. </w:t>
      </w:r>
      <w:r w:rsidR="00AE564D" w:rsidRPr="001648A7">
        <w:t xml:space="preserve">The three largest flow events in May 2020 (peak flow 12403 ML/Day on 5/5), late August (peak flow 12127 ML/Day on 5/5) and mid- October (peak flow 9768 ML/Day on 14/10) </w:t>
      </w:r>
      <w:r w:rsidR="00AE564D" w:rsidRPr="00727235">
        <w:t>are a</w:t>
      </w:r>
      <w:r w:rsidR="00AE564D">
        <w:t>ll</w:t>
      </w:r>
      <w:r w:rsidR="00AE564D" w:rsidRPr="00727235">
        <w:t xml:space="preserve"> in the high fresh category (</w:t>
      </w:r>
      <w:r w:rsidRPr="00BA2632">
        <w:t xml:space="preserve">Table </w:t>
      </w:r>
      <w:r>
        <w:rPr>
          <w:noProof/>
        </w:rPr>
        <w:t>5</w:t>
      </w:r>
      <w:r>
        <w:noBreakHyphen/>
      </w:r>
      <w:r>
        <w:rPr>
          <w:noProof/>
        </w:rPr>
        <w:t>3</w:t>
      </w:r>
      <w:r w:rsidR="00AE564D" w:rsidRPr="00727235">
        <w:t>). The underlying model used by BASEv2 and other stream metabolism models, including the USGS “</w:t>
      </w:r>
      <w:proofErr w:type="spellStart"/>
      <w:r w:rsidR="00AE564D" w:rsidRPr="00727235">
        <w:t>streamMetabolizer</w:t>
      </w:r>
      <w:proofErr w:type="spellEnd"/>
      <w:r w:rsidR="00AE564D" w:rsidRPr="00727235">
        <w:t xml:space="preserve">” </w:t>
      </w:r>
      <w:r w:rsidR="00566073">
        <w:rPr>
          <w:noProof/>
        </w:rPr>
        <w:t>(Appling et al. 2018)</w:t>
      </w:r>
      <w:r w:rsidR="00477925">
        <w:t xml:space="preserve">, </w:t>
      </w:r>
      <w:r w:rsidR="00AE564D" w:rsidRPr="00727235">
        <w:t>assumes that flow in any o</w:t>
      </w:r>
      <w:r w:rsidR="00AE564D" w:rsidRPr="001648A7">
        <w:t>ne day remains “relatively constant”. Hence for days with rapidly changing, large flows, model fits are poor and do not meet the acceptance criteria, with r</w:t>
      </w:r>
      <w:r w:rsidR="00AE564D" w:rsidRPr="001648A7">
        <w:rPr>
          <w:vertAlign w:val="superscript"/>
        </w:rPr>
        <w:t>2</w:t>
      </w:r>
      <w:r w:rsidR="00AE564D" w:rsidRPr="001648A7">
        <w:t xml:space="preserve"> typically much less than the 0.9 criterion. </w:t>
      </w:r>
    </w:p>
    <w:p w14:paraId="16E46D58" w14:textId="37DAA498" w:rsidR="00AE564D" w:rsidRPr="00BA2632" w:rsidRDefault="00AE564D" w:rsidP="00AE564D">
      <w:r>
        <w:lastRenderedPageBreak/>
        <w:t xml:space="preserve">The magnified view of one section of </w:t>
      </w:r>
      <w:r w:rsidR="00590768" w:rsidRPr="00BA2632">
        <w:t xml:space="preserve">Figure </w:t>
      </w:r>
      <w:r w:rsidR="00590768">
        <w:rPr>
          <w:noProof/>
        </w:rPr>
        <w:t>5</w:t>
      </w:r>
      <w:r w:rsidR="00590768">
        <w:noBreakHyphen/>
      </w:r>
      <w:r w:rsidR="00590768">
        <w:rPr>
          <w:noProof/>
        </w:rPr>
        <w:t>4</w:t>
      </w:r>
      <w:r w:rsidR="00477925">
        <w:t xml:space="preserve"> </w:t>
      </w:r>
      <w:r>
        <w:t xml:space="preserve">clearly </w:t>
      </w:r>
      <w:r w:rsidRPr="005C0389">
        <w:t>show</w:t>
      </w:r>
      <w:r>
        <w:t>s</w:t>
      </w:r>
      <w:r w:rsidRPr="005C0389">
        <w:t xml:space="preserve"> the remarkable cons</w:t>
      </w:r>
      <w:r>
        <w:t>istency of increasing</w:t>
      </w:r>
      <w:r w:rsidRPr="005C0389">
        <w:t xml:space="preserve"> GPP values </w:t>
      </w:r>
      <w:r>
        <w:t>(also shown with green arrows)</w:t>
      </w:r>
      <w:r w:rsidRPr="005C0389">
        <w:t xml:space="preserve"> following the flow recessions, most notably in mid</w:t>
      </w:r>
      <w:r w:rsidR="00340B18" w:rsidRPr="005C0389">
        <w:t>-</w:t>
      </w:r>
      <w:r w:rsidRPr="005C0389">
        <w:t>September</w:t>
      </w:r>
      <w:r w:rsidR="00340B18">
        <w:t xml:space="preserve"> </w:t>
      </w:r>
      <w:r w:rsidRPr="005C0389">
        <w:t>-</w:t>
      </w:r>
      <w:r w:rsidR="00340B18">
        <w:t xml:space="preserve"> </w:t>
      </w:r>
      <w:r w:rsidRPr="005C0389">
        <w:t xml:space="preserve">early October 2020, early November </w:t>
      </w:r>
      <w:proofErr w:type="gramStart"/>
      <w:r w:rsidR="00EC5760" w:rsidRPr="005C0389">
        <w:t>20</w:t>
      </w:r>
      <w:r w:rsidR="00EC5760">
        <w:t>20</w:t>
      </w:r>
      <w:proofErr w:type="gramEnd"/>
      <w:r w:rsidR="00EC5760" w:rsidRPr="005C0389">
        <w:t xml:space="preserve"> </w:t>
      </w:r>
      <w:r w:rsidRPr="005C0389">
        <w:t>and late November-early December 2020. Conversely, the rising limb of the hydrograph tends to dampen GPP probably</w:t>
      </w:r>
      <w:r>
        <w:t xml:space="preserve"> due</w:t>
      </w:r>
      <w:r w:rsidRPr="005C0389">
        <w:t xml:space="preserve"> to simple dilution as noted later. This effect is evident with the declines seen with the rapidly rising daily flows in early October 2020 and mid-November 2020. These rising hydrographs also dramatically lowe</w:t>
      </w:r>
      <w:r>
        <w:t>r</w:t>
      </w:r>
      <w:r w:rsidRPr="005C0389">
        <w:t xml:space="preserve"> ER rates, again due to dilution.</w:t>
      </w:r>
      <w:r>
        <w:t xml:space="preserve"> The red arrows in the magnified view show that ER (just like GPP) increases significantly in the days following the recession of the flow peak.</w:t>
      </w:r>
      <w:r w:rsidRPr="005C0389">
        <w:t xml:space="preserve"> </w:t>
      </w:r>
      <w:r w:rsidRPr="00BA2632">
        <w:t>Quantitative relationships between discharge and metabolism are explored in the statistical modelling results (Section</w:t>
      </w:r>
      <w:r w:rsidR="00F2112A">
        <w:t xml:space="preserve"> </w:t>
      </w:r>
      <w:r w:rsidR="00590768">
        <w:t>5.5.5</w:t>
      </w:r>
      <w:r w:rsidRPr="00BA2632">
        <w:t xml:space="preserve">). </w:t>
      </w:r>
    </w:p>
    <w:p w14:paraId="5443856F" w14:textId="77777777" w:rsidR="00AE564D" w:rsidRPr="004D45D3" w:rsidRDefault="00AE564D" w:rsidP="00AE564D">
      <w:pPr>
        <w:rPr>
          <w:b/>
          <w:i/>
          <w:iCs/>
        </w:rPr>
      </w:pPr>
      <w:r w:rsidRPr="004D45D3">
        <w:rPr>
          <w:b/>
          <w:i/>
          <w:iCs/>
        </w:rPr>
        <w:t>Goulburn River stream metabolism across the years, 2014-2021</w:t>
      </w:r>
    </w:p>
    <w:p w14:paraId="3D62E391" w14:textId="1382D461" w:rsidR="00AE564D" w:rsidRPr="00477925" w:rsidRDefault="00AE564D" w:rsidP="0098204D">
      <w:r w:rsidRPr="00EA7976">
        <w:t xml:space="preserve">It is interesting to compare the metabolic data for 2020-21 with that found during the LTIM project and year 1 of MER. This allows consideration of this year’s stream metabolism in the context of the larger data set available to help address the question “Was 2020-21 a ‘typical’ year or unusual in any way?” Note that all data presented in </w:t>
      </w:r>
      <w:r w:rsidR="00590768" w:rsidRPr="00BA2632">
        <w:t xml:space="preserve">Table </w:t>
      </w:r>
      <w:r w:rsidR="00590768">
        <w:t>5</w:t>
      </w:r>
      <w:r w:rsidR="00590768">
        <w:noBreakHyphen/>
        <w:t>7</w:t>
      </w:r>
      <w:r w:rsidR="00477925">
        <w:t xml:space="preserve"> </w:t>
      </w:r>
      <w:r w:rsidRPr="00EA7976">
        <w:t>which examines the annual variation in metabolism at the McCoy’s Bridge site has been calculated using the BASEv2 model, and with the current acceptance criteria; hence comparison is not confounded by use of different models. McCoy’s Bridge is chosen as the exemplar site as it has the highest number of data days meeting acceptance criteria (see</w:t>
      </w:r>
      <w:r w:rsidR="00477925">
        <w:t xml:space="preserve"> </w:t>
      </w:r>
      <w:r w:rsidR="00590768" w:rsidRPr="00BA2632">
        <w:t xml:space="preserve">Table </w:t>
      </w:r>
      <w:r w:rsidR="00590768">
        <w:t>5</w:t>
      </w:r>
      <w:r w:rsidR="00590768">
        <w:noBreakHyphen/>
        <w:t>4</w:t>
      </w:r>
      <w:r w:rsidRPr="00EA7976">
        <w:t xml:space="preserve">) </w:t>
      </w:r>
      <w:proofErr w:type="gramStart"/>
      <w:r w:rsidRPr="00EA7976">
        <w:t>and also</w:t>
      </w:r>
      <w:proofErr w:type="gramEnd"/>
      <w:r w:rsidRPr="00EA7976">
        <w:t xml:space="preserve"> the most winter-time data. </w:t>
      </w:r>
      <w:r w:rsidR="008F486F">
        <w:t xml:space="preserve"> </w:t>
      </w:r>
      <w:r w:rsidRPr="00EA7976">
        <w:t>Seasonal effects on rates are explored later in this section. For that reason, the best years for comparison are</w:t>
      </w:r>
      <w:r w:rsidRPr="00477925">
        <w:t xml:space="preserve"> those with full year data sets (2017-18 onwards).</w:t>
      </w:r>
    </w:p>
    <w:p w14:paraId="2A735229" w14:textId="5B897978" w:rsidR="00AE564D" w:rsidRPr="00BA2632" w:rsidRDefault="00AE564D" w:rsidP="00AE564D">
      <w:pPr>
        <w:pStyle w:val="Caption"/>
        <w:keepNext/>
      </w:pPr>
      <w:bookmarkStart w:id="239" w:name="_Ref52390689"/>
      <w:bookmarkStart w:id="240" w:name="_Toc95391468"/>
      <w:r w:rsidRPr="00BA2632">
        <w:t xml:space="preserve">Table </w:t>
      </w:r>
      <w:r w:rsidR="00590768">
        <w:rPr>
          <w:noProof/>
        </w:rPr>
        <w:t>5</w:t>
      </w:r>
      <w:r w:rsidR="000B75AF">
        <w:noBreakHyphen/>
      </w:r>
      <w:r w:rsidR="00590768">
        <w:rPr>
          <w:noProof/>
        </w:rPr>
        <w:t>7</w:t>
      </w:r>
      <w:bookmarkEnd w:id="239"/>
      <w:r w:rsidRPr="00BA2632">
        <w:t xml:space="preserve"> Comparison across </w:t>
      </w:r>
      <w:r>
        <w:t>seven</w:t>
      </w:r>
      <w:r w:rsidRPr="00BA2632">
        <w:t xml:space="preserve"> years of median primary production (GPP) and ecosystem respiration (ER) rates, P/R ratios and reaeration coefficients at the McCoy’s Bridge site.</w:t>
      </w:r>
      <w:bookmarkEnd w:id="240"/>
    </w:p>
    <w:tbl>
      <w:tblPr>
        <w:tblW w:w="7440" w:type="dxa"/>
        <w:jc w:val="center"/>
        <w:tblLook w:val="04A0" w:firstRow="1" w:lastRow="0" w:firstColumn="1" w:lastColumn="0" w:noHBand="0" w:noVBand="1"/>
      </w:tblPr>
      <w:tblGrid>
        <w:gridCol w:w="1691"/>
        <w:gridCol w:w="760"/>
        <w:gridCol w:w="9"/>
        <w:gridCol w:w="900"/>
        <w:gridCol w:w="860"/>
        <w:gridCol w:w="880"/>
        <w:gridCol w:w="820"/>
        <w:gridCol w:w="760"/>
        <w:gridCol w:w="760"/>
      </w:tblGrid>
      <w:tr w:rsidR="00AE564D" w:rsidRPr="00477925" w14:paraId="41399F88" w14:textId="77777777" w:rsidTr="00E26D3C">
        <w:trPr>
          <w:trHeight w:val="375"/>
          <w:jc w:val="center"/>
        </w:trPr>
        <w:tc>
          <w:tcPr>
            <w:tcW w:w="1691" w:type="dxa"/>
            <w:tcBorders>
              <w:top w:val="single" w:sz="8" w:space="0" w:color="000099"/>
              <w:left w:val="single" w:sz="8" w:space="0" w:color="000099"/>
              <w:bottom w:val="nil"/>
              <w:right w:val="nil"/>
            </w:tcBorders>
            <w:shd w:val="clear" w:color="000000" w:fill="00338D"/>
            <w:vAlign w:val="center"/>
            <w:hideMark/>
          </w:tcPr>
          <w:p w14:paraId="2523BA0D" w14:textId="77777777" w:rsidR="00AE564D" w:rsidRPr="00477925" w:rsidRDefault="00AE564D" w:rsidP="00E26D3C">
            <w:pPr>
              <w:spacing w:after="0" w:line="240" w:lineRule="auto"/>
              <w:rPr>
                <w:rFonts w:eastAsia="Times New Roman" w:cstheme="minorHAnsi"/>
                <w:color w:val="FFFFFF"/>
                <w:sz w:val="18"/>
                <w:szCs w:val="18"/>
                <w:lang w:eastAsia="en-AU"/>
              </w:rPr>
            </w:pPr>
            <w:r w:rsidRPr="00477925">
              <w:rPr>
                <w:rFonts w:eastAsia="Times New Roman" w:cstheme="minorHAnsi"/>
                <w:color w:val="FFFFFF"/>
                <w:sz w:val="18"/>
                <w:szCs w:val="18"/>
                <w:lang w:eastAsia="en-AU"/>
              </w:rPr>
              <w:t>Site</w:t>
            </w:r>
          </w:p>
        </w:tc>
        <w:tc>
          <w:tcPr>
            <w:tcW w:w="760" w:type="dxa"/>
            <w:tcBorders>
              <w:top w:val="single" w:sz="8" w:space="0" w:color="000099"/>
              <w:left w:val="single" w:sz="4" w:space="0" w:color="auto"/>
              <w:bottom w:val="single" w:sz="8" w:space="0" w:color="00338D"/>
              <w:right w:val="single" w:sz="4" w:space="0" w:color="auto"/>
            </w:tcBorders>
            <w:shd w:val="clear" w:color="000000" w:fill="00338D"/>
          </w:tcPr>
          <w:p w14:paraId="66A53F51" w14:textId="77777777" w:rsidR="00AE564D" w:rsidRPr="00477925" w:rsidRDefault="00AE564D" w:rsidP="00E26D3C">
            <w:pPr>
              <w:spacing w:after="0" w:line="240" w:lineRule="auto"/>
              <w:jc w:val="center"/>
              <w:rPr>
                <w:rFonts w:eastAsia="Times New Roman" w:cstheme="minorHAnsi"/>
                <w:color w:val="FFFFFF"/>
                <w:sz w:val="18"/>
                <w:szCs w:val="18"/>
                <w:lang w:eastAsia="en-AU"/>
              </w:rPr>
            </w:pPr>
          </w:p>
        </w:tc>
        <w:tc>
          <w:tcPr>
            <w:tcW w:w="4989" w:type="dxa"/>
            <w:gridSpan w:val="7"/>
            <w:tcBorders>
              <w:top w:val="single" w:sz="8" w:space="0" w:color="000099"/>
              <w:left w:val="single" w:sz="4" w:space="0" w:color="auto"/>
              <w:bottom w:val="single" w:sz="8" w:space="0" w:color="00338D"/>
              <w:right w:val="single" w:sz="8" w:space="0" w:color="000099"/>
            </w:tcBorders>
            <w:shd w:val="clear" w:color="000000" w:fill="00338D"/>
            <w:vAlign w:val="center"/>
            <w:hideMark/>
          </w:tcPr>
          <w:p w14:paraId="6C7AE1E9" w14:textId="77777777" w:rsidR="00AE564D" w:rsidRPr="00477925" w:rsidRDefault="00AE564D" w:rsidP="00E26D3C">
            <w:pPr>
              <w:spacing w:after="0" w:line="240" w:lineRule="auto"/>
              <w:jc w:val="center"/>
              <w:rPr>
                <w:rFonts w:eastAsia="Times New Roman" w:cstheme="minorHAnsi"/>
                <w:color w:val="FFFFFF"/>
                <w:sz w:val="18"/>
                <w:szCs w:val="18"/>
                <w:lang w:eastAsia="en-AU"/>
              </w:rPr>
            </w:pPr>
            <w:r w:rsidRPr="00477925">
              <w:rPr>
                <w:rFonts w:eastAsia="Times New Roman" w:cstheme="minorHAnsi"/>
                <w:color w:val="FFFFFF"/>
                <w:sz w:val="18"/>
                <w:szCs w:val="18"/>
                <w:lang w:eastAsia="en-AU"/>
              </w:rPr>
              <w:t>McCoy’s Bridge</w:t>
            </w:r>
          </w:p>
        </w:tc>
      </w:tr>
      <w:tr w:rsidR="00AE564D" w:rsidRPr="00477925" w14:paraId="23FFC911" w14:textId="77777777" w:rsidTr="00E26D3C">
        <w:trPr>
          <w:trHeight w:val="375"/>
          <w:jc w:val="center"/>
        </w:trPr>
        <w:tc>
          <w:tcPr>
            <w:tcW w:w="1691" w:type="dxa"/>
            <w:tcBorders>
              <w:top w:val="single" w:sz="8" w:space="0" w:color="00338D"/>
              <w:left w:val="single" w:sz="8" w:space="0" w:color="000099"/>
              <w:bottom w:val="single" w:sz="8" w:space="0" w:color="00338D"/>
              <w:right w:val="nil"/>
            </w:tcBorders>
            <w:shd w:val="clear" w:color="auto" w:fill="auto"/>
            <w:vAlign w:val="center"/>
            <w:hideMark/>
          </w:tcPr>
          <w:p w14:paraId="5AA9EFDC" w14:textId="77777777" w:rsidR="00AE564D" w:rsidRPr="00477925" w:rsidRDefault="00AE564D" w:rsidP="00E26D3C">
            <w:pPr>
              <w:spacing w:after="0" w:line="240" w:lineRule="auto"/>
              <w:rPr>
                <w:rFonts w:eastAsia="Times New Roman" w:cstheme="minorHAnsi"/>
                <w:b/>
                <w:bCs/>
                <w:color w:val="000000"/>
                <w:sz w:val="18"/>
                <w:szCs w:val="18"/>
                <w:lang w:eastAsia="en-AU"/>
              </w:rPr>
            </w:pPr>
            <w:r w:rsidRPr="00477925">
              <w:rPr>
                <w:rFonts w:eastAsia="Times New Roman" w:cstheme="minorHAnsi"/>
                <w:b/>
                <w:bCs/>
                <w:color w:val="000000"/>
                <w:sz w:val="18"/>
                <w:szCs w:val="18"/>
                <w:lang w:eastAsia="en-AU"/>
              </w:rPr>
              <w:t>Year</w:t>
            </w:r>
          </w:p>
        </w:tc>
        <w:tc>
          <w:tcPr>
            <w:tcW w:w="769" w:type="dxa"/>
            <w:gridSpan w:val="2"/>
            <w:tcBorders>
              <w:top w:val="nil"/>
              <w:left w:val="single" w:sz="4" w:space="0" w:color="auto"/>
              <w:bottom w:val="single" w:sz="8" w:space="0" w:color="00338D"/>
              <w:right w:val="nil"/>
            </w:tcBorders>
            <w:shd w:val="clear" w:color="auto" w:fill="auto"/>
            <w:vAlign w:val="center"/>
            <w:hideMark/>
          </w:tcPr>
          <w:p w14:paraId="4463A164" w14:textId="77777777" w:rsidR="00AE564D" w:rsidRPr="00477925" w:rsidRDefault="00AE564D" w:rsidP="00E26D3C">
            <w:pPr>
              <w:spacing w:after="0" w:line="240" w:lineRule="auto"/>
              <w:jc w:val="center"/>
              <w:rPr>
                <w:rFonts w:eastAsia="Times New Roman" w:cstheme="minorHAnsi"/>
                <w:b/>
                <w:bCs/>
                <w:color w:val="000000"/>
                <w:sz w:val="18"/>
                <w:szCs w:val="18"/>
                <w:lang w:eastAsia="en-AU"/>
              </w:rPr>
            </w:pPr>
            <w:r w:rsidRPr="00477925">
              <w:rPr>
                <w:rFonts w:eastAsia="Times New Roman" w:cstheme="minorHAnsi"/>
                <w:b/>
                <w:bCs/>
                <w:color w:val="000000"/>
                <w:sz w:val="18"/>
                <w:szCs w:val="18"/>
                <w:lang w:eastAsia="en-AU"/>
              </w:rPr>
              <w:t>14-15</w:t>
            </w:r>
          </w:p>
        </w:tc>
        <w:tc>
          <w:tcPr>
            <w:tcW w:w="900" w:type="dxa"/>
            <w:tcBorders>
              <w:top w:val="nil"/>
              <w:left w:val="nil"/>
              <w:bottom w:val="single" w:sz="8" w:space="0" w:color="00338D"/>
              <w:right w:val="nil"/>
            </w:tcBorders>
            <w:shd w:val="clear" w:color="auto" w:fill="auto"/>
            <w:vAlign w:val="center"/>
            <w:hideMark/>
          </w:tcPr>
          <w:p w14:paraId="3D334455" w14:textId="77777777" w:rsidR="00AE564D" w:rsidRPr="00477925" w:rsidRDefault="00AE564D" w:rsidP="00E26D3C">
            <w:pPr>
              <w:spacing w:after="0" w:line="240" w:lineRule="auto"/>
              <w:jc w:val="center"/>
              <w:rPr>
                <w:rFonts w:eastAsia="Times New Roman" w:cstheme="minorHAnsi"/>
                <w:b/>
                <w:bCs/>
                <w:color w:val="000000"/>
                <w:sz w:val="18"/>
                <w:szCs w:val="18"/>
                <w:lang w:eastAsia="en-AU"/>
              </w:rPr>
            </w:pPr>
            <w:r w:rsidRPr="00477925">
              <w:rPr>
                <w:rFonts w:eastAsia="Times New Roman" w:cstheme="minorHAnsi"/>
                <w:b/>
                <w:bCs/>
                <w:color w:val="000000"/>
                <w:sz w:val="18"/>
                <w:szCs w:val="18"/>
                <w:lang w:eastAsia="en-AU"/>
              </w:rPr>
              <w:t>15-16</w:t>
            </w:r>
          </w:p>
        </w:tc>
        <w:tc>
          <w:tcPr>
            <w:tcW w:w="860" w:type="dxa"/>
            <w:tcBorders>
              <w:top w:val="nil"/>
              <w:left w:val="nil"/>
              <w:bottom w:val="single" w:sz="8" w:space="0" w:color="00338D"/>
              <w:right w:val="nil"/>
            </w:tcBorders>
            <w:shd w:val="clear" w:color="auto" w:fill="auto"/>
            <w:vAlign w:val="center"/>
            <w:hideMark/>
          </w:tcPr>
          <w:p w14:paraId="72D143E6" w14:textId="77777777" w:rsidR="00AE564D" w:rsidRPr="00477925" w:rsidRDefault="00AE564D" w:rsidP="00E26D3C">
            <w:pPr>
              <w:spacing w:after="0" w:line="240" w:lineRule="auto"/>
              <w:jc w:val="center"/>
              <w:rPr>
                <w:rFonts w:eastAsia="Times New Roman" w:cstheme="minorHAnsi"/>
                <w:b/>
                <w:bCs/>
                <w:color w:val="000000"/>
                <w:sz w:val="18"/>
                <w:szCs w:val="18"/>
                <w:lang w:eastAsia="en-AU"/>
              </w:rPr>
            </w:pPr>
            <w:r w:rsidRPr="00477925">
              <w:rPr>
                <w:rFonts w:eastAsia="Times New Roman" w:cstheme="minorHAnsi"/>
                <w:b/>
                <w:bCs/>
                <w:color w:val="000000"/>
                <w:sz w:val="18"/>
                <w:szCs w:val="18"/>
                <w:lang w:eastAsia="en-AU"/>
              </w:rPr>
              <w:t>16-17</w:t>
            </w:r>
          </w:p>
        </w:tc>
        <w:tc>
          <w:tcPr>
            <w:tcW w:w="880" w:type="dxa"/>
            <w:tcBorders>
              <w:top w:val="nil"/>
              <w:left w:val="nil"/>
              <w:bottom w:val="single" w:sz="8" w:space="0" w:color="00338D"/>
              <w:right w:val="nil"/>
            </w:tcBorders>
            <w:shd w:val="clear" w:color="auto" w:fill="auto"/>
            <w:vAlign w:val="center"/>
            <w:hideMark/>
          </w:tcPr>
          <w:p w14:paraId="6126B248" w14:textId="77777777" w:rsidR="00AE564D" w:rsidRPr="00477925" w:rsidRDefault="00AE564D" w:rsidP="00E26D3C">
            <w:pPr>
              <w:spacing w:after="0" w:line="240" w:lineRule="auto"/>
              <w:jc w:val="center"/>
              <w:rPr>
                <w:rFonts w:eastAsia="Times New Roman" w:cstheme="minorHAnsi"/>
                <w:b/>
                <w:bCs/>
                <w:color w:val="000000"/>
                <w:sz w:val="18"/>
                <w:szCs w:val="18"/>
                <w:lang w:eastAsia="en-AU"/>
              </w:rPr>
            </w:pPr>
            <w:r w:rsidRPr="00477925">
              <w:rPr>
                <w:rFonts w:eastAsia="Times New Roman" w:cstheme="minorHAnsi"/>
                <w:b/>
                <w:bCs/>
                <w:color w:val="000000"/>
                <w:sz w:val="18"/>
                <w:szCs w:val="18"/>
                <w:lang w:eastAsia="en-AU"/>
              </w:rPr>
              <w:t>17-18</w:t>
            </w:r>
          </w:p>
        </w:tc>
        <w:tc>
          <w:tcPr>
            <w:tcW w:w="820" w:type="dxa"/>
            <w:tcBorders>
              <w:top w:val="nil"/>
              <w:left w:val="nil"/>
              <w:bottom w:val="single" w:sz="8" w:space="0" w:color="00338D"/>
              <w:right w:val="nil"/>
            </w:tcBorders>
            <w:shd w:val="clear" w:color="auto" w:fill="auto"/>
            <w:vAlign w:val="center"/>
            <w:hideMark/>
          </w:tcPr>
          <w:p w14:paraId="24926B5F" w14:textId="77777777" w:rsidR="00AE564D" w:rsidRPr="00477925" w:rsidRDefault="00AE564D" w:rsidP="00E26D3C">
            <w:pPr>
              <w:spacing w:after="0" w:line="240" w:lineRule="auto"/>
              <w:jc w:val="center"/>
              <w:rPr>
                <w:rFonts w:eastAsia="Times New Roman" w:cstheme="minorHAnsi"/>
                <w:b/>
                <w:bCs/>
                <w:color w:val="000000"/>
                <w:sz w:val="18"/>
                <w:szCs w:val="18"/>
                <w:lang w:eastAsia="en-AU"/>
              </w:rPr>
            </w:pPr>
            <w:r w:rsidRPr="00477925">
              <w:rPr>
                <w:rFonts w:eastAsia="Times New Roman" w:cstheme="minorHAnsi"/>
                <w:b/>
                <w:bCs/>
                <w:color w:val="000000"/>
                <w:sz w:val="18"/>
                <w:szCs w:val="18"/>
                <w:lang w:eastAsia="en-AU"/>
              </w:rPr>
              <w:t>18-19</w:t>
            </w:r>
          </w:p>
        </w:tc>
        <w:tc>
          <w:tcPr>
            <w:tcW w:w="760" w:type="dxa"/>
            <w:tcBorders>
              <w:top w:val="nil"/>
              <w:left w:val="single" w:sz="8" w:space="0" w:color="000099"/>
              <w:bottom w:val="single" w:sz="8" w:space="0" w:color="00338D"/>
              <w:right w:val="single" w:sz="8" w:space="0" w:color="000099"/>
            </w:tcBorders>
            <w:vAlign w:val="center"/>
          </w:tcPr>
          <w:p w14:paraId="202DCE9D" w14:textId="77777777" w:rsidR="00AE564D" w:rsidRPr="00477925" w:rsidRDefault="00AE564D" w:rsidP="00E26D3C">
            <w:pPr>
              <w:spacing w:after="0" w:line="240" w:lineRule="auto"/>
              <w:jc w:val="center"/>
              <w:rPr>
                <w:rFonts w:eastAsia="Times New Roman" w:cstheme="minorHAnsi"/>
                <w:b/>
                <w:bCs/>
                <w:color w:val="000000"/>
                <w:sz w:val="18"/>
                <w:szCs w:val="18"/>
                <w:lang w:eastAsia="en-AU"/>
              </w:rPr>
            </w:pPr>
            <w:r w:rsidRPr="00477925">
              <w:rPr>
                <w:rFonts w:eastAsia="Times New Roman" w:cstheme="minorHAnsi"/>
                <w:b/>
                <w:bCs/>
                <w:color w:val="000000"/>
                <w:sz w:val="18"/>
                <w:szCs w:val="18"/>
                <w:lang w:eastAsia="en-AU"/>
              </w:rPr>
              <w:t>19-20*</w:t>
            </w:r>
          </w:p>
        </w:tc>
        <w:tc>
          <w:tcPr>
            <w:tcW w:w="760" w:type="dxa"/>
            <w:tcBorders>
              <w:top w:val="nil"/>
              <w:left w:val="single" w:sz="8" w:space="0" w:color="000099"/>
              <w:bottom w:val="single" w:sz="8" w:space="0" w:color="00338D"/>
              <w:right w:val="single" w:sz="8" w:space="0" w:color="000099"/>
            </w:tcBorders>
            <w:shd w:val="clear" w:color="auto" w:fill="auto"/>
            <w:vAlign w:val="center"/>
            <w:hideMark/>
          </w:tcPr>
          <w:p w14:paraId="185C323B" w14:textId="77777777" w:rsidR="00AE564D" w:rsidRPr="00477925" w:rsidRDefault="00AE564D" w:rsidP="00E26D3C">
            <w:pPr>
              <w:spacing w:after="0" w:line="240" w:lineRule="auto"/>
              <w:jc w:val="center"/>
              <w:rPr>
                <w:rFonts w:eastAsia="Times New Roman" w:cstheme="minorHAnsi"/>
                <w:b/>
                <w:bCs/>
                <w:color w:val="000000"/>
                <w:sz w:val="18"/>
                <w:szCs w:val="18"/>
                <w:lang w:eastAsia="en-AU"/>
              </w:rPr>
            </w:pPr>
            <w:r w:rsidRPr="00477925">
              <w:rPr>
                <w:rFonts w:eastAsia="Times New Roman" w:cstheme="minorHAnsi"/>
                <w:b/>
                <w:bCs/>
                <w:color w:val="000000"/>
                <w:sz w:val="18"/>
                <w:szCs w:val="18"/>
                <w:lang w:eastAsia="en-AU"/>
              </w:rPr>
              <w:t>20-21</w:t>
            </w:r>
          </w:p>
        </w:tc>
      </w:tr>
      <w:tr w:rsidR="00AE564D" w:rsidRPr="00477925" w14:paraId="191FBE34" w14:textId="77777777" w:rsidTr="00E26D3C">
        <w:trPr>
          <w:trHeight w:val="375"/>
          <w:jc w:val="center"/>
        </w:trPr>
        <w:tc>
          <w:tcPr>
            <w:tcW w:w="1691" w:type="dxa"/>
            <w:tcBorders>
              <w:top w:val="nil"/>
              <w:left w:val="single" w:sz="8" w:space="0" w:color="000099"/>
              <w:bottom w:val="nil"/>
              <w:right w:val="nil"/>
            </w:tcBorders>
            <w:shd w:val="clear" w:color="auto" w:fill="auto"/>
            <w:vAlign w:val="center"/>
            <w:hideMark/>
          </w:tcPr>
          <w:p w14:paraId="26D15D88" w14:textId="77777777" w:rsidR="00AE564D" w:rsidRPr="00477925" w:rsidRDefault="00AE564D" w:rsidP="00E26D3C">
            <w:pPr>
              <w:spacing w:after="0" w:line="240" w:lineRule="auto"/>
              <w:rPr>
                <w:rFonts w:eastAsia="Times New Roman" w:cstheme="minorHAnsi"/>
                <w:b/>
                <w:bCs/>
                <w:color w:val="000000"/>
                <w:sz w:val="18"/>
                <w:szCs w:val="18"/>
                <w:lang w:eastAsia="en-AU"/>
              </w:rPr>
            </w:pPr>
            <w:r w:rsidRPr="00477925">
              <w:rPr>
                <w:rFonts w:eastAsia="Times New Roman" w:cstheme="minorHAnsi"/>
                <w:b/>
                <w:bCs/>
                <w:color w:val="000000"/>
                <w:sz w:val="18"/>
                <w:szCs w:val="18"/>
                <w:lang w:eastAsia="en-AU"/>
              </w:rPr>
              <w:t>n</w:t>
            </w:r>
          </w:p>
        </w:tc>
        <w:tc>
          <w:tcPr>
            <w:tcW w:w="769" w:type="dxa"/>
            <w:gridSpan w:val="2"/>
            <w:tcBorders>
              <w:top w:val="nil"/>
              <w:left w:val="single" w:sz="4" w:space="0" w:color="auto"/>
              <w:bottom w:val="nil"/>
              <w:right w:val="nil"/>
            </w:tcBorders>
            <w:shd w:val="clear" w:color="auto" w:fill="auto"/>
            <w:vAlign w:val="center"/>
            <w:hideMark/>
          </w:tcPr>
          <w:p w14:paraId="48FDE167"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141</w:t>
            </w:r>
          </w:p>
        </w:tc>
        <w:tc>
          <w:tcPr>
            <w:tcW w:w="900" w:type="dxa"/>
            <w:tcBorders>
              <w:top w:val="nil"/>
              <w:left w:val="nil"/>
              <w:bottom w:val="nil"/>
              <w:right w:val="nil"/>
            </w:tcBorders>
            <w:shd w:val="clear" w:color="auto" w:fill="auto"/>
            <w:vAlign w:val="center"/>
            <w:hideMark/>
          </w:tcPr>
          <w:p w14:paraId="4EBD12B2"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134</w:t>
            </w:r>
          </w:p>
        </w:tc>
        <w:tc>
          <w:tcPr>
            <w:tcW w:w="860" w:type="dxa"/>
            <w:tcBorders>
              <w:top w:val="nil"/>
              <w:left w:val="nil"/>
              <w:bottom w:val="nil"/>
              <w:right w:val="nil"/>
            </w:tcBorders>
            <w:shd w:val="clear" w:color="auto" w:fill="auto"/>
            <w:vAlign w:val="center"/>
            <w:hideMark/>
          </w:tcPr>
          <w:p w14:paraId="46830E2E"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210</w:t>
            </w:r>
          </w:p>
        </w:tc>
        <w:tc>
          <w:tcPr>
            <w:tcW w:w="880" w:type="dxa"/>
            <w:tcBorders>
              <w:top w:val="nil"/>
              <w:left w:val="nil"/>
              <w:bottom w:val="nil"/>
              <w:right w:val="nil"/>
            </w:tcBorders>
            <w:shd w:val="clear" w:color="auto" w:fill="auto"/>
            <w:vAlign w:val="center"/>
            <w:hideMark/>
          </w:tcPr>
          <w:p w14:paraId="2CC3DA8C"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264</w:t>
            </w:r>
          </w:p>
        </w:tc>
        <w:tc>
          <w:tcPr>
            <w:tcW w:w="820" w:type="dxa"/>
            <w:tcBorders>
              <w:top w:val="nil"/>
              <w:left w:val="nil"/>
              <w:bottom w:val="nil"/>
              <w:right w:val="nil"/>
            </w:tcBorders>
            <w:shd w:val="clear" w:color="auto" w:fill="auto"/>
            <w:vAlign w:val="center"/>
            <w:hideMark/>
          </w:tcPr>
          <w:p w14:paraId="70A3EC8C"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272</w:t>
            </w:r>
          </w:p>
        </w:tc>
        <w:tc>
          <w:tcPr>
            <w:tcW w:w="760" w:type="dxa"/>
            <w:tcBorders>
              <w:top w:val="nil"/>
              <w:left w:val="single" w:sz="8" w:space="0" w:color="000099"/>
              <w:bottom w:val="nil"/>
              <w:right w:val="single" w:sz="8" w:space="0" w:color="000099"/>
            </w:tcBorders>
            <w:vAlign w:val="center"/>
          </w:tcPr>
          <w:p w14:paraId="5BB69FD5" w14:textId="77777777" w:rsidR="00AE564D" w:rsidRPr="00477925" w:rsidRDefault="00AE564D" w:rsidP="00E26D3C">
            <w:pPr>
              <w:spacing w:after="0" w:line="240" w:lineRule="auto"/>
              <w:jc w:val="center"/>
              <w:rPr>
                <w:rFonts w:cstheme="minorHAnsi"/>
                <w:color w:val="000000"/>
                <w:sz w:val="18"/>
                <w:szCs w:val="18"/>
              </w:rPr>
            </w:pPr>
            <w:r w:rsidRPr="00477925">
              <w:rPr>
                <w:rFonts w:cstheme="minorHAnsi"/>
                <w:color w:val="000000"/>
                <w:sz w:val="18"/>
                <w:szCs w:val="18"/>
              </w:rPr>
              <w:t>244</w:t>
            </w:r>
          </w:p>
        </w:tc>
        <w:tc>
          <w:tcPr>
            <w:tcW w:w="760" w:type="dxa"/>
            <w:tcBorders>
              <w:top w:val="nil"/>
              <w:left w:val="single" w:sz="8" w:space="0" w:color="000099"/>
              <w:bottom w:val="nil"/>
              <w:right w:val="single" w:sz="8" w:space="0" w:color="000099"/>
            </w:tcBorders>
            <w:shd w:val="clear" w:color="auto" w:fill="auto"/>
            <w:vAlign w:val="center"/>
            <w:hideMark/>
          </w:tcPr>
          <w:p w14:paraId="081E9AA7"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151</w:t>
            </w:r>
          </w:p>
        </w:tc>
      </w:tr>
      <w:tr w:rsidR="00AE564D" w:rsidRPr="00477925" w14:paraId="373759A0" w14:textId="77777777" w:rsidTr="00E26D3C">
        <w:trPr>
          <w:trHeight w:val="375"/>
          <w:jc w:val="center"/>
        </w:trPr>
        <w:tc>
          <w:tcPr>
            <w:tcW w:w="1691" w:type="dxa"/>
            <w:tcBorders>
              <w:top w:val="single" w:sz="8" w:space="0" w:color="00338D"/>
              <w:left w:val="single" w:sz="8" w:space="0" w:color="000099"/>
              <w:bottom w:val="single" w:sz="8" w:space="0" w:color="00338D"/>
              <w:right w:val="nil"/>
            </w:tcBorders>
            <w:shd w:val="clear" w:color="auto" w:fill="auto"/>
            <w:vAlign w:val="center"/>
            <w:hideMark/>
          </w:tcPr>
          <w:p w14:paraId="71D099F1" w14:textId="77777777" w:rsidR="00AE564D" w:rsidRPr="00477925" w:rsidRDefault="00AE564D" w:rsidP="00E26D3C">
            <w:pPr>
              <w:spacing w:after="0" w:line="240" w:lineRule="auto"/>
              <w:rPr>
                <w:rFonts w:eastAsia="Times New Roman" w:cstheme="minorHAnsi"/>
                <w:b/>
                <w:bCs/>
                <w:color w:val="000000"/>
                <w:sz w:val="18"/>
                <w:szCs w:val="18"/>
                <w:lang w:eastAsia="en-AU"/>
              </w:rPr>
            </w:pPr>
            <w:r w:rsidRPr="00477925">
              <w:rPr>
                <w:rFonts w:eastAsia="Times New Roman" w:cstheme="minorHAnsi"/>
                <w:b/>
                <w:bCs/>
                <w:color w:val="000000"/>
                <w:sz w:val="18"/>
                <w:szCs w:val="18"/>
                <w:lang w:eastAsia="en-AU"/>
              </w:rPr>
              <w:t>GPP (mg O</w:t>
            </w:r>
            <w:r w:rsidRPr="00477925">
              <w:rPr>
                <w:rFonts w:eastAsia="Times New Roman" w:cstheme="minorHAnsi"/>
                <w:b/>
                <w:bCs/>
                <w:color w:val="000000"/>
                <w:sz w:val="18"/>
                <w:szCs w:val="18"/>
                <w:vertAlign w:val="subscript"/>
                <w:lang w:eastAsia="en-AU"/>
              </w:rPr>
              <w:t>2</w:t>
            </w:r>
            <w:r w:rsidRPr="00477925">
              <w:rPr>
                <w:rFonts w:eastAsia="Times New Roman" w:cstheme="minorHAnsi"/>
                <w:b/>
                <w:bCs/>
                <w:color w:val="000000"/>
                <w:sz w:val="18"/>
                <w:szCs w:val="18"/>
                <w:lang w:eastAsia="en-AU"/>
              </w:rPr>
              <w:t>/L/Day)</w:t>
            </w:r>
          </w:p>
        </w:tc>
        <w:tc>
          <w:tcPr>
            <w:tcW w:w="769" w:type="dxa"/>
            <w:gridSpan w:val="2"/>
            <w:tcBorders>
              <w:top w:val="single" w:sz="8" w:space="0" w:color="00338D"/>
              <w:left w:val="single" w:sz="4" w:space="0" w:color="auto"/>
              <w:bottom w:val="single" w:sz="8" w:space="0" w:color="00338D"/>
              <w:right w:val="nil"/>
            </w:tcBorders>
            <w:shd w:val="clear" w:color="auto" w:fill="auto"/>
            <w:vAlign w:val="center"/>
            <w:hideMark/>
          </w:tcPr>
          <w:p w14:paraId="6AAEB692"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1.53</w:t>
            </w:r>
          </w:p>
        </w:tc>
        <w:tc>
          <w:tcPr>
            <w:tcW w:w="900" w:type="dxa"/>
            <w:tcBorders>
              <w:top w:val="single" w:sz="8" w:space="0" w:color="00338D"/>
              <w:left w:val="nil"/>
              <w:bottom w:val="single" w:sz="8" w:space="0" w:color="00338D"/>
              <w:right w:val="nil"/>
            </w:tcBorders>
            <w:shd w:val="clear" w:color="auto" w:fill="auto"/>
            <w:vAlign w:val="center"/>
            <w:hideMark/>
          </w:tcPr>
          <w:p w14:paraId="4B9F0157"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1.09</w:t>
            </w:r>
          </w:p>
        </w:tc>
        <w:tc>
          <w:tcPr>
            <w:tcW w:w="860" w:type="dxa"/>
            <w:tcBorders>
              <w:top w:val="single" w:sz="8" w:space="0" w:color="00338D"/>
              <w:left w:val="nil"/>
              <w:bottom w:val="single" w:sz="8" w:space="0" w:color="00338D"/>
              <w:right w:val="nil"/>
            </w:tcBorders>
            <w:shd w:val="clear" w:color="auto" w:fill="auto"/>
            <w:vAlign w:val="center"/>
            <w:hideMark/>
          </w:tcPr>
          <w:p w14:paraId="2E033B93"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1.12</w:t>
            </w:r>
          </w:p>
        </w:tc>
        <w:tc>
          <w:tcPr>
            <w:tcW w:w="880" w:type="dxa"/>
            <w:tcBorders>
              <w:top w:val="single" w:sz="8" w:space="0" w:color="00338D"/>
              <w:left w:val="nil"/>
              <w:bottom w:val="single" w:sz="8" w:space="0" w:color="00338D"/>
              <w:right w:val="nil"/>
            </w:tcBorders>
            <w:shd w:val="clear" w:color="auto" w:fill="auto"/>
            <w:vAlign w:val="center"/>
            <w:hideMark/>
          </w:tcPr>
          <w:p w14:paraId="4D114F7E"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0.97</w:t>
            </w:r>
          </w:p>
        </w:tc>
        <w:tc>
          <w:tcPr>
            <w:tcW w:w="820" w:type="dxa"/>
            <w:tcBorders>
              <w:top w:val="single" w:sz="8" w:space="0" w:color="00338D"/>
              <w:left w:val="nil"/>
              <w:bottom w:val="single" w:sz="8" w:space="0" w:color="00338D"/>
              <w:right w:val="nil"/>
            </w:tcBorders>
            <w:shd w:val="clear" w:color="auto" w:fill="auto"/>
            <w:vAlign w:val="center"/>
            <w:hideMark/>
          </w:tcPr>
          <w:p w14:paraId="2C236D7D"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1.18</w:t>
            </w:r>
          </w:p>
        </w:tc>
        <w:tc>
          <w:tcPr>
            <w:tcW w:w="760" w:type="dxa"/>
            <w:tcBorders>
              <w:top w:val="single" w:sz="8" w:space="0" w:color="00338D"/>
              <w:left w:val="single" w:sz="8" w:space="0" w:color="000099"/>
              <w:bottom w:val="single" w:sz="8" w:space="0" w:color="00338D"/>
              <w:right w:val="single" w:sz="8" w:space="0" w:color="000099"/>
            </w:tcBorders>
            <w:vAlign w:val="center"/>
          </w:tcPr>
          <w:p w14:paraId="662C30A5" w14:textId="77777777" w:rsidR="00AE564D" w:rsidRPr="00477925" w:rsidRDefault="00AE564D" w:rsidP="00E26D3C">
            <w:pPr>
              <w:spacing w:after="0" w:line="240" w:lineRule="auto"/>
              <w:jc w:val="center"/>
              <w:rPr>
                <w:rFonts w:cstheme="minorHAnsi"/>
                <w:color w:val="000000"/>
                <w:sz w:val="18"/>
                <w:szCs w:val="18"/>
              </w:rPr>
            </w:pPr>
            <w:r w:rsidRPr="00477925">
              <w:rPr>
                <w:rFonts w:cstheme="minorHAnsi"/>
                <w:color w:val="000000"/>
                <w:sz w:val="18"/>
                <w:szCs w:val="18"/>
              </w:rPr>
              <w:t>1.22</w:t>
            </w:r>
          </w:p>
        </w:tc>
        <w:tc>
          <w:tcPr>
            <w:tcW w:w="760" w:type="dxa"/>
            <w:tcBorders>
              <w:top w:val="single" w:sz="8" w:space="0" w:color="00338D"/>
              <w:left w:val="single" w:sz="8" w:space="0" w:color="000099"/>
              <w:bottom w:val="single" w:sz="8" w:space="0" w:color="00338D"/>
              <w:right w:val="single" w:sz="8" w:space="0" w:color="000099"/>
            </w:tcBorders>
            <w:shd w:val="clear" w:color="auto" w:fill="auto"/>
            <w:vAlign w:val="center"/>
            <w:hideMark/>
          </w:tcPr>
          <w:p w14:paraId="48531AC9"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1.46</w:t>
            </w:r>
          </w:p>
        </w:tc>
      </w:tr>
      <w:tr w:rsidR="00AE564D" w:rsidRPr="00477925" w14:paraId="0C9A6CC2" w14:textId="77777777" w:rsidTr="00E26D3C">
        <w:trPr>
          <w:trHeight w:val="375"/>
          <w:jc w:val="center"/>
        </w:trPr>
        <w:tc>
          <w:tcPr>
            <w:tcW w:w="1691" w:type="dxa"/>
            <w:tcBorders>
              <w:top w:val="nil"/>
              <w:left w:val="single" w:sz="8" w:space="0" w:color="000099"/>
              <w:bottom w:val="nil"/>
              <w:right w:val="nil"/>
            </w:tcBorders>
            <w:shd w:val="clear" w:color="auto" w:fill="auto"/>
            <w:vAlign w:val="center"/>
            <w:hideMark/>
          </w:tcPr>
          <w:p w14:paraId="61762956" w14:textId="77777777" w:rsidR="00AE564D" w:rsidRPr="00477925" w:rsidRDefault="00AE564D" w:rsidP="00E26D3C">
            <w:pPr>
              <w:spacing w:after="0" w:line="240" w:lineRule="auto"/>
              <w:rPr>
                <w:rFonts w:eastAsia="Times New Roman" w:cstheme="minorHAnsi"/>
                <w:b/>
                <w:bCs/>
                <w:color w:val="000000"/>
                <w:sz w:val="18"/>
                <w:szCs w:val="18"/>
                <w:lang w:eastAsia="en-AU"/>
              </w:rPr>
            </w:pPr>
            <w:r w:rsidRPr="00477925">
              <w:rPr>
                <w:rFonts w:eastAsia="Times New Roman" w:cstheme="minorHAnsi"/>
                <w:b/>
                <w:bCs/>
                <w:color w:val="000000"/>
                <w:sz w:val="18"/>
                <w:szCs w:val="18"/>
                <w:lang w:eastAsia="en-AU"/>
              </w:rPr>
              <w:t>ER (mg O</w:t>
            </w:r>
            <w:r w:rsidRPr="00477925">
              <w:rPr>
                <w:rFonts w:eastAsia="Times New Roman" w:cstheme="minorHAnsi"/>
                <w:b/>
                <w:bCs/>
                <w:color w:val="000000"/>
                <w:sz w:val="18"/>
                <w:szCs w:val="18"/>
                <w:vertAlign w:val="subscript"/>
                <w:lang w:eastAsia="en-AU"/>
              </w:rPr>
              <w:t>2</w:t>
            </w:r>
            <w:r w:rsidRPr="00477925">
              <w:rPr>
                <w:rFonts w:eastAsia="Times New Roman" w:cstheme="minorHAnsi"/>
                <w:b/>
                <w:bCs/>
                <w:color w:val="000000"/>
                <w:sz w:val="18"/>
                <w:szCs w:val="18"/>
                <w:lang w:eastAsia="en-AU"/>
              </w:rPr>
              <w:t>/L/Day)</w:t>
            </w:r>
          </w:p>
        </w:tc>
        <w:tc>
          <w:tcPr>
            <w:tcW w:w="769" w:type="dxa"/>
            <w:gridSpan w:val="2"/>
            <w:tcBorders>
              <w:top w:val="nil"/>
              <w:left w:val="single" w:sz="4" w:space="0" w:color="auto"/>
              <w:bottom w:val="nil"/>
              <w:right w:val="nil"/>
            </w:tcBorders>
            <w:shd w:val="clear" w:color="auto" w:fill="auto"/>
            <w:vAlign w:val="center"/>
            <w:hideMark/>
          </w:tcPr>
          <w:p w14:paraId="0D1CBCC2"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3.06</w:t>
            </w:r>
          </w:p>
        </w:tc>
        <w:tc>
          <w:tcPr>
            <w:tcW w:w="900" w:type="dxa"/>
            <w:tcBorders>
              <w:top w:val="nil"/>
              <w:left w:val="nil"/>
              <w:bottom w:val="nil"/>
              <w:right w:val="nil"/>
            </w:tcBorders>
            <w:shd w:val="clear" w:color="auto" w:fill="auto"/>
            <w:vAlign w:val="center"/>
            <w:hideMark/>
          </w:tcPr>
          <w:p w14:paraId="22822343"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1.75</w:t>
            </w:r>
          </w:p>
        </w:tc>
        <w:tc>
          <w:tcPr>
            <w:tcW w:w="860" w:type="dxa"/>
            <w:tcBorders>
              <w:top w:val="nil"/>
              <w:left w:val="nil"/>
              <w:bottom w:val="nil"/>
              <w:right w:val="nil"/>
            </w:tcBorders>
            <w:shd w:val="clear" w:color="auto" w:fill="auto"/>
            <w:vAlign w:val="center"/>
            <w:hideMark/>
          </w:tcPr>
          <w:p w14:paraId="758F916F"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2.19</w:t>
            </w:r>
          </w:p>
        </w:tc>
        <w:tc>
          <w:tcPr>
            <w:tcW w:w="880" w:type="dxa"/>
            <w:tcBorders>
              <w:top w:val="nil"/>
              <w:left w:val="nil"/>
              <w:bottom w:val="nil"/>
              <w:right w:val="nil"/>
            </w:tcBorders>
            <w:shd w:val="clear" w:color="auto" w:fill="auto"/>
            <w:vAlign w:val="center"/>
            <w:hideMark/>
          </w:tcPr>
          <w:p w14:paraId="1FCB5633"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2.74</w:t>
            </w:r>
          </w:p>
        </w:tc>
        <w:tc>
          <w:tcPr>
            <w:tcW w:w="820" w:type="dxa"/>
            <w:tcBorders>
              <w:top w:val="nil"/>
              <w:left w:val="nil"/>
              <w:bottom w:val="nil"/>
              <w:right w:val="nil"/>
            </w:tcBorders>
            <w:shd w:val="clear" w:color="auto" w:fill="auto"/>
            <w:vAlign w:val="center"/>
            <w:hideMark/>
          </w:tcPr>
          <w:p w14:paraId="56B69434"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2.24</w:t>
            </w:r>
          </w:p>
        </w:tc>
        <w:tc>
          <w:tcPr>
            <w:tcW w:w="760" w:type="dxa"/>
            <w:tcBorders>
              <w:top w:val="nil"/>
              <w:left w:val="single" w:sz="8" w:space="0" w:color="000099"/>
              <w:bottom w:val="nil"/>
              <w:right w:val="single" w:sz="8" w:space="0" w:color="000099"/>
            </w:tcBorders>
            <w:vAlign w:val="center"/>
          </w:tcPr>
          <w:p w14:paraId="35607924" w14:textId="77777777" w:rsidR="00AE564D" w:rsidRPr="00477925" w:rsidRDefault="00AE564D" w:rsidP="00E26D3C">
            <w:pPr>
              <w:spacing w:after="0" w:line="240" w:lineRule="auto"/>
              <w:jc w:val="center"/>
              <w:rPr>
                <w:rFonts w:cstheme="minorHAnsi"/>
                <w:color w:val="000000"/>
                <w:sz w:val="18"/>
                <w:szCs w:val="18"/>
              </w:rPr>
            </w:pPr>
            <w:r w:rsidRPr="00477925">
              <w:rPr>
                <w:rFonts w:cstheme="minorHAnsi"/>
                <w:color w:val="000000"/>
                <w:sz w:val="18"/>
                <w:szCs w:val="18"/>
              </w:rPr>
              <w:t>2.37</w:t>
            </w:r>
          </w:p>
        </w:tc>
        <w:tc>
          <w:tcPr>
            <w:tcW w:w="760" w:type="dxa"/>
            <w:tcBorders>
              <w:top w:val="nil"/>
              <w:left w:val="single" w:sz="8" w:space="0" w:color="000099"/>
              <w:bottom w:val="nil"/>
              <w:right w:val="single" w:sz="8" w:space="0" w:color="000099"/>
            </w:tcBorders>
            <w:shd w:val="clear" w:color="auto" w:fill="auto"/>
            <w:vAlign w:val="center"/>
            <w:hideMark/>
          </w:tcPr>
          <w:p w14:paraId="51142348"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3.02</w:t>
            </w:r>
          </w:p>
        </w:tc>
      </w:tr>
      <w:tr w:rsidR="00AE564D" w:rsidRPr="00477925" w14:paraId="23F4405D" w14:textId="77777777" w:rsidTr="00E26D3C">
        <w:trPr>
          <w:trHeight w:val="375"/>
          <w:jc w:val="center"/>
        </w:trPr>
        <w:tc>
          <w:tcPr>
            <w:tcW w:w="1691" w:type="dxa"/>
            <w:tcBorders>
              <w:top w:val="single" w:sz="8" w:space="0" w:color="00338D"/>
              <w:left w:val="single" w:sz="8" w:space="0" w:color="000099"/>
              <w:bottom w:val="single" w:sz="8" w:space="0" w:color="00338D"/>
              <w:right w:val="nil"/>
            </w:tcBorders>
            <w:shd w:val="clear" w:color="auto" w:fill="auto"/>
            <w:vAlign w:val="center"/>
            <w:hideMark/>
          </w:tcPr>
          <w:p w14:paraId="1B4AFBA9" w14:textId="77777777" w:rsidR="00AE564D" w:rsidRPr="00477925" w:rsidRDefault="00AE564D" w:rsidP="00E26D3C">
            <w:pPr>
              <w:spacing w:after="0" w:line="240" w:lineRule="auto"/>
              <w:rPr>
                <w:rFonts w:eastAsia="Times New Roman" w:cstheme="minorHAnsi"/>
                <w:b/>
                <w:bCs/>
                <w:color w:val="000000"/>
                <w:sz w:val="18"/>
                <w:szCs w:val="18"/>
                <w:lang w:eastAsia="en-AU"/>
              </w:rPr>
            </w:pPr>
            <w:r w:rsidRPr="00477925">
              <w:rPr>
                <w:rFonts w:eastAsia="Times New Roman" w:cstheme="minorHAnsi"/>
                <w:b/>
                <w:bCs/>
                <w:color w:val="000000"/>
                <w:sz w:val="18"/>
                <w:szCs w:val="18"/>
                <w:lang w:eastAsia="en-AU"/>
              </w:rPr>
              <w:t>K (/Day)</w:t>
            </w:r>
          </w:p>
        </w:tc>
        <w:tc>
          <w:tcPr>
            <w:tcW w:w="769" w:type="dxa"/>
            <w:gridSpan w:val="2"/>
            <w:tcBorders>
              <w:top w:val="single" w:sz="8" w:space="0" w:color="00338D"/>
              <w:left w:val="single" w:sz="4" w:space="0" w:color="auto"/>
              <w:bottom w:val="single" w:sz="8" w:space="0" w:color="00338D"/>
              <w:right w:val="nil"/>
            </w:tcBorders>
            <w:shd w:val="clear" w:color="auto" w:fill="auto"/>
            <w:vAlign w:val="center"/>
            <w:hideMark/>
          </w:tcPr>
          <w:p w14:paraId="26A54A2D"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3.44</w:t>
            </w:r>
          </w:p>
        </w:tc>
        <w:tc>
          <w:tcPr>
            <w:tcW w:w="900" w:type="dxa"/>
            <w:tcBorders>
              <w:top w:val="single" w:sz="8" w:space="0" w:color="00338D"/>
              <w:left w:val="nil"/>
              <w:bottom w:val="single" w:sz="8" w:space="0" w:color="00338D"/>
              <w:right w:val="nil"/>
            </w:tcBorders>
            <w:shd w:val="clear" w:color="auto" w:fill="auto"/>
            <w:vAlign w:val="center"/>
            <w:hideMark/>
          </w:tcPr>
          <w:p w14:paraId="2E1B7AA3"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1.90</w:t>
            </w:r>
          </w:p>
        </w:tc>
        <w:tc>
          <w:tcPr>
            <w:tcW w:w="860" w:type="dxa"/>
            <w:tcBorders>
              <w:top w:val="single" w:sz="8" w:space="0" w:color="00338D"/>
              <w:left w:val="nil"/>
              <w:bottom w:val="single" w:sz="8" w:space="0" w:color="00338D"/>
              <w:right w:val="nil"/>
            </w:tcBorders>
            <w:shd w:val="clear" w:color="auto" w:fill="auto"/>
            <w:vAlign w:val="center"/>
            <w:hideMark/>
          </w:tcPr>
          <w:p w14:paraId="6F3C9455"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1.77</w:t>
            </w:r>
          </w:p>
        </w:tc>
        <w:tc>
          <w:tcPr>
            <w:tcW w:w="880" w:type="dxa"/>
            <w:tcBorders>
              <w:top w:val="single" w:sz="8" w:space="0" w:color="00338D"/>
              <w:left w:val="nil"/>
              <w:bottom w:val="single" w:sz="8" w:space="0" w:color="00338D"/>
              <w:right w:val="nil"/>
            </w:tcBorders>
            <w:shd w:val="clear" w:color="auto" w:fill="auto"/>
            <w:vAlign w:val="center"/>
            <w:hideMark/>
          </w:tcPr>
          <w:p w14:paraId="021367E9"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1.32</w:t>
            </w:r>
          </w:p>
        </w:tc>
        <w:tc>
          <w:tcPr>
            <w:tcW w:w="820" w:type="dxa"/>
            <w:tcBorders>
              <w:top w:val="single" w:sz="8" w:space="0" w:color="00338D"/>
              <w:left w:val="nil"/>
              <w:bottom w:val="single" w:sz="8" w:space="0" w:color="00338D"/>
              <w:right w:val="nil"/>
            </w:tcBorders>
            <w:shd w:val="clear" w:color="auto" w:fill="auto"/>
            <w:vAlign w:val="center"/>
            <w:hideMark/>
          </w:tcPr>
          <w:p w14:paraId="3D85FFD4"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1.87</w:t>
            </w:r>
          </w:p>
        </w:tc>
        <w:tc>
          <w:tcPr>
            <w:tcW w:w="760" w:type="dxa"/>
            <w:tcBorders>
              <w:top w:val="single" w:sz="8" w:space="0" w:color="00338D"/>
              <w:left w:val="single" w:sz="8" w:space="0" w:color="000099"/>
              <w:bottom w:val="single" w:sz="8" w:space="0" w:color="00338D"/>
              <w:right w:val="single" w:sz="8" w:space="0" w:color="000099"/>
            </w:tcBorders>
            <w:vAlign w:val="center"/>
          </w:tcPr>
          <w:p w14:paraId="58B44BF9" w14:textId="77777777" w:rsidR="00AE564D" w:rsidRPr="00477925" w:rsidRDefault="00AE564D" w:rsidP="00E26D3C">
            <w:pPr>
              <w:spacing w:after="0" w:line="240" w:lineRule="auto"/>
              <w:jc w:val="center"/>
              <w:rPr>
                <w:rFonts w:cstheme="minorHAnsi"/>
                <w:color w:val="000000"/>
                <w:sz w:val="18"/>
                <w:szCs w:val="18"/>
              </w:rPr>
            </w:pPr>
            <w:r w:rsidRPr="00477925">
              <w:rPr>
                <w:rFonts w:cstheme="minorHAnsi"/>
                <w:color w:val="000000"/>
                <w:sz w:val="18"/>
                <w:szCs w:val="18"/>
              </w:rPr>
              <w:t>2.03</w:t>
            </w:r>
          </w:p>
        </w:tc>
        <w:tc>
          <w:tcPr>
            <w:tcW w:w="760" w:type="dxa"/>
            <w:tcBorders>
              <w:top w:val="single" w:sz="8" w:space="0" w:color="00338D"/>
              <w:left w:val="single" w:sz="8" w:space="0" w:color="000099"/>
              <w:bottom w:val="single" w:sz="8" w:space="0" w:color="00338D"/>
              <w:right w:val="single" w:sz="8" w:space="0" w:color="000099"/>
            </w:tcBorders>
            <w:shd w:val="clear" w:color="auto" w:fill="auto"/>
            <w:vAlign w:val="center"/>
            <w:hideMark/>
          </w:tcPr>
          <w:p w14:paraId="17D365C7"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2.52</w:t>
            </w:r>
          </w:p>
        </w:tc>
      </w:tr>
      <w:tr w:rsidR="00AE564D" w:rsidRPr="00477925" w14:paraId="711407DF" w14:textId="77777777" w:rsidTr="00E26D3C">
        <w:trPr>
          <w:trHeight w:val="375"/>
          <w:jc w:val="center"/>
        </w:trPr>
        <w:tc>
          <w:tcPr>
            <w:tcW w:w="1691" w:type="dxa"/>
            <w:tcBorders>
              <w:top w:val="nil"/>
              <w:left w:val="single" w:sz="8" w:space="0" w:color="000099"/>
              <w:bottom w:val="single" w:sz="8" w:space="0" w:color="000099"/>
              <w:right w:val="nil"/>
            </w:tcBorders>
            <w:shd w:val="clear" w:color="auto" w:fill="auto"/>
            <w:vAlign w:val="center"/>
            <w:hideMark/>
          </w:tcPr>
          <w:p w14:paraId="6C55E4AF" w14:textId="77777777" w:rsidR="00AE564D" w:rsidRPr="00477925" w:rsidRDefault="00AE564D" w:rsidP="00E26D3C">
            <w:pPr>
              <w:spacing w:after="0" w:line="240" w:lineRule="auto"/>
              <w:rPr>
                <w:rFonts w:eastAsia="Times New Roman" w:cstheme="minorHAnsi"/>
                <w:b/>
                <w:bCs/>
                <w:color w:val="000000"/>
                <w:sz w:val="18"/>
                <w:szCs w:val="18"/>
                <w:lang w:eastAsia="en-AU"/>
              </w:rPr>
            </w:pPr>
            <w:r w:rsidRPr="00477925">
              <w:rPr>
                <w:rFonts w:eastAsia="Times New Roman" w:cstheme="minorHAnsi"/>
                <w:b/>
                <w:bCs/>
                <w:color w:val="000000"/>
                <w:sz w:val="18"/>
                <w:szCs w:val="18"/>
                <w:lang w:eastAsia="en-AU"/>
              </w:rPr>
              <w:t>P/R</w:t>
            </w:r>
          </w:p>
        </w:tc>
        <w:tc>
          <w:tcPr>
            <w:tcW w:w="769" w:type="dxa"/>
            <w:gridSpan w:val="2"/>
            <w:tcBorders>
              <w:top w:val="nil"/>
              <w:left w:val="single" w:sz="4" w:space="0" w:color="auto"/>
              <w:bottom w:val="single" w:sz="8" w:space="0" w:color="000099"/>
              <w:right w:val="nil"/>
            </w:tcBorders>
            <w:shd w:val="clear" w:color="auto" w:fill="auto"/>
            <w:vAlign w:val="center"/>
            <w:hideMark/>
          </w:tcPr>
          <w:p w14:paraId="3632F08E"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0.55</w:t>
            </w:r>
          </w:p>
        </w:tc>
        <w:tc>
          <w:tcPr>
            <w:tcW w:w="900" w:type="dxa"/>
            <w:tcBorders>
              <w:top w:val="nil"/>
              <w:left w:val="nil"/>
              <w:bottom w:val="single" w:sz="8" w:space="0" w:color="000099"/>
              <w:right w:val="nil"/>
            </w:tcBorders>
            <w:shd w:val="clear" w:color="auto" w:fill="auto"/>
            <w:vAlign w:val="center"/>
            <w:hideMark/>
          </w:tcPr>
          <w:p w14:paraId="5B434F7A"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0.65</w:t>
            </w:r>
          </w:p>
        </w:tc>
        <w:tc>
          <w:tcPr>
            <w:tcW w:w="860" w:type="dxa"/>
            <w:tcBorders>
              <w:top w:val="nil"/>
              <w:left w:val="nil"/>
              <w:bottom w:val="single" w:sz="8" w:space="0" w:color="000099"/>
              <w:right w:val="nil"/>
            </w:tcBorders>
            <w:shd w:val="clear" w:color="auto" w:fill="auto"/>
            <w:vAlign w:val="center"/>
            <w:hideMark/>
          </w:tcPr>
          <w:p w14:paraId="404CD7A2"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0.45</w:t>
            </w:r>
          </w:p>
        </w:tc>
        <w:tc>
          <w:tcPr>
            <w:tcW w:w="880" w:type="dxa"/>
            <w:tcBorders>
              <w:top w:val="nil"/>
              <w:left w:val="nil"/>
              <w:bottom w:val="single" w:sz="8" w:space="0" w:color="000099"/>
              <w:right w:val="nil"/>
            </w:tcBorders>
            <w:shd w:val="clear" w:color="auto" w:fill="auto"/>
            <w:vAlign w:val="center"/>
            <w:hideMark/>
          </w:tcPr>
          <w:p w14:paraId="5EF9334C"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0.37</w:t>
            </w:r>
          </w:p>
        </w:tc>
        <w:tc>
          <w:tcPr>
            <w:tcW w:w="820" w:type="dxa"/>
            <w:tcBorders>
              <w:top w:val="nil"/>
              <w:left w:val="nil"/>
              <w:bottom w:val="single" w:sz="8" w:space="0" w:color="000099"/>
              <w:right w:val="nil"/>
            </w:tcBorders>
            <w:shd w:val="clear" w:color="auto" w:fill="auto"/>
            <w:vAlign w:val="center"/>
            <w:hideMark/>
          </w:tcPr>
          <w:p w14:paraId="1931D576"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0.54</w:t>
            </w:r>
          </w:p>
        </w:tc>
        <w:tc>
          <w:tcPr>
            <w:tcW w:w="760" w:type="dxa"/>
            <w:tcBorders>
              <w:top w:val="nil"/>
              <w:left w:val="single" w:sz="8" w:space="0" w:color="000099"/>
              <w:bottom w:val="single" w:sz="8" w:space="0" w:color="000099"/>
              <w:right w:val="single" w:sz="8" w:space="0" w:color="000099"/>
            </w:tcBorders>
            <w:vAlign w:val="center"/>
          </w:tcPr>
          <w:p w14:paraId="27D6C418" w14:textId="77777777" w:rsidR="00AE564D" w:rsidRPr="00477925" w:rsidRDefault="00AE564D" w:rsidP="00E26D3C">
            <w:pPr>
              <w:spacing w:after="0" w:line="240" w:lineRule="auto"/>
              <w:jc w:val="center"/>
              <w:rPr>
                <w:rFonts w:cstheme="minorHAnsi"/>
                <w:color w:val="000000"/>
                <w:sz w:val="18"/>
                <w:szCs w:val="18"/>
              </w:rPr>
            </w:pPr>
            <w:r w:rsidRPr="00477925">
              <w:rPr>
                <w:rFonts w:cstheme="minorHAnsi"/>
                <w:color w:val="000000"/>
                <w:sz w:val="18"/>
                <w:szCs w:val="18"/>
              </w:rPr>
              <w:t>0.49</w:t>
            </w:r>
          </w:p>
        </w:tc>
        <w:tc>
          <w:tcPr>
            <w:tcW w:w="760" w:type="dxa"/>
            <w:tcBorders>
              <w:top w:val="nil"/>
              <w:left w:val="single" w:sz="8" w:space="0" w:color="000099"/>
              <w:bottom w:val="single" w:sz="8" w:space="0" w:color="000099"/>
              <w:right w:val="single" w:sz="8" w:space="0" w:color="000099"/>
            </w:tcBorders>
            <w:shd w:val="clear" w:color="auto" w:fill="auto"/>
            <w:vAlign w:val="center"/>
            <w:hideMark/>
          </w:tcPr>
          <w:p w14:paraId="752D9758" w14:textId="77777777" w:rsidR="00AE564D" w:rsidRPr="00477925" w:rsidRDefault="00AE564D" w:rsidP="00E26D3C">
            <w:pPr>
              <w:spacing w:after="0" w:line="240" w:lineRule="auto"/>
              <w:jc w:val="center"/>
              <w:rPr>
                <w:rFonts w:eastAsia="Times New Roman" w:cstheme="minorHAnsi"/>
                <w:color w:val="000000"/>
                <w:sz w:val="18"/>
                <w:szCs w:val="18"/>
                <w:lang w:eastAsia="en-AU"/>
              </w:rPr>
            </w:pPr>
            <w:r w:rsidRPr="00477925">
              <w:rPr>
                <w:rFonts w:cstheme="minorHAnsi"/>
                <w:color w:val="000000"/>
                <w:sz w:val="18"/>
                <w:szCs w:val="18"/>
              </w:rPr>
              <w:t>0.46</w:t>
            </w:r>
          </w:p>
        </w:tc>
      </w:tr>
    </w:tbl>
    <w:p w14:paraId="287EEE6C" w14:textId="77777777" w:rsidR="00AE564D" w:rsidRPr="00732A96" w:rsidRDefault="00AE564D" w:rsidP="00AE564D">
      <w:pPr>
        <w:spacing w:after="240"/>
        <w:jc w:val="center"/>
        <w:rPr>
          <w:bCs/>
          <w:sz w:val="16"/>
          <w:szCs w:val="16"/>
        </w:rPr>
      </w:pPr>
      <w:r w:rsidRPr="00732A96">
        <w:rPr>
          <w:bCs/>
          <w:sz w:val="16"/>
          <w:szCs w:val="16"/>
        </w:rPr>
        <w:t xml:space="preserve">*Data set includes May 2019 &amp; June 2019 which are also </w:t>
      </w:r>
      <w:r>
        <w:rPr>
          <w:bCs/>
          <w:sz w:val="16"/>
          <w:szCs w:val="16"/>
        </w:rPr>
        <w:t>included in</w:t>
      </w:r>
      <w:r w:rsidRPr="00732A96">
        <w:rPr>
          <w:bCs/>
          <w:sz w:val="16"/>
          <w:szCs w:val="16"/>
        </w:rPr>
        <w:t xml:space="preserve"> the 2018-19 year</w:t>
      </w:r>
      <w:r>
        <w:rPr>
          <w:bCs/>
          <w:sz w:val="16"/>
          <w:szCs w:val="16"/>
        </w:rPr>
        <w:t xml:space="preserve"> just for this comparison</w:t>
      </w:r>
    </w:p>
    <w:p w14:paraId="288D7B2E" w14:textId="04BA423C" w:rsidR="00AE564D" w:rsidRPr="00BA2632" w:rsidRDefault="00AE564D" w:rsidP="00AE564D">
      <w:r w:rsidRPr="005C0389">
        <w:rPr>
          <w:bCs/>
        </w:rPr>
        <w:t xml:space="preserve">Metabolic rates in the Goulburn River at McCoy’s Bridge are remarkably consistent. </w:t>
      </w:r>
      <w:r w:rsidRPr="0075030F">
        <w:rPr>
          <w:bCs/>
        </w:rPr>
        <w:t>Median GPP has only varied from 0.97 (2017-18) to 1.46 and 1.57 mg O</w:t>
      </w:r>
      <w:r w:rsidRPr="0075030F">
        <w:rPr>
          <w:bCs/>
          <w:vertAlign w:val="subscript"/>
        </w:rPr>
        <w:t>2</w:t>
      </w:r>
      <w:r w:rsidRPr="0075030F">
        <w:rPr>
          <w:bCs/>
        </w:rPr>
        <w:t>/L/Day (in 2020-21 and 2014-15 respectively), while ER varied more but still by less than a factor of two across the five years (1.75-3.06 mg O</w:t>
      </w:r>
      <w:r w:rsidRPr="0075030F">
        <w:rPr>
          <w:bCs/>
          <w:vertAlign w:val="subscript"/>
        </w:rPr>
        <w:t>2</w:t>
      </w:r>
      <w:r w:rsidRPr="0075030F">
        <w:rPr>
          <w:bCs/>
        </w:rPr>
        <w:t xml:space="preserve">/L/Day). Unsurprisingly, the reaeration coefficient was also relatively constant (1.32 – 3.44 /Day). Such behaviour in K is expected if similar flow regimes occur at the same site with no events that change the river topography. There was also a small amount of variability in the median P to R ratio, ranging from 0.37 to 0.65; all values that indicate a heterotrophic dominance in metabolism. The higher values in 2014-15 are largely attributed to the shorter data collection period which did not included winter 2014 or late autumn 2015 </w:t>
      </w:r>
      <w:proofErr w:type="gramStart"/>
      <w:r w:rsidRPr="0075030F">
        <w:rPr>
          <w:bCs/>
        </w:rPr>
        <w:t>and also</w:t>
      </w:r>
      <w:proofErr w:type="gramEnd"/>
      <w:r w:rsidRPr="0075030F">
        <w:rPr>
          <w:bCs/>
        </w:rPr>
        <w:t xml:space="preserve"> missed the coolest of the spring months (September); hence data was heavily biased towards the warmer months, </w:t>
      </w:r>
      <w:r>
        <w:rPr>
          <w:bCs/>
        </w:rPr>
        <w:t>thus producing</w:t>
      </w:r>
      <w:r w:rsidRPr="0075030F">
        <w:rPr>
          <w:bCs/>
        </w:rPr>
        <w:t xml:space="preserve"> higher rates.</w:t>
      </w:r>
    </w:p>
    <w:p w14:paraId="56BB544C" w14:textId="1451A46F" w:rsidR="00AE564D" w:rsidRPr="00BA2632" w:rsidRDefault="00590768" w:rsidP="00AE564D">
      <w:r w:rsidRPr="00BA2632">
        <w:t xml:space="preserve">Figure </w:t>
      </w:r>
      <w:r>
        <w:rPr>
          <w:noProof/>
        </w:rPr>
        <w:t>5</w:t>
      </w:r>
      <w:r>
        <w:noBreakHyphen/>
      </w:r>
      <w:r>
        <w:rPr>
          <w:noProof/>
        </w:rPr>
        <w:t>5</w:t>
      </w:r>
      <w:r w:rsidR="00AA7ABA">
        <w:rPr>
          <w:bCs/>
        </w:rPr>
        <w:t xml:space="preserve"> and </w:t>
      </w:r>
      <w:r w:rsidRPr="00BA2632">
        <w:t xml:space="preserve">Figure </w:t>
      </w:r>
      <w:r>
        <w:rPr>
          <w:noProof/>
        </w:rPr>
        <w:t>5</w:t>
      </w:r>
      <w:r>
        <w:noBreakHyphen/>
      </w:r>
      <w:r>
        <w:rPr>
          <w:noProof/>
        </w:rPr>
        <w:t>6</w:t>
      </w:r>
      <w:r w:rsidR="00AA7ABA">
        <w:rPr>
          <w:bCs/>
        </w:rPr>
        <w:t xml:space="preserve"> </w:t>
      </w:r>
      <w:r w:rsidR="00AE564D">
        <w:rPr>
          <w:bCs/>
        </w:rPr>
        <w:t>use this most comprehensive site data (McCoy’s Bridge) to illustrate the variability in seasonal metabolism rates over the final two years of LTIM and both years of MER; the LTIM years were chosen as there was sufficient winter data for inclusion and comparison</w:t>
      </w:r>
      <w:r w:rsidR="00AE564D" w:rsidRPr="00BA2632">
        <w:t>.</w:t>
      </w:r>
    </w:p>
    <w:p w14:paraId="6B9DD77A" w14:textId="77777777" w:rsidR="00AE564D" w:rsidRPr="00BA2632" w:rsidRDefault="00AE564D" w:rsidP="00AE564D">
      <w:pPr>
        <w:pStyle w:val="Para0"/>
        <w:rPr>
          <w:szCs w:val="24"/>
          <w:lang w:val="en-US"/>
        </w:rPr>
      </w:pPr>
    </w:p>
    <w:p w14:paraId="2160446E" w14:textId="77777777" w:rsidR="00AE564D" w:rsidRPr="00BA2632" w:rsidRDefault="00AE564D" w:rsidP="00AE564D">
      <w:pPr>
        <w:keepNext/>
        <w:spacing w:after="240"/>
      </w:pPr>
      <w:r w:rsidRPr="00DC449D">
        <w:rPr>
          <w:noProof/>
          <w:lang w:val="en-GB"/>
        </w:rPr>
        <w:lastRenderedPageBreak/>
        <w:drawing>
          <wp:inline distT="0" distB="0" distL="0" distR="0" wp14:anchorId="7AF85269" wp14:editId="120FEC36">
            <wp:extent cx="5731510" cy="4514850"/>
            <wp:effectExtent l="0" t="0" r="254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731510" cy="4514850"/>
                    </a:xfrm>
                    <a:prstGeom prst="rect">
                      <a:avLst/>
                    </a:prstGeom>
                    <a:noFill/>
                    <a:ln>
                      <a:noFill/>
                    </a:ln>
                  </pic:spPr>
                </pic:pic>
              </a:graphicData>
            </a:graphic>
          </wp:inline>
        </w:drawing>
      </w:r>
    </w:p>
    <w:p w14:paraId="052DF307" w14:textId="2CB86E70" w:rsidR="00AE564D" w:rsidRPr="00BA2632" w:rsidRDefault="00AE564D" w:rsidP="00AE564D">
      <w:pPr>
        <w:pStyle w:val="Caption"/>
        <w:rPr>
          <w:color w:val="000000" w:themeColor="text1"/>
          <w:lang w:val="en-GB"/>
        </w:rPr>
      </w:pPr>
      <w:bookmarkStart w:id="241" w:name="_Ref52390840"/>
      <w:bookmarkStart w:id="242" w:name="_Toc83907749"/>
      <w:bookmarkStart w:id="243" w:name="_Toc84475650"/>
      <w:r w:rsidRPr="00BA2632">
        <w:t xml:space="preserve">Figure </w:t>
      </w:r>
      <w:r w:rsidR="00590768">
        <w:rPr>
          <w:noProof/>
        </w:rPr>
        <w:t>5</w:t>
      </w:r>
      <w:r w:rsidR="00B85158">
        <w:noBreakHyphen/>
      </w:r>
      <w:r w:rsidR="00590768">
        <w:rPr>
          <w:noProof/>
        </w:rPr>
        <w:t>5</w:t>
      </w:r>
      <w:bookmarkEnd w:id="241"/>
      <w:r w:rsidRPr="00BA2632">
        <w:t xml:space="preserve"> Annual variation in GPP stratified by </w:t>
      </w:r>
      <w:r>
        <w:t>season</w:t>
      </w:r>
      <w:r w:rsidRPr="00BA2632">
        <w:t xml:space="preserve"> at the McCoy’s Bridge site, 2014-2</w:t>
      </w:r>
      <w:r>
        <w:t>1</w:t>
      </w:r>
      <w:r w:rsidRPr="00BA2632">
        <w:t>.</w:t>
      </w:r>
      <w:bookmarkEnd w:id="242"/>
      <w:bookmarkEnd w:id="243"/>
    </w:p>
    <w:p w14:paraId="4ED0F675" w14:textId="47803876" w:rsidR="00AE564D" w:rsidRPr="00BA2632" w:rsidRDefault="00AE564D" w:rsidP="00AE564D">
      <w:pPr>
        <w:rPr>
          <w:rFonts w:cstheme="minorHAnsi"/>
          <w:szCs w:val="24"/>
          <w:lang w:val="en-US"/>
        </w:rPr>
      </w:pPr>
      <w:r>
        <w:rPr>
          <w:color w:val="000000" w:themeColor="text1"/>
        </w:rPr>
        <w:t>Although there initially appears to be a lot of inter-annual variability within each season, this figure actually shows that median daily GPP remains remarkably constrained within the range of 0.5 - 2.0 mg O</w:t>
      </w:r>
      <w:r>
        <w:rPr>
          <w:color w:val="000000" w:themeColor="text1"/>
          <w:vertAlign w:val="subscript"/>
        </w:rPr>
        <w:t>2</w:t>
      </w:r>
      <w:r>
        <w:rPr>
          <w:color w:val="000000" w:themeColor="text1"/>
        </w:rPr>
        <w:t>/L/Day across all seasons with even a narrower range (1 – 2 mg O</w:t>
      </w:r>
      <w:r>
        <w:rPr>
          <w:color w:val="000000" w:themeColor="text1"/>
          <w:vertAlign w:val="subscript"/>
        </w:rPr>
        <w:t>2</w:t>
      </w:r>
      <w:r>
        <w:rPr>
          <w:color w:val="000000" w:themeColor="text1"/>
        </w:rPr>
        <w:t xml:space="preserve">/L/Day) when discounting the </w:t>
      </w:r>
      <w:proofErr w:type="gramStart"/>
      <w:r>
        <w:rPr>
          <w:color w:val="000000" w:themeColor="text1"/>
        </w:rPr>
        <w:t>winter time</w:t>
      </w:r>
      <w:proofErr w:type="gramEnd"/>
      <w:r>
        <w:rPr>
          <w:color w:val="000000" w:themeColor="text1"/>
        </w:rPr>
        <w:t xml:space="preserve"> data. The origins of the extremely low winter-time data in 2020 are still under investigation. </w:t>
      </w:r>
      <w:proofErr w:type="gramStart"/>
      <w:r>
        <w:rPr>
          <w:color w:val="000000" w:themeColor="text1"/>
        </w:rPr>
        <w:t>All of</w:t>
      </w:r>
      <w:proofErr w:type="gramEnd"/>
      <w:r>
        <w:rPr>
          <w:color w:val="000000" w:themeColor="text1"/>
        </w:rPr>
        <w:t xml:space="preserve"> these rates are towards the lower end of ‘normal’ by world standards. Hence, they are not remarkably unusual nor cause for great concern. As will be shown later, this constraint to a relatively narrow range is attributed to the chronic low nutrient concentrations (especially bioavailable phosphorus) within the river channel. </w:t>
      </w:r>
      <w:r w:rsidR="00566073">
        <w:rPr>
          <w:noProof/>
          <w:color w:val="000000" w:themeColor="text1"/>
        </w:rPr>
        <w:t>Hall et al. (2016)</w:t>
      </w:r>
      <w:r w:rsidRPr="001F1AD7">
        <w:rPr>
          <w:rFonts w:cstheme="minorHAnsi"/>
          <w:lang w:val="en-US"/>
        </w:rPr>
        <w:t xml:space="preserve"> </w:t>
      </w:r>
      <w:r>
        <w:rPr>
          <w:rFonts w:cstheme="minorHAnsi"/>
          <w:lang w:val="en-US"/>
        </w:rPr>
        <w:t xml:space="preserve">found that </w:t>
      </w:r>
      <w:r w:rsidRPr="001F1AD7">
        <w:rPr>
          <w:rFonts w:cstheme="minorHAnsi"/>
          <w:lang w:val="en-US"/>
        </w:rPr>
        <w:t xml:space="preserve">14 larger rivers in the western USA </w:t>
      </w:r>
      <w:r>
        <w:rPr>
          <w:rFonts w:cstheme="minorHAnsi"/>
          <w:lang w:val="en-US"/>
        </w:rPr>
        <w:t xml:space="preserve">had </w:t>
      </w:r>
      <w:r w:rsidRPr="001F1AD7">
        <w:rPr>
          <w:rFonts w:cstheme="minorHAnsi"/>
          <w:lang w:val="en-US"/>
        </w:rPr>
        <w:t xml:space="preserve">a wide range of </w:t>
      </w:r>
      <w:r>
        <w:rPr>
          <w:rFonts w:cstheme="minorHAnsi"/>
          <w:lang w:val="en-US"/>
        </w:rPr>
        <w:t>GPP</w:t>
      </w:r>
      <w:r w:rsidRPr="001F1AD7">
        <w:rPr>
          <w:rFonts w:cstheme="minorHAnsi"/>
          <w:lang w:val="en-US"/>
        </w:rPr>
        <w:t xml:space="preserve"> rates (0.2–26.2 mg O</w:t>
      </w:r>
      <w:r w:rsidRPr="001F1AD7">
        <w:rPr>
          <w:rFonts w:cstheme="minorHAnsi"/>
          <w:vertAlign w:val="subscript"/>
          <w:lang w:val="en-US"/>
        </w:rPr>
        <w:t>2</w:t>
      </w:r>
      <w:r w:rsidRPr="001F1AD7">
        <w:rPr>
          <w:rFonts w:cstheme="minorHAnsi"/>
          <w:lang w:val="en-US"/>
        </w:rPr>
        <w:t>/L/Day). However, for 10 of these 14 rivers, rates were &lt;</w:t>
      </w:r>
      <w:r>
        <w:rPr>
          <w:rFonts w:cstheme="minorHAnsi"/>
          <w:lang w:val="en-US"/>
        </w:rPr>
        <w:t> </w:t>
      </w:r>
      <w:r w:rsidRPr="001F1AD7">
        <w:rPr>
          <w:rFonts w:cstheme="minorHAnsi"/>
          <w:lang w:val="en-US"/>
        </w:rPr>
        <w:t>5 mg O</w:t>
      </w:r>
      <w:r w:rsidRPr="001F1AD7">
        <w:rPr>
          <w:rFonts w:cstheme="minorHAnsi"/>
          <w:vertAlign w:val="subscript"/>
          <w:lang w:val="en-US"/>
        </w:rPr>
        <w:t>2</w:t>
      </w:r>
      <w:r w:rsidRPr="001F1AD7">
        <w:rPr>
          <w:rFonts w:cstheme="minorHAnsi"/>
          <w:lang w:val="en-US"/>
        </w:rPr>
        <w:t xml:space="preserve">/L/Day, putting them in the same range as the rates </w:t>
      </w:r>
      <w:r>
        <w:rPr>
          <w:rFonts w:cstheme="minorHAnsi"/>
          <w:lang w:val="en-US"/>
        </w:rPr>
        <w:t xml:space="preserve">displayed </w:t>
      </w:r>
      <w:r w:rsidRPr="000F2485">
        <w:rPr>
          <w:rFonts w:cstheme="minorHAnsi"/>
          <w:lang w:val="en-US"/>
        </w:rPr>
        <w:t>in Figure 5-5</w:t>
      </w:r>
      <w:r>
        <w:rPr>
          <w:rFonts w:cstheme="minorHAnsi"/>
          <w:lang w:val="en-US"/>
        </w:rPr>
        <w:t xml:space="preserve"> above. </w:t>
      </w:r>
      <w:r w:rsidR="00566073">
        <w:rPr>
          <w:rFonts w:cstheme="minorHAnsi"/>
          <w:noProof/>
          <w:lang w:val="en-US"/>
        </w:rPr>
        <w:t>Hall et al. (2016)</w:t>
      </w:r>
      <w:r w:rsidR="00A97F18">
        <w:rPr>
          <w:rFonts w:cstheme="minorHAnsi"/>
          <w:lang w:val="en-US"/>
        </w:rPr>
        <w:t xml:space="preserve"> </w:t>
      </w:r>
      <w:r w:rsidRPr="001F1AD7">
        <w:rPr>
          <w:rFonts w:cstheme="minorHAnsi"/>
          <w:lang w:val="en-US"/>
        </w:rPr>
        <w:t xml:space="preserve">suggested that the rates at the lower end of this range were </w:t>
      </w:r>
      <w:r>
        <w:rPr>
          <w:rFonts w:cstheme="minorHAnsi"/>
          <w:lang w:val="en-US"/>
        </w:rPr>
        <w:t xml:space="preserve">in most cases </w:t>
      </w:r>
      <w:r w:rsidRPr="001F1AD7">
        <w:rPr>
          <w:rFonts w:cstheme="minorHAnsi"/>
          <w:lang w:val="en-US"/>
        </w:rPr>
        <w:t>constrained by low bioavailable</w:t>
      </w:r>
      <w:r w:rsidRPr="008A226C">
        <w:rPr>
          <w:rStyle w:val="FootnoteReference"/>
          <w:rFonts w:cstheme="minorHAnsi"/>
        </w:rPr>
        <w:footnoteReference w:id="3"/>
      </w:r>
      <w:r w:rsidRPr="008A226C">
        <w:rPr>
          <w:rFonts w:cstheme="minorHAnsi"/>
          <w:lang w:val="en-US"/>
        </w:rPr>
        <w:t xml:space="preserve"> nutrient concentrations</w:t>
      </w:r>
      <w:r>
        <w:rPr>
          <w:rFonts w:cstheme="minorHAnsi"/>
          <w:lang w:val="en-US"/>
        </w:rPr>
        <w:t xml:space="preserve"> (and in one case, the Colorado River, by extremely high turbidity).</w:t>
      </w:r>
      <w:r w:rsidRPr="00BA2632">
        <w:rPr>
          <w:rFonts w:cstheme="minorHAnsi"/>
          <w:lang w:val="en-US"/>
        </w:rPr>
        <w:t xml:space="preserve"> </w:t>
      </w:r>
    </w:p>
    <w:p w14:paraId="418BD912" w14:textId="77777777" w:rsidR="00AE564D" w:rsidRDefault="00AE564D" w:rsidP="00AE564D">
      <w:pPr>
        <w:spacing w:after="240"/>
        <w:rPr>
          <w:color w:val="000000" w:themeColor="text1"/>
        </w:rPr>
      </w:pPr>
      <w:bookmarkStart w:id="244" w:name="_Ref52390855"/>
      <w:r w:rsidRPr="00011A1F">
        <w:rPr>
          <w:noProof/>
          <w:lang w:val="en-GB"/>
        </w:rPr>
        <w:lastRenderedPageBreak/>
        <w:drawing>
          <wp:inline distT="0" distB="0" distL="0" distR="0" wp14:anchorId="48BE0D07" wp14:editId="542E5F6E">
            <wp:extent cx="5731510" cy="4509564"/>
            <wp:effectExtent l="0" t="0" r="254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731510" cy="4509564"/>
                    </a:xfrm>
                    <a:prstGeom prst="rect">
                      <a:avLst/>
                    </a:prstGeom>
                    <a:noFill/>
                    <a:ln>
                      <a:noFill/>
                    </a:ln>
                  </pic:spPr>
                </pic:pic>
              </a:graphicData>
            </a:graphic>
          </wp:inline>
        </w:drawing>
      </w:r>
    </w:p>
    <w:p w14:paraId="2D1356F7" w14:textId="03781CA9" w:rsidR="00AE564D" w:rsidRPr="00BA2632" w:rsidRDefault="00AE564D" w:rsidP="00AE564D">
      <w:pPr>
        <w:pStyle w:val="Caption"/>
        <w:rPr>
          <w:color w:val="000000" w:themeColor="text1"/>
          <w:lang w:val="en-GB"/>
        </w:rPr>
      </w:pPr>
      <w:bookmarkStart w:id="245" w:name="_Ref83782594"/>
      <w:bookmarkStart w:id="246" w:name="_Toc83907750"/>
      <w:bookmarkStart w:id="247" w:name="_Toc84475651"/>
      <w:r w:rsidRPr="00BA2632">
        <w:t xml:space="preserve">Figure </w:t>
      </w:r>
      <w:r w:rsidR="00590768">
        <w:rPr>
          <w:noProof/>
        </w:rPr>
        <w:t>5</w:t>
      </w:r>
      <w:r w:rsidR="00B85158">
        <w:noBreakHyphen/>
      </w:r>
      <w:r w:rsidR="00590768">
        <w:rPr>
          <w:noProof/>
        </w:rPr>
        <w:t>6</w:t>
      </w:r>
      <w:bookmarkEnd w:id="244"/>
      <w:bookmarkEnd w:id="245"/>
      <w:r w:rsidRPr="00BA2632">
        <w:t xml:space="preserve"> Annual variation in ER stratified by </w:t>
      </w:r>
      <w:r>
        <w:t>season</w:t>
      </w:r>
      <w:r w:rsidRPr="00BA2632">
        <w:t xml:space="preserve"> at the McCoy’s Bridge site, 2014-2</w:t>
      </w:r>
      <w:r>
        <w:t>1</w:t>
      </w:r>
      <w:r w:rsidRPr="00BA2632">
        <w:t>.</w:t>
      </w:r>
      <w:bookmarkEnd w:id="246"/>
      <w:bookmarkEnd w:id="247"/>
    </w:p>
    <w:p w14:paraId="59FC09E3" w14:textId="259D9A11" w:rsidR="00AE564D" w:rsidRPr="00BA2632" w:rsidRDefault="00AE564D" w:rsidP="00AE564D">
      <w:pPr>
        <w:spacing w:after="240"/>
        <w:rPr>
          <w:color w:val="000000" w:themeColor="text1"/>
        </w:rPr>
      </w:pPr>
      <w:r w:rsidRPr="000F2485">
        <w:rPr>
          <w:color w:val="000000" w:themeColor="text1"/>
        </w:rPr>
        <w:t>There is considerably more interannual and inter-seasonal difference in Ecosystem Respiration rates (</w:t>
      </w:r>
      <w:r w:rsidR="00590768" w:rsidRPr="00590768">
        <w:rPr>
          <w:color w:val="000000" w:themeColor="text1"/>
        </w:rPr>
        <w:t>Figure 5</w:t>
      </w:r>
      <w:r w:rsidR="00590768" w:rsidRPr="00590768">
        <w:rPr>
          <w:color w:val="000000" w:themeColor="text1"/>
        </w:rPr>
        <w:noBreakHyphen/>
        <w:t>6</w:t>
      </w:r>
      <w:r w:rsidRPr="000F2485">
        <w:rPr>
          <w:color w:val="000000" w:themeColor="text1"/>
        </w:rPr>
        <w:t xml:space="preserve">). In general, </w:t>
      </w:r>
      <w:proofErr w:type="gramStart"/>
      <w:r w:rsidRPr="000F2485">
        <w:rPr>
          <w:color w:val="000000" w:themeColor="text1"/>
        </w:rPr>
        <w:t>summer time</w:t>
      </w:r>
      <w:proofErr w:type="gramEnd"/>
      <w:r w:rsidRPr="000F2485">
        <w:rPr>
          <w:color w:val="000000" w:themeColor="text1"/>
        </w:rPr>
        <w:t xml:space="preserve"> rates were higher than the other seasons although rates were suppressed in 2018-19 and 2019-2020 compared to the other two years (and lower than the other three years of LTIM data as well – see earlier reports). Not only were the median</w:t>
      </w:r>
      <w:r>
        <w:rPr>
          <w:color w:val="000000" w:themeColor="text1"/>
        </w:rPr>
        <w:t xml:space="preserve"> values lower (the ‘middle line’ in each box) but the range of values was also more constrained. As noted for GPP however, the appearance of a large degree of inter-seasonal and inter-annual variability is an artefact of the Y-axis scale. If the ‘common’ (world-wide) range of ER values (0.2 – 20 mg O</w:t>
      </w:r>
      <w:r>
        <w:rPr>
          <w:color w:val="000000" w:themeColor="text1"/>
          <w:vertAlign w:val="subscript"/>
        </w:rPr>
        <w:t>2</w:t>
      </w:r>
      <w:r>
        <w:rPr>
          <w:color w:val="000000" w:themeColor="text1"/>
        </w:rPr>
        <w:t>/L/Day) was used as the Y axis, these apparent differences would appear to be smaller. Consequently, we are looking for more subtle explanations for differences which include basal metabolic rates of microbes which increase with temperature and organic carbon availability and lability (reactiveness) both in dissolved form and as water-born and benthic particulate matter. Flows will increase accessible organic carbon supplies by inundating new areas as water levels rise; the amount of organic carbon introduced to the aquatic environment will also depend on antecedent flow conditions – when was this area last connected to the river. The effect of temperature and flow on ER is investigated further using the Bayesian modelling approach in</w:t>
      </w:r>
      <w:r w:rsidRPr="00BA2632">
        <w:rPr>
          <w:color w:val="000000" w:themeColor="text1"/>
        </w:rPr>
        <w:t xml:space="preserve"> Section</w:t>
      </w:r>
      <w:r w:rsidR="00480F90">
        <w:rPr>
          <w:color w:val="000000" w:themeColor="text1"/>
        </w:rPr>
        <w:t xml:space="preserve"> </w:t>
      </w:r>
      <w:r w:rsidR="00590768">
        <w:rPr>
          <w:color w:val="000000" w:themeColor="text1"/>
        </w:rPr>
        <w:t>5.5.5</w:t>
      </w:r>
      <w:r w:rsidRPr="00BA2632">
        <w:rPr>
          <w:color w:val="000000" w:themeColor="text1"/>
        </w:rPr>
        <w:t>.</w:t>
      </w:r>
    </w:p>
    <w:p w14:paraId="3514203C" w14:textId="77777777" w:rsidR="00AE564D" w:rsidRPr="00BA2632" w:rsidRDefault="00AE564D" w:rsidP="00AE564D">
      <w:pPr>
        <w:pStyle w:val="Para0"/>
        <w:rPr>
          <w:szCs w:val="24"/>
          <w:lang w:val="en-US"/>
        </w:rPr>
      </w:pPr>
    </w:p>
    <w:p w14:paraId="60255E4F" w14:textId="77777777" w:rsidR="00AE564D" w:rsidRPr="00BA2632" w:rsidRDefault="00AE564D" w:rsidP="00AE564D">
      <w:pPr>
        <w:rPr>
          <w:b/>
        </w:rPr>
      </w:pPr>
      <w:bookmarkStart w:id="248" w:name="_Ref430407187"/>
      <w:r w:rsidRPr="00BA2632">
        <w:rPr>
          <w:b/>
        </w:rPr>
        <w:br w:type="page"/>
      </w:r>
    </w:p>
    <w:p w14:paraId="149FE59A" w14:textId="77777777" w:rsidR="00AE564D" w:rsidRPr="00643662" w:rsidRDefault="00AE564D" w:rsidP="00AE564D">
      <w:pPr>
        <w:rPr>
          <w:b/>
          <w:i/>
          <w:iCs/>
          <w:lang w:val="en-GB"/>
        </w:rPr>
      </w:pPr>
      <w:r w:rsidRPr="00643662">
        <w:rPr>
          <w:b/>
          <w:i/>
          <w:iCs/>
        </w:rPr>
        <w:lastRenderedPageBreak/>
        <w:t>Metabolism across sites, 2014-2020</w:t>
      </w:r>
    </w:p>
    <w:p w14:paraId="553803CF" w14:textId="18A617AC" w:rsidR="00AE564D" w:rsidRPr="00BA2632" w:rsidRDefault="00AE564D" w:rsidP="00AE564D">
      <w:r w:rsidRPr="0098236D">
        <w:t xml:space="preserve">The relatively small amount of inter-seasonal and inter-annual variability in stream metabolism shown above </w:t>
      </w:r>
      <w:r>
        <w:t>(</w:t>
      </w:r>
      <w:r w:rsidR="00590768" w:rsidRPr="00BA2632">
        <w:t xml:space="preserve">Table </w:t>
      </w:r>
      <w:r w:rsidR="00590768">
        <w:t>5</w:t>
      </w:r>
      <w:r w:rsidR="00590768">
        <w:noBreakHyphen/>
        <w:t>7</w:t>
      </w:r>
      <w:r>
        <w:t>)</w:t>
      </w:r>
      <w:r w:rsidRPr="0098236D">
        <w:t xml:space="preserve"> for McCoy’s Bridge, has been removed by pooling all the data for each site over its period of record. This overall site-specific summary is presented below as Table </w:t>
      </w:r>
      <w:r>
        <w:t>5</w:t>
      </w:r>
      <w:r w:rsidRPr="0098236D">
        <w:t>-</w:t>
      </w:r>
      <w:r>
        <w:t>8</w:t>
      </w:r>
      <w:r w:rsidRPr="0098236D">
        <w:t>. This table also includes a summary line ‘ALL’ for pooled data from all sites</w:t>
      </w:r>
      <w:r w:rsidRPr="00BA2632">
        <w:t>.</w:t>
      </w:r>
    </w:p>
    <w:p w14:paraId="60F7053F" w14:textId="6BE3450C" w:rsidR="00AE564D" w:rsidRPr="00BA2632" w:rsidRDefault="00AE564D" w:rsidP="00AE564D">
      <w:pPr>
        <w:pStyle w:val="Caption"/>
        <w:keepNext/>
      </w:pPr>
      <w:bookmarkStart w:id="249" w:name="_Ref52391011"/>
      <w:bookmarkStart w:id="250" w:name="_Toc95391469"/>
      <w:r w:rsidRPr="00BA2632">
        <w:t xml:space="preserve">Table </w:t>
      </w:r>
      <w:r w:rsidR="00590768">
        <w:rPr>
          <w:noProof/>
        </w:rPr>
        <w:t>5</w:t>
      </w:r>
      <w:r w:rsidR="000B75AF">
        <w:noBreakHyphen/>
      </w:r>
      <w:r w:rsidR="00590768">
        <w:rPr>
          <w:noProof/>
        </w:rPr>
        <w:t>8</w:t>
      </w:r>
      <w:bookmarkEnd w:id="249"/>
      <w:r w:rsidRPr="00BA2632">
        <w:t xml:space="preserve"> Summary LTIM Stream Metabolism Statistics for all Goulburn Sites in LTIM &amp; MER, combined and individually, 2014-202</w:t>
      </w:r>
      <w:r>
        <w:t>1</w:t>
      </w:r>
      <w:r w:rsidRPr="00BA2632">
        <w:t>.</w:t>
      </w:r>
      <w:bookmarkEnd w:id="250"/>
    </w:p>
    <w:tbl>
      <w:tblPr>
        <w:tblW w:w="8331" w:type="dxa"/>
        <w:jc w:val="center"/>
        <w:tblLook w:val="04A0" w:firstRow="1" w:lastRow="0" w:firstColumn="1" w:lastColumn="0" w:noHBand="0" w:noVBand="1"/>
      </w:tblPr>
      <w:tblGrid>
        <w:gridCol w:w="991"/>
        <w:gridCol w:w="1305"/>
        <w:gridCol w:w="709"/>
        <w:gridCol w:w="709"/>
        <w:gridCol w:w="709"/>
        <w:gridCol w:w="708"/>
        <w:gridCol w:w="709"/>
        <w:gridCol w:w="851"/>
        <w:gridCol w:w="708"/>
        <w:gridCol w:w="960"/>
      </w:tblGrid>
      <w:tr w:rsidR="00AE564D" w:rsidRPr="00643662" w14:paraId="3082BEF7" w14:textId="77777777" w:rsidTr="00643662">
        <w:trPr>
          <w:trHeight w:val="315"/>
          <w:jc w:val="center"/>
        </w:trPr>
        <w:tc>
          <w:tcPr>
            <w:tcW w:w="963" w:type="dxa"/>
            <w:tcBorders>
              <w:top w:val="single" w:sz="8" w:space="0" w:color="002060"/>
              <w:left w:val="single" w:sz="8" w:space="0" w:color="002060"/>
              <w:bottom w:val="nil"/>
              <w:right w:val="single" w:sz="8" w:space="0" w:color="002060"/>
            </w:tcBorders>
            <w:shd w:val="clear" w:color="000000" w:fill="002060"/>
            <w:noWrap/>
            <w:vAlign w:val="center"/>
            <w:hideMark/>
          </w:tcPr>
          <w:p w14:paraId="7F91350C" w14:textId="77777777" w:rsidR="00AE564D" w:rsidRPr="00643662" w:rsidRDefault="00AE564D" w:rsidP="00E26D3C">
            <w:pPr>
              <w:spacing w:after="0" w:line="240" w:lineRule="auto"/>
              <w:jc w:val="center"/>
              <w:rPr>
                <w:rFonts w:eastAsia="Times New Roman" w:cstheme="minorHAnsi"/>
                <w:color w:val="FFFFFF"/>
                <w:sz w:val="18"/>
                <w:szCs w:val="18"/>
                <w:lang w:eastAsia="en-AU"/>
              </w:rPr>
            </w:pPr>
            <w:r w:rsidRPr="00643662">
              <w:rPr>
                <w:rFonts w:eastAsia="Times New Roman" w:cstheme="minorHAnsi"/>
                <w:color w:val="FFFFFF"/>
                <w:sz w:val="18"/>
                <w:szCs w:val="18"/>
                <w:lang w:eastAsia="en-AU"/>
              </w:rPr>
              <w:t>Parameter</w:t>
            </w:r>
          </w:p>
        </w:tc>
        <w:tc>
          <w:tcPr>
            <w:tcW w:w="1305" w:type="dxa"/>
            <w:tcBorders>
              <w:top w:val="single" w:sz="8" w:space="0" w:color="002060"/>
              <w:left w:val="nil"/>
              <w:bottom w:val="single" w:sz="8" w:space="0" w:color="002060"/>
              <w:right w:val="nil"/>
            </w:tcBorders>
            <w:shd w:val="clear" w:color="000000" w:fill="002060"/>
            <w:noWrap/>
            <w:vAlign w:val="center"/>
            <w:hideMark/>
          </w:tcPr>
          <w:p w14:paraId="00AD1489" w14:textId="77777777" w:rsidR="00AE564D" w:rsidRPr="00643662" w:rsidRDefault="00AE564D" w:rsidP="00E26D3C">
            <w:pPr>
              <w:spacing w:after="0" w:line="240" w:lineRule="auto"/>
              <w:jc w:val="center"/>
              <w:rPr>
                <w:rFonts w:eastAsia="Times New Roman" w:cstheme="minorHAnsi"/>
                <w:color w:val="FFFFFF"/>
                <w:sz w:val="18"/>
                <w:szCs w:val="18"/>
                <w:lang w:eastAsia="en-AU"/>
              </w:rPr>
            </w:pPr>
            <w:r w:rsidRPr="00643662">
              <w:rPr>
                <w:rFonts w:eastAsia="Times New Roman" w:cstheme="minorHAnsi"/>
                <w:color w:val="FFFFFF"/>
                <w:sz w:val="18"/>
                <w:szCs w:val="18"/>
                <w:lang w:eastAsia="en-AU"/>
              </w:rPr>
              <w:t>Site</w:t>
            </w:r>
          </w:p>
        </w:tc>
        <w:tc>
          <w:tcPr>
            <w:tcW w:w="709" w:type="dxa"/>
            <w:tcBorders>
              <w:top w:val="single" w:sz="8" w:space="0" w:color="002060"/>
              <w:left w:val="nil"/>
              <w:bottom w:val="single" w:sz="8" w:space="0" w:color="002060"/>
              <w:right w:val="nil"/>
            </w:tcBorders>
            <w:shd w:val="clear" w:color="000000" w:fill="002060"/>
            <w:noWrap/>
            <w:vAlign w:val="center"/>
            <w:hideMark/>
          </w:tcPr>
          <w:p w14:paraId="0AF972F6" w14:textId="77777777" w:rsidR="00AE564D" w:rsidRPr="00643662" w:rsidRDefault="00AE564D" w:rsidP="00E26D3C">
            <w:pPr>
              <w:spacing w:after="0" w:line="240" w:lineRule="auto"/>
              <w:jc w:val="center"/>
              <w:rPr>
                <w:rFonts w:eastAsia="Times New Roman" w:cstheme="minorHAnsi"/>
                <w:color w:val="FFFFFF"/>
                <w:sz w:val="18"/>
                <w:szCs w:val="18"/>
                <w:lang w:eastAsia="en-AU"/>
              </w:rPr>
            </w:pPr>
            <w:r w:rsidRPr="00643662">
              <w:rPr>
                <w:rFonts w:eastAsia="Times New Roman" w:cstheme="minorHAnsi"/>
                <w:color w:val="FFFFFF"/>
                <w:sz w:val="18"/>
                <w:szCs w:val="18"/>
                <w:lang w:eastAsia="en-AU"/>
              </w:rPr>
              <w:t>n</w:t>
            </w:r>
          </w:p>
        </w:tc>
        <w:tc>
          <w:tcPr>
            <w:tcW w:w="709" w:type="dxa"/>
            <w:tcBorders>
              <w:top w:val="single" w:sz="8" w:space="0" w:color="002060"/>
              <w:left w:val="nil"/>
              <w:bottom w:val="single" w:sz="8" w:space="0" w:color="002060"/>
              <w:right w:val="nil"/>
            </w:tcBorders>
            <w:shd w:val="clear" w:color="000000" w:fill="002060"/>
            <w:noWrap/>
            <w:vAlign w:val="center"/>
            <w:hideMark/>
          </w:tcPr>
          <w:p w14:paraId="1EBBFAC6" w14:textId="77777777" w:rsidR="00AE564D" w:rsidRPr="00643662" w:rsidRDefault="00AE564D" w:rsidP="00E26D3C">
            <w:pPr>
              <w:spacing w:after="0" w:line="240" w:lineRule="auto"/>
              <w:jc w:val="center"/>
              <w:rPr>
                <w:rFonts w:eastAsia="Times New Roman" w:cstheme="minorHAnsi"/>
                <w:color w:val="FFFFFF"/>
                <w:sz w:val="18"/>
                <w:szCs w:val="18"/>
                <w:lang w:eastAsia="en-AU"/>
              </w:rPr>
            </w:pPr>
            <w:r w:rsidRPr="00643662">
              <w:rPr>
                <w:rFonts w:eastAsia="Times New Roman" w:cstheme="minorHAnsi"/>
                <w:color w:val="FFFFFF"/>
                <w:sz w:val="18"/>
                <w:szCs w:val="18"/>
                <w:lang w:eastAsia="en-AU"/>
              </w:rPr>
              <w:t>Mean</w:t>
            </w:r>
          </w:p>
        </w:tc>
        <w:tc>
          <w:tcPr>
            <w:tcW w:w="709" w:type="dxa"/>
            <w:tcBorders>
              <w:top w:val="single" w:sz="8" w:space="0" w:color="002060"/>
              <w:left w:val="nil"/>
              <w:bottom w:val="single" w:sz="8" w:space="0" w:color="002060"/>
              <w:right w:val="nil"/>
            </w:tcBorders>
            <w:shd w:val="clear" w:color="000000" w:fill="002060"/>
            <w:noWrap/>
            <w:vAlign w:val="center"/>
            <w:hideMark/>
          </w:tcPr>
          <w:p w14:paraId="2C902DC6" w14:textId="77777777" w:rsidR="00AE564D" w:rsidRPr="00643662" w:rsidRDefault="00AE564D" w:rsidP="00E26D3C">
            <w:pPr>
              <w:spacing w:after="0" w:line="240" w:lineRule="auto"/>
              <w:jc w:val="center"/>
              <w:rPr>
                <w:rFonts w:eastAsia="Times New Roman" w:cstheme="minorHAnsi"/>
                <w:color w:val="FFFFFF"/>
                <w:sz w:val="18"/>
                <w:szCs w:val="18"/>
                <w:lang w:eastAsia="en-AU"/>
              </w:rPr>
            </w:pPr>
            <w:r w:rsidRPr="00643662">
              <w:rPr>
                <w:rFonts w:eastAsia="Times New Roman" w:cstheme="minorHAnsi"/>
                <w:color w:val="FFFFFF"/>
                <w:sz w:val="18"/>
                <w:szCs w:val="18"/>
                <w:lang w:eastAsia="en-AU"/>
              </w:rPr>
              <w:t>Std Dev</w:t>
            </w:r>
          </w:p>
        </w:tc>
        <w:tc>
          <w:tcPr>
            <w:tcW w:w="708" w:type="dxa"/>
            <w:tcBorders>
              <w:top w:val="single" w:sz="8" w:space="0" w:color="002060"/>
              <w:left w:val="nil"/>
              <w:bottom w:val="single" w:sz="8" w:space="0" w:color="002060"/>
              <w:right w:val="nil"/>
            </w:tcBorders>
            <w:shd w:val="clear" w:color="000000" w:fill="002060"/>
            <w:noWrap/>
            <w:vAlign w:val="center"/>
            <w:hideMark/>
          </w:tcPr>
          <w:p w14:paraId="3238CABA" w14:textId="77777777" w:rsidR="00AE564D" w:rsidRPr="00643662" w:rsidRDefault="00AE564D" w:rsidP="00E26D3C">
            <w:pPr>
              <w:spacing w:after="0" w:line="240" w:lineRule="auto"/>
              <w:jc w:val="center"/>
              <w:rPr>
                <w:rFonts w:eastAsia="Times New Roman" w:cstheme="minorHAnsi"/>
                <w:color w:val="FFFFFF"/>
                <w:sz w:val="18"/>
                <w:szCs w:val="18"/>
                <w:lang w:eastAsia="en-AU"/>
              </w:rPr>
            </w:pPr>
            <w:r w:rsidRPr="00643662">
              <w:rPr>
                <w:rFonts w:eastAsia="Times New Roman" w:cstheme="minorHAnsi"/>
                <w:color w:val="FFFFFF"/>
                <w:sz w:val="18"/>
                <w:szCs w:val="18"/>
                <w:lang w:eastAsia="en-AU"/>
              </w:rPr>
              <w:t>Min</w:t>
            </w:r>
          </w:p>
        </w:tc>
        <w:tc>
          <w:tcPr>
            <w:tcW w:w="709" w:type="dxa"/>
            <w:tcBorders>
              <w:top w:val="single" w:sz="8" w:space="0" w:color="002060"/>
              <w:left w:val="nil"/>
              <w:bottom w:val="single" w:sz="8" w:space="0" w:color="002060"/>
              <w:right w:val="nil"/>
            </w:tcBorders>
            <w:shd w:val="clear" w:color="000000" w:fill="002060"/>
            <w:noWrap/>
            <w:vAlign w:val="center"/>
            <w:hideMark/>
          </w:tcPr>
          <w:p w14:paraId="47C60FD5" w14:textId="77777777" w:rsidR="00AE564D" w:rsidRPr="00643662" w:rsidRDefault="00AE564D" w:rsidP="00E26D3C">
            <w:pPr>
              <w:spacing w:after="0" w:line="240" w:lineRule="auto"/>
              <w:jc w:val="center"/>
              <w:rPr>
                <w:rFonts w:eastAsia="Times New Roman" w:cstheme="minorHAnsi"/>
                <w:color w:val="FFFFFF"/>
                <w:sz w:val="18"/>
                <w:szCs w:val="18"/>
                <w:lang w:eastAsia="en-AU"/>
              </w:rPr>
            </w:pPr>
            <w:r w:rsidRPr="00643662">
              <w:rPr>
                <w:rFonts w:eastAsia="Times New Roman" w:cstheme="minorHAnsi"/>
                <w:color w:val="FFFFFF"/>
                <w:sz w:val="18"/>
                <w:szCs w:val="18"/>
                <w:lang w:eastAsia="en-AU"/>
              </w:rPr>
              <w:t>Max</w:t>
            </w:r>
          </w:p>
        </w:tc>
        <w:tc>
          <w:tcPr>
            <w:tcW w:w="851" w:type="dxa"/>
            <w:tcBorders>
              <w:top w:val="single" w:sz="8" w:space="0" w:color="002060"/>
              <w:left w:val="nil"/>
              <w:bottom w:val="single" w:sz="8" w:space="0" w:color="002060"/>
              <w:right w:val="nil"/>
            </w:tcBorders>
            <w:shd w:val="clear" w:color="000000" w:fill="002060"/>
            <w:noWrap/>
            <w:vAlign w:val="center"/>
            <w:hideMark/>
          </w:tcPr>
          <w:p w14:paraId="145A40CD" w14:textId="77777777" w:rsidR="00AE564D" w:rsidRPr="00643662" w:rsidRDefault="00AE564D" w:rsidP="00E26D3C">
            <w:pPr>
              <w:spacing w:after="0" w:line="240" w:lineRule="auto"/>
              <w:jc w:val="center"/>
              <w:rPr>
                <w:rFonts w:eastAsia="Times New Roman" w:cstheme="minorHAnsi"/>
                <w:color w:val="FFFFFF"/>
                <w:sz w:val="18"/>
                <w:szCs w:val="18"/>
                <w:lang w:eastAsia="en-AU"/>
              </w:rPr>
            </w:pPr>
            <w:r w:rsidRPr="00643662">
              <w:rPr>
                <w:rFonts w:eastAsia="Times New Roman" w:cstheme="minorHAnsi"/>
                <w:color w:val="FFFFFF"/>
                <w:sz w:val="18"/>
                <w:szCs w:val="18"/>
                <w:lang w:eastAsia="en-AU"/>
              </w:rPr>
              <w:t xml:space="preserve"> Median </w:t>
            </w:r>
          </w:p>
        </w:tc>
        <w:tc>
          <w:tcPr>
            <w:tcW w:w="708" w:type="dxa"/>
            <w:tcBorders>
              <w:top w:val="single" w:sz="8" w:space="0" w:color="002060"/>
              <w:left w:val="nil"/>
              <w:bottom w:val="single" w:sz="8" w:space="0" w:color="002060"/>
              <w:right w:val="nil"/>
            </w:tcBorders>
            <w:shd w:val="clear" w:color="000000" w:fill="002060"/>
            <w:noWrap/>
            <w:vAlign w:val="center"/>
            <w:hideMark/>
          </w:tcPr>
          <w:p w14:paraId="6574AF2B" w14:textId="77777777" w:rsidR="00AE564D" w:rsidRPr="00643662" w:rsidRDefault="00AE564D" w:rsidP="00E26D3C">
            <w:pPr>
              <w:spacing w:after="0" w:line="240" w:lineRule="auto"/>
              <w:jc w:val="center"/>
              <w:rPr>
                <w:rFonts w:eastAsia="Times New Roman" w:cstheme="minorHAnsi"/>
                <w:color w:val="FFFFFF"/>
                <w:sz w:val="18"/>
                <w:szCs w:val="18"/>
                <w:lang w:eastAsia="en-AU"/>
              </w:rPr>
            </w:pPr>
            <w:r w:rsidRPr="00643662">
              <w:rPr>
                <w:rFonts w:eastAsia="Times New Roman" w:cstheme="minorHAnsi"/>
                <w:color w:val="FFFFFF"/>
                <w:sz w:val="18"/>
                <w:szCs w:val="18"/>
                <w:lang w:eastAsia="en-AU"/>
              </w:rPr>
              <w:t>25%</w:t>
            </w:r>
          </w:p>
        </w:tc>
        <w:tc>
          <w:tcPr>
            <w:tcW w:w="960" w:type="dxa"/>
            <w:tcBorders>
              <w:top w:val="single" w:sz="8" w:space="0" w:color="002060"/>
              <w:left w:val="nil"/>
              <w:bottom w:val="single" w:sz="8" w:space="0" w:color="002060"/>
              <w:right w:val="single" w:sz="8" w:space="0" w:color="002060"/>
            </w:tcBorders>
            <w:shd w:val="clear" w:color="000000" w:fill="002060"/>
            <w:noWrap/>
            <w:vAlign w:val="center"/>
            <w:hideMark/>
          </w:tcPr>
          <w:p w14:paraId="4870F563" w14:textId="77777777" w:rsidR="00AE564D" w:rsidRPr="00643662" w:rsidRDefault="00AE564D" w:rsidP="00E26D3C">
            <w:pPr>
              <w:spacing w:after="0" w:line="240" w:lineRule="auto"/>
              <w:jc w:val="center"/>
              <w:rPr>
                <w:rFonts w:eastAsia="Times New Roman" w:cstheme="minorHAnsi"/>
                <w:color w:val="FFFFFF"/>
                <w:sz w:val="18"/>
                <w:szCs w:val="18"/>
                <w:lang w:eastAsia="en-AU"/>
              </w:rPr>
            </w:pPr>
            <w:r w:rsidRPr="00643662">
              <w:rPr>
                <w:rFonts w:eastAsia="Times New Roman" w:cstheme="minorHAnsi"/>
                <w:color w:val="FFFFFF"/>
                <w:sz w:val="18"/>
                <w:szCs w:val="18"/>
                <w:lang w:eastAsia="en-AU"/>
              </w:rPr>
              <w:t>75%</w:t>
            </w:r>
          </w:p>
        </w:tc>
      </w:tr>
      <w:tr w:rsidR="00AE564D" w:rsidRPr="00643662" w14:paraId="0ED3CE30" w14:textId="77777777" w:rsidTr="00643662">
        <w:trPr>
          <w:trHeight w:val="454"/>
          <w:jc w:val="center"/>
        </w:trPr>
        <w:tc>
          <w:tcPr>
            <w:tcW w:w="963" w:type="dxa"/>
            <w:vMerge w:val="restart"/>
            <w:tcBorders>
              <w:top w:val="single" w:sz="8" w:space="0" w:color="002060"/>
              <w:left w:val="single" w:sz="8" w:space="0" w:color="002060"/>
              <w:bottom w:val="single" w:sz="8" w:space="0" w:color="FFFFFF"/>
              <w:right w:val="single" w:sz="8" w:space="0" w:color="002060"/>
            </w:tcBorders>
            <w:shd w:val="clear" w:color="000000" w:fill="002060"/>
            <w:noWrap/>
            <w:vAlign w:val="center"/>
            <w:hideMark/>
          </w:tcPr>
          <w:p w14:paraId="22E4E811" w14:textId="77777777" w:rsidR="00AE564D" w:rsidRPr="00643662" w:rsidRDefault="00AE564D" w:rsidP="00E26D3C">
            <w:pPr>
              <w:spacing w:after="0" w:line="240" w:lineRule="auto"/>
              <w:jc w:val="center"/>
              <w:rPr>
                <w:rFonts w:eastAsia="Times New Roman" w:cstheme="minorHAnsi"/>
                <w:color w:val="FFFFFF"/>
                <w:sz w:val="18"/>
                <w:szCs w:val="18"/>
                <w:lang w:eastAsia="en-AU"/>
              </w:rPr>
            </w:pPr>
            <w:r w:rsidRPr="00643662">
              <w:rPr>
                <w:rFonts w:eastAsia="Times New Roman" w:cstheme="minorHAnsi"/>
                <w:color w:val="FFFFFF"/>
                <w:sz w:val="18"/>
                <w:szCs w:val="18"/>
                <w:lang w:eastAsia="en-AU"/>
              </w:rPr>
              <w:t>GPP</w:t>
            </w:r>
          </w:p>
        </w:tc>
        <w:tc>
          <w:tcPr>
            <w:tcW w:w="1305" w:type="dxa"/>
            <w:tcBorders>
              <w:top w:val="nil"/>
              <w:left w:val="nil"/>
              <w:bottom w:val="nil"/>
              <w:right w:val="single" w:sz="8" w:space="0" w:color="002060"/>
            </w:tcBorders>
            <w:shd w:val="clear" w:color="auto" w:fill="auto"/>
            <w:noWrap/>
            <w:vAlign w:val="center"/>
            <w:hideMark/>
          </w:tcPr>
          <w:p w14:paraId="42A7A1F4" w14:textId="77777777" w:rsidR="00AE564D" w:rsidRPr="00643662" w:rsidRDefault="00AE564D" w:rsidP="00E26D3C">
            <w:pPr>
              <w:spacing w:after="0" w:line="240" w:lineRule="auto"/>
              <w:jc w:val="center"/>
              <w:rPr>
                <w:rFonts w:eastAsia="Times New Roman" w:cstheme="minorHAnsi"/>
                <w:b/>
                <w:bCs/>
                <w:color w:val="000000"/>
                <w:sz w:val="18"/>
                <w:szCs w:val="18"/>
                <w:lang w:eastAsia="en-AU"/>
              </w:rPr>
            </w:pPr>
            <w:r w:rsidRPr="00643662">
              <w:rPr>
                <w:rFonts w:eastAsia="Times New Roman" w:cstheme="minorHAnsi"/>
                <w:b/>
                <w:bCs/>
                <w:color w:val="000000"/>
                <w:sz w:val="18"/>
                <w:szCs w:val="18"/>
                <w:lang w:eastAsia="en-AU"/>
              </w:rPr>
              <w:t>ALL</w:t>
            </w:r>
          </w:p>
        </w:tc>
        <w:tc>
          <w:tcPr>
            <w:tcW w:w="709" w:type="dxa"/>
            <w:tcBorders>
              <w:top w:val="nil"/>
              <w:left w:val="nil"/>
              <w:bottom w:val="nil"/>
              <w:right w:val="nil"/>
            </w:tcBorders>
            <w:shd w:val="clear" w:color="auto" w:fill="auto"/>
            <w:noWrap/>
            <w:vAlign w:val="center"/>
            <w:hideMark/>
          </w:tcPr>
          <w:p w14:paraId="33FCD5F3"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3238</w:t>
            </w:r>
          </w:p>
        </w:tc>
        <w:tc>
          <w:tcPr>
            <w:tcW w:w="709" w:type="dxa"/>
            <w:tcBorders>
              <w:top w:val="nil"/>
              <w:left w:val="nil"/>
              <w:bottom w:val="nil"/>
              <w:right w:val="nil"/>
            </w:tcBorders>
            <w:shd w:val="clear" w:color="auto" w:fill="auto"/>
            <w:noWrap/>
            <w:vAlign w:val="center"/>
            <w:hideMark/>
          </w:tcPr>
          <w:p w14:paraId="05A8899F"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1.66</w:t>
            </w:r>
          </w:p>
        </w:tc>
        <w:tc>
          <w:tcPr>
            <w:tcW w:w="709" w:type="dxa"/>
            <w:tcBorders>
              <w:top w:val="nil"/>
              <w:left w:val="nil"/>
              <w:bottom w:val="nil"/>
              <w:right w:val="nil"/>
            </w:tcBorders>
            <w:shd w:val="clear" w:color="auto" w:fill="auto"/>
            <w:noWrap/>
            <w:vAlign w:val="center"/>
            <w:hideMark/>
          </w:tcPr>
          <w:p w14:paraId="2DB45109"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1.74</w:t>
            </w:r>
          </w:p>
        </w:tc>
        <w:tc>
          <w:tcPr>
            <w:tcW w:w="708" w:type="dxa"/>
            <w:tcBorders>
              <w:top w:val="nil"/>
              <w:left w:val="nil"/>
              <w:bottom w:val="nil"/>
              <w:right w:val="nil"/>
            </w:tcBorders>
            <w:shd w:val="clear" w:color="auto" w:fill="auto"/>
            <w:noWrap/>
            <w:vAlign w:val="center"/>
            <w:hideMark/>
          </w:tcPr>
          <w:p w14:paraId="7995898D"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0.01</w:t>
            </w:r>
          </w:p>
        </w:tc>
        <w:tc>
          <w:tcPr>
            <w:tcW w:w="709" w:type="dxa"/>
            <w:tcBorders>
              <w:top w:val="nil"/>
              <w:left w:val="nil"/>
              <w:bottom w:val="nil"/>
              <w:right w:val="nil"/>
            </w:tcBorders>
            <w:shd w:val="clear" w:color="auto" w:fill="auto"/>
            <w:noWrap/>
            <w:vAlign w:val="center"/>
            <w:hideMark/>
          </w:tcPr>
          <w:p w14:paraId="78CAEAC5"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25.7</w:t>
            </w:r>
          </w:p>
        </w:tc>
        <w:tc>
          <w:tcPr>
            <w:tcW w:w="851" w:type="dxa"/>
            <w:tcBorders>
              <w:top w:val="nil"/>
              <w:left w:val="nil"/>
              <w:bottom w:val="nil"/>
              <w:right w:val="nil"/>
            </w:tcBorders>
            <w:shd w:val="clear" w:color="auto" w:fill="auto"/>
            <w:noWrap/>
            <w:vAlign w:val="center"/>
            <w:hideMark/>
          </w:tcPr>
          <w:p w14:paraId="1B9D6DD9"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1.28</w:t>
            </w:r>
          </w:p>
        </w:tc>
        <w:tc>
          <w:tcPr>
            <w:tcW w:w="708" w:type="dxa"/>
            <w:tcBorders>
              <w:top w:val="nil"/>
              <w:left w:val="nil"/>
              <w:bottom w:val="nil"/>
              <w:right w:val="nil"/>
            </w:tcBorders>
            <w:shd w:val="clear" w:color="auto" w:fill="auto"/>
            <w:noWrap/>
            <w:vAlign w:val="center"/>
            <w:hideMark/>
          </w:tcPr>
          <w:p w14:paraId="018BCF10"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0.86</w:t>
            </w:r>
          </w:p>
        </w:tc>
        <w:tc>
          <w:tcPr>
            <w:tcW w:w="960" w:type="dxa"/>
            <w:tcBorders>
              <w:top w:val="nil"/>
              <w:left w:val="nil"/>
              <w:bottom w:val="nil"/>
              <w:right w:val="single" w:sz="8" w:space="0" w:color="002060"/>
            </w:tcBorders>
            <w:shd w:val="clear" w:color="auto" w:fill="auto"/>
            <w:noWrap/>
            <w:vAlign w:val="center"/>
            <w:hideMark/>
          </w:tcPr>
          <w:p w14:paraId="6B935940"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1.88</w:t>
            </w:r>
          </w:p>
        </w:tc>
      </w:tr>
      <w:tr w:rsidR="00AE564D" w:rsidRPr="00643662" w14:paraId="6EF6EBE4" w14:textId="77777777" w:rsidTr="00643662">
        <w:trPr>
          <w:trHeight w:val="300"/>
          <w:jc w:val="center"/>
        </w:trPr>
        <w:tc>
          <w:tcPr>
            <w:tcW w:w="963" w:type="dxa"/>
            <w:vMerge/>
            <w:tcBorders>
              <w:top w:val="single" w:sz="8" w:space="0" w:color="002060"/>
              <w:left w:val="single" w:sz="8" w:space="0" w:color="002060"/>
              <w:bottom w:val="single" w:sz="8" w:space="0" w:color="FFFFFF"/>
              <w:right w:val="single" w:sz="8" w:space="0" w:color="002060"/>
            </w:tcBorders>
            <w:vAlign w:val="center"/>
            <w:hideMark/>
          </w:tcPr>
          <w:p w14:paraId="6E99AFAC"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nil"/>
              <w:right w:val="single" w:sz="8" w:space="0" w:color="002060"/>
            </w:tcBorders>
            <w:shd w:val="clear" w:color="auto" w:fill="auto"/>
            <w:noWrap/>
            <w:vAlign w:val="center"/>
            <w:hideMark/>
          </w:tcPr>
          <w:p w14:paraId="18F54815"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Day Rd / Moss Rd*</w:t>
            </w:r>
          </w:p>
        </w:tc>
        <w:tc>
          <w:tcPr>
            <w:tcW w:w="709" w:type="dxa"/>
            <w:tcBorders>
              <w:top w:val="nil"/>
              <w:left w:val="nil"/>
              <w:bottom w:val="nil"/>
              <w:right w:val="nil"/>
            </w:tcBorders>
            <w:shd w:val="clear" w:color="auto" w:fill="auto"/>
            <w:noWrap/>
            <w:vAlign w:val="center"/>
            <w:hideMark/>
          </w:tcPr>
          <w:p w14:paraId="14DB0501"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369</w:t>
            </w:r>
          </w:p>
        </w:tc>
        <w:tc>
          <w:tcPr>
            <w:tcW w:w="709" w:type="dxa"/>
            <w:tcBorders>
              <w:top w:val="nil"/>
              <w:left w:val="nil"/>
              <w:bottom w:val="nil"/>
              <w:right w:val="nil"/>
            </w:tcBorders>
            <w:shd w:val="clear" w:color="auto" w:fill="auto"/>
            <w:noWrap/>
            <w:vAlign w:val="center"/>
            <w:hideMark/>
          </w:tcPr>
          <w:p w14:paraId="315BB3C2"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3.42</w:t>
            </w:r>
          </w:p>
        </w:tc>
        <w:tc>
          <w:tcPr>
            <w:tcW w:w="709" w:type="dxa"/>
            <w:tcBorders>
              <w:top w:val="nil"/>
              <w:left w:val="nil"/>
              <w:bottom w:val="nil"/>
              <w:right w:val="nil"/>
            </w:tcBorders>
            <w:shd w:val="clear" w:color="auto" w:fill="auto"/>
            <w:noWrap/>
            <w:vAlign w:val="center"/>
            <w:hideMark/>
          </w:tcPr>
          <w:p w14:paraId="260BDC64"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3.61</w:t>
            </w:r>
          </w:p>
        </w:tc>
        <w:tc>
          <w:tcPr>
            <w:tcW w:w="708" w:type="dxa"/>
            <w:tcBorders>
              <w:top w:val="nil"/>
              <w:left w:val="nil"/>
              <w:bottom w:val="nil"/>
              <w:right w:val="nil"/>
            </w:tcBorders>
            <w:shd w:val="clear" w:color="auto" w:fill="auto"/>
            <w:noWrap/>
            <w:vAlign w:val="center"/>
            <w:hideMark/>
          </w:tcPr>
          <w:p w14:paraId="3012A3AC"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0.15</w:t>
            </w:r>
          </w:p>
        </w:tc>
        <w:tc>
          <w:tcPr>
            <w:tcW w:w="709" w:type="dxa"/>
            <w:tcBorders>
              <w:top w:val="nil"/>
              <w:left w:val="nil"/>
              <w:bottom w:val="nil"/>
              <w:right w:val="nil"/>
            </w:tcBorders>
            <w:shd w:val="clear" w:color="auto" w:fill="auto"/>
            <w:noWrap/>
            <w:vAlign w:val="center"/>
            <w:hideMark/>
          </w:tcPr>
          <w:p w14:paraId="561DD1ED"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22.9</w:t>
            </w:r>
          </w:p>
        </w:tc>
        <w:tc>
          <w:tcPr>
            <w:tcW w:w="851" w:type="dxa"/>
            <w:tcBorders>
              <w:top w:val="nil"/>
              <w:left w:val="nil"/>
              <w:bottom w:val="nil"/>
              <w:right w:val="nil"/>
            </w:tcBorders>
            <w:shd w:val="clear" w:color="auto" w:fill="auto"/>
            <w:noWrap/>
            <w:vAlign w:val="center"/>
            <w:hideMark/>
          </w:tcPr>
          <w:p w14:paraId="510B6623"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2.17</w:t>
            </w:r>
          </w:p>
        </w:tc>
        <w:tc>
          <w:tcPr>
            <w:tcW w:w="708" w:type="dxa"/>
            <w:tcBorders>
              <w:top w:val="nil"/>
              <w:left w:val="nil"/>
              <w:bottom w:val="nil"/>
              <w:right w:val="nil"/>
            </w:tcBorders>
            <w:shd w:val="clear" w:color="auto" w:fill="auto"/>
            <w:noWrap/>
            <w:vAlign w:val="center"/>
            <w:hideMark/>
          </w:tcPr>
          <w:p w14:paraId="3D5A1BEA"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1.11</w:t>
            </w:r>
          </w:p>
        </w:tc>
        <w:tc>
          <w:tcPr>
            <w:tcW w:w="960" w:type="dxa"/>
            <w:tcBorders>
              <w:top w:val="nil"/>
              <w:left w:val="nil"/>
              <w:bottom w:val="nil"/>
              <w:right w:val="single" w:sz="8" w:space="0" w:color="002060"/>
            </w:tcBorders>
            <w:shd w:val="clear" w:color="auto" w:fill="auto"/>
            <w:noWrap/>
            <w:vAlign w:val="center"/>
            <w:hideMark/>
          </w:tcPr>
          <w:p w14:paraId="44EDB99F"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4.06</w:t>
            </w:r>
          </w:p>
        </w:tc>
      </w:tr>
      <w:tr w:rsidR="00AE564D" w:rsidRPr="00643662" w14:paraId="7390F1D5" w14:textId="77777777" w:rsidTr="00643662">
        <w:trPr>
          <w:trHeight w:val="300"/>
          <w:jc w:val="center"/>
        </w:trPr>
        <w:tc>
          <w:tcPr>
            <w:tcW w:w="963" w:type="dxa"/>
            <w:vMerge/>
            <w:tcBorders>
              <w:top w:val="single" w:sz="8" w:space="0" w:color="002060"/>
              <w:left w:val="single" w:sz="8" w:space="0" w:color="002060"/>
              <w:bottom w:val="single" w:sz="8" w:space="0" w:color="FFFFFF"/>
              <w:right w:val="single" w:sz="8" w:space="0" w:color="002060"/>
            </w:tcBorders>
            <w:vAlign w:val="center"/>
            <w:hideMark/>
          </w:tcPr>
          <w:p w14:paraId="11C46F95"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nil"/>
              <w:right w:val="single" w:sz="8" w:space="0" w:color="002060"/>
            </w:tcBorders>
            <w:shd w:val="clear" w:color="auto" w:fill="auto"/>
            <w:noWrap/>
            <w:vAlign w:val="center"/>
            <w:hideMark/>
          </w:tcPr>
          <w:p w14:paraId="37F97461"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Murchison</w:t>
            </w:r>
          </w:p>
        </w:tc>
        <w:tc>
          <w:tcPr>
            <w:tcW w:w="709" w:type="dxa"/>
            <w:tcBorders>
              <w:top w:val="nil"/>
              <w:left w:val="nil"/>
              <w:bottom w:val="nil"/>
              <w:right w:val="nil"/>
            </w:tcBorders>
            <w:shd w:val="clear" w:color="auto" w:fill="auto"/>
            <w:noWrap/>
            <w:vAlign w:val="center"/>
            <w:hideMark/>
          </w:tcPr>
          <w:p w14:paraId="77F2917D"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185</w:t>
            </w:r>
          </w:p>
        </w:tc>
        <w:tc>
          <w:tcPr>
            <w:tcW w:w="709" w:type="dxa"/>
            <w:tcBorders>
              <w:top w:val="nil"/>
              <w:left w:val="nil"/>
              <w:bottom w:val="nil"/>
              <w:right w:val="nil"/>
            </w:tcBorders>
            <w:shd w:val="clear" w:color="auto" w:fill="auto"/>
            <w:noWrap/>
            <w:vAlign w:val="center"/>
            <w:hideMark/>
          </w:tcPr>
          <w:p w14:paraId="2FC469F6"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1.09</w:t>
            </w:r>
          </w:p>
        </w:tc>
        <w:tc>
          <w:tcPr>
            <w:tcW w:w="709" w:type="dxa"/>
            <w:tcBorders>
              <w:top w:val="nil"/>
              <w:left w:val="nil"/>
              <w:bottom w:val="nil"/>
              <w:right w:val="nil"/>
            </w:tcBorders>
            <w:shd w:val="clear" w:color="auto" w:fill="auto"/>
            <w:noWrap/>
            <w:vAlign w:val="center"/>
            <w:hideMark/>
          </w:tcPr>
          <w:p w14:paraId="1D21DE75"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0.82</w:t>
            </w:r>
          </w:p>
        </w:tc>
        <w:tc>
          <w:tcPr>
            <w:tcW w:w="708" w:type="dxa"/>
            <w:tcBorders>
              <w:top w:val="nil"/>
              <w:left w:val="nil"/>
              <w:bottom w:val="nil"/>
              <w:right w:val="nil"/>
            </w:tcBorders>
            <w:shd w:val="clear" w:color="auto" w:fill="auto"/>
            <w:noWrap/>
            <w:vAlign w:val="center"/>
            <w:hideMark/>
          </w:tcPr>
          <w:p w14:paraId="375FEB0C"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0.02</w:t>
            </w:r>
          </w:p>
        </w:tc>
        <w:tc>
          <w:tcPr>
            <w:tcW w:w="709" w:type="dxa"/>
            <w:tcBorders>
              <w:top w:val="nil"/>
              <w:left w:val="nil"/>
              <w:bottom w:val="nil"/>
              <w:right w:val="nil"/>
            </w:tcBorders>
            <w:shd w:val="clear" w:color="auto" w:fill="auto"/>
            <w:noWrap/>
            <w:vAlign w:val="center"/>
            <w:hideMark/>
          </w:tcPr>
          <w:p w14:paraId="75C8FC34"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7.42</w:t>
            </w:r>
          </w:p>
        </w:tc>
        <w:tc>
          <w:tcPr>
            <w:tcW w:w="851" w:type="dxa"/>
            <w:tcBorders>
              <w:top w:val="nil"/>
              <w:left w:val="nil"/>
              <w:bottom w:val="nil"/>
              <w:right w:val="nil"/>
            </w:tcBorders>
            <w:shd w:val="clear" w:color="auto" w:fill="auto"/>
            <w:noWrap/>
            <w:vAlign w:val="center"/>
            <w:hideMark/>
          </w:tcPr>
          <w:p w14:paraId="3A8056B8"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0.96</w:t>
            </w:r>
          </w:p>
        </w:tc>
        <w:tc>
          <w:tcPr>
            <w:tcW w:w="708" w:type="dxa"/>
            <w:tcBorders>
              <w:top w:val="nil"/>
              <w:left w:val="nil"/>
              <w:bottom w:val="nil"/>
              <w:right w:val="nil"/>
            </w:tcBorders>
            <w:shd w:val="clear" w:color="auto" w:fill="auto"/>
            <w:noWrap/>
            <w:vAlign w:val="center"/>
            <w:hideMark/>
          </w:tcPr>
          <w:p w14:paraId="688BA62F"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0.49</w:t>
            </w:r>
          </w:p>
        </w:tc>
        <w:tc>
          <w:tcPr>
            <w:tcW w:w="960" w:type="dxa"/>
            <w:tcBorders>
              <w:top w:val="nil"/>
              <w:left w:val="nil"/>
              <w:bottom w:val="nil"/>
              <w:right w:val="single" w:sz="8" w:space="0" w:color="002060"/>
            </w:tcBorders>
            <w:shd w:val="clear" w:color="auto" w:fill="auto"/>
            <w:noWrap/>
            <w:vAlign w:val="center"/>
            <w:hideMark/>
          </w:tcPr>
          <w:p w14:paraId="50735501"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1.53</w:t>
            </w:r>
          </w:p>
        </w:tc>
      </w:tr>
      <w:tr w:rsidR="00AE564D" w:rsidRPr="00643662" w14:paraId="3C5B004D" w14:textId="77777777" w:rsidTr="00643662">
        <w:trPr>
          <w:trHeight w:val="300"/>
          <w:jc w:val="center"/>
        </w:trPr>
        <w:tc>
          <w:tcPr>
            <w:tcW w:w="963" w:type="dxa"/>
            <w:vMerge/>
            <w:tcBorders>
              <w:top w:val="single" w:sz="8" w:space="0" w:color="002060"/>
              <w:left w:val="single" w:sz="8" w:space="0" w:color="002060"/>
              <w:bottom w:val="single" w:sz="8" w:space="0" w:color="FFFFFF"/>
              <w:right w:val="single" w:sz="8" w:space="0" w:color="002060"/>
            </w:tcBorders>
            <w:vAlign w:val="center"/>
            <w:hideMark/>
          </w:tcPr>
          <w:p w14:paraId="1A9A7CDB"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nil"/>
              <w:right w:val="single" w:sz="8" w:space="0" w:color="002060"/>
            </w:tcBorders>
            <w:shd w:val="clear" w:color="auto" w:fill="auto"/>
            <w:noWrap/>
            <w:vAlign w:val="center"/>
            <w:hideMark/>
          </w:tcPr>
          <w:p w14:paraId="33B4966E"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Darcy's Track*</w:t>
            </w:r>
          </w:p>
        </w:tc>
        <w:tc>
          <w:tcPr>
            <w:tcW w:w="709" w:type="dxa"/>
            <w:tcBorders>
              <w:top w:val="nil"/>
              <w:left w:val="nil"/>
              <w:bottom w:val="nil"/>
              <w:right w:val="nil"/>
            </w:tcBorders>
            <w:shd w:val="clear" w:color="auto" w:fill="auto"/>
            <w:noWrap/>
            <w:vAlign w:val="center"/>
            <w:hideMark/>
          </w:tcPr>
          <w:p w14:paraId="31FBCEA2"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464</w:t>
            </w:r>
          </w:p>
        </w:tc>
        <w:tc>
          <w:tcPr>
            <w:tcW w:w="709" w:type="dxa"/>
            <w:tcBorders>
              <w:top w:val="nil"/>
              <w:left w:val="nil"/>
              <w:bottom w:val="nil"/>
              <w:right w:val="nil"/>
            </w:tcBorders>
            <w:shd w:val="clear" w:color="auto" w:fill="auto"/>
            <w:noWrap/>
            <w:vAlign w:val="center"/>
            <w:hideMark/>
          </w:tcPr>
          <w:p w14:paraId="2432DA12"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1.53</w:t>
            </w:r>
          </w:p>
        </w:tc>
        <w:tc>
          <w:tcPr>
            <w:tcW w:w="709" w:type="dxa"/>
            <w:tcBorders>
              <w:top w:val="nil"/>
              <w:left w:val="nil"/>
              <w:bottom w:val="nil"/>
              <w:right w:val="nil"/>
            </w:tcBorders>
            <w:shd w:val="clear" w:color="auto" w:fill="auto"/>
            <w:noWrap/>
            <w:vAlign w:val="center"/>
            <w:hideMark/>
          </w:tcPr>
          <w:p w14:paraId="4DE4A760"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1.15</w:t>
            </w:r>
          </w:p>
        </w:tc>
        <w:tc>
          <w:tcPr>
            <w:tcW w:w="708" w:type="dxa"/>
            <w:tcBorders>
              <w:top w:val="nil"/>
              <w:left w:val="nil"/>
              <w:bottom w:val="nil"/>
              <w:right w:val="nil"/>
            </w:tcBorders>
            <w:shd w:val="clear" w:color="auto" w:fill="auto"/>
            <w:noWrap/>
            <w:vAlign w:val="center"/>
            <w:hideMark/>
          </w:tcPr>
          <w:p w14:paraId="57F5E89D"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0.03</w:t>
            </w:r>
          </w:p>
        </w:tc>
        <w:tc>
          <w:tcPr>
            <w:tcW w:w="709" w:type="dxa"/>
            <w:tcBorders>
              <w:top w:val="nil"/>
              <w:left w:val="nil"/>
              <w:bottom w:val="nil"/>
              <w:right w:val="nil"/>
            </w:tcBorders>
            <w:shd w:val="clear" w:color="auto" w:fill="auto"/>
            <w:noWrap/>
            <w:vAlign w:val="center"/>
            <w:hideMark/>
          </w:tcPr>
          <w:p w14:paraId="0FE9A79B"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7.15</w:t>
            </w:r>
          </w:p>
        </w:tc>
        <w:tc>
          <w:tcPr>
            <w:tcW w:w="851" w:type="dxa"/>
            <w:tcBorders>
              <w:top w:val="nil"/>
              <w:left w:val="nil"/>
              <w:bottom w:val="nil"/>
              <w:right w:val="nil"/>
            </w:tcBorders>
            <w:shd w:val="clear" w:color="auto" w:fill="auto"/>
            <w:noWrap/>
            <w:vAlign w:val="center"/>
            <w:hideMark/>
          </w:tcPr>
          <w:p w14:paraId="11CF8D40"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1.30</w:t>
            </w:r>
          </w:p>
        </w:tc>
        <w:tc>
          <w:tcPr>
            <w:tcW w:w="708" w:type="dxa"/>
            <w:tcBorders>
              <w:top w:val="nil"/>
              <w:left w:val="nil"/>
              <w:bottom w:val="nil"/>
              <w:right w:val="nil"/>
            </w:tcBorders>
            <w:shd w:val="clear" w:color="auto" w:fill="auto"/>
            <w:noWrap/>
            <w:vAlign w:val="center"/>
            <w:hideMark/>
          </w:tcPr>
          <w:p w14:paraId="626A7C9B"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0.75</w:t>
            </w:r>
          </w:p>
        </w:tc>
        <w:tc>
          <w:tcPr>
            <w:tcW w:w="960" w:type="dxa"/>
            <w:tcBorders>
              <w:top w:val="nil"/>
              <w:left w:val="nil"/>
              <w:bottom w:val="nil"/>
              <w:right w:val="single" w:sz="8" w:space="0" w:color="002060"/>
            </w:tcBorders>
            <w:shd w:val="clear" w:color="auto" w:fill="auto"/>
            <w:noWrap/>
            <w:vAlign w:val="center"/>
            <w:hideMark/>
          </w:tcPr>
          <w:p w14:paraId="2A3B3488"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1.92</w:t>
            </w:r>
          </w:p>
        </w:tc>
      </w:tr>
      <w:tr w:rsidR="00AE564D" w:rsidRPr="00643662" w14:paraId="4FB0B45E" w14:textId="77777777" w:rsidTr="00643662">
        <w:trPr>
          <w:trHeight w:val="300"/>
          <w:jc w:val="center"/>
        </w:trPr>
        <w:tc>
          <w:tcPr>
            <w:tcW w:w="963" w:type="dxa"/>
            <w:vMerge/>
            <w:tcBorders>
              <w:top w:val="single" w:sz="8" w:space="0" w:color="002060"/>
              <w:left w:val="single" w:sz="8" w:space="0" w:color="002060"/>
              <w:bottom w:val="single" w:sz="8" w:space="0" w:color="FFFFFF"/>
              <w:right w:val="single" w:sz="8" w:space="0" w:color="002060"/>
            </w:tcBorders>
            <w:vAlign w:val="center"/>
            <w:hideMark/>
          </w:tcPr>
          <w:p w14:paraId="0A275AF9"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nil"/>
              <w:right w:val="single" w:sz="8" w:space="0" w:color="002060"/>
            </w:tcBorders>
            <w:shd w:val="clear" w:color="auto" w:fill="auto"/>
            <w:noWrap/>
            <w:vAlign w:val="center"/>
            <w:hideMark/>
          </w:tcPr>
          <w:p w14:paraId="22D9C37F"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Arcadia Downs</w:t>
            </w:r>
          </w:p>
        </w:tc>
        <w:tc>
          <w:tcPr>
            <w:tcW w:w="709" w:type="dxa"/>
            <w:tcBorders>
              <w:top w:val="nil"/>
              <w:left w:val="nil"/>
              <w:bottom w:val="nil"/>
              <w:right w:val="nil"/>
            </w:tcBorders>
            <w:shd w:val="clear" w:color="auto" w:fill="auto"/>
            <w:noWrap/>
            <w:vAlign w:val="center"/>
            <w:hideMark/>
          </w:tcPr>
          <w:p w14:paraId="172DAC17"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186</w:t>
            </w:r>
          </w:p>
        </w:tc>
        <w:tc>
          <w:tcPr>
            <w:tcW w:w="709" w:type="dxa"/>
            <w:tcBorders>
              <w:top w:val="nil"/>
              <w:left w:val="nil"/>
              <w:bottom w:val="nil"/>
              <w:right w:val="nil"/>
            </w:tcBorders>
            <w:shd w:val="clear" w:color="auto" w:fill="auto"/>
            <w:noWrap/>
            <w:vAlign w:val="center"/>
            <w:hideMark/>
          </w:tcPr>
          <w:p w14:paraId="4E2FB6BC"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1.57</w:t>
            </w:r>
          </w:p>
        </w:tc>
        <w:tc>
          <w:tcPr>
            <w:tcW w:w="709" w:type="dxa"/>
            <w:tcBorders>
              <w:top w:val="nil"/>
              <w:left w:val="nil"/>
              <w:bottom w:val="nil"/>
              <w:right w:val="nil"/>
            </w:tcBorders>
            <w:shd w:val="clear" w:color="auto" w:fill="auto"/>
            <w:noWrap/>
            <w:vAlign w:val="center"/>
            <w:hideMark/>
          </w:tcPr>
          <w:p w14:paraId="178235F9"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1.51</w:t>
            </w:r>
          </w:p>
        </w:tc>
        <w:tc>
          <w:tcPr>
            <w:tcW w:w="708" w:type="dxa"/>
            <w:tcBorders>
              <w:top w:val="nil"/>
              <w:left w:val="nil"/>
              <w:bottom w:val="nil"/>
              <w:right w:val="nil"/>
            </w:tcBorders>
            <w:shd w:val="clear" w:color="auto" w:fill="auto"/>
            <w:noWrap/>
            <w:vAlign w:val="center"/>
            <w:hideMark/>
          </w:tcPr>
          <w:p w14:paraId="795D459B"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0.02</w:t>
            </w:r>
          </w:p>
        </w:tc>
        <w:tc>
          <w:tcPr>
            <w:tcW w:w="709" w:type="dxa"/>
            <w:tcBorders>
              <w:top w:val="nil"/>
              <w:left w:val="nil"/>
              <w:bottom w:val="nil"/>
              <w:right w:val="nil"/>
            </w:tcBorders>
            <w:shd w:val="clear" w:color="auto" w:fill="auto"/>
            <w:noWrap/>
            <w:vAlign w:val="center"/>
            <w:hideMark/>
          </w:tcPr>
          <w:p w14:paraId="0A443556"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10.9</w:t>
            </w:r>
          </w:p>
        </w:tc>
        <w:tc>
          <w:tcPr>
            <w:tcW w:w="851" w:type="dxa"/>
            <w:tcBorders>
              <w:top w:val="nil"/>
              <w:left w:val="nil"/>
              <w:bottom w:val="nil"/>
              <w:right w:val="nil"/>
            </w:tcBorders>
            <w:shd w:val="clear" w:color="auto" w:fill="auto"/>
            <w:noWrap/>
            <w:vAlign w:val="center"/>
            <w:hideMark/>
          </w:tcPr>
          <w:p w14:paraId="75BED89D"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1.37</w:t>
            </w:r>
          </w:p>
        </w:tc>
        <w:tc>
          <w:tcPr>
            <w:tcW w:w="708" w:type="dxa"/>
            <w:tcBorders>
              <w:top w:val="nil"/>
              <w:left w:val="nil"/>
              <w:bottom w:val="nil"/>
              <w:right w:val="nil"/>
            </w:tcBorders>
            <w:shd w:val="clear" w:color="auto" w:fill="auto"/>
            <w:noWrap/>
            <w:vAlign w:val="center"/>
            <w:hideMark/>
          </w:tcPr>
          <w:p w14:paraId="3588FDF7"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0.85</w:t>
            </w:r>
          </w:p>
        </w:tc>
        <w:tc>
          <w:tcPr>
            <w:tcW w:w="960" w:type="dxa"/>
            <w:tcBorders>
              <w:top w:val="nil"/>
              <w:left w:val="nil"/>
              <w:bottom w:val="nil"/>
              <w:right w:val="single" w:sz="8" w:space="0" w:color="002060"/>
            </w:tcBorders>
            <w:shd w:val="clear" w:color="auto" w:fill="auto"/>
            <w:noWrap/>
            <w:vAlign w:val="center"/>
            <w:hideMark/>
          </w:tcPr>
          <w:p w14:paraId="6383BB2E"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1.80</w:t>
            </w:r>
          </w:p>
        </w:tc>
      </w:tr>
      <w:tr w:rsidR="00AE564D" w:rsidRPr="00643662" w14:paraId="4F660B62" w14:textId="77777777" w:rsidTr="00643662">
        <w:trPr>
          <w:trHeight w:val="300"/>
          <w:jc w:val="center"/>
        </w:trPr>
        <w:tc>
          <w:tcPr>
            <w:tcW w:w="963" w:type="dxa"/>
            <w:vMerge/>
            <w:tcBorders>
              <w:top w:val="single" w:sz="8" w:space="0" w:color="002060"/>
              <w:left w:val="single" w:sz="8" w:space="0" w:color="002060"/>
              <w:bottom w:val="single" w:sz="8" w:space="0" w:color="FFFFFF"/>
              <w:right w:val="single" w:sz="8" w:space="0" w:color="002060"/>
            </w:tcBorders>
            <w:vAlign w:val="center"/>
            <w:hideMark/>
          </w:tcPr>
          <w:p w14:paraId="49046020"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nil"/>
              <w:right w:val="single" w:sz="8" w:space="0" w:color="002060"/>
            </w:tcBorders>
            <w:shd w:val="clear" w:color="auto" w:fill="auto"/>
            <w:noWrap/>
            <w:vAlign w:val="center"/>
            <w:hideMark/>
          </w:tcPr>
          <w:p w14:paraId="47E88DA2"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Shepparton GC</w:t>
            </w:r>
          </w:p>
        </w:tc>
        <w:tc>
          <w:tcPr>
            <w:tcW w:w="709" w:type="dxa"/>
            <w:tcBorders>
              <w:top w:val="nil"/>
              <w:left w:val="nil"/>
              <w:bottom w:val="nil"/>
              <w:right w:val="nil"/>
            </w:tcBorders>
            <w:shd w:val="clear" w:color="auto" w:fill="auto"/>
            <w:noWrap/>
            <w:vAlign w:val="center"/>
            <w:hideMark/>
          </w:tcPr>
          <w:p w14:paraId="3F8E49CE"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182</w:t>
            </w:r>
          </w:p>
        </w:tc>
        <w:tc>
          <w:tcPr>
            <w:tcW w:w="709" w:type="dxa"/>
            <w:tcBorders>
              <w:top w:val="nil"/>
              <w:left w:val="nil"/>
              <w:bottom w:val="nil"/>
              <w:right w:val="nil"/>
            </w:tcBorders>
            <w:shd w:val="clear" w:color="auto" w:fill="auto"/>
            <w:noWrap/>
            <w:vAlign w:val="center"/>
            <w:hideMark/>
          </w:tcPr>
          <w:p w14:paraId="50B24864"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1.27</w:t>
            </w:r>
          </w:p>
        </w:tc>
        <w:tc>
          <w:tcPr>
            <w:tcW w:w="709" w:type="dxa"/>
            <w:tcBorders>
              <w:top w:val="nil"/>
              <w:left w:val="nil"/>
              <w:bottom w:val="nil"/>
              <w:right w:val="nil"/>
            </w:tcBorders>
            <w:shd w:val="clear" w:color="auto" w:fill="auto"/>
            <w:noWrap/>
            <w:vAlign w:val="center"/>
            <w:hideMark/>
          </w:tcPr>
          <w:p w14:paraId="628FF506"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1.30</w:t>
            </w:r>
          </w:p>
        </w:tc>
        <w:tc>
          <w:tcPr>
            <w:tcW w:w="708" w:type="dxa"/>
            <w:tcBorders>
              <w:top w:val="nil"/>
              <w:left w:val="nil"/>
              <w:bottom w:val="nil"/>
              <w:right w:val="nil"/>
            </w:tcBorders>
            <w:shd w:val="clear" w:color="auto" w:fill="auto"/>
            <w:noWrap/>
            <w:vAlign w:val="center"/>
            <w:hideMark/>
          </w:tcPr>
          <w:p w14:paraId="47B7D912"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0.02</w:t>
            </w:r>
          </w:p>
        </w:tc>
        <w:tc>
          <w:tcPr>
            <w:tcW w:w="709" w:type="dxa"/>
            <w:tcBorders>
              <w:top w:val="nil"/>
              <w:left w:val="nil"/>
              <w:bottom w:val="nil"/>
              <w:right w:val="nil"/>
            </w:tcBorders>
            <w:shd w:val="clear" w:color="auto" w:fill="auto"/>
            <w:noWrap/>
            <w:vAlign w:val="center"/>
            <w:hideMark/>
          </w:tcPr>
          <w:p w14:paraId="730F64F9"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9.93</w:t>
            </w:r>
          </w:p>
        </w:tc>
        <w:tc>
          <w:tcPr>
            <w:tcW w:w="851" w:type="dxa"/>
            <w:tcBorders>
              <w:top w:val="nil"/>
              <w:left w:val="nil"/>
              <w:bottom w:val="nil"/>
              <w:right w:val="nil"/>
            </w:tcBorders>
            <w:shd w:val="clear" w:color="auto" w:fill="auto"/>
            <w:noWrap/>
            <w:vAlign w:val="center"/>
            <w:hideMark/>
          </w:tcPr>
          <w:p w14:paraId="30A191B4"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1.03</w:t>
            </w:r>
          </w:p>
        </w:tc>
        <w:tc>
          <w:tcPr>
            <w:tcW w:w="708" w:type="dxa"/>
            <w:tcBorders>
              <w:top w:val="nil"/>
              <w:left w:val="nil"/>
              <w:bottom w:val="nil"/>
              <w:right w:val="nil"/>
            </w:tcBorders>
            <w:shd w:val="clear" w:color="auto" w:fill="auto"/>
            <w:noWrap/>
            <w:vAlign w:val="center"/>
            <w:hideMark/>
          </w:tcPr>
          <w:p w14:paraId="415F79F0"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0.68</w:t>
            </w:r>
          </w:p>
        </w:tc>
        <w:tc>
          <w:tcPr>
            <w:tcW w:w="960" w:type="dxa"/>
            <w:tcBorders>
              <w:top w:val="nil"/>
              <w:left w:val="nil"/>
              <w:bottom w:val="nil"/>
              <w:right w:val="single" w:sz="8" w:space="0" w:color="002060"/>
            </w:tcBorders>
            <w:shd w:val="clear" w:color="auto" w:fill="auto"/>
            <w:noWrap/>
            <w:vAlign w:val="center"/>
            <w:hideMark/>
          </w:tcPr>
          <w:p w14:paraId="06D5B3F9"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1.43</w:t>
            </w:r>
          </w:p>
        </w:tc>
      </w:tr>
      <w:tr w:rsidR="00AE564D" w:rsidRPr="00643662" w14:paraId="42D9F6A5" w14:textId="77777777" w:rsidTr="00643662">
        <w:trPr>
          <w:trHeight w:val="300"/>
          <w:jc w:val="center"/>
        </w:trPr>
        <w:tc>
          <w:tcPr>
            <w:tcW w:w="963" w:type="dxa"/>
            <w:vMerge/>
            <w:tcBorders>
              <w:top w:val="single" w:sz="8" w:space="0" w:color="002060"/>
              <w:left w:val="single" w:sz="8" w:space="0" w:color="002060"/>
              <w:bottom w:val="single" w:sz="8" w:space="0" w:color="FFFFFF"/>
              <w:right w:val="single" w:sz="8" w:space="0" w:color="002060"/>
            </w:tcBorders>
            <w:vAlign w:val="center"/>
            <w:hideMark/>
          </w:tcPr>
          <w:p w14:paraId="18CF83B9"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nil"/>
              <w:right w:val="single" w:sz="8" w:space="0" w:color="002060"/>
            </w:tcBorders>
            <w:shd w:val="clear" w:color="auto" w:fill="auto"/>
            <w:noWrap/>
            <w:vAlign w:val="center"/>
            <w:hideMark/>
          </w:tcPr>
          <w:p w14:paraId="6BFD10DE"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Loch Garry</w:t>
            </w:r>
          </w:p>
        </w:tc>
        <w:tc>
          <w:tcPr>
            <w:tcW w:w="709" w:type="dxa"/>
            <w:tcBorders>
              <w:top w:val="nil"/>
              <w:left w:val="nil"/>
              <w:bottom w:val="nil"/>
              <w:right w:val="nil"/>
            </w:tcBorders>
            <w:shd w:val="clear" w:color="auto" w:fill="auto"/>
            <w:noWrap/>
            <w:vAlign w:val="center"/>
            <w:hideMark/>
          </w:tcPr>
          <w:p w14:paraId="667D0B7C"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473</w:t>
            </w:r>
          </w:p>
        </w:tc>
        <w:tc>
          <w:tcPr>
            <w:tcW w:w="709" w:type="dxa"/>
            <w:tcBorders>
              <w:top w:val="nil"/>
              <w:left w:val="nil"/>
              <w:bottom w:val="nil"/>
              <w:right w:val="nil"/>
            </w:tcBorders>
            <w:shd w:val="clear" w:color="auto" w:fill="auto"/>
            <w:noWrap/>
            <w:vAlign w:val="center"/>
            <w:hideMark/>
          </w:tcPr>
          <w:p w14:paraId="662E712E"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1.60</w:t>
            </w:r>
          </w:p>
        </w:tc>
        <w:tc>
          <w:tcPr>
            <w:tcW w:w="709" w:type="dxa"/>
            <w:tcBorders>
              <w:top w:val="nil"/>
              <w:left w:val="nil"/>
              <w:bottom w:val="nil"/>
              <w:right w:val="nil"/>
            </w:tcBorders>
            <w:shd w:val="clear" w:color="auto" w:fill="auto"/>
            <w:noWrap/>
            <w:vAlign w:val="center"/>
            <w:hideMark/>
          </w:tcPr>
          <w:p w14:paraId="1EB8E973"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1.61</w:t>
            </w:r>
          </w:p>
        </w:tc>
        <w:tc>
          <w:tcPr>
            <w:tcW w:w="708" w:type="dxa"/>
            <w:tcBorders>
              <w:top w:val="nil"/>
              <w:left w:val="nil"/>
              <w:bottom w:val="nil"/>
              <w:right w:val="nil"/>
            </w:tcBorders>
            <w:shd w:val="clear" w:color="auto" w:fill="auto"/>
            <w:noWrap/>
            <w:vAlign w:val="center"/>
            <w:hideMark/>
          </w:tcPr>
          <w:p w14:paraId="36E09E4B"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0.05</w:t>
            </w:r>
          </w:p>
        </w:tc>
        <w:tc>
          <w:tcPr>
            <w:tcW w:w="709" w:type="dxa"/>
            <w:tcBorders>
              <w:top w:val="nil"/>
              <w:left w:val="nil"/>
              <w:bottom w:val="nil"/>
              <w:right w:val="nil"/>
            </w:tcBorders>
            <w:shd w:val="clear" w:color="auto" w:fill="auto"/>
            <w:noWrap/>
            <w:vAlign w:val="center"/>
            <w:hideMark/>
          </w:tcPr>
          <w:p w14:paraId="622581F4"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25.73</w:t>
            </w:r>
          </w:p>
        </w:tc>
        <w:tc>
          <w:tcPr>
            <w:tcW w:w="851" w:type="dxa"/>
            <w:tcBorders>
              <w:top w:val="nil"/>
              <w:left w:val="nil"/>
              <w:bottom w:val="nil"/>
              <w:right w:val="nil"/>
            </w:tcBorders>
            <w:shd w:val="clear" w:color="auto" w:fill="auto"/>
            <w:noWrap/>
            <w:vAlign w:val="center"/>
            <w:hideMark/>
          </w:tcPr>
          <w:p w14:paraId="53F75E42"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1.28</w:t>
            </w:r>
          </w:p>
        </w:tc>
        <w:tc>
          <w:tcPr>
            <w:tcW w:w="708" w:type="dxa"/>
            <w:tcBorders>
              <w:top w:val="nil"/>
              <w:left w:val="nil"/>
              <w:bottom w:val="nil"/>
              <w:right w:val="nil"/>
            </w:tcBorders>
            <w:shd w:val="clear" w:color="auto" w:fill="auto"/>
            <w:noWrap/>
            <w:vAlign w:val="center"/>
            <w:hideMark/>
          </w:tcPr>
          <w:p w14:paraId="53E7E40A"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0.86</w:t>
            </w:r>
          </w:p>
        </w:tc>
        <w:tc>
          <w:tcPr>
            <w:tcW w:w="960" w:type="dxa"/>
            <w:tcBorders>
              <w:top w:val="nil"/>
              <w:left w:val="nil"/>
              <w:bottom w:val="nil"/>
              <w:right w:val="single" w:sz="8" w:space="0" w:color="002060"/>
            </w:tcBorders>
            <w:shd w:val="clear" w:color="auto" w:fill="auto"/>
            <w:noWrap/>
            <w:vAlign w:val="center"/>
            <w:hideMark/>
          </w:tcPr>
          <w:p w14:paraId="02243A37"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2.02</w:t>
            </w:r>
          </w:p>
        </w:tc>
      </w:tr>
      <w:tr w:rsidR="00AE564D" w:rsidRPr="00643662" w14:paraId="297C0536" w14:textId="77777777" w:rsidTr="00643662">
        <w:trPr>
          <w:trHeight w:val="315"/>
          <w:jc w:val="center"/>
        </w:trPr>
        <w:tc>
          <w:tcPr>
            <w:tcW w:w="963" w:type="dxa"/>
            <w:vMerge/>
            <w:tcBorders>
              <w:top w:val="single" w:sz="8" w:space="0" w:color="002060"/>
              <w:left w:val="single" w:sz="8" w:space="0" w:color="002060"/>
              <w:bottom w:val="single" w:sz="8" w:space="0" w:color="FFFFFF"/>
              <w:right w:val="single" w:sz="8" w:space="0" w:color="002060"/>
            </w:tcBorders>
            <w:vAlign w:val="center"/>
            <w:hideMark/>
          </w:tcPr>
          <w:p w14:paraId="3ED7E74B"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nil"/>
              <w:right w:val="single" w:sz="8" w:space="0" w:color="002060"/>
            </w:tcBorders>
            <w:shd w:val="clear" w:color="auto" w:fill="auto"/>
            <w:noWrap/>
            <w:vAlign w:val="center"/>
            <w:hideMark/>
          </w:tcPr>
          <w:p w14:paraId="7BD1006F"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McCoy's Bridge</w:t>
            </w:r>
          </w:p>
        </w:tc>
        <w:tc>
          <w:tcPr>
            <w:tcW w:w="709" w:type="dxa"/>
            <w:tcBorders>
              <w:top w:val="nil"/>
              <w:left w:val="nil"/>
              <w:bottom w:val="single" w:sz="8" w:space="0" w:color="002060"/>
              <w:right w:val="nil"/>
            </w:tcBorders>
            <w:shd w:val="clear" w:color="auto" w:fill="auto"/>
            <w:noWrap/>
            <w:vAlign w:val="center"/>
            <w:hideMark/>
          </w:tcPr>
          <w:p w14:paraId="1C0A9A83"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1379</w:t>
            </w:r>
          </w:p>
        </w:tc>
        <w:tc>
          <w:tcPr>
            <w:tcW w:w="709" w:type="dxa"/>
            <w:tcBorders>
              <w:top w:val="nil"/>
              <w:left w:val="nil"/>
              <w:bottom w:val="single" w:sz="8" w:space="0" w:color="002060"/>
              <w:right w:val="nil"/>
            </w:tcBorders>
            <w:shd w:val="clear" w:color="auto" w:fill="auto"/>
            <w:noWrap/>
            <w:vAlign w:val="center"/>
            <w:hideMark/>
          </w:tcPr>
          <w:p w14:paraId="5DD6548D"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1.40</w:t>
            </w:r>
          </w:p>
        </w:tc>
        <w:tc>
          <w:tcPr>
            <w:tcW w:w="709" w:type="dxa"/>
            <w:tcBorders>
              <w:top w:val="nil"/>
              <w:left w:val="nil"/>
              <w:bottom w:val="single" w:sz="8" w:space="0" w:color="002060"/>
              <w:right w:val="nil"/>
            </w:tcBorders>
            <w:shd w:val="clear" w:color="auto" w:fill="auto"/>
            <w:noWrap/>
            <w:vAlign w:val="center"/>
            <w:hideMark/>
          </w:tcPr>
          <w:p w14:paraId="02769193"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0.86</w:t>
            </w:r>
          </w:p>
        </w:tc>
        <w:tc>
          <w:tcPr>
            <w:tcW w:w="708" w:type="dxa"/>
            <w:tcBorders>
              <w:top w:val="nil"/>
              <w:left w:val="nil"/>
              <w:bottom w:val="single" w:sz="8" w:space="0" w:color="002060"/>
              <w:right w:val="nil"/>
            </w:tcBorders>
            <w:shd w:val="clear" w:color="auto" w:fill="auto"/>
            <w:noWrap/>
            <w:vAlign w:val="center"/>
            <w:hideMark/>
          </w:tcPr>
          <w:p w14:paraId="19BB5A8B"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0.01</w:t>
            </w:r>
          </w:p>
        </w:tc>
        <w:tc>
          <w:tcPr>
            <w:tcW w:w="709" w:type="dxa"/>
            <w:tcBorders>
              <w:top w:val="nil"/>
              <w:left w:val="nil"/>
              <w:bottom w:val="single" w:sz="8" w:space="0" w:color="002060"/>
              <w:right w:val="nil"/>
            </w:tcBorders>
            <w:shd w:val="clear" w:color="auto" w:fill="auto"/>
            <w:noWrap/>
            <w:vAlign w:val="center"/>
            <w:hideMark/>
          </w:tcPr>
          <w:p w14:paraId="438D4B6F"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11.62</w:t>
            </w:r>
          </w:p>
        </w:tc>
        <w:tc>
          <w:tcPr>
            <w:tcW w:w="851" w:type="dxa"/>
            <w:tcBorders>
              <w:top w:val="nil"/>
              <w:left w:val="nil"/>
              <w:bottom w:val="single" w:sz="8" w:space="0" w:color="002060"/>
              <w:right w:val="nil"/>
            </w:tcBorders>
            <w:shd w:val="clear" w:color="auto" w:fill="auto"/>
            <w:noWrap/>
            <w:vAlign w:val="center"/>
            <w:hideMark/>
          </w:tcPr>
          <w:p w14:paraId="1E93B000"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1.26</w:t>
            </w:r>
          </w:p>
        </w:tc>
        <w:tc>
          <w:tcPr>
            <w:tcW w:w="708" w:type="dxa"/>
            <w:tcBorders>
              <w:top w:val="nil"/>
              <w:left w:val="nil"/>
              <w:bottom w:val="single" w:sz="8" w:space="0" w:color="002060"/>
              <w:right w:val="nil"/>
            </w:tcBorders>
            <w:shd w:val="clear" w:color="auto" w:fill="auto"/>
            <w:noWrap/>
            <w:vAlign w:val="center"/>
            <w:hideMark/>
          </w:tcPr>
          <w:p w14:paraId="22D3BF34"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0.88</w:t>
            </w:r>
          </w:p>
        </w:tc>
        <w:tc>
          <w:tcPr>
            <w:tcW w:w="960" w:type="dxa"/>
            <w:tcBorders>
              <w:top w:val="nil"/>
              <w:left w:val="nil"/>
              <w:bottom w:val="single" w:sz="8" w:space="0" w:color="002060"/>
              <w:right w:val="single" w:sz="8" w:space="0" w:color="002060"/>
            </w:tcBorders>
            <w:shd w:val="clear" w:color="auto" w:fill="auto"/>
            <w:noWrap/>
            <w:vAlign w:val="center"/>
            <w:hideMark/>
          </w:tcPr>
          <w:p w14:paraId="305AE125"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1.72</w:t>
            </w:r>
          </w:p>
        </w:tc>
      </w:tr>
      <w:tr w:rsidR="00AE564D" w:rsidRPr="00643662" w14:paraId="275BAA6C" w14:textId="77777777" w:rsidTr="00643662">
        <w:trPr>
          <w:trHeight w:val="454"/>
          <w:jc w:val="center"/>
        </w:trPr>
        <w:tc>
          <w:tcPr>
            <w:tcW w:w="963" w:type="dxa"/>
            <w:vMerge w:val="restart"/>
            <w:tcBorders>
              <w:top w:val="nil"/>
              <w:left w:val="single" w:sz="8" w:space="0" w:color="002060"/>
              <w:bottom w:val="single" w:sz="8" w:space="0" w:color="002060"/>
              <w:right w:val="single" w:sz="8" w:space="0" w:color="002060"/>
            </w:tcBorders>
            <w:shd w:val="clear" w:color="000000" w:fill="002060"/>
            <w:noWrap/>
            <w:vAlign w:val="center"/>
            <w:hideMark/>
          </w:tcPr>
          <w:p w14:paraId="15E0A802" w14:textId="77777777" w:rsidR="00AE564D" w:rsidRPr="00643662" w:rsidRDefault="00AE564D" w:rsidP="00E26D3C">
            <w:pPr>
              <w:spacing w:after="0" w:line="240" w:lineRule="auto"/>
              <w:jc w:val="center"/>
              <w:rPr>
                <w:rFonts w:eastAsia="Times New Roman" w:cstheme="minorHAnsi"/>
                <w:color w:val="FFFFFF"/>
                <w:sz w:val="18"/>
                <w:szCs w:val="18"/>
                <w:lang w:eastAsia="en-AU"/>
              </w:rPr>
            </w:pPr>
            <w:r w:rsidRPr="00643662">
              <w:rPr>
                <w:rFonts w:eastAsia="Times New Roman" w:cstheme="minorHAnsi"/>
                <w:color w:val="FFFFFF"/>
                <w:sz w:val="18"/>
                <w:szCs w:val="18"/>
                <w:lang w:eastAsia="en-AU"/>
              </w:rPr>
              <w:t>ER</w:t>
            </w:r>
          </w:p>
        </w:tc>
        <w:tc>
          <w:tcPr>
            <w:tcW w:w="1305" w:type="dxa"/>
            <w:tcBorders>
              <w:top w:val="single" w:sz="8" w:space="0" w:color="002060"/>
              <w:left w:val="nil"/>
              <w:bottom w:val="nil"/>
              <w:right w:val="single" w:sz="8" w:space="0" w:color="002060"/>
            </w:tcBorders>
            <w:shd w:val="clear" w:color="auto" w:fill="auto"/>
            <w:noWrap/>
            <w:vAlign w:val="center"/>
            <w:hideMark/>
          </w:tcPr>
          <w:p w14:paraId="669A21D3" w14:textId="77777777" w:rsidR="00AE564D" w:rsidRPr="00643662" w:rsidRDefault="00AE564D" w:rsidP="00E26D3C">
            <w:pPr>
              <w:spacing w:after="0" w:line="240" w:lineRule="auto"/>
              <w:jc w:val="center"/>
              <w:rPr>
                <w:rFonts w:eastAsia="Times New Roman" w:cstheme="minorHAnsi"/>
                <w:b/>
                <w:bCs/>
                <w:color w:val="000000"/>
                <w:sz w:val="18"/>
                <w:szCs w:val="18"/>
                <w:lang w:eastAsia="en-AU"/>
              </w:rPr>
            </w:pPr>
            <w:r w:rsidRPr="00643662">
              <w:rPr>
                <w:rFonts w:eastAsia="Times New Roman" w:cstheme="minorHAnsi"/>
                <w:b/>
                <w:bCs/>
                <w:color w:val="000000"/>
                <w:sz w:val="18"/>
                <w:szCs w:val="18"/>
                <w:lang w:eastAsia="en-AU"/>
              </w:rPr>
              <w:t>ALL</w:t>
            </w:r>
          </w:p>
        </w:tc>
        <w:tc>
          <w:tcPr>
            <w:tcW w:w="709" w:type="dxa"/>
            <w:tcBorders>
              <w:top w:val="nil"/>
              <w:left w:val="nil"/>
              <w:bottom w:val="nil"/>
              <w:right w:val="nil"/>
            </w:tcBorders>
            <w:shd w:val="clear" w:color="auto" w:fill="auto"/>
            <w:noWrap/>
            <w:vAlign w:val="center"/>
            <w:hideMark/>
          </w:tcPr>
          <w:p w14:paraId="42109855"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3238</w:t>
            </w:r>
          </w:p>
        </w:tc>
        <w:tc>
          <w:tcPr>
            <w:tcW w:w="709" w:type="dxa"/>
            <w:tcBorders>
              <w:top w:val="nil"/>
              <w:left w:val="nil"/>
              <w:bottom w:val="nil"/>
              <w:right w:val="nil"/>
            </w:tcBorders>
            <w:shd w:val="clear" w:color="auto" w:fill="auto"/>
            <w:noWrap/>
            <w:vAlign w:val="center"/>
            <w:hideMark/>
          </w:tcPr>
          <w:p w14:paraId="11B0D850"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3.61</w:t>
            </w:r>
          </w:p>
        </w:tc>
        <w:tc>
          <w:tcPr>
            <w:tcW w:w="709" w:type="dxa"/>
            <w:tcBorders>
              <w:top w:val="nil"/>
              <w:left w:val="nil"/>
              <w:bottom w:val="nil"/>
              <w:right w:val="nil"/>
            </w:tcBorders>
            <w:shd w:val="clear" w:color="auto" w:fill="auto"/>
            <w:noWrap/>
            <w:vAlign w:val="center"/>
            <w:hideMark/>
          </w:tcPr>
          <w:p w14:paraId="486729F6"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3.72</w:t>
            </w:r>
          </w:p>
        </w:tc>
        <w:tc>
          <w:tcPr>
            <w:tcW w:w="708" w:type="dxa"/>
            <w:tcBorders>
              <w:top w:val="nil"/>
              <w:left w:val="nil"/>
              <w:bottom w:val="nil"/>
              <w:right w:val="nil"/>
            </w:tcBorders>
            <w:shd w:val="clear" w:color="auto" w:fill="auto"/>
            <w:noWrap/>
            <w:vAlign w:val="center"/>
            <w:hideMark/>
          </w:tcPr>
          <w:p w14:paraId="38C1A559"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0.03</w:t>
            </w:r>
          </w:p>
        </w:tc>
        <w:tc>
          <w:tcPr>
            <w:tcW w:w="709" w:type="dxa"/>
            <w:tcBorders>
              <w:top w:val="nil"/>
              <w:left w:val="nil"/>
              <w:bottom w:val="nil"/>
              <w:right w:val="nil"/>
            </w:tcBorders>
            <w:shd w:val="clear" w:color="auto" w:fill="auto"/>
            <w:noWrap/>
            <w:vAlign w:val="center"/>
            <w:hideMark/>
          </w:tcPr>
          <w:p w14:paraId="77F11F25"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48.1</w:t>
            </w:r>
          </w:p>
        </w:tc>
        <w:tc>
          <w:tcPr>
            <w:tcW w:w="851" w:type="dxa"/>
            <w:tcBorders>
              <w:top w:val="nil"/>
              <w:left w:val="nil"/>
              <w:bottom w:val="nil"/>
              <w:right w:val="nil"/>
            </w:tcBorders>
            <w:shd w:val="clear" w:color="auto" w:fill="auto"/>
            <w:noWrap/>
            <w:vAlign w:val="center"/>
            <w:hideMark/>
          </w:tcPr>
          <w:p w14:paraId="7844CA25"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2.56</w:t>
            </w:r>
          </w:p>
        </w:tc>
        <w:tc>
          <w:tcPr>
            <w:tcW w:w="708" w:type="dxa"/>
            <w:tcBorders>
              <w:top w:val="nil"/>
              <w:left w:val="nil"/>
              <w:bottom w:val="nil"/>
              <w:right w:val="nil"/>
            </w:tcBorders>
            <w:shd w:val="clear" w:color="auto" w:fill="auto"/>
            <w:noWrap/>
            <w:vAlign w:val="center"/>
            <w:hideMark/>
          </w:tcPr>
          <w:p w14:paraId="020BE974"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1.60</w:t>
            </w:r>
          </w:p>
        </w:tc>
        <w:tc>
          <w:tcPr>
            <w:tcW w:w="960" w:type="dxa"/>
            <w:tcBorders>
              <w:top w:val="nil"/>
              <w:left w:val="nil"/>
              <w:bottom w:val="nil"/>
              <w:right w:val="single" w:sz="8" w:space="0" w:color="002060"/>
            </w:tcBorders>
            <w:shd w:val="clear" w:color="auto" w:fill="auto"/>
            <w:noWrap/>
            <w:vAlign w:val="center"/>
            <w:hideMark/>
          </w:tcPr>
          <w:p w14:paraId="1E07ABEF"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4.28</w:t>
            </w:r>
          </w:p>
        </w:tc>
      </w:tr>
      <w:tr w:rsidR="00AE564D" w:rsidRPr="00643662" w14:paraId="06080CA4" w14:textId="77777777" w:rsidTr="00643662">
        <w:trPr>
          <w:trHeight w:val="300"/>
          <w:jc w:val="center"/>
        </w:trPr>
        <w:tc>
          <w:tcPr>
            <w:tcW w:w="963" w:type="dxa"/>
            <w:vMerge/>
            <w:tcBorders>
              <w:top w:val="nil"/>
              <w:left w:val="single" w:sz="8" w:space="0" w:color="002060"/>
              <w:bottom w:val="single" w:sz="8" w:space="0" w:color="002060"/>
              <w:right w:val="single" w:sz="8" w:space="0" w:color="002060"/>
            </w:tcBorders>
            <w:vAlign w:val="center"/>
            <w:hideMark/>
          </w:tcPr>
          <w:p w14:paraId="02A5BD5E"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nil"/>
              <w:right w:val="single" w:sz="8" w:space="0" w:color="002060"/>
            </w:tcBorders>
            <w:shd w:val="clear" w:color="auto" w:fill="auto"/>
            <w:noWrap/>
            <w:vAlign w:val="center"/>
            <w:hideMark/>
          </w:tcPr>
          <w:p w14:paraId="2B5E613E"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Day Rd / Moss Rd*</w:t>
            </w:r>
          </w:p>
        </w:tc>
        <w:tc>
          <w:tcPr>
            <w:tcW w:w="709" w:type="dxa"/>
            <w:tcBorders>
              <w:top w:val="nil"/>
              <w:left w:val="nil"/>
              <w:bottom w:val="nil"/>
              <w:right w:val="nil"/>
            </w:tcBorders>
            <w:shd w:val="clear" w:color="auto" w:fill="auto"/>
            <w:noWrap/>
            <w:vAlign w:val="center"/>
            <w:hideMark/>
          </w:tcPr>
          <w:p w14:paraId="5EC553CD"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369</w:t>
            </w:r>
          </w:p>
        </w:tc>
        <w:tc>
          <w:tcPr>
            <w:tcW w:w="709" w:type="dxa"/>
            <w:tcBorders>
              <w:top w:val="nil"/>
              <w:left w:val="nil"/>
              <w:bottom w:val="nil"/>
              <w:right w:val="nil"/>
            </w:tcBorders>
            <w:shd w:val="clear" w:color="auto" w:fill="auto"/>
            <w:noWrap/>
            <w:vAlign w:val="center"/>
            <w:hideMark/>
          </w:tcPr>
          <w:p w14:paraId="532CCCDE"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7.04</w:t>
            </w:r>
          </w:p>
        </w:tc>
        <w:tc>
          <w:tcPr>
            <w:tcW w:w="709" w:type="dxa"/>
            <w:tcBorders>
              <w:top w:val="nil"/>
              <w:left w:val="nil"/>
              <w:bottom w:val="nil"/>
              <w:right w:val="nil"/>
            </w:tcBorders>
            <w:shd w:val="clear" w:color="auto" w:fill="auto"/>
            <w:noWrap/>
            <w:vAlign w:val="center"/>
            <w:hideMark/>
          </w:tcPr>
          <w:p w14:paraId="78BC41FA"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6.40</w:t>
            </w:r>
          </w:p>
        </w:tc>
        <w:tc>
          <w:tcPr>
            <w:tcW w:w="708" w:type="dxa"/>
            <w:tcBorders>
              <w:top w:val="nil"/>
              <w:left w:val="nil"/>
              <w:bottom w:val="nil"/>
              <w:right w:val="nil"/>
            </w:tcBorders>
            <w:shd w:val="clear" w:color="auto" w:fill="auto"/>
            <w:noWrap/>
            <w:vAlign w:val="center"/>
            <w:hideMark/>
          </w:tcPr>
          <w:p w14:paraId="693C1226"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0.21</w:t>
            </w:r>
          </w:p>
        </w:tc>
        <w:tc>
          <w:tcPr>
            <w:tcW w:w="709" w:type="dxa"/>
            <w:tcBorders>
              <w:top w:val="nil"/>
              <w:left w:val="nil"/>
              <w:bottom w:val="nil"/>
              <w:right w:val="nil"/>
            </w:tcBorders>
            <w:shd w:val="clear" w:color="auto" w:fill="auto"/>
            <w:noWrap/>
            <w:vAlign w:val="center"/>
            <w:hideMark/>
          </w:tcPr>
          <w:p w14:paraId="40911F3C"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40.7</w:t>
            </w:r>
          </w:p>
        </w:tc>
        <w:tc>
          <w:tcPr>
            <w:tcW w:w="851" w:type="dxa"/>
            <w:tcBorders>
              <w:top w:val="nil"/>
              <w:left w:val="nil"/>
              <w:bottom w:val="nil"/>
              <w:right w:val="nil"/>
            </w:tcBorders>
            <w:shd w:val="clear" w:color="auto" w:fill="auto"/>
            <w:noWrap/>
            <w:vAlign w:val="center"/>
            <w:hideMark/>
          </w:tcPr>
          <w:p w14:paraId="1A681C10"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5.31</w:t>
            </w:r>
          </w:p>
        </w:tc>
        <w:tc>
          <w:tcPr>
            <w:tcW w:w="708" w:type="dxa"/>
            <w:tcBorders>
              <w:top w:val="nil"/>
              <w:left w:val="nil"/>
              <w:bottom w:val="nil"/>
              <w:right w:val="nil"/>
            </w:tcBorders>
            <w:shd w:val="clear" w:color="auto" w:fill="auto"/>
            <w:noWrap/>
            <w:vAlign w:val="center"/>
            <w:hideMark/>
          </w:tcPr>
          <w:p w14:paraId="27094E6E"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2.49</w:t>
            </w:r>
          </w:p>
        </w:tc>
        <w:tc>
          <w:tcPr>
            <w:tcW w:w="960" w:type="dxa"/>
            <w:tcBorders>
              <w:top w:val="nil"/>
              <w:left w:val="nil"/>
              <w:bottom w:val="nil"/>
              <w:right w:val="single" w:sz="8" w:space="0" w:color="002060"/>
            </w:tcBorders>
            <w:shd w:val="clear" w:color="auto" w:fill="auto"/>
            <w:noWrap/>
            <w:vAlign w:val="center"/>
            <w:hideMark/>
          </w:tcPr>
          <w:p w14:paraId="2B12A9C7"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9.35</w:t>
            </w:r>
          </w:p>
        </w:tc>
      </w:tr>
      <w:tr w:rsidR="00AE564D" w:rsidRPr="00643662" w14:paraId="4437DA3B" w14:textId="77777777" w:rsidTr="00643662">
        <w:trPr>
          <w:trHeight w:val="300"/>
          <w:jc w:val="center"/>
        </w:trPr>
        <w:tc>
          <w:tcPr>
            <w:tcW w:w="963" w:type="dxa"/>
            <w:vMerge/>
            <w:tcBorders>
              <w:top w:val="nil"/>
              <w:left w:val="single" w:sz="8" w:space="0" w:color="002060"/>
              <w:bottom w:val="single" w:sz="8" w:space="0" w:color="002060"/>
              <w:right w:val="single" w:sz="8" w:space="0" w:color="002060"/>
            </w:tcBorders>
            <w:vAlign w:val="center"/>
            <w:hideMark/>
          </w:tcPr>
          <w:p w14:paraId="7DD99EC8"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nil"/>
              <w:right w:val="single" w:sz="8" w:space="0" w:color="002060"/>
            </w:tcBorders>
            <w:shd w:val="clear" w:color="auto" w:fill="auto"/>
            <w:noWrap/>
            <w:vAlign w:val="center"/>
            <w:hideMark/>
          </w:tcPr>
          <w:p w14:paraId="20AD4922"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Murchison</w:t>
            </w:r>
          </w:p>
        </w:tc>
        <w:tc>
          <w:tcPr>
            <w:tcW w:w="709" w:type="dxa"/>
            <w:tcBorders>
              <w:top w:val="nil"/>
              <w:left w:val="nil"/>
              <w:bottom w:val="nil"/>
              <w:right w:val="nil"/>
            </w:tcBorders>
            <w:shd w:val="clear" w:color="auto" w:fill="auto"/>
            <w:noWrap/>
            <w:vAlign w:val="center"/>
            <w:hideMark/>
          </w:tcPr>
          <w:p w14:paraId="32DB552D"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185</w:t>
            </w:r>
          </w:p>
        </w:tc>
        <w:tc>
          <w:tcPr>
            <w:tcW w:w="709" w:type="dxa"/>
            <w:tcBorders>
              <w:top w:val="nil"/>
              <w:left w:val="nil"/>
              <w:bottom w:val="nil"/>
              <w:right w:val="nil"/>
            </w:tcBorders>
            <w:shd w:val="clear" w:color="auto" w:fill="auto"/>
            <w:noWrap/>
            <w:vAlign w:val="center"/>
            <w:hideMark/>
          </w:tcPr>
          <w:p w14:paraId="235F5F30"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3.72</w:t>
            </w:r>
          </w:p>
        </w:tc>
        <w:tc>
          <w:tcPr>
            <w:tcW w:w="709" w:type="dxa"/>
            <w:tcBorders>
              <w:top w:val="nil"/>
              <w:left w:val="nil"/>
              <w:bottom w:val="nil"/>
              <w:right w:val="nil"/>
            </w:tcBorders>
            <w:shd w:val="clear" w:color="auto" w:fill="auto"/>
            <w:noWrap/>
            <w:vAlign w:val="center"/>
            <w:hideMark/>
          </w:tcPr>
          <w:p w14:paraId="1CD384FD"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4.19</w:t>
            </w:r>
          </w:p>
        </w:tc>
        <w:tc>
          <w:tcPr>
            <w:tcW w:w="708" w:type="dxa"/>
            <w:tcBorders>
              <w:top w:val="nil"/>
              <w:left w:val="nil"/>
              <w:bottom w:val="nil"/>
              <w:right w:val="nil"/>
            </w:tcBorders>
            <w:shd w:val="clear" w:color="auto" w:fill="auto"/>
            <w:noWrap/>
            <w:vAlign w:val="center"/>
            <w:hideMark/>
          </w:tcPr>
          <w:p w14:paraId="79A19B7F"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0.13</w:t>
            </w:r>
          </w:p>
        </w:tc>
        <w:tc>
          <w:tcPr>
            <w:tcW w:w="709" w:type="dxa"/>
            <w:tcBorders>
              <w:top w:val="nil"/>
              <w:left w:val="nil"/>
              <w:bottom w:val="nil"/>
              <w:right w:val="nil"/>
            </w:tcBorders>
            <w:shd w:val="clear" w:color="auto" w:fill="auto"/>
            <w:noWrap/>
            <w:vAlign w:val="center"/>
            <w:hideMark/>
          </w:tcPr>
          <w:p w14:paraId="47D7632D"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38.9</w:t>
            </w:r>
          </w:p>
        </w:tc>
        <w:tc>
          <w:tcPr>
            <w:tcW w:w="851" w:type="dxa"/>
            <w:tcBorders>
              <w:top w:val="nil"/>
              <w:left w:val="nil"/>
              <w:bottom w:val="nil"/>
              <w:right w:val="nil"/>
            </w:tcBorders>
            <w:shd w:val="clear" w:color="auto" w:fill="auto"/>
            <w:noWrap/>
            <w:vAlign w:val="center"/>
            <w:hideMark/>
          </w:tcPr>
          <w:p w14:paraId="2D04A1EC"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2.86</w:t>
            </w:r>
          </w:p>
        </w:tc>
        <w:tc>
          <w:tcPr>
            <w:tcW w:w="708" w:type="dxa"/>
            <w:tcBorders>
              <w:top w:val="nil"/>
              <w:left w:val="nil"/>
              <w:bottom w:val="nil"/>
              <w:right w:val="nil"/>
            </w:tcBorders>
            <w:shd w:val="clear" w:color="auto" w:fill="auto"/>
            <w:noWrap/>
            <w:vAlign w:val="center"/>
            <w:hideMark/>
          </w:tcPr>
          <w:p w14:paraId="25C495C8"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1.55</w:t>
            </w:r>
          </w:p>
        </w:tc>
        <w:tc>
          <w:tcPr>
            <w:tcW w:w="960" w:type="dxa"/>
            <w:tcBorders>
              <w:top w:val="nil"/>
              <w:left w:val="nil"/>
              <w:bottom w:val="nil"/>
              <w:right w:val="single" w:sz="8" w:space="0" w:color="002060"/>
            </w:tcBorders>
            <w:shd w:val="clear" w:color="auto" w:fill="auto"/>
            <w:noWrap/>
            <w:vAlign w:val="center"/>
            <w:hideMark/>
          </w:tcPr>
          <w:p w14:paraId="01B2D23B"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4.25</w:t>
            </w:r>
          </w:p>
        </w:tc>
      </w:tr>
      <w:tr w:rsidR="00AE564D" w:rsidRPr="00643662" w14:paraId="2BB7AEE0" w14:textId="77777777" w:rsidTr="00643662">
        <w:trPr>
          <w:trHeight w:val="300"/>
          <w:jc w:val="center"/>
        </w:trPr>
        <w:tc>
          <w:tcPr>
            <w:tcW w:w="963" w:type="dxa"/>
            <w:vMerge/>
            <w:tcBorders>
              <w:top w:val="nil"/>
              <w:left w:val="single" w:sz="8" w:space="0" w:color="002060"/>
              <w:bottom w:val="single" w:sz="8" w:space="0" w:color="002060"/>
              <w:right w:val="single" w:sz="8" w:space="0" w:color="002060"/>
            </w:tcBorders>
            <w:vAlign w:val="center"/>
            <w:hideMark/>
          </w:tcPr>
          <w:p w14:paraId="2DBBD723"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nil"/>
              <w:right w:val="single" w:sz="8" w:space="0" w:color="002060"/>
            </w:tcBorders>
            <w:shd w:val="clear" w:color="auto" w:fill="auto"/>
            <w:noWrap/>
            <w:vAlign w:val="center"/>
            <w:hideMark/>
          </w:tcPr>
          <w:p w14:paraId="1A39320F"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Darcy's Track*</w:t>
            </w:r>
          </w:p>
        </w:tc>
        <w:tc>
          <w:tcPr>
            <w:tcW w:w="709" w:type="dxa"/>
            <w:tcBorders>
              <w:top w:val="nil"/>
              <w:left w:val="nil"/>
              <w:bottom w:val="nil"/>
              <w:right w:val="nil"/>
            </w:tcBorders>
            <w:shd w:val="clear" w:color="auto" w:fill="auto"/>
            <w:noWrap/>
            <w:vAlign w:val="center"/>
            <w:hideMark/>
          </w:tcPr>
          <w:p w14:paraId="1F4222D9"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464</w:t>
            </w:r>
          </w:p>
        </w:tc>
        <w:tc>
          <w:tcPr>
            <w:tcW w:w="709" w:type="dxa"/>
            <w:tcBorders>
              <w:top w:val="nil"/>
              <w:left w:val="nil"/>
              <w:bottom w:val="nil"/>
              <w:right w:val="nil"/>
            </w:tcBorders>
            <w:shd w:val="clear" w:color="auto" w:fill="auto"/>
            <w:noWrap/>
            <w:vAlign w:val="center"/>
            <w:hideMark/>
          </w:tcPr>
          <w:p w14:paraId="473F978D"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2.91</w:t>
            </w:r>
          </w:p>
        </w:tc>
        <w:tc>
          <w:tcPr>
            <w:tcW w:w="709" w:type="dxa"/>
            <w:tcBorders>
              <w:top w:val="nil"/>
              <w:left w:val="nil"/>
              <w:bottom w:val="nil"/>
              <w:right w:val="nil"/>
            </w:tcBorders>
            <w:shd w:val="clear" w:color="auto" w:fill="auto"/>
            <w:noWrap/>
            <w:vAlign w:val="center"/>
            <w:hideMark/>
          </w:tcPr>
          <w:p w14:paraId="6DA5E951"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2.65</w:t>
            </w:r>
          </w:p>
        </w:tc>
        <w:tc>
          <w:tcPr>
            <w:tcW w:w="708" w:type="dxa"/>
            <w:tcBorders>
              <w:top w:val="nil"/>
              <w:left w:val="nil"/>
              <w:bottom w:val="nil"/>
              <w:right w:val="nil"/>
            </w:tcBorders>
            <w:shd w:val="clear" w:color="auto" w:fill="auto"/>
            <w:noWrap/>
            <w:vAlign w:val="center"/>
            <w:hideMark/>
          </w:tcPr>
          <w:p w14:paraId="10F4B440"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0.03</w:t>
            </w:r>
          </w:p>
        </w:tc>
        <w:tc>
          <w:tcPr>
            <w:tcW w:w="709" w:type="dxa"/>
            <w:tcBorders>
              <w:top w:val="nil"/>
              <w:left w:val="nil"/>
              <w:bottom w:val="nil"/>
              <w:right w:val="nil"/>
            </w:tcBorders>
            <w:shd w:val="clear" w:color="auto" w:fill="auto"/>
            <w:noWrap/>
            <w:vAlign w:val="center"/>
            <w:hideMark/>
          </w:tcPr>
          <w:p w14:paraId="16B3BD6A"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18.1</w:t>
            </w:r>
          </w:p>
        </w:tc>
        <w:tc>
          <w:tcPr>
            <w:tcW w:w="851" w:type="dxa"/>
            <w:tcBorders>
              <w:top w:val="nil"/>
              <w:left w:val="nil"/>
              <w:bottom w:val="nil"/>
              <w:right w:val="nil"/>
            </w:tcBorders>
            <w:shd w:val="clear" w:color="auto" w:fill="auto"/>
            <w:noWrap/>
            <w:vAlign w:val="center"/>
            <w:hideMark/>
          </w:tcPr>
          <w:p w14:paraId="08764DE6"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2.09</w:t>
            </w:r>
          </w:p>
        </w:tc>
        <w:tc>
          <w:tcPr>
            <w:tcW w:w="708" w:type="dxa"/>
            <w:tcBorders>
              <w:top w:val="nil"/>
              <w:left w:val="nil"/>
              <w:bottom w:val="nil"/>
              <w:right w:val="nil"/>
            </w:tcBorders>
            <w:shd w:val="clear" w:color="auto" w:fill="auto"/>
            <w:noWrap/>
            <w:vAlign w:val="center"/>
            <w:hideMark/>
          </w:tcPr>
          <w:p w14:paraId="3D97217C"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1.25</w:t>
            </w:r>
          </w:p>
        </w:tc>
        <w:tc>
          <w:tcPr>
            <w:tcW w:w="960" w:type="dxa"/>
            <w:tcBorders>
              <w:top w:val="nil"/>
              <w:left w:val="nil"/>
              <w:bottom w:val="nil"/>
              <w:right w:val="single" w:sz="8" w:space="0" w:color="002060"/>
            </w:tcBorders>
            <w:shd w:val="clear" w:color="auto" w:fill="auto"/>
            <w:noWrap/>
            <w:vAlign w:val="center"/>
            <w:hideMark/>
          </w:tcPr>
          <w:p w14:paraId="69EC5CF9"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3.48</w:t>
            </w:r>
          </w:p>
        </w:tc>
      </w:tr>
      <w:tr w:rsidR="00AE564D" w:rsidRPr="00643662" w14:paraId="3C866024" w14:textId="77777777" w:rsidTr="00643662">
        <w:trPr>
          <w:trHeight w:val="300"/>
          <w:jc w:val="center"/>
        </w:trPr>
        <w:tc>
          <w:tcPr>
            <w:tcW w:w="963" w:type="dxa"/>
            <w:vMerge/>
            <w:tcBorders>
              <w:top w:val="nil"/>
              <w:left w:val="single" w:sz="8" w:space="0" w:color="002060"/>
              <w:bottom w:val="single" w:sz="8" w:space="0" w:color="002060"/>
              <w:right w:val="single" w:sz="8" w:space="0" w:color="002060"/>
            </w:tcBorders>
            <w:vAlign w:val="center"/>
            <w:hideMark/>
          </w:tcPr>
          <w:p w14:paraId="40BC88DD"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nil"/>
              <w:right w:val="single" w:sz="8" w:space="0" w:color="002060"/>
            </w:tcBorders>
            <w:shd w:val="clear" w:color="auto" w:fill="auto"/>
            <w:noWrap/>
            <w:vAlign w:val="center"/>
            <w:hideMark/>
          </w:tcPr>
          <w:p w14:paraId="1BDB56B0"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Arcadia Downs</w:t>
            </w:r>
          </w:p>
        </w:tc>
        <w:tc>
          <w:tcPr>
            <w:tcW w:w="709" w:type="dxa"/>
            <w:tcBorders>
              <w:top w:val="nil"/>
              <w:left w:val="nil"/>
              <w:bottom w:val="nil"/>
              <w:right w:val="nil"/>
            </w:tcBorders>
            <w:shd w:val="clear" w:color="auto" w:fill="auto"/>
            <w:noWrap/>
            <w:vAlign w:val="center"/>
            <w:hideMark/>
          </w:tcPr>
          <w:p w14:paraId="48994D97"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186</w:t>
            </w:r>
          </w:p>
        </w:tc>
        <w:tc>
          <w:tcPr>
            <w:tcW w:w="709" w:type="dxa"/>
            <w:tcBorders>
              <w:top w:val="nil"/>
              <w:left w:val="nil"/>
              <w:bottom w:val="nil"/>
              <w:right w:val="nil"/>
            </w:tcBorders>
            <w:shd w:val="clear" w:color="auto" w:fill="auto"/>
            <w:noWrap/>
            <w:vAlign w:val="center"/>
            <w:hideMark/>
          </w:tcPr>
          <w:p w14:paraId="3C4287C7"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3.21</w:t>
            </w:r>
          </w:p>
        </w:tc>
        <w:tc>
          <w:tcPr>
            <w:tcW w:w="709" w:type="dxa"/>
            <w:tcBorders>
              <w:top w:val="nil"/>
              <w:left w:val="nil"/>
              <w:bottom w:val="nil"/>
              <w:right w:val="nil"/>
            </w:tcBorders>
            <w:shd w:val="clear" w:color="auto" w:fill="auto"/>
            <w:noWrap/>
            <w:vAlign w:val="center"/>
            <w:hideMark/>
          </w:tcPr>
          <w:p w14:paraId="5F5FA2AD"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3.03</w:t>
            </w:r>
          </w:p>
        </w:tc>
        <w:tc>
          <w:tcPr>
            <w:tcW w:w="708" w:type="dxa"/>
            <w:tcBorders>
              <w:top w:val="nil"/>
              <w:left w:val="nil"/>
              <w:bottom w:val="nil"/>
              <w:right w:val="nil"/>
            </w:tcBorders>
            <w:shd w:val="clear" w:color="auto" w:fill="auto"/>
            <w:noWrap/>
            <w:vAlign w:val="center"/>
            <w:hideMark/>
          </w:tcPr>
          <w:p w14:paraId="72F0A854"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0.12</w:t>
            </w:r>
          </w:p>
        </w:tc>
        <w:tc>
          <w:tcPr>
            <w:tcW w:w="709" w:type="dxa"/>
            <w:tcBorders>
              <w:top w:val="nil"/>
              <w:left w:val="nil"/>
              <w:bottom w:val="nil"/>
              <w:right w:val="nil"/>
            </w:tcBorders>
            <w:shd w:val="clear" w:color="auto" w:fill="auto"/>
            <w:noWrap/>
            <w:vAlign w:val="center"/>
            <w:hideMark/>
          </w:tcPr>
          <w:p w14:paraId="1576846C"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30.5</w:t>
            </w:r>
          </w:p>
        </w:tc>
        <w:tc>
          <w:tcPr>
            <w:tcW w:w="851" w:type="dxa"/>
            <w:tcBorders>
              <w:top w:val="nil"/>
              <w:left w:val="nil"/>
              <w:bottom w:val="nil"/>
              <w:right w:val="nil"/>
            </w:tcBorders>
            <w:shd w:val="clear" w:color="auto" w:fill="auto"/>
            <w:noWrap/>
            <w:vAlign w:val="center"/>
            <w:hideMark/>
          </w:tcPr>
          <w:p w14:paraId="7EC2D7E8"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2.59</w:t>
            </w:r>
          </w:p>
        </w:tc>
        <w:tc>
          <w:tcPr>
            <w:tcW w:w="708" w:type="dxa"/>
            <w:tcBorders>
              <w:top w:val="nil"/>
              <w:left w:val="nil"/>
              <w:bottom w:val="nil"/>
              <w:right w:val="nil"/>
            </w:tcBorders>
            <w:shd w:val="clear" w:color="auto" w:fill="auto"/>
            <w:noWrap/>
            <w:vAlign w:val="center"/>
            <w:hideMark/>
          </w:tcPr>
          <w:p w14:paraId="13E1D3B9"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1.80</w:t>
            </w:r>
          </w:p>
        </w:tc>
        <w:tc>
          <w:tcPr>
            <w:tcW w:w="960" w:type="dxa"/>
            <w:tcBorders>
              <w:top w:val="nil"/>
              <w:left w:val="nil"/>
              <w:bottom w:val="nil"/>
              <w:right w:val="single" w:sz="8" w:space="0" w:color="002060"/>
            </w:tcBorders>
            <w:shd w:val="clear" w:color="auto" w:fill="auto"/>
            <w:noWrap/>
            <w:vAlign w:val="center"/>
            <w:hideMark/>
          </w:tcPr>
          <w:p w14:paraId="59841E2C"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3.68</w:t>
            </w:r>
          </w:p>
        </w:tc>
      </w:tr>
      <w:tr w:rsidR="00AE564D" w:rsidRPr="00643662" w14:paraId="0847FD98" w14:textId="77777777" w:rsidTr="00643662">
        <w:trPr>
          <w:trHeight w:val="300"/>
          <w:jc w:val="center"/>
        </w:trPr>
        <w:tc>
          <w:tcPr>
            <w:tcW w:w="963" w:type="dxa"/>
            <w:vMerge/>
            <w:tcBorders>
              <w:top w:val="nil"/>
              <w:left w:val="single" w:sz="8" w:space="0" w:color="002060"/>
              <w:bottom w:val="single" w:sz="8" w:space="0" w:color="002060"/>
              <w:right w:val="single" w:sz="8" w:space="0" w:color="002060"/>
            </w:tcBorders>
            <w:vAlign w:val="center"/>
            <w:hideMark/>
          </w:tcPr>
          <w:p w14:paraId="0A231CF9"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nil"/>
              <w:right w:val="single" w:sz="8" w:space="0" w:color="002060"/>
            </w:tcBorders>
            <w:shd w:val="clear" w:color="auto" w:fill="auto"/>
            <w:noWrap/>
            <w:vAlign w:val="center"/>
            <w:hideMark/>
          </w:tcPr>
          <w:p w14:paraId="001B3269"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Shepparton GC</w:t>
            </w:r>
          </w:p>
        </w:tc>
        <w:tc>
          <w:tcPr>
            <w:tcW w:w="709" w:type="dxa"/>
            <w:tcBorders>
              <w:top w:val="nil"/>
              <w:left w:val="nil"/>
              <w:bottom w:val="nil"/>
              <w:right w:val="nil"/>
            </w:tcBorders>
            <w:shd w:val="clear" w:color="auto" w:fill="auto"/>
            <w:noWrap/>
            <w:vAlign w:val="center"/>
            <w:hideMark/>
          </w:tcPr>
          <w:p w14:paraId="2E69913B"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182</w:t>
            </w:r>
          </w:p>
        </w:tc>
        <w:tc>
          <w:tcPr>
            <w:tcW w:w="709" w:type="dxa"/>
            <w:tcBorders>
              <w:top w:val="nil"/>
              <w:left w:val="nil"/>
              <w:bottom w:val="nil"/>
              <w:right w:val="nil"/>
            </w:tcBorders>
            <w:shd w:val="clear" w:color="auto" w:fill="auto"/>
            <w:noWrap/>
            <w:vAlign w:val="center"/>
            <w:hideMark/>
          </w:tcPr>
          <w:p w14:paraId="22F548EC"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4.50</w:t>
            </w:r>
          </w:p>
        </w:tc>
        <w:tc>
          <w:tcPr>
            <w:tcW w:w="709" w:type="dxa"/>
            <w:tcBorders>
              <w:top w:val="nil"/>
              <w:left w:val="nil"/>
              <w:bottom w:val="nil"/>
              <w:right w:val="nil"/>
            </w:tcBorders>
            <w:shd w:val="clear" w:color="auto" w:fill="auto"/>
            <w:noWrap/>
            <w:vAlign w:val="center"/>
            <w:hideMark/>
          </w:tcPr>
          <w:p w14:paraId="36FB4859"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3.68</w:t>
            </w:r>
          </w:p>
        </w:tc>
        <w:tc>
          <w:tcPr>
            <w:tcW w:w="708" w:type="dxa"/>
            <w:tcBorders>
              <w:top w:val="nil"/>
              <w:left w:val="nil"/>
              <w:bottom w:val="nil"/>
              <w:right w:val="nil"/>
            </w:tcBorders>
            <w:shd w:val="clear" w:color="auto" w:fill="auto"/>
            <w:noWrap/>
            <w:vAlign w:val="center"/>
            <w:hideMark/>
          </w:tcPr>
          <w:p w14:paraId="6113442A"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0.20</w:t>
            </w:r>
          </w:p>
        </w:tc>
        <w:tc>
          <w:tcPr>
            <w:tcW w:w="709" w:type="dxa"/>
            <w:tcBorders>
              <w:top w:val="nil"/>
              <w:left w:val="nil"/>
              <w:bottom w:val="nil"/>
              <w:right w:val="nil"/>
            </w:tcBorders>
            <w:shd w:val="clear" w:color="auto" w:fill="auto"/>
            <w:noWrap/>
            <w:vAlign w:val="center"/>
            <w:hideMark/>
          </w:tcPr>
          <w:p w14:paraId="3B2AE430"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24.8</w:t>
            </w:r>
          </w:p>
        </w:tc>
        <w:tc>
          <w:tcPr>
            <w:tcW w:w="851" w:type="dxa"/>
            <w:tcBorders>
              <w:top w:val="nil"/>
              <w:left w:val="nil"/>
              <w:bottom w:val="nil"/>
              <w:right w:val="nil"/>
            </w:tcBorders>
            <w:shd w:val="clear" w:color="auto" w:fill="auto"/>
            <w:noWrap/>
            <w:vAlign w:val="center"/>
            <w:hideMark/>
          </w:tcPr>
          <w:p w14:paraId="7780D29C"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3.61</w:t>
            </w:r>
          </w:p>
        </w:tc>
        <w:tc>
          <w:tcPr>
            <w:tcW w:w="708" w:type="dxa"/>
            <w:tcBorders>
              <w:top w:val="nil"/>
              <w:left w:val="nil"/>
              <w:bottom w:val="nil"/>
              <w:right w:val="nil"/>
            </w:tcBorders>
            <w:shd w:val="clear" w:color="auto" w:fill="auto"/>
            <w:noWrap/>
            <w:vAlign w:val="center"/>
            <w:hideMark/>
          </w:tcPr>
          <w:p w14:paraId="241CAE53"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2.42</w:t>
            </w:r>
          </w:p>
        </w:tc>
        <w:tc>
          <w:tcPr>
            <w:tcW w:w="960" w:type="dxa"/>
            <w:tcBorders>
              <w:top w:val="nil"/>
              <w:left w:val="nil"/>
              <w:bottom w:val="nil"/>
              <w:right w:val="single" w:sz="8" w:space="0" w:color="002060"/>
            </w:tcBorders>
            <w:shd w:val="clear" w:color="auto" w:fill="auto"/>
            <w:noWrap/>
            <w:vAlign w:val="center"/>
            <w:hideMark/>
          </w:tcPr>
          <w:p w14:paraId="7B585F2B"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5.28</w:t>
            </w:r>
          </w:p>
        </w:tc>
      </w:tr>
      <w:tr w:rsidR="00AE564D" w:rsidRPr="00643662" w14:paraId="54FAC7B4" w14:textId="77777777" w:rsidTr="00643662">
        <w:trPr>
          <w:trHeight w:val="300"/>
          <w:jc w:val="center"/>
        </w:trPr>
        <w:tc>
          <w:tcPr>
            <w:tcW w:w="963" w:type="dxa"/>
            <w:vMerge/>
            <w:tcBorders>
              <w:top w:val="nil"/>
              <w:left w:val="single" w:sz="8" w:space="0" w:color="002060"/>
              <w:bottom w:val="single" w:sz="8" w:space="0" w:color="002060"/>
              <w:right w:val="single" w:sz="8" w:space="0" w:color="002060"/>
            </w:tcBorders>
            <w:vAlign w:val="center"/>
            <w:hideMark/>
          </w:tcPr>
          <w:p w14:paraId="4CD86531"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nil"/>
              <w:right w:val="single" w:sz="8" w:space="0" w:color="002060"/>
            </w:tcBorders>
            <w:shd w:val="clear" w:color="auto" w:fill="auto"/>
            <w:noWrap/>
            <w:vAlign w:val="center"/>
            <w:hideMark/>
          </w:tcPr>
          <w:p w14:paraId="24AEF2C0"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Loch Garry</w:t>
            </w:r>
          </w:p>
        </w:tc>
        <w:tc>
          <w:tcPr>
            <w:tcW w:w="709" w:type="dxa"/>
            <w:tcBorders>
              <w:top w:val="nil"/>
              <w:left w:val="nil"/>
              <w:bottom w:val="nil"/>
              <w:right w:val="nil"/>
            </w:tcBorders>
            <w:shd w:val="clear" w:color="auto" w:fill="auto"/>
            <w:noWrap/>
            <w:vAlign w:val="center"/>
            <w:hideMark/>
          </w:tcPr>
          <w:p w14:paraId="66A38371"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473</w:t>
            </w:r>
          </w:p>
        </w:tc>
        <w:tc>
          <w:tcPr>
            <w:tcW w:w="709" w:type="dxa"/>
            <w:tcBorders>
              <w:top w:val="nil"/>
              <w:left w:val="nil"/>
              <w:bottom w:val="nil"/>
              <w:right w:val="nil"/>
            </w:tcBorders>
            <w:shd w:val="clear" w:color="auto" w:fill="auto"/>
            <w:noWrap/>
            <w:vAlign w:val="center"/>
            <w:hideMark/>
          </w:tcPr>
          <w:p w14:paraId="29F68222"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3.13</w:t>
            </w:r>
          </w:p>
        </w:tc>
        <w:tc>
          <w:tcPr>
            <w:tcW w:w="709" w:type="dxa"/>
            <w:tcBorders>
              <w:top w:val="nil"/>
              <w:left w:val="nil"/>
              <w:bottom w:val="nil"/>
              <w:right w:val="nil"/>
            </w:tcBorders>
            <w:shd w:val="clear" w:color="auto" w:fill="auto"/>
            <w:noWrap/>
            <w:vAlign w:val="center"/>
            <w:hideMark/>
          </w:tcPr>
          <w:p w14:paraId="70EB2465"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3.59</w:t>
            </w:r>
          </w:p>
        </w:tc>
        <w:tc>
          <w:tcPr>
            <w:tcW w:w="708" w:type="dxa"/>
            <w:tcBorders>
              <w:top w:val="nil"/>
              <w:left w:val="nil"/>
              <w:bottom w:val="nil"/>
              <w:right w:val="nil"/>
            </w:tcBorders>
            <w:shd w:val="clear" w:color="auto" w:fill="auto"/>
            <w:noWrap/>
            <w:vAlign w:val="center"/>
            <w:hideMark/>
          </w:tcPr>
          <w:p w14:paraId="07E032ED"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0.12</w:t>
            </w:r>
          </w:p>
        </w:tc>
        <w:tc>
          <w:tcPr>
            <w:tcW w:w="709" w:type="dxa"/>
            <w:tcBorders>
              <w:top w:val="nil"/>
              <w:left w:val="nil"/>
              <w:bottom w:val="nil"/>
              <w:right w:val="nil"/>
            </w:tcBorders>
            <w:shd w:val="clear" w:color="auto" w:fill="auto"/>
            <w:noWrap/>
            <w:vAlign w:val="center"/>
            <w:hideMark/>
          </w:tcPr>
          <w:p w14:paraId="3F0E67DE"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48.1</w:t>
            </w:r>
          </w:p>
        </w:tc>
        <w:tc>
          <w:tcPr>
            <w:tcW w:w="851" w:type="dxa"/>
            <w:tcBorders>
              <w:top w:val="nil"/>
              <w:left w:val="nil"/>
              <w:bottom w:val="nil"/>
              <w:right w:val="nil"/>
            </w:tcBorders>
            <w:shd w:val="clear" w:color="auto" w:fill="auto"/>
            <w:noWrap/>
            <w:vAlign w:val="center"/>
            <w:hideMark/>
          </w:tcPr>
          <w:p w14:paraId="26B38B36"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2.36</w:t>
            </w:r>
          </w:p>
        </w:tc>
        <w:tc>
          <w:tcPr>
            <w:tcW w:w="708" w:type="dxa"/>
            <w:tcBorders>
              <w:top w:val="nil"/>
              <w:left w:val="nil"/>
              <w:bottom w:val="nil"/>
              <w:right w:val="nil"/>
            </w:tcBorders>
            <w:shd w:val="clear" w:color="auto" w:fill="auto"/>
            <w:noWrap/>
            <w:vAlign w:val="center"/>
            <w:hideMark/>
          </w:tcPr>
          <w:p w14:paraId="50F06F1B"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1.26</w:t>
            </w:r>
          </w:p>
        </w:tc>
        <w:tc>
          <w:tcPr>
            <w:tcW w:w="960" w:type="dxa"/>
            <w:tcBorders>
              <w:top w:val="nil"/>
              <w:left w:val="nil"/>
              <w:bottom w:val="nil"/>
              <w:right w:val="single" w:sz="8" w:space="0" w:color="002060"/>
            </w:tcBorders>
            <w:shd w:val="clear" w:color="auto" w:fill="auto"/>
            <w:noWrap/>
            <w:vAlign w:val="center"/>
            <w:hideMark/>
          </w:tcPr>
          <w:p w14:paraId="32E34C81"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3.67</w:t>
            </w:r>
          </w:p>
        </w:tc>
      </w:tr>
      <w:tr w:rsidR="00AE564D" w:rsidRPr="00643662" w14:paraId="221E89BD" w14:textId="77777777" w:rsidTr="00643662">
        <w:trPr>
          <w:trHeight w:val="315"/>
          <w:jc w:val="center"/>
        </w:trPr>
        <w:tc>
          <w:tcPr>
            <w:tcW w:w="963" w:type="dxa"/>
            <w:vMerge/>
            <w:tcBorders>
              <w:top w:val="nil"/>
              <w:left w:val="single" w:sz="8" w:space="0" w:color="002060"/>
              <w:bottom w:val="single" w:sz="8" w:space="0" w:color="002060"/>
              <w:right w:val="single" w:sz="8" w:space="0" w:color="002060"/>
            </w:tcBorders>
            <w:vAlign w:val="center"/>
            <w:hideMark/>
          </w:tcPr>
          <w:p w14:paraId="33CC323D" w14:textId="77777777" w:rsidR="00AE564D" w:rsidRPr="00643662" w:rsidRDefault="00AE564D" w:rsidP="00E26D3C">
            <w:pPr>
              <w:spacing w:after="0" w:line="240" w:lineRule="auto"/>
              <w:rPr>
                <w:rFonts w:eastAsia="Times New Roman" w:cstheme="minorHAnsi"/>
                <w:color w:val="FFFFFF"/>
                <w:sz w:val="18"/>
                <w:szCs w:val="18"/>
                <w:lang w:eastAsia="en-AU"/>
              </w:rPr>
            </w:pPr>
          </w:p>
        </w:tc>
        <w:tc>
          <w:tcPr>
            <w:tcW w:w="1305" w:type="dxa"/>
            <w:tcBorders>
              <w:top w:val="nil"/>
              <w:left w:val="nil"/>
              <w:bottom w:val="single" w:sz="8" w:space="0" w:color="002060"/>
              <w:right w:val="single" w:sz="8" w:space="0" w:color="002060"/>
            </w:tcBorders>
            <w:shd w:val="clear" w:color="auto" w:fill="auto"/>
            <w:noWrap/>
            <w:vAlign w:val="center"/>
            <w:hideMark/>
          </w:tcPr>
          <w:p w14:paraId="3BB00C93"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McCoy's Bridge</w:t>
            </w:r>
          </w:p>
        </w:tc>
        <w:tc>
          <w:tcPr>
            <w:tcW w:w="709" w:type="dxa"/>
            <w:tcBorders>
              <w:top w:val="nil"/>
              <w:left w:val="nil"/>
              <w:bottom w:val="single" w:sz="8" w:space="0" w:color="002060"/>
              <w:right w:val="nil"/>
            </w:tcBorders>
            <w:shd w:val="clear" w:color="auto" w:fill="auto"/>
            <w:noWrap/>
            <w:vAlign w:val="center"/>
            <w:hideMark/>
          </w:tcPr>
          <w:p w14:paraId="6BDF4901"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1379</w:t>
            </w:r>
          </w:p>
        </w:tc>
        <w:tc>
          <w:tcPr>
            <w:tcW w:w="709" w:type="dxa"/>
            <w:tcBorders>
              <w:top w:val="nil"/>
              <w:left w:val="nil"/>
              <w:bottom w:val="single" w:sz="8" w:space="0" w:color="002060"/>
              <w:right w:val="nil"/>
            </w:tcBorders>
            <w:shd w:val="clear" w:color="auto" w:fill="auto"/>
            <w:noWrap/>
            <w:vAlign w:val="center"/>
            <w:hideMark/>
          </w:tcPr>
          <w:p w14:paraId="700090E3"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3.01</w:t>
            </w:r>
          </w:p>
        </w:tc>
        <w:tc>
          <w:tcPr>
            <w:tcW w:w="709" w:type="dxa"/>
            <w:tcBorders>
              <w:top w:val="nil"/>
              <w:left w:val="nil"/>
              <w:bottom w:val="single" w:sz="8" w:space="0" w:color="002060"/>
              <w:right w:val="nil"/>
            </w:tcBorders>
            <w:shd w:val="clear" w:color="auto" w:fill="auto"/>
            <w:noWrap/>
            <w:vAlign w:val="center"/>
            <w:hideMark/>
          </w:tcPr>
          <w:p w14:paraId="60C35976"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2.34</w:t>
            </w:r>
          </w:p>
        </w:tc>
        <w:tc>
          <w:tcPr>
            <w:tcW w:w="708" w:type="dxa"/>
            <w:tcBorders>
              <w:top w:val="nil"/>
              <w:left w:val="nil"/>
              <w:bottom w:val="single" w:sz="8" w:space="0" w:color="002060"/>
              <w:right w:val="nil"/>
            </w:tcBorders>
            <w:shd w:val="clear" w:color="auto" w:fill="auto"/>
            <w:noWrap/>
            <w:vAlign w:val="center"/>
            <w:hideMark/>
          </w:tcPr>
          <w:p w14:paraId="414BED97"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0.06</w:t>
            </w:r>
          </w:p>
        </w:tc>
        <w:tc>
          <w:tcPr>
            <w:tcW w:w="709" w:type="dxa"/>
            <w:tcBorders>
              <w:top w:val="nil"/>
              <w:left w:val="nil"/>
              <w:bottom w:val="single" w:sz="8" w:space="0" w:color="002060"/>
              <w:right w:val="nil"/>
            </w:tcBorders>
            <w:shd w:val="clear" w:color="auto" w:fill="auto"/>
            <w:noWrap/>
            <w:vAlign w:val="center"/>
            <w:hideMark/>
          </w:tcPr>
          <w:p w14:paraId="18E69F03"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28.43</w:t>
            </w:r>
          </w:p>
        </w:tc>
        <w:tc>
          <w:tcPr>
            <w:tcW w:w="851" w:type="dxa"/>
            <w:tcBorders>
              <w:top w:val="nil"/>
              <w:left w:val="nil"/>
              <w:bottom w:val="single" w:sz="8" w:space="0" w:color="002060"/>
              <w:right w:val="nil"/>
            </w:tcBorders>
            <w:shd w:val="clear" w:color="auto" w:fill="auto"/>
            <w:noWrap/>
            <w:vAlign w:val="center"/>
            <w:hideMark/>
          </w:tcPr>
          <w:p w14:paraId="626EF1CE"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2.36</w:t>
            </w:r>
          </w:p>
        </w:tc>
        <w:tc>
          <w:tcPr>
            <w:tcW w:w="708" w:type="dxa"/>
            <w:tcBorders>
              <w:top w:val="nil"/>
              <w:left w:val="nil"/>
              <w:bottom w:val="single" w:sz="8" w:space="0" w:color="002060"/>
              <w:right w:val="nil"/>
            </w:tcBorders>
            <w:shd w:val="clear" w:color="auto" w:fill="auto"/>
            <w:noWrap/>
            <w:vAlign w:val="center"/>
            <w:hideMark/>
          </w:tcPr>
          <w:p w14:paraId="553F631F"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1.66</w:t>
            </w:r>
          </w:p>
        </w:tc>
        <w:tc>
          <w:tcPr>
            <w:tcW w:w="960" w:type="dxa"/>
            <w:tcBorders>
              <w:top w:val="nil"/>
              <w:left w:val="nil"/>
              <w:bottom w:val="single" w:sz="8" w:space="0" w:color="002060"/>
              <w:right w:val="single" w:sz="8" w:space="0" w:color="002060"/>
            </w:tcBorders>
            <w:shd w:val="clear" w:color="auto" w:fill="auto"/>
            <w:noWrap/>
            <w:vAlign w:val="center"/>
            <w:hideMark/>
          </w:tcPr>
          <w:p w14:paraId="7BCA7CB1" w14:textId="77777777" w:rsidR="00AE564D" w:rsidRPr="00643662" w:rsidRDefault="00AE564D" w:rsidP="00E26D3C">
            <w:pPr>
              <w:spacing w:after="0" w:line="240" w:lineRule="auto"/>
              <w:jc w:val="center"/>
              <w:rPr>
                <w:rFonts w:eastAsia="Times New Roman" w:cstheme="minorHAnsi"/>
                <w:color w:val="000000"/>
                <w:sz w:val="18"/>
                <w:szCs w:val="18"/>
                <w:lang w:eastAsia="en-AU"/>
              </w:rPr>
            </w:pPr>
            <w:r w:rsidRPr="00643662">
              <w:rPr>
                <w:rFonts w:eastAsia="Times New Roman" w:cstheme="minorHAnsi"/>
                <w:color w:val="000000"/>
                <w:sz w:val="18"/>
                <w:szCs w:val="18"/>
                <w:lang w:eastAsia="en-AU"/>
              </w:rPr>
              <w:t>3.74</w:t>
            </w:r>
          </w:p>
        </w:tc>
      </w:tr>
    </w:tbl>
    <w:p w14:paraId="0896DFD2" w14:textId="03ADF317" w:rsidR="00AE564D" w:rsidRPr="00DF71C0" w:rsidRDefault="00DF71C0" w:rsidP="00AE564D">
      <w:pPr>
        <w:pStyle w:val="Para0"/>
        <w:spacing w:before="0"/>
        <w:rPr>
          <w:rFonts w:asciiTheme="minorHAnsi" w:hAnsiTheme="minorHAnsi" w:cstheme="minorHAnsi"/>
          <w:sz w:val="16"/>
          <w:szCs w:val="16"/>
        </w:rPr>
      </w:pPr>
      <w:r w:rsidRPr="00DF71C0">
        <w:rPr>
          <w:rFonts w:asciiTheme="minorHAnsi" w:hAnsiTheme="minorHAnsi" w:cstheme="minorHAnsi"/>
          <w:sz w:val="16"/>
          <w:szCs w:val="16"/>
        </w:rPr>
        <w:t xml:space="preserve">         </w:t>
      </w:r>
      <w:r w:rsidR="00AE564D" w:rsidRPr="00DF71C0">
        <w:rPr>
          <w:rFonts w:asciiTheme="minorHAnsi" w:hAnsiTheme="minorHAnsi" w:cstheme="minorHAnsi"/>
          <w:sz w:val="16"/>
          <w:szCs w:val="16"/>
        </w:rPr>
        <w:t>* LTIM Site Only.</w:t>
      </w:r>
    </w:p>
    <w:p w14:paraId="1F152BB2" w14:textId="06321A3E" w:rsidR="00AE564D" w:rsidRPr="0098236D" w:rsidRDefault="00AE564D" w:rsidP="0098204D">
      <w:pPr>
        <w:rPr>
          <w:lang w:val="en-US"/>
        </w:rPr>
      </w:pPr>
      <w:r w:rsidRPr="0098236D">
        <w:rPr>
          <w:lang w:val="en-US"/>
        </w:rPr>
        <w:t>As noted</w:t>
      </w:r>
      <w:r w:rsidR="00255397">
        <w:rPr>
          <w:lang w:val="en-US"/>
        </w:rPr>
        <w:t>,</w:t>
      </w:r>
      <w:r w:rsidRPr="0098236D">
        <w:rPr>
          <w:lang w:val="en-US"/>
        </w:rPr>
        <w:t xml:space="preserve"> when looking at individual years, the pooled data in Table 5-8 highlights the significantly higher median and mean daily GPP and ER rates found at the Day Road site compared to the other six sites where differences are generally extremely small. This difference is attributed to the immediate impact of water from the </w:t>
      </w:r>
      <w:proofErr w:type="spellStart"/>
      <w:r w:rsidRPr="0098236D">
        <w:rPr>
          <w:lang w:val="en-US"/>
        </w:rPr>
        <w:t>Nagambie</w:t>
      </w:r>
      <w:proofErr w:type="spellEnd"/>
      <w:r w:rsidRPr="0098236D">
        <w:rPr>
          <w:lang w:val="en-US"/>
        </w:rPr>
        <w:t xml:space="preserve"> Lakes affecting the Day Road site. For example, the median GPP of 1.98 mg O</w:t>
      </w:r>
      <w:r w:rsidRPr="0098236D">
        <w:rPr>
          <w:vertAlign w:val="subscript"/>
          <w:lang w:val="en-US"/>
        </w:rPr>
        <w:t>2</w:t>
      </w:r>
      <w:r w:rsidRPr="0098236D">
        <w:rPr>
          <w:lang w:val="en-US"/>
        </w:rPr>
        <w:t xml:space="preserve">/L/Day is around 50% higher than the other three sites. Within an ecological context though, this difference in rates is still quite small and the drivers must be relatively subtle as there are no significant differences in the bioavailable nutrients from each site (see below).  </w:t>
      </w:r>
    </w:p>
    <w:p w14:paraId="0A3A0C2E" w14:textId="0339A67B" w:rsidR="00AE564D" w:rsidRPr="00BA2632" w:rsidRDefault="00AE564D" w:rsidP="00AE564D">
      <w:pPr>
        <w:rPr>
          <w:color w:val="000000" w:themeColor="text1"/>
          <w:szCs w:val="20"/>
        </w:rPr>
      </w:pPr>
      <w:r w:rsidRPr="00BA2632">
        <w:rPr>
          <w:color w:val="000000" w:themeColor="text1"/>
          <w:szCs w:val="20"/>
        </w:rPr>
        <w:t xml:space="preserve">To place the summary results from </w:t>
      </w:r>
      <w:r w:rsidR="00590768" w:rsidRPr="00BA2632">
        <w:t xml:space="preserve">Table </w:t>
      </w:r>
      <w:r w:rsidR="00590768">
        <w:rPr>
          <w:noProof/>
        </w:rPr>
        <w:t>5</w:t>
      </w:r>
      <w:r w:rsidR="00590768">
        <w:rPr>
          <w:noProof/>
        </w:rPr>
        <w:noBreakHyphen/>
        <w:t>8</w:t>
      </w:r>
      <w:r w:rsidRPr="00BA2632">
        <w:rPr>
          <w:color w:val="000000" w:themeColor="text1"/>
          <w:szCs w:val="20"/>
        </w:rPr>
        <w:t xml:space="preserve"> into the context of the Murray-Darling Basin, </w:t>
      </w:r>
      <w:r w:rsidR="00590768" w:rsidRPr="00BA2632">
        <w:t xml:space="preserve">Table </w:t>
      </w:r>
      <w:r w:rsidR="00590768">
        <w:rPr>
          <w:noProof/>
        </w:rPr>
        <w:t>5</w:t>
      </w:r>
      <w:r w:rsidR="00590768">
        <w:rPr>
          <w:noProof/>
        </w:rPr>
        <w:noBreakHyphen/>
        <w:t>9</w:t>
      </w:r>
      <w:r w:rsidRPr="00BA2632">
        <w:rPr>
          <w:color w:val="000000" w:themeColor="text1"/>
          <w:szCs w:val="20"/>
        </w:rPr>
        <w:t xml:space="preserve"> contains the statistics for GPP and ER from the five Selected Areas in the southern Murray-Darling Basin (Goulburn, Edward-Wakool, Lachlan, Murrumbidgee, Lower Murray) over the LTIM period 2014-2019. The one northern MDB Selected Area (Warrego-Darling) is excluded from this analysis due to both the much smaller data set and the different constraint on metabolism – light availability instead of nutrient limitation.</w:t>
      </w:r>
    </w:p>
    <w:p w14:paraId="6FF2033F" w14:textId="77777777" w:rsidR="00AE564D" w:rsidRDefault="00AE564D" w:rsidP="00AE564D">
      <w:pPr>
        <w:rPr>
          <w:color w:val="000000" w:themeColor="text1"/>
          <w:szCs w:val="20"/>
          <w:lang w:val="en-GB"/>
        </w:rPr>
      </w:pPr>
    </w:p>
    <w:p w14:paraId="32736D1E" w14:textId="77777777" w:rsidR="00AE564D" w:rsidRDefault="00AE564D" w:rsidP="00AE564D">
      <w:pPr>
        <w:rPr>
          <w:color w:val="000000" w:themeColor="text1"/>
          <w:szCs w:val="20"/>
          <w:lang w:val="en-GB"/>
        </w:rPr>
      </w:pPr>
    </w:p>
    <w:p w14:paraId="1F168E21" w14:textId="77777777" w:rsidR="00703E90" w:rsidRPr="00BA2632" w:rsidRDefault="00703E90" w:rsidP="00AE564D">
      <w:pPr>
        <w:rPr>
          <w:color w:val="000000" w:themeColor="text1"/>
          <w:szCs w:val="20"/>
          <w:lang w:val="en-GB"/>
        </w:rPr>
      </w:pPr>
    </w:p>
    <w:p w14:paraId="272A592B" w14:textId="0DC340FC" w:rsidR="00AE564D" w:rsidRPr="00BA2632" w:rsidRDefault="00AE564D" w:rsidP="00AE564D">
      <w:pPr>
        <w:pStyle w:val="Caption"/>
        <w:keepNext/>
      </w:pPr>
      <w:bookmarkStart w:id="251" w:name="_Ref52391061"/>
      <w:bookmarkStart w:id="252" w:name="_Toc95391470"/>
      <w:r w:rsidRPr="00BA2632">
        <w:lastRenderedPageBreak/>
        <w:t xml:space="preserve">Table </w:t>
      </w:r>
      <w:r w:rsidR="00590768">
        <w:rPr>
          <w:noProof/>
        </w:rPr>
        <w:t>5</w:t>
      </w:r>
      <w:r w:rsidR="000B75AF">
        <w:noBreakHyphen/>
      </w:r>
      <w:r w:rsidR="00590768">
        <w:rPr>
          <w:noProof/>
        </w:rPr>
        <w:t>9</w:t>
      </w:r>
      <w:bookmarkEnd w:id="251"/>
      <w:r w:rsidRPr="00BA2632">
        <w:t xml:space="preserve"> Summary LTIM Stream Metabolism Statistics for the five Southern MDB Selected Areas, 2014-19.</w:t>
      </w:r>
      <w:bookmarkEnd w:id="252"/>
    </w:p>
    <w:tbl>
      <w:tblPr>
        <w:tblW w:w="87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8"/>
        <w:gridCol w:w="907"/>
        <w:gridCol w:w="907"/>
        <w:gridCol w:w="907"/>
        <w:gridCol w:w="907"/>
        <w:gridCol w:w="907"/>
        <w:gridCol w:w="1119"/>
        <w:gridCol w:w="1119"/>
      </w:tblGrid>
      <w:tr w:rsidR="00AE564D" w:rsidRPr="00BA2632" w14:paraId="0BA47135" w14:textId="77777777" w:rsidTr="00C252E3">
        <w:trPr>
          <w:trHeight w:val="300"/>
          <w:jc w:val="center"/>
        </w:trPr>
        <w:tc>
          <w:tcPr>
            <w:tcW w:w="1928" w:type="dxa"/>
            <w:noWrap/>
            <w:vAlign w:val="bottom"/>
            <w:hideMark/>
          </w:tcPr>
          <w:p w14:paraId="1EAB7CF2" w14:textId="77777777" w:rsidR="00AE564D" w:rsidRPr="00BA2632" w:rsidRDefault="00AE564D" w:rsidP="00E26D3C">
            <w:pPr>
              <w:rPr>
                <w:rFonts w:ascii="Calibri" w:hAnsi="Calibri"/>
                <w:color w:val="000000" w:themeColor="text1"/>
                <w:sz w:val="18"/>
                <w:szCs w:val="18"/>
              </w:rPr>
            </w:pPr>
          </w:p>
        </w:tc>
        <w:tc>
          <w:tcPr>
            <w:tcW w:w="907" w:type="dxa"/>
            <w:shd w:val="clear" w:color="auto" w:fill="002060"/>
            <w:noWrap/>
            <w:vAlign w:val="center"/>
            <w:hideMark/>
          </w:tcPr>
          <w:p w14:paraId="33E51DD7" w14:textId="77777777" w:rsidR="00AE564D" w:rsidRPr="00BA2632" w:rsidRDefault="00AE564D" w:rsidP="00E26D3C">
            <w:pPr>
              <w:spacing w:after="0" w:line="240" w:lineRule="auto"/>
              <w:jc w:val="center"/>
              <w:rPr>
                <w:rFonts w:ascii="Calibri" w:eastAsia="Times New Roman" w:hAnsi="Calibri"/>
                <w:b/>
                <w:bCs/>
                <w:color w:val="FFFFFF" w:themeColor="background1"/>
                <w:sz w:val="18"/>
                <w:szCs w:val="18"/>
                <w:lang w:val="en-GB"/>
              </w:rPr>
            </w:pPr>
            <w:r w:rsidRPr="00BA2632">
              <w:rPr>
                <w:rFonts w:ascii="Calibri" w:eastAsia="Times New Roman" w:hAnsi="Calibri"/>
                <w:b/>
                <w:bCs/>
                <w:color w:val="FFFFFF" w:themeColor="background1"/>
                <w:sz w:val="18"/>
                <w:szCs w:val="18"/>
              </w:rPr>
              <w:t>n</w:t>
            </w:r>
          </w:p>
        </w:tc>
        <w:tc>
          <w:tcPr>
            <w:tcW w:w="907" w:type="dxa"/>
            <w:shd w:val="clear" w:color="auto" w:fill="002060"/>
            <w:noWrap/>
            <w:vAlign w:val="center"/>
            <w:hideMark/>
          </w:tcPr>
          <w:p w14:paraId="77B69758" w14:textId="77777777" w:rsidR="00AE564D" w:rsidRPr="00BA2632" w:rsidRDefault="00AE564D" w:rsidP="00E26D3C">
            <w:pPr>
              <w:spacing w:after="0" w:line="240" w:lineRule="auto"/>
              <w:jc w:val="center"/>
              <w:rPr>
                <w:rFonts w:ascii="Calibri" w:eastAsia="Times New Roman" w:hAnsi="Calibri"/>
                <w:b/>
                <w:bCs/>
                <w:color w:val="FFFFFF" w:themeColor="background1"/>
                <w:sz w:val="18"/>
                <w:szCs w:val="18"/>
              </w:rPr>
            </w:pPr>
            <w:r w:rsidRPr="00BA2632">
              <w:rPr>
                <w:rFonts w:ascii="Calibri" w:eastAsia="Times New Roman" w:hAnsi="Calibri"/>
                <w:b/>
                <w:bCs/>
                <w:color w:val="FFFFFF" w:themeColor="background1"/>
                <w:sz w:val="18"/>
                <w:szCs w:val="18"/>
              </w:rPr>
              <w:t>Median</w:t>
            </w:r>
          </w:p>
        </w:tc>
        <w:tc>
          <w:tcPr>
            <w:tcW w:w="907" w:type="dxa"/>
            <w:shd w:val="clear" w:color="auto" w:fill="002060"/>
            <w:noWrap/>
            <w:vAlign w:val="center"/>
            <w:hideMark/>
          </w:tcPr>
          <w:p w14:paraId="32D90DCB" w14:textId="77777777" w:rsidR="00AE564D" w:rsidRPr="00BA2632" w:rsidRDefault="00AE564D" w:rsidP="00E26D3C">
            <w:pPr>
              <w:spacing w:after="0" w:line="240" w:lineRule="auto"/>
              <w:jc w:val="center"/>
              <w:rPr>
                <w:rFonts w:ascii="Calibri" w:eastAsia="Times New Roman" w:hAnsi="Calibri"/>
                <w:b/>
                <w:bCs/>
                <w:color w:val="FFFFFF" w:themeColor="background1"/>
                <w:sz w:val="18"/>
                <w:szCs w:val="18"/>
              </w:rPr>
            </w:pPr>
            <w:r w:rsidRPr="00BA2632">
              <w:rPr>
                <w:rFonts w:ascii="Calibri" w:eastAsia="Times New Roman" w:hAnsi="Calibri"/>
                <w:b/>
                <w:bCs/>
                <w:color w:val="FFFFFF" w:themeColor="background1"/>
                <w:sz w:val="18"/>
                <w:szCs w:val="18"/>
              </w:rPr>
              <w:t>Mean</w:t>
            </w:r>
          </w:p>
        </w:tc>
        <w:tc>
          <w:tcPr>
            <w:tcW w:w="907" w:type="dxa"/>
            <w:shd w:val="clear" w:color="auto" w:fill="002060"/>
            <w:noWrap/>
            <w:vAlign w:val="center"/>
            <w:hideMark/>
          </w:tcPr>
          <w:p w14:paraId="4BF30447" w14:textId="77777777" w:rsidR="00AE564D" w:rsidRPr="00BA2632" w:rsidRDefault="00AE564D" w:rsidP="00E26D3C">
            <w:pPr>
              <w:spacing w:after="0" w:line="240" w:lineRule="auto"/>
              <w:jc w:val="center"/>
              <w:rPr>
                <w:rFonts w:ascii="Calibri" w:eastAsia="Times New Roman" w:hAnsi="Calibri"/>
                <w:b/>
                <w:bCs/>
                <w:color w:val="FFFFFF" w:themeColor="background1"/>
                <w:sz w:val="18"/>
                <w:szCs w:val="18"/>
              </w:rPr>
            </w:pPr>
            <w:r w:rsidRPr="00BA2632">
              <w:rPr>
                <w:rFonts w:ascii="Calibri" w:eastAsia="Times New Roman" w:hAnsi="Calibri"/>
                <w:b/>
                <w:bCs/>
                <w:color w:val="FFFFFF" w:themeColor="background1"/>
                <w:sz w:val="18"/>
                <w:szCs w:val="18"/>
              </w:rPr>
              <w:t>Std Dev</w:t>
            </w:r>
          </w:p>
        </w:tc>
        <w:tc>
          <w:tcPr>
            <w:tcW w:w="907" w:type="dxa"/>
            <w:shd w:val="clear" w:color="auto" w:fill="002060"/>
            <w:noWrap/>
            <w:vAlign w:val="center"/>
            <w:hideMark/>
          </w:tcPr>
          <w:p w14:paraId="44F80856" w14:textId="77777777" w:rsidR="00AE564D" w:rsidRPr="00BA2632" w:rsidRDefault="00AE564D" w:rsidP="00E26D3C">
            <w:pPr>
              <w:spacing w:after="0" w:line="240" w:lineRule="auto"/>
              <w:jc w:val="center"/>
              <w:rPr>
                <w:rFonts w:ascii="Calibri" w:eastAsia="Times New Roman" w:hAnsi="Calibri"/>
                <w:b/>
                <w:bCs/>
                <w:color w:val="FFFFFF" w:themeColor="background1"/>
                <w:sz w:val="18"/>
                <w:szCs w:val="18"/>
              </w:rPr>
            </w:pPr>
            <w:r w:rsidRPr="00BA2632">
              <w:rPr>
                <w:rFonts w:ascii="Calibri" w:eastAsia="Times New Roman" w:hAnsi="Calibri"/>
                <w:b/>
                <w:bCs/>
                <w:color w:val="FFFFFF" w:themeColor="background1"/>
                <w:sz w:val="18"/>
                <w:szCs w:val="18"/>
              </w:rPr>
              <w:t>Std Error</w:t>
            </w:r>
          </w:p>
        </w:tc>
        <w:tc>
          <w:tcPr>
            <w:tcW w:w="1119" w:type="dxa"/>
            <w:shd w:val="clear" w:color="auto" w:fill="002060"/>
            <w:noWrap/>
            <w:vAlign w:val="center"/>
            <w:hideMark/>
          </w:tcPr>
          <w:p w14:paraId="7A649E56" w14:textId="77777777" w:rsidR="00AE564D" w:rsidRPr="00BA2632" w:rsidRDefault="00AE564D" w:rsidP="00E26D3C">
            <w:pPr>
              <w:spacing w:after="0" w:line="240" w:lineRule="auto"/>
              <w:jc w:val="center"/>
              <w:rPr>
                <w:rFonts w:ascii="Calibri" w:eastAsia="Times New Roman" w:hAnsi="Calibri"/>
                <w:b/>
                <w:bCs/>
                <w:color w:val="FFFFFF" w:themeColor="background1"/>
                <w:sz w:val="18"/>
                <w:szCs w:val="18"/>
              </w:rPr>
            </w:pPr>
            <w:r w:rsidRPr="00BA2632">
              <w:rPr>
                <w:rFonts w:ascii="Calibri" w:eastAsia="Times New Roman" w:hAnsi="Calibri"/>
                <w:b/>
                <w:bCs/>
                <w:color w:val="FFFFFF" w:themeColor="background1"/>
                <w:sz w:val="18"/>
                <w:szCs w:val="18"/>
              </w:rPr>
              <w:t>25</w:t>
            </w:r>
            <w:r w:rsidRPr="00BA2632">
              <w:rPr>
                <w:rFonts w:ascii="Calibri" w:eastAsia="Times New Roman" w:hAnsi="Calibri"/>
                <w:b/>
                <w:bCs/>
                <w:color w:val="FFFFFF" w:themeColor="background1"/>
                <w:sz w:val="18"/>
                <w:szCs w:val="18"/>
                <w:vertAlign w:val="superscript"/>
              </w:rPr>
              <w:t>th</w:t>
            </w:r>
            <w:r w:rsidRPr="00BA2632">
              <w:rPr>
                <w:rFonts w:ascii="Calibri" w:eastAsia="Times New Roman" w:hAnsi="Calibri"/>
                <w:b/>
                <w:bCs/>
                <w:color w:val="FFFFFF" w:themeColor="background1"/>
                <w:sz w:val="18"/>
                <w:szCs w:val="18"/>
              </w:rPr>
              <w:t xml:space="preserve"> Percentile</w:t>
            </w:r>
          </w:p>
        </w:tc>
        <w:tc>
          <w:tcPr>
            <w:tcW w:w="1119" w:type="dxa"/>
            <w:shd w:val="clear" w:color="auto" w:fill="002060"/>
            <w:noWrap/>
            <w:vAlign w:val="center"/>
            <w:hideMark/>
          </w:tcPr>
          <w:p w14:paraId="011B33F2" w14:textId="77777777" w:rsidR="00AE564D" w:rsidRPr="00BA2632" w:rsidRDefault="00AE564D" w:rsidP="00E26D3C">
            <w:pPr>
              <w:spacing w:after="0" w:line="240" w:lineRule="auto"/>
              <w:jc w:val="center"/>
              <w:rPr>
                <w:rFonts w:ascii="Calibri" w:eastAsia="Times New Roman" w:hAnsi="Calibri"/>
                <w:b/>
                <w:bCs/>
                <w:color w:val="FFFFFF" w:themeColor="background1"/>
                <w:sz w:val="18"/>
                <w:szCs w:val="18"/>
              </w:rPr>
            </w:pPr>
            <w:r w:rsidRPr="00BA2632">
              <w:rPr>
                <w:rFonts w:ascii="Calibri" w:eastAsia="Times New Roman" w:hAnsi="Calibri"/>
                <w:b/>
                <w:bCs/>
                <w:color w:val="FFFFFF" w:themeColor="background1"/>
                <w:sz w:val="18"/>
                <w:szCs w:val="18"/>
              </w:rPr>
              <w:t>75</w:t>
            </w:r>
            <w:r w:rsidRPr="00BA2632">
              <w:rPr>
                <w:rFonts w:ascii="Calibri" w:eastAsia="Times New Roman" w:hAnsi="Calibri"/>
                <w:b/>
                <w:bCs/>
                <w:color w:val="FFFFFF" w:themeColor="background1"/>
                <w:sz w:val="18"/>
                <w:szCs w:val="18"/>
                <w:vertAlign w:val="superscript"/>
              </w:rPr>
              <w:t>th</w:t>
            </w:r>
            <w:r w:rsidRPr="00BA2632">
              <w:rPr>
                <w:rFonts w:ascii="Calibri" w:eastAsia="Times New Roman" w:hAnsi="Calibri"/>
                <w:b/>
                <w:bCs/>
                <w:color w:val="FFFFFF" w:themeColor="background1"/>
                <w:sz w:val="18"/>
                <w:szCs w:val="18"/>
              </w:rPr>
              <w:t xml:space="preserve"> Percentile</w:t>
            </w:r>
          </w:p>
        </w:tc>
      </w:tr>
      <w:tr w:rsidR="00AE564D" w:rsidRPr="00BA2632" w14:paraId="5E1B679B" w14:textId="77777777" w:rsidTr="00C252E3">
        <w:trPr>
          <w:trHeight w:val="360"/>
          <w:jc w:val="center"/>
        </w:trPr>
        <w:tc>
          <w:tcPr>
            <w:tcW w:w="1928" w:type="dxa"/>
            <w:noWrap/>
            <w:vAlign w:val="center"/>
            <w:hideMark/>
          </w:tcPr>
          <w:p w14:paraId="3E97AAC3" w14:textId="77777777" w:rsidR="00AE564D" w:rsidRPr="00BA2632" w:rsidRDefault="00AE564D" w:rsidP="00E26D3C">
            <w:pPr>
              <w:spacing w:after="0" w:line="240" w:lineRule="auto"/>
              <w:jc w:val="center"/>
              <w:rPr>
                <w:rFonts w:ascii="Calibri" w:eastAsia="Times New Roman" w:hAnsi="Calibri"/>
                <w:color w:val="000000"/>
                <w:sz w:val="18"/>
                <w:szCs w:val="18"/>
              </w:rPr>
            </w:pPr>
            <w:r w:rsidRPr="00BA2632">
              <w:rPr>
                <w:rFonts w:ascii="Calibri" w:eastAsia="Times New Roman" w:hAnsi="Calibri"/>
                <w:color w:val="000000"/>
                <w:sz w:val="18"/>
                <w:szCs w:val="18"/>
              </w:rPr>
              <w:t>GPP (mg O</w:t>
            </w:r>
            <w:r w:rsidRPr="00BA2632">
              <w:rPr>
                <w:rFonts w:ascii="Calibri" w:eastAsia="Times New Roman" w:hAnsi="Calibri"/>
                <w:color w:val="000000"/>
                <w:sz w:val="18"/>
                <w:szCs w:val="18"/>
                <w:vertAlign w:val="subscript"/>
              </w:rPr>
              <w:t>2</w:t>
            </w:r>
            <w:r w:rsidRPr="00BA2632">
              <w:rPr>
                <w:rFonts w:ascii="Calibri" w:eastAsia="Times New Roman" w:hAnsi="Calibri"/>
                <w:color w:val="000000"/>
                <w:sz w:val="18"/>
                <w:szCs w:val="18"/>
              </w:rPr>
              <w:t>/L/Day)</w:t>
            </w:r>
          </w:p>
        </w:tc>
        <w:tc>
          <w:tcPr>
            <w:tcW w:w="907" w:type="dxa"/>
            <w:noWrap/>
            <w:vAlign w:val="center"/>
            <w:hideMark/>
          </w:tcPr>
          <w:p w14:paraId="5B7EDC22"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10577</w:t>
            </w:r>
          </w:p>
        </w:tc>
        <w:tc>
          <w:tcPr>
            <w:tcW w:w="907" w:type="dxa"/>
            <w:noWrap/>
            <w:vAlign w:val="center"/>
            <w:hideMark/>
          </w:tcPr>
          <w:p w14:paraId="2CCFEC0E"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1.6</w:t>
            </w:r>
          </w:p>
        </w:tc>
        <w:tc>
          <w:tcPr>
            <w:tcW w:w="907" w:type="dxa"/>
            <w:noWrap/>
            <w:vAlign w:val="center"/>
            <w:hideMark/>
          </w:tcPr>
          <w:p w14:paraId="3F9F978C"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2.2</w:t>
            </w:r>
          </w:p>
        </w:tc>
        <w:tc>
          <w:tcPr>
            <w:tcW w:w="907" w:type="dxa"/>
            <w:noWrap/>
            <w:vAlign w:val="center"/>
            <w:hideMark/>
          </w:tcPr>
          <w:p w14:paraId="6885B41E"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2.0</w:t>
            </w:r>
          </w:p>
        </w:tc>
        <w:tc>
          <w:tcPr>
            <w:tcW w:w="907" w:type="dxa"/>
            <w:noWrap/>
            <w:vAlign w:val="center"/>
            <w:hideMark/>
          </w:tcPr>
          <w:p w14:paraId="6C5BD011"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0.02</w:t>
            </w:r>
          </w:p>
        </w:tc>
        <w:tc>
          <w:tcPr>
            <w:tcW w:w="1119" w:type="dxa"/>
            <w:noWrap/>
            <w:vAlign w:val="center"/>
            <w:hideMark/>
          </w:tcPr>
          <w:p w14:paraId="194A0EF8"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1.0</w:t>
            </w:r>
          </w:p>
        </w:tc>
        <w:tc>
          <w:tcPr>
            <w:tcW w:w="1119" w:type="dxa"/>
            <w:noWrap/>
            <w:vAlign w:val="center"/>
            <w:hideMark/>
          </w:tcPr>
          <w:p w14:paraId="492CFE0F"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2.6</w:t>
            </w:r>
          </w:p>
        </w:tc>
      </w:tr>
      <w:tr w:rsidR="00AE564D" w:rsidRPr="00BA2632" w14:paraId="05500344" w14:textId="77777777" w:rsidTr="00C252E3">
        <w:trPr>
          <w:trHeight w:val="360"/>
          <w:jc w:val="center"/>
        </w:trPr>
        <w:tc>
          <w:tcPr>
            <w:tcW w:w="1928" w:type="dxa"/>
            <w:noWrap/>
            <w:vAlign w:val="center"/>
            <w:hideMark/>
          </w:tcPr>
          <w:p w14:paraId="5C627D33" w14:textId="77777777" w:rsidR="00AE564D" w:rsidRPr="00BA2632" w:rsidRDefault="00AE564D" w:rsidP="00E26D3C">
            <w:pPr>
              <w:spacing w:after="0" w:line="240" w:lineRule="auto"/>
              <w:jc w:val="center"/>
              <w:rPr>
                <w:rFonts w:ascii="Calibri" w:eastAsia="Times New Roman" w:hAnsi="Calibri"/>
                <w:color w:val="000000"/>
                <w:sz w:val="18"/>
                <w:szCs w:val="18"/>
              </w:rPr>
            </w:pPr>
            <w:r w:rsidRPr="00BA2632">
              <w:rPr>
                <w:rFonts w:ascii="Calibri" w:eastAsia="Times New Roman" w:hAnsi="Calibri"/>
                <w:color w:val="000000"/>
                <w:sz w:val="18"/>
                <w:szCs w:val="18"/>
              </w:rPr>
              <w:t>ER (mg O</w:t>
            </w:r>
            <w:r w:rsidRPr="00BA2632">
              <w:rPr>
                <w:rFonts w:ascii="Calibri" w:eastAsia="Times New Roman" w:hAnsi="Calibri"/>
                <w:color w:val="000000"/>
                <w:sz w:val="18"/>
                <w:szCs w:val="18"/>
                <w:vertAlign w:val="subscript"/>
              </w:rPr>
              <w:t>2</w:t>
            </w:r>
            <w:r w:rsidRPr="00BA2632">
              <w:rPr>
                <w:rFonts w:ascii="Calibri" w:eastAsia="Times New Roman" w:hAnsi="Calibri"/>
                <w:color w:val="000000"/>
                <w:sz w:val="18"/>
                <w:szCs w:val="18"/>
              </w:rPr>
              <w:t>/L/Day)</w:t>
            </w:r>
          </w:p>
        </w:tc>
        <w:tc>
          <w:tcPr>
            <w:tcW w:w="907" w:type="dxa"/>
            <w:noWrap/>
            <w:vAlign w:val="center"/>
            <w:hideMark/>
          </w:tcPr>
          <w:p w14:paraId="4969E9D7"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10577</w:t>
            </w:r>
          </w:p>
        </w:tc>
        <w:tc>
          <w:tcPr>
            <w:tcW w:w="907" w:type="dxa"/>
            <w:noWrap/>
            <w:vAlign w:val="center"/>
            <w:hideMark/>
          </w:tcPr>
          <w:p w14:paraId="7F3CAE8D"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3.1</w:t>
            </w:r>
          </w:p>
        </w:tc>
        <w:tc>
          <w:tcPr>
            <w:tcW w:w="907" w:type="dxa"/>
            <w:noWrap/>
            <w:vAlign w:val="center"/>
            <w:hideMark/>
          </w:tcPr>
          <w:p w14:paraId="56014212"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4.0</w:t>
            </w:r>
          </w:p>
        </w:tc>
        <w:tc>
          <w:tcPr>
            <w:tcW w:w="907" w:type="dxa"/>
            <w:noWrap/>
            <w:vAlign w:val="center"/>
            <w:hideMark/>
          </w:tcPr>
          <w:p w14:paraId="09508748"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3.8</w:t>
            </w:r>
          </w:p>
        </w:tc>
        <w:tc>
          <w:tcPr>
            <w:tcW w:w="907" w:type="dxa"/>
            <w:noWrap/>
            <w:vAlign w:val="center"/>
            <w:hideMark/>
          </w:tcPr>
          <w:p w14:paraId="7162875B"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0.04</w:t>
            </w:r>
          </w:p>
        </w:tc>
        <w:tc>
          <w:tcPr>
            <w:tcW w:w="1119" w:type="dxa"/>
            <w:noWrap/>
            <w:vAlign w:val="center"/>
            <w:hideMark/>
          </w:tcPr>
          <w:p w14:paraId="6BEFA2B8"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1.6</w:t>
            </w:r>
          </w:p>
        </w:tc>
        <w:tc>
          <w:tcPr>
            <w:tcW w:w="1119" w:type="dxa"/>
            <w:noWrap/>
            <w:vAlign w:val="center"/>
            <w:hideMark/>
          </w:tcPr>
          <w:p w14:paraId="63426600"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5.2</w:t>
            </w:r>
          </w:p>
        </w:tc>
      </w:tr>
      <w:tr w:rsidR="00AE564D" w:rsidRPr="00BA2632" w14:paraId="328586A8" w14:textId="77777777" w:rsidTr="00C252E3">
        <w:trPr>
          <w:trHeight w:val="360"/>
          <w:jc w:val="center"/>
        </w:trPr>
        <w:tc>
          <w:tcPr>
            <w:tcW w:w="1928" w:type="dxa"/>
            <w:noWrap/>
            <w:vAlign w:val="center"/>
            <w:hideMark/>
          </w:tcPr>
          <w:p w14:paraId="699A0571" w14:textId="77777777" w:rsidR="00AE564D" w:rsidRPr="00BA2632" w:rsidRDefault="00AE564D" w:rsidP="00E26D3C">
            <w:pPr>
              <w:spacing w:after="0" w:line="240" w:lineRule="auto"/>
              <w:jc w:val="center"/>
              <w:rPr>
                <w:rFonts w:ascii="Calibri" w:eastAsia="Times New Roman" w:hAnsi="Calibri"/>
                <w:color w:val="000000"/>
                <w:sz w:val="18"/>
                <w:szCs w:val="18"/>
              </w:rPr>
            </w:pPr>
            <w:r w:rsidRPr="00BA2632">
              <w:rPr>
                <w:rFonts w:ascii="Calibri" w:eastAsia="Times New Roman" w:hAnsi="Calibri"/>
                <w:color w:val="000000"/>
                <w:sz w:val="18"/>
                <w:szCs w:val="18"/>
              </w:rPr>
              <w:t>K (/Day)</w:t>
            </w:r>
          </w:p>
        </w:tc>
        <w:tc>
          <w:tcPr>
            <w:tcW w:w="907" w:type="dxa"/>
            <w:noWrap/>
            <w:vAlign w:val="center"/>
            <w:hideMark/>
          </w:tcPr>
          <w:p w14:paraId="54CFB3AA"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10577</w:t>
            </w:r>
          </w:p>
        </w:tc>
        <w:tc>
          <w:tcPr>
            <w:tcW w:w="907" w:type="dxa"/>
            <w:noWrap/>
            <w:vAlign w:val="center"/>
            <w:hideMark/>
          </w:tcPr>
          <w:p w14:paraId="3F2C6503" w14:textId="77777777" w:rsidR="00AE564D" w:rsidRPr="00BA2632" w:rsidRDefault="00AE564D" w:rsidP="00E26D3C">
            <w:pPr>
              <w:spacing w:after="0" w:line="240" w:lineRule="auto"/>
              <w:jc w:val="center"/>
              <w:rPr>
                <w:rFonts w:ascii="Calibri" w:eastAsia="Times New Roman" w:hAnsi="Calibri" w:cs="Arial"/>
                <w:sz w:val="18"/>
                <w:szCs w:val="18"/>
                <w:lang w:eastAsia="en-US"/>
              </w:rPr>
            </w:pPr>
            <w:r w:rsidRPr="00BA2632">
              <w:rPr>
                <w:rFonts w:ascii="Calibri" w:hAnsi="Calibri" w:cs="Arial"/>
                <w:color w:val="000000"/>
                <w:sz w:val="18"/>
                <w:szCs w:val="18"/>
              </w:rPr>
              <w:t>1.8</w:t>
            </w:r>
          </w:p>
        </w:tc>
        <w:tc>
          <w:tcPr>
            <w:tcW w:w="907" w:type="dxa"/>
            <w:noWrap/>
            <w:vAlign w:val="center"/>
            <w:hideMark/>
          </w:tcPr>
          <w:p w14:paraId="252BFF48"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2.3</w:t>
            </w:r>
          </w:p>
        </w:tc>
        <w:tc>
          <w:tcPr>
            <w:tcW w:w="907" w:type="dxa"/>
            <w:noWrap/>
            <w:vAlign w:val="center"/>
            <w:hideMark/>
          </w:tcPr>
          <w:p w14:paraId="23ED22CF" w14:textId="77777777" w:rsidR="00AE564D" w:rsidRPr="00BA2632" w:rsidRDefault="00AE564D" w:rsidP="00E26D3C">
            <w:pPr>
              <w:spacing w:after="0" w:line="240" w:lineRule="auto"/>
              <w:jc w:val="center"/>
              <w:rPr>
                <w:rFonts w:ascii="Calibri" w:eastAsia="Times New Roman" w:hAnsi="Calibri" w:cs="Arial"/>
                <w:sz w:val="18"/>
                <w:szCs w:val="18"/>
                <w:lang w:eastAsia="en-US"/>
              </w:rPr>
            </w:pPr>
            <w:r w:rsidRPr="00BA2632">
              <w:rPr>
                <w:rFonts w:ascii="Calibri" w:hAnsi="Calibri" w:cs="Arial"/>
                <w:color w:val="000000"/>
                <w:sz w:val="18"/>
                <w:szCs w:val="18"/>
              </w:rPr>
              <w:t>2.1</w:t>
            </w:r>
          </w:p>
        </w:tc>
        <w:tc>
          <w:tcPr>
            <w:tcW w:w="907" w:type="dxa"/>
            <w:noWrap/>
            <w:vAlign w:val="center"/>
            <w:hideMark/>
          </w:tcPr>
          <w:p w14:paraId="5B5D14C6" w14:textId="77777777" w:rsidR="00AE564D" w:rsidRPr="00BA2632" w:rsidRDefault="00AE564D" w:rsidP="00E26D3C">
            <w:pPr>
              <w:spacing w:after="0" w:line="240" w:lineRule="auto"/>
              <w:jc w:val="center"/>
              <w:rPr>
                <w:rFonts w:ascii="Calibri" w:eastAsia="Times New Roman" w:hAnsi="Calibri" w:cs="Arial"/>
                <w:sz w:val="18"/>
                <w:szCs w:val="18"/>
              </w:rPr>
            </w:pPr>
            <w:r w:rsidRPr="00BA2632">
              <w:rPr>
                <w:rFonts w:ascii="Calibri" w:hAnsi="Calibri" w:cs="Arial"/>
                <w:color w:val="000000"/>
                <w:sz w:val="18"/>
                <w:szCs w:val="18"/>
              </w:rPr>
              <w:t>0.02</w:t>
            </w:r>
          </w:p>
        </w:tc>
        <w:tc>
          <w:tcPr>
            <w:tcW w:w="1119" w:type="dxa"/>
            <w:noWrap/>
            <w:vAlign w:val="center"/>
            <w:hideMark/>
          </w:tcPr>
          <w:p w14:paraId="1CF2C4E7" w14:textId="77777777" w:rsidR="00AE564D" w:rsidRPr="00BA2632" w:rsidRDefault="00AE564D" w:rsidP="00E26D3C">
            <w:pPr>
              <w:spacing w:after="0" w:line="240" w:lineRule="auto"/>
              <w:jc w:val="center"/>
              <w:rPr>
                <w:rFonts w:ascii="Calibri" w:eastAsia="Times New Roman" w:hAnsi="Calibri" w:cs="Arial"/>
                <w:sz w:val="18"/>
                <w:szCs w:val="18"/>
              </w:rPr>
            </w:pPr>
            <w:r w:rsidRPr="00BA2632">
              <w:rPr>
                <w:rFonts w:ascii="Calibri" w:hAnsi="Calibri" w:cs="Arial"/>
                <w:color w:val="000000"/>
                <w:sz w:val="18"/>
                <w:szCs w:val="18"/>
              </w:rPr>
              <w:t>1.1</w:t>
            </w:r>
          </w:p>
        </w:tc>
        <w:tc>
          <w:tcPr>
            <w:tcW w:w="1119" w:type="dxa"/>
            <w:noWrap/>
            <w:vAlign w:val="center"/>
            <w:hideMark/>
          </w:tcPr>
          <w:p w14:paraId="287884A5" w14:textId="77777777" w:rsidR="00AE564D" w:rsidRPr="00BA2632" w:rsidRDefault="00AE564D" w:rsidP="00E26D3C">
            <w:pPr>
              <w:spacing w:after="0" w:line="240" w:lineRule="auto"/>
              <w:jc w:val="center"/>
              <w:rPr>
                <w:rFonts w:ascii="Calibri" w:eastAsia="Times New Roman" w:hAnsi="Calibri" w:cs="Arial"/>
                <w:sz w:val="18"/>
                <w:szCs w:val="18"/>
              </w:rPr>
            </w:pPr>
            <w:r w:rsidRPr="00BA2632">
              <w:rPr>
                <w:rFonts w:ascii="Calibri" w:hAnsi="Calibri" w:cs="Arial"/>
                <w:color w:val="000000"/>
                <w:sz w:val="18"/>
                <w:szCs w:val="18"/>
              </w:rPr>
              <w:t>2.8</w:t>
            </w:r>
          </w:p>
        </w:tc>
      </w:tr>
      <w:tr w:rsidR="00AE564D" w:rsidRPr="00BA2632" w14:paraId="3BA76634" w14:textId="77777777" w:rsidTr="00C252E3">
        <w:trPr>
          <w:trHeight w:val="360"/>
          <w:jc w:val="center"/>
        </w:trPr>
        <w:tc>
          <w:tcPr>
            <w:tcW w:w="1928" w:type="dxa"/>
            <w:noWrap/>
            <w:vAlign w:val="center"/>
            <w:hideMark/>
          </w:tcPr>
          <w:p w14:paraId="478BB745" w14:textId="77777777" w:rsidR="00AE564D" w:rsidRPr="00BA2632" w:rsidRDefault="00AE564D" w:rsidP="00E26D3C">
            <w:pPr>
              <w:spacing w:after="0" w:line="240" w:lineRule="auto"/>
              <w:jc w:val="center"/>
              <w:rPr>
                <w:rFonts w:ascii="Calibri" w:eastAsia="Times New Roman" w:hAnsi="Calibri"/>
                <w:color w:val="000000"/>
                <w:sz w:val="18"/>
                <w:szCs w:val="18"/>
              </w:rPr>
            </w:pPr>
            <w:r w:rsidRPr="00BA2632">
              <w:rPr>
                <w:rFonts w:ascii="Calibri" w:eastAsia="Times New Roman" w:hAnsi="Calibri"/>
                <w:color w:val="000000"/>
                <w:sz w:val="18"/>
                <w:szCs w:val="18"/>
              </w:rPr>
              <w:t>P/R</w:t>
            </w:r>
          </w:p>
        </w:tc>
        <w:tc>
          <w:tcPr>
            <w:tcW w:w="907" w:type="dxa"/>
            <w:noWrap/>
            <w:vAlign w:val="center"/>
            <w:hideMark/>
          </w:tcPr>
          <w:p w14:paraId="56029C8B"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10577</w:t>
            </w:r>
          </w:p>
        </w:tc>
        <w:tc>
          <w:tcPr>
            <w:tcW w:w="907" w:type="dxa"/>
            <w:noWrap/>
            <w:vAlign w:val="center"/>
            <w:hideMark/>
          </w:tcPr>
          <w:p w14:paraId="3D3C6F77" w14:textId="77777777" w:rsidR="00AE564D" w:rsidRPr="00BA2632" w:rsidRDefault="00AE564D" w:rsidP="00E26D3C">
            <w:pPr>
              <w:spacing w:after="0" w:line="240" w:lineRule="auto"/>
              <w:jc w:val="center"/>
              <w:rPr>
                <w:rFonts w:ascii="Calibri" w:eastAsia="Times New Roman" w:hAnsi="Calibri" w:cs="Arial"/>
                <w:sz w:val="18"/>
                <w:szCs w:val="18"/>
                <w:lang w:eastAsia="en-US"/>
              </w:rPr>
            </w:pPr>
            <w:r w:rsidRPr="00BA2632">
              <w:rPr>
                <w:rFonts w:ascii="Calibri" w:hAnsi="Calibri" w:cs="Arial"/>
                <w:color w:val="000000"/>
                <w:sz w:val="18"/>
                <w:szCs w:val="18"/>
              </w:rPr>
              <w:t>0.6</w:t>
            </w:r>
          </w:p>
        </w:tc>
        <w:tc>
          <w:tcPr>
            <w:tcW w:w="907" w:type="dxa"/>
            <w:noWrap/>
            <w:vAlign w:val="center"/>
            <w:hideMark/>
          </w:tcPr>
          <w:p w14:paraId="528D0271" w14:textId="77777777" w:rsidR="00AE564D" w:rsidRPr="00BA2632" w:rsidRDefault="00AE564D" w:rsidP="00E26D3C">
            <w:pPr>
              <w:spacing w:after="0" w:line="240" w:lineRule="auto"/>
              <w:jc w:val="center"/>
              <w:rPr>
                <w:rFonts w:ascii="Calibri" w:eastAsia="Times New Roman" w:hAnsi="Calibri" w:cs="Arial"/>
                <w:color w:val="000000"/>
                <w:sz w:val="18"/>
                <w:szCs w:val="18"/>
              </w:rPr>
            </w:pPr>
            <w:r w:rsidRPr="00BA2632">
              <w:rPr>
                <w:rFonts w:ascii="Calibri" w:hAnsi="Calibri" w:cs="Arial"/>
                <w:color w:val="000000"/>
                <w:sz w:val="18"/>
                <w:szCs w:val="18"/>
              </w:rPr>
              <w:t>0.8</w:t>
            </w:r>
          </w:p>
        </w:tc>
        <w:tc>
          <w:tcPr>
            <w:tcW w:w="907" w:type="dxa"/>
            <w:noWrap/>
            <w:vAlign w:val="center"/>
            <w:hideMark/>
          </w:tcPr>
          <w:p w14:paraId="06A39D91" w14:textId="77777777" w:rsidR="00AE564D" w:rsidRPr="00BA2632" w:rsidRDefault="00AE564D" w:rsidP="00E26D3C">
            <w:pPr>
              <w:spacing w:after="0" w:line="240" w:lineRule="auto"/>
              <w:jc w:val="center"/>
              <w:rPr>
                <w:rFonts w:ascii="Calibri" w:eastAsia="Times New Roman" w:hAnsi="Calibri" w:cs="Arial"/>
                <w:sz w:val="18"/>
                <w:szCs w:val="18"/>
                <w:lang w:eastAsia="en-US"/>
              </w:rPr>
            </w:pPr>
            <w:r w:rsidRPr="00BA2632">
              <w:rPr>
                <w:rFonts w:ascii="Calibri" w:hAnsi="Calibri" w:cs="Arial"/>
                <w:color w:val="000000"/>
                <w:sz w:val="18"/>
                <w:szCs w:val="18"/>
              </w:rPr>
              <w:t>1.2</w:t>
            </w:r>
          </w:p>
        </w:tc>
        <w:tc>
          <w:tcPr>
            <w:tcW w:w="907" w:type="dxa"/>
            <w:noWrap/>
            <w:vAlign w:val="center"/>
            <w:hideMark/>
          </w:tcPr>
          <w:p w14:paraId="4DE08876" w14:textId="77777777" w:rsidR="00AE564D" w:rsidRPr="00BA2632" w:rsidRDefault="00AE564D" w:rsidP="00E26D3C">
            <w:pPr>
              <w:spacing w:after="0" w:line="240" w:lineRule="auto"/>
              <w:jc w:val="center"/>
              <w:rPr>
                <w:rFonts w:ascii="Calibri" w:eastAsia="Times New Roman" w:hAnsi="Calibri" w:cs="Arial"/>
                <w:sz w:val="18"/>
                <w:szCs w:val="18"/>
              </w:rPr>
            </w:pPr>
            <w:r w:rsidRPr="00BA2632">
              <w:rPr>
                <w:rFonts w:ascii="Calibri" w:hAnsi="Calibri" w:cs="Arial"/>
                <w:color w:val="000000"/>
                <w:sz w:val="18"/>
                <w:szCs w:val="18"/>
              </w:rPr>
              <w:t>0.01</w:t>
            </w:r>
          </w:p>
        </w:tc>
        <w:tc>
          <w:tcPr>
            <w:tcW w:w="1119" w:type="dxa"/>
            <w:noWrap/>
            <w:vAlign w:val="center"/>
            <w:hideMark/>
          </w:tcPr>
          <w:p w14:paraId="39DFE6F7" w14:textId="77777777" w:rsidR="00AE564D" w:rsidRPr="00BA2632" w:rsidRDefault="00AE564D" w:rsidP="00E26D3C">
            <w:pPr>
              <w:spacing w:after="0" w:line="240" w:lineRule="auto"/>
              <w:jc w:val="center"/>
              <w:rPr>
                <w:rFonts w:ascii="Calibri" w:eastAsia="Times New Roman" w:hAnsi="Calibri" w:cs="Arial"/>
                <w:sz w:val="18"/>
                <w:szCs w:val="18"/>
              </w:rPr>
            </w:pPr>
            <w:r w:rsidRPr="00BA2632">
              <w:rPr>
                <w:rFonts w:ascii="Calibri" w:hAnsi="Calibri" w:cs="Arial"/>
                <w:color w:val="000000"/>
                <w:sz w:val="18"/>
                <w:szCs w:val="18"/>
              </w:rPr>
              <w:t>0.4</w:t>
            </w:r>
          </w:p>
        </w:tc>
        <w:tc>
          <w:tcPr>
            <w:tcW w:w="1119" w:type="dxa"/>
            <w:noWrap/>
            <w:vAlign w:val="center"/>
            <w:hideMark/>
          </w:tcPr>
          <w:p w14:paraId="5DAC723D" w14:textId="77777777" w:rsidR="00AE564D" w:rsidRPr="00BA2632" w:rsidRDefault="00AE564D" w:rsidP="00E26D3C">
            <w:pPr>
              <w:spacing w:after="0" w:line="240" w:lineRule="auto"/>
              <w:jc w:val="center"/>
              <w:rPr>
                <w:rFonts w:ascii="Calibri" w:eastAsia="Times New Roman" w:hAnsi="Calibri" w:cs="Arial"/>
                <w:sz w:val="18"/>
                <w:szCs w:val="18"/>
              </w:rPr>
            </w:pPr>
            <w:r w:rsidRPr="00BA2632">
              <w:rPr>
                <w:rFonts w:ascii="Calibri" w:hAnsi="Calibri" w:cs="Arial"/>
                <w:color w:val="000000"/>
                <w:sz w:val="18"/>
                <w:szCs w:val="18"/>
              </w:rPr>
              <w:t>0.9</w:t>
            </w:r>
          </w:p>
        </w:tc>
      </w:tr>
    </w:tbl>
    <w:p w14:paraId="20089CC7" w14:textId="77777777" w:rsidR="00AE564D" w:rsidRPr="00BA2632" w:rsidRDefault="00AE564D" w:rsidP="00AE564D">
      <w:pPr>
        <w:rPr>
          <w:lang w:val="en-GB" w:eastAsia="en-US"/>
        </w:rPr>
      </w:pPr>
    </w:p>
    <w:p w14:paraId="05734780" w14:textId="22A622BA" w:rsidR="00AE564D" w:rsidRPr="00BA2632" w:rsidRDefault="00AE564D" w:rsidP="00AE564D">
      <w:r w:rsidRPr="00BA2632">
        <w:rPr>
          <w:bCs/>
        </w:rPr>
        <w:t>In comparing results</w:t>
      </w:r>
      <w:r w:rsidRPr="00BA2632">
        <w:t xml:space="preserve">, it is important to note that Goulburn results make up around 21% of the overall database used to generate </w:t>
      </w:r>
      <w:r w:rsidR="00590768" w:rsidRPr="00BA2632">
        <w:t xml:space="preserve">Table </w:t>
      </w:r>
      <w:r w:rsidR="00590768">
        <w:rPr>
          <w:noProof/>
        </w:rPr>
        <w:t>5</w:t>
      </w:r>
      <w:r w:rsidR="00590768">
        <w:rPr>
          <w:noProof/>
        </w:rPr>
        <w:noBreakHyphen/>
        <w:t>9</w:t>
      </w:r>
      <w:r w:rsidRPr="00BA2632">
        <w:t xml:space="preserve">. </w:t>
      </w:r>
      <w:r w:rsidRPr="00BA2632">
        <w:rPr>
          <w:shd w:val="clear" w:color="auto" w:fill="FFFFFF" w:themeFill="background1"/>
        </w:rPr>
        <w:t xml:space="preserve">Nevertheless, the range in median GPP over all Goulburn sites and the six years of data is slightly lower than the overall LTIM result </w:t>
      </w:r>
      <w:r w:rsidRPr="00E5029C">
        <w:rPr>
          <w:color w:val="000000" w:themeColor="text1"/>
          <w:shd w:val="clear" w:color="auto" w:fill="FFFFFF" w:themeFill="background1"/>
        </w:rPr>
        <w:t>(1.</w:t>
      </w:r>
      <w:r>
        <w:rPr>
          <w:color w:val="000000" w:themeColor="text1"/>
          <w:shd w:val="clear" w:color="auto" w:fill="FFFFFF" w:themeFill="background1"/>
        </w:rPr>
        <w:t>3</w:t>
      </w:r>
      <w:r w:rsidRPr="00E5029C">
        <w:rPr>
          <w:color w:val="000000" w:themeColor="text1"/>
          <w:shd w:val="clear" w:color="auto" w:fill="FFFFFF" w:themeFill="background1"/>
        </w:rPr>
        <w:t xml:space="preserve"> </w:t>
      </w:r>
      <w:r w:rsidRPr="00E5029C">
        <w:rPr>
          <w:i/>
          <w:color w:val="000000" w:themeColor="text1"/>
          <w:shd w:val="clear" w:color="auto" w:fill="FFFFFF" w:themeFill="background1"/>
        </w:rPr>
        <w:t>c.f.</w:t>
      </w:r>
      <w:r w:rsidRPr="00E5029C">
        <w:rPr>
          <w:color w:val="000000" w:themeColor="text1"/>
          <w:shd w:val="clear" w:color="auto" w:fill="FFFFFF" w:themeFill="background1"/>
        </w:rPr>
        <w:t xml:space="preserve"> 1.6 mg O</w:t>
      </w:r>
      <w:r w:rsidRPr="00E5029C">
        <w:rPr>
          <w:color w:val="000000" w:themeColor="text1"/>
          <w:shd w:val="clear" w:color="auto" w:fill="FFFFFF" w:themeFill="background1"/>
          <w:vertAlign w:val="subscript"/>
        </w:rPr>
        <w:t>2</w:t>
      </w:r>
      <w:r w:rsidRPr="00E5029C">
        <w:rPr>
          <w:color w:val="000000" w:themeColor="text1"/>
          <w:shd w:val="clear" w:color="auto" w:fill="FFFFFF" w:themeFill="background1"/>
        </w:rPr>
        <w:t>/L/Day). However</w:t>
      </w:r>
      <w:r>
        <w:rPr>
          <w:color w:val="000000" w:themeColor="text1"/>
          <w:shd w:val="clear" w:color="auto" w:fill="FFFFFF" w:themeFill="background1"/>
        </w:rPr>
        <w:t>,</w:t>
      </w:r>
      <w:r w:rsidRPr="00E5029C">
        <w:rPr>
          <w:color w:val="000000" w:themeColor="text1"/>
          <w:shd w:val="clear" w:color="auto" w:fill="FFFFFF" w:themeFill="background1"/>
        </w:rPr>
        <w:t xml:space="preserve"> the LTIM data are skewed by the fact that along with the Goulburn, only the Lachlan Selected Area had a significant amount of </w:t>
      </w:r>
      <w:proofErr w:type="gramStart"/>
      <w:r w:rsidRPr="00E5029C">
        <w:rPr>
          <w:color w:val="000000" w:themeColor="text1"/>
          <w:shd w:val="clear" w:color="auto" w:fill="FFFFFF" w:themeFill="background1"/>
        </w:rPr>
        <w:t>winter time</w:t>
      </w:r>
      <w:proofErr w:type="gramEnd"/>
      <w:r w:rsidRPr="00E5029C">
        <w:rPr>
          <w:color w:val="000000" w:themeColor="text1"/>
          <w:shd w:val="clear" w:color="auto" w:fill="FFFFFF" w:themeFill="background1"/>
        </w:rPr>
        <w:t xml:space="preserve"> data.</w:t>
      </w:r>
      <w:r w:rsidRPr="00E5029C">
        <w:rPr>
          <w:color w:val="000000" w:themeColor="text1"/>
        </w:rPr>
        <w:t xml:space="preserve"> For a similar reason the median Goulburn ER rate for all sites (2.</w:t>
      </w:r>
      <w:r>
        <w:rPr>
          <w:color w:val="000000" w:themeColor="text1"/>
        </w:rPr>
        <w:t>56</w:t>
      </w:r>
      <w:r w:rsidRPr="00E5029C">
        <w:rPr>
          <w:color w:val="000000" w:themeColor="text1"/>
          <w:shd w:val="clear" w:color="auto" w:fill="FFFFFF" w:themeFill="background1"/>
        </w:rPr>
        <w:t xml:space="preserve"> mg O</w:t>
      </w:r>
      <w:r w:rsidRPr="00E5029C">
        <w:rPr>
          <w:color w:val="000000" w:themeColor="text1"/>
          <w:shd w:val="clear" w:color="auto" w:fill="FFFFFF" w:themeFill="background1"/>
          <w:vertAlign w:val="subscript"/>
        </w:rPr>
        <w:t>2</w:t>
      </w:r>
      <w:r w:rsidRPr="00E5029C">
        <w:rPr>
          <w:color w:val="000000" w:themeColor="text1"/>
          <w:shd w:val="clear" w:color="auto" w:fill="FFFFFF" w:themeFill="background1"/>
        </w:rPr>
        <w:t>/L/Day) is slightly lower that the median value for all five selected areas (3.1 mg O</w:t>
      </w:r>
      <w:r w:rsidRPr="00E5029C">
        <w:rPr>
          <w:color w:val="000000" w:themeColor="text1"/>
          <w:shd w:val="clear" w:color="auto" w:fill="FFFFFF" w:themeFill="background1"/>
          <w:vertAlign w:val="subscript"/>
        </w:rPr>
        <w:t>2</w:t>
      </w:r>
      <w:r w:rsidRPr="00E5029C">
        <w:rPr>
          <w:color w:val="000000" w:themeColor="text1"/>
          <w:shd w:val="clear" w:color="auto" w:fill="FFFFFF" w:themeFill="background1"/>
        </w:rPr>
        <w:t>/L/Day).</w:t>
      </w:r>
      <w:r w:rsidRPr="00E5029C">
        <w:rPr>
          <w:color w:val="000000" w:themeColor="text1"/>
        </w:rPr>
        <w:t xml:space="preserve"> Nevertheless</w:t>
      </w:r>
      <w:r>
        <w:rPr>
          <w:color w:val="000000" w:themeColor="text1"/>
        </w:rPr>
        <w:t>,</w:t>
      </w:r>
      <w:r w:rsidRPr="00E5029C">
        <w:rPr>
          <w:color w:val="000000" w:themeColor="text1"/>
        </w:rPr>
        <w:t xml:space="preserve"> it is highly likely that the same factors constraining primary production (mainly nutrients) and ecosystem respiration (organic carbon supply) are important in all the southern Basin as well as specifically </w:t>
      </w:r>
      <w:r>
        <w:rPr>
          <w:color w:val="000000" w:themeColor="text1"/>
        </w:rPr>
        <w:t xml:space="preserve">in </w:t>
      </w:r>
      <w:r w:rsidRPr="00E5029C">
        <w:rPr>
          <w:color w:val="000000" w:themeColor="text1"/>
        </w:rPr>
        <w:t>the Goulburn River.</w:t>
      </w:r>
    </w:p>
    <w:p w14:paraId="328ABEBC" w14:textId="77777777" w:rsidR="00AE564D" w:rsidRPr="00C252E3" w:rsidRDefault="00AE564D" w:rsidP="00AE564D">
      <w:pPr>
        <w:rPr>
          <w:b/>
          <w:i/>
          <w:iCs/>
          <w:szCs w:val="24"/>
        </w:rPr>
      </w:pPr>
      <w:r w:rsidRPr="00C252E3">
        <w:rPr>
          <w:b/>
          <w:i/>
          <w:iCs/>
        </w:rPr>
        <w:t>Metabolism across seasons, 2014-2021</w:t>
      </w:r>
    </w:p>
    <w:p w14:paraId="0FC405D8" w14:textId="39E6D8D4" w:rsidR="00AE564D" w:rsidRPr="00BA2632" w:rsidRDefault="00AE564D" w:rsidP="00AE564D">
      <w:pPr>
        <w:spacing w:before="240" w:after="240"/>
        <w:rPr>
          <w:color w:val="000000" w:themeColor="text1"/>
        </w:rPr>
      </w:pPr>
      <w:r w:rsidRPr="00BA2632">
        <w:rPr>
          <w:color w:val="000000" w:themeColor="text1"/>
        </w:rPr>
        <w:t xml:space="preserve">The box plots in the composite </w:t>
      </w:r>
      <w:r w:rsidR="00590768" w:rsidRPr="00BA2632">
        <w:t xml:space="preserve">Figure </w:t>
      </w:r>
      <w:r w:rsidR="00590768">
        <w:rPr>
          <w:noProof/>
        </w:rPr>
        <w:t>5</w:t>
      </w:r>
      <w:r w:rsidR="00590768">
        <w:noBreakHyphen/>
      </w:r>
      <w:r w:rsidR="00590768">
        <w:rPr>
          <w:noProof/>
        </w:rPr>
        <w:t>7</w:t>
      </w:r>
      <w:r w:rsidR="00C252E3">
        <w:rPr>
          <w:color w:val="000000" w:themeColor="text1"/>
        </w:rPr>
        <w:t xml:space="preserve"> </w:t>
      </w:r>
      <w:r w:rsidRPr="00BA2632">
        <w:rPr>
          <w:color w:val="000000" w:themeColor="text1"/>
        </w:rPr>
        <w:t xml:space="preserve">portray the seasonal dependence of GPP, ER, P/R and NEP (Net Ecosystem Production = GPP – ER) using the full </w:t>
      </w:r>
      <w:r>
        <w:rPr>
          <w:color w:val="000000" w:themeColor="text1"/>
        </w:rPr>
        <w:t>seven</w:t>
      </w:r>
      <w:r w:rsidRPr="00BA2632">
        <w:rPr>
          <w:color w:val="000000" w:themeColor="text1"/>
        </w:rPr>
        <w:t xml:space="preserve">-year data set from all sites. The summary statistics for </w:t>
      </w:r>
      <w:proofErr w:type="gramStart"/>
      <w:r w:rsidRPr="00BA2632">
        <w:rPr>
          <w:color w:val="000000" w:themeColor="text1"/>
        </w:rPr>
        <w:t>all of</w:t>
      </w:r>
      <w:proofErr w:type="gramEnd"/>
      <w:r w:rsidRPr="00BA2632">
        <w:rPr>
          <w:color w:val="000000" w:themeColor="text1"/>
        </w:rPr>
        <w:t xml:space="preserve"> these parameters are presented in</w:t>
      </w:r>
      <w:r w:rsidR="00C252E3">
        <w:rPr>
          <w:color w:val="000000" w:themeColor="text1"/>
        </w:rPr>
        <w:t xml:space="preserve"> </w:t>
      </w:r>
      <w:r w:rsidR="00590768" w:rsidRPr="00BA2632">
        <w:t xml:space="preserve">Table </w:t>
      </w:r>
      <w:r w:rsidR="00590768">
        <w:rPr>
          <w:noProof/>
        </w:rPr>
        <w:t>5</w:t>
      </w:r>
      <w:r w:rsidR="00590768">
        <w:noBreakHyphen/>
      </w:r>
      <w:r w:rsidR="00590768">
        <w:rPr>
          <w:noProof/>
        </w:rPr>
        <w:t>10</w:t>
      </w:r>
      <w:r w:rsidRPr="00BA2632">
        <w:rPr>
          <w:color w:val="000000" w:themeColor="text1"/>
        </w:rPr>
        <w:t>.</w:t>
      </w:r>
    </w:p>
    <w:p w14:paraId="6E20F73F" w14:textId="77777777" w:rsidR="00AE564D" w:rsidRDefault="00AE564D" w:rsidP="00AE564D">
      <w:pPr>
        <w:spacing w:after="240"/>
        <w:jc w:val="center"/>
        <w:rPr>
          <w:color w:val="000000" w:themeColor="text1"/>
        </w:rPr>
      </w:pPr>
      <w:bookmarkStart w:id="253" w:name="_Ref52391557"/>
      <w:r w:rsidRPr="00AD0E40">
        <w:rPr>
          <w:noProof/>
          <w:lang w:val="en-GB"/>
        </w:rPr>
        <w:drawing>
          <wp:inline distT="0" distB="0" distL="0" distR="0" wp14:anchorId="1D1ABB6D" wp14:editId="2C58ADA2">
            <wp:extent cx="5954400" cy="3841200"/>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954400" cy="3841200"/>
                    </a:xfrm>
                    <a:prstGeom prst="rect">
                      <a:avLst/>
                    </a:prstGeom>
                    <a:noFill/>
                    <a:ln>
                      <a:noFill/>
                    </a:ln>
                  </pic:spPr>
                </pic:pic>
              </a:graphicData>
            </a:graphic>
          </wp:inline>
        </w:drawing>
      </w:r>
    </w:p>
    <w:p w14:paraId="01BA2C8B" w14:textId="24FE6695" w:rsidR="00AE564D" w:rsidRPr="00BA2632" w:rsidRDefault="00AE564D" w:rsidP="00AE564D">
      <w:pPr>
        <w:pStyle w:val="Caption"/>
        <w:rPr>
          <w:color w:val="000000" w:themeColor="text1"/>
        </w:rPr>
      </w:pPr>
      <w:bookmarkStart w:id="254" w:name="_Ref83783157"/>
      <w:bookmarkStart w:id="255" w:name="_Toc83907751"/>
      <w:bookmarkStart w:id="256" w:name="_Toc84475652"/>
      <w:r w:rsidRPr="00BA2632">
        <w:t xml:space="preserve">Figure </w:t>
      </w:r>
      <w:r w:rsidR="00590768">
        <w:rPr>
          <w:noProof/>
        </w:rPr>
        <w:t>5</w:t>
      </w:r>
      <w:r w:rsidR="00B85158">
        <w:noBreakHyphen/>
      </w:r>
      <w:r w:rsidR="00590768">
        <w:rPr>
          <w:noProof/>
        </w:rPr>
        <w:t>7</w:t>
      </w:r>
      <w:bookmarkEnd w:id="253"/>
      <w:bookmarkEnd w:id="254"/>
      <w:r w:rsidRPr="00BA2632">
        <w:t xml:space="preserve"> Seasonal dependence of GPP, ER, P/R and N</w:t>
      </w:r>
      <w:r>
        <w:t>E</w:t>
      </w:r>
      <w:r w:rsidRPr="00BA2632">
        <w:t>P for all sites combined, with data from 2014-2</w:t>
      </w:r>
      <w:r>
        <w:t>1</w:t>
      </w:r>
      <w:r w:rsidRPr="00BA2632">
        <w:t>.</w:t>
      </w:r>
      <w:bookmarkEnd w:id="255"/>
      <w:bookmarkEnd w:id="256"/>
    </w:p>
    <w:p w14:paraId="5E4B7F53" w14:textId="77777777" w:rsidR="00AE564D" w:rsidRPr="00BA2632" w:rsidRDefault="00AE564D" w:rsidP="00AE564D">
      <w:pPr>
        <w:spacing w:after="240"/>
        <w:rPr>
          <w:color w:val="000000" w:themeColor="text1"/>
        </w:rPr>
      </w:pPr>
    </w:p>
    <w:p w14:paraId="11608127" w14:textId="48D44CA6" w:rsidR="00AE564D" w:rsidRPr="00BA2632" w:rsidRDefault="00AE564D" w:rsidP="00AE564D">
      <w:pPr>
        <w:pStyle w:val="Caption"/>
        <w:keepNext/>
      </w:pPr>
      <w:bookmarkStart w:id="257" w:name="_Ref52391571"/>
      <w:bookmarkStart w:id="258" w:name="_Toc95391471"/>
      <w:r w:rsidRPr="00BA2632">
        <w:lastRenderedPageBreak/>
        <w:t xml:space="preserve">Table </w:t>
      </w:r>
      <w:r w:rsidR="00590768">
        <w:rPr>
          <w:noProof/>
        </w:rPr>
        <w:t>5</w:t>
      </w:r>
      <w:r w:rsidR="000B75AF">
        <w:noBreakHyphen/>
      </w:r>
      <w:r w:rsidR="00590768">
        <w:rPr>
          <w:noProof/>
        </w:rPr>
        <w:t>10</w:t>
      </w:r>
      <w:bookmarkEnd w:id="257"/>
      <w:r w:rsidRPr="00BA2632">
        <w:t xml:space="preserve"> Seasonal Dependence of GPP, ER, P/R and NEP – all sites combined. Data from 2014-202</w:t>
      </w:r>
      <w:r>
        <w:t>1</w:t>
      </w:r>
      <w:r w:rsidRPr="00BA2632">
        <w:t>.</w:t>
      </w:r>
      <w:bookmarkEnd w:id="258"/>
    </w:p>
    <w:tbl>
      <w:tblPr>
        <w:tblW w:w="8820" w:type="dxa"/>
        <w:jc w:val="center"/>
        <w:tblLook w:val="04A0" w:firstRow="1" w:lastRow="0" w:firstColumn="1" w:lastColumn="0" w:noHBand="0" w:noVBand="1"/>
      </w:tblPr>
      <w:tblGrid>
        <w:gridCol w:w="1000"/>
        <w:gridCol w:w="1440"/>
        <w:gridCol w:w="640"/>
        <w:gridCol w:w="820"/>
        <w:gridCol w:w="820"/>
        <w:gridCol w:w="820"/>
        <w:gridCol w:w="820"/>
        <w:gridCol w:w="820"/>
        <w:gridCol w:w="820"/>
        <w:gridCol w:w="820"/>
      </w:tblGrid>
      <w:tr w:rsidR="00AE564D" w:rsidRPr="00C252E3" w14:paraId="7B2E005A" w14:textId="77777777" w:rsidTr="00C252E3">
        <w:trPr>
          <w:trHeight w:val="315"/>
          <w:jc w:val="center"/>
        </w:trPr>
        <w:tc>
          <w:tcPr>
            <w:tcW w:w="1000" w:type="dxa"/>
            <w:tcBorders>
              <w:top w:val="single" w:sz="8" w:space="0" w:color="002060"/>
              <w:left w:val="single" w:sz="8" w:space="0" w:color="002060"/>
              <w:bottom w:val="nil"/>
              <w:right w:val="single" w:sz="8" w:space="0" w:color="002060"/>
            </w:tcBorders>
            <w:shd w:val="clear" w:color="000000" w:fill="002060"/>
            <w:noWrap/>
            <w:vAlign w:val="center"/>
            <w:hideMark/>
          </w:tcPr>
          <w:p w14:paraId="3E477229"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Parameter</w:t>
            </w:r>
          </w:p>
        </w:tc>
        <w:tc>
          <w:tcPr>
            <w:tcW w:w="1440" w:type="dxa"/>
            <w:tcBorders>
              <w:top w:val="single" w:sz="8" w:space="0" w:color="002060"/>
              <w:left w:val="nil"/>
              <w:bottom w:val="single" w:sz="8" w:space="0" w:color="002060"/>
              <w:right w:val="nil"/>
            </w:tcBorders>
            <w:shd w:val="clear" w:color="000000" w:fill="002060"/>
            <w:noWrap/>
            <w:vAlign w:val="center"/>
            <w:hideMark/>
          </w:tcPr>
          <w:p w14:paraId="55F36330"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Season</w:t>
            </w:r>
          </w:p>
        </w:tc>
        <w:tc>
          <w:tcPr>
            <w:tcW w:w="640" w:type="dxa"/>
            <w:tcBorders>
              <w:top w:val="single" w:sz="8" w:space="0" w:color="002060"/>
              <w:left w:val="nil"/>
              <w:bottom w:val="single" w:sz="8" w:space="0" w:color="002060"/>
              <w:right w:val="nil"/>
            </w:tcBorders>
            <w:shd w:val="clear" w:color="000000" w:fill="002060"/>
            <w:noWrap/>
            <w:vAlign w:val="center"/>
            <w:hideMark/>
          </w:tcPr>
          <w:p w14:paraId="75310F89"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n</w:t>
            </w:r>
          </w:p>
        </w:tc>
        <w:tc>
          <w:tcPr>
            <w:tcW w:w="820" w:type="dxa"/>
            <w:tcBorders>
              <w:top w:val="single" w:sz="8" w:space="0" w:color="002060"/>
              <w:left w:val="nil"/>
              <w:bottom w:val="single" w:sz="8" w:space="0" w:color="002060"/>
              <w:right w:val="nil"/>
            </w:tcBorders>
            <w:shd w:val="clear" w:color="000000" w:fill="002060"/>
            <w:noWrap/>
            <w:vAlign w:val="center"/>
            <w:hideMark/>
          </w:tcPr>
          <w:p w14:paraId="762DF892"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Mean</w:t>
            </w:r>
          </w:p>
        </w:tc>
        <w:tc>
          <w:tcPr>
            <w:tcW w:w="820" w:type="dxa"/>
            <w:tcBorders>
              <w:top w:val="single" w:sz="8" w:space="0" w:color="002060"/>
              <w:left w:val="nil"/>
              <w:bottom w:val="single" w:sz="8" w:space="0" w:color="002060"/>
              <w:right w:val="nil"/>
            </w:tcBorders>
            <w:shd w:val="clear" w:color="000000" w:fill="002060"/>
            <w:noWrap/>
            <w:vAlign w:val="center"/>
            <w:hideMark/>
          </w:tcPr>
          <w:p w14:paraId="5CA5F857"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Std Dev</w:t>
            </w:r>
          </w:p>
        </w:tc>
        <w:tc>
          <w:tcPr>
            <w:tcW w:w="820" w:type="dxa"/>
            <w:tcBorders>
              <w:top w:val="single" w:sz="8" w:space="0" w:color="002060"/>
              <w:left w:val="nil"/>
              <w:bottom w:val="single" w:sz="8" w:space="0" w:color="002060"/>
              <w:right w:val="nil"/>
            </w:tcBorders>
            <w:shd w:val="clear" w:color="000000" w:fill="002060"/>
            <w:noWrap/>
            <w:vAlign w:val="center"/>
            <w:hideMark/>
          </w:tcPr>
          <w:p w14:paraId="663512D2"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Min</w:t>
            </w:r>
          </w:p>
        </w:tc>
        <w:tc>
          <w:tcPr>
            <w:tcW w:w="820" w:type="dxa"/>
            <w:tcBorders>
              <w:top w:val="single" w:sz="8" w:space="0" w:color="002060"/>
              <w:left w:val="nil"/>
              <w:bottom w:val="single" w:sz="8" w:space="0" w:color="002060"/>
              <w:right w:val="nil"/>
            </w:tcBorders>
            <w:shd w:val="clear" w:color="000000" w:fill="002060"/>
            <w:noWrap/>
            <w:vAlign w:val="center"/>
            <w:hideMark/>
          </w:tcPr>
          <w:p w14:paraId="1D1FEDBD"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Max</w:t>
            </w:r>
          </w:p>
        </w:tc>
        <w:tc>
          <w:tcPr>
            <w:tcW w:w="820" w:type="dxa"/>
            <w:tcBorders>
              <w:top w:val="single" w:sz="8" w:space="0" w:color="002060"/>
              <w:left w:val="nil"/>
              <w:bottom w:val="single" w:sz="8" w:space="0" w:color="002060"/>
              <w:right w:val="nil"/>
            </w:tcBorders>
            <w:shd w:val="clear" w:color="000000" w:fill="002060"/>
            <w:noWrap/>
            <w:vAlign w:val="center"/>
            <w:hideMark/>
          </w:tcPr>
          <w:p w14:paraId="6CF03144"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 xml:space="preserve"> Median </w:t>
            </w:r>
          </w:p>
        </w:tc>
        <w:tc>
          <w:tcPr>
            <w:tcW w:w="820" w:type="dxa"/>
            <w:tcBorders>
              <w:top w:val="single" w:sz="8" w:space="0" w:color="002060"/>
              <w:left w:val="nil"/>
              <w:bottom w:val="single" w:sz="8" w:space="0" w:color="002060"/>
              <w:right w:val="nil"/>
            </w:tcBorders>
            <w:shd w:val="clear" w:color="000000" w:fill="002060"/>
            <w:noWrap/>
            <w:vAlign w:val="center"/>
            <w:hideMark/>
          </w:tcPr>
          <w:p w14:paraId="559EF417"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25%</w:t>
            </w:r>
          </w:p>
        </w:tc>
        <w:tc>
          <w:tcPr>
            <w:tcW w:w="820" w:type="dxa"/>
            <w:tcBorders>
              <w:top w:val="single" w:sz="8" w:space="0" w:color="002060"/>
              <w:left w:val="nil"/>
              <w:bottom w:val="single" w:sz="8" w:space="0" w:color="002060"/>
              <w:right w:val="single" w:sz="8" w:space="0" w:color="002060"/>
            </w:tcBorders>
            <w:shd w:val="clear" w:color="000000" w:fill="002060"/>
            <w:noWrap/>
            <w:vAlign w:val="center"/>
            <w:hideMark/>
          </w:tcPr>
          <w:p w14:paraId="4E06EFE5"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75%</w:t>
            </w:r>
          </w:p>
        </w:tc>
      </w:tr>
      <w:tr w:rsidR="00AE564D" w:rsidRPr="00C252E3" w14:paraId="1C278DA2" w14:textId="77777777" w:rsidTr="00C252E3">
        <w:trPr>
          <w:trHeight w:val="300"/>
          <w:jc w:val="center"/>
        </w:trPr>
        <w:tc>
          <w:tcPr>
            <w:tcW w:w="1000" w:type="dxa"/>
            <w:vMerge w:val="restart"/>
            <w:tcBorders>
              <w:top w:val="single" w:sz="8" w:space="0" w:color="002060"/>
              <w:left w:val="single" w:sz="8" w:space="0" w:color="002060"/>
              <w:bottom w:val="single" w:sz="8" w:space="0" w:color="002060"/>
              <w:right w:val="single" w:sz="8" w:space="0" w:color="002060"/>
            </w:tcBorders>
            <w:shd w:val="clear" w:color="000000" w:fill="002060"/>
            <w:noWrap/>
            <w:vAlign w:val="center"/>
            <w:hideMark/>
          </w:tcPr>
          <w:p w14:paraId="2ED06692"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 xml:space="preserve"> GPP</w:t>
            </w:r>
          </w:p>
        </w:tc>
        <w:tc>
          <w:tcPr>
            <w:tcW w:w="1440" w:type="dxa"/>
            <w:tcBorders>
              <w:top w:val="nil"/>
              <w:left w:val="nil"/>
              <w:bottom w:val="nil"/>
              <w:right w:val="nil"/>
            </w:tcBorders>
            <w:shd w:val="clear" w:color="auto" w:fill="auto"/>
            <w:noWrap/>
            <w:vAlign w:val="center"/>
            <w:hideMark/>
          </w:tcPr>
          <w:p w14:paraId="0BFBBBD8"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Spring </w:t>
            </w:r>
          </w:p>
        </w:tc>
        <w:tc>
          <w:tcPr>
            <w:tcW w:w="640" w:type="dxa"/>
            <w:tcBorders>
              <w:top w:val="nil"/>
              <w:left w:val="nil"/>
              <w:bottom w:val="nil"/>
              <w:right w:val="nil"/>
            </w:tcBorders>
            <w:shd w:val="clear" w:color="auto" w:fill="auto"/>
            <w:noWrap/>
            <w:vAlign w:val="center"/>
            <w:hideMark/>
          </w:tcPr>
          <w:p w14:paraId="536207E9"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822</w:t>
            </w:r>
          </w:p>
        </w:tc>
        <w:tc>
          <w:tcPr>
            <w:tcW w:w="820" w:type="dxa"/>
            <w:tcBorders>
              <w:top w:val="nil"/>
              <w:left w:val="nil"/>
              <w:bottom w:val="nil"/>
              <w:right w:val="nil"/>
            </w:tcBorders>
            <w:shd w:val="clear" w:color="auto" w:fill="auto"/>
            <w:noWrap/>
            <w:vAlign w:val="center"/>
            <w:hideMark/>
          </w:tcPr>
          <w:p w14:paraId="72D6698E"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1.50</w:t>
            </w:r>
          </w:p>
        </w:tc>
        <w:tc>
          <w:tcPr>
            <w:tcW w:w="820" w:type="dxa"/>
            <w:tcBorders>
              <w:top w:val="nil"/>
              <w:left w:val="nil"/>
              <w:bottom w:val="nil"/>
              <w:right w:val="nil"/>
            </w:tcBorders>
            <w:shd w:val="clear" w:color="auto" w:fill="auto"/>
            <w:noWrap/>
            <w:vAlign w:val="center"/>
            <w:hideMark/>
          </w:tcPr>
          <w:p w14:paraId="269C6CB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1.43</w:t>
            </w:r>
          </w:p>
        </w:tc>
        <w:tc>
          <w:tcPr>
            <w:tcW w:w="820" w:type="dxa"/>
            <w:tcBorders>
              <w:top w:val="nil"/>
              <w:left w:val="nil"/>
              <w:bottom w:val="nil"/>
              <w:right w:val="nil"/>
            </w:tcBorders>
            <w:shd w:val="clear" w:color="auto" w:fill="auto"/>
            <w:noWrap/>
            <w:vAlign w:val="center"/>
            <w:hideMark/>
          </w:tcPr>
          <w:p w14:paraId="5A037355"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0.02</w:t>
            </w:r>
          </w:p>
        </w:tc>
        <w:tc>
          <w:tcPr>
            <w:tcW w:w="820" w:type="dxa"/>
            <w:tcBorders>
              <w:top w:val="nil"/>
              <w:left w:val="nil"/>
              <w:bottom w:val="nil"/>
              <w:right w:val="nil"/>
            </w:tcBorders>
            <w:shd w:val="clear" w:color="auto" w:fill="auto"/>
            <w:noWrap/>
            <w:vAlign w:val="center"/>
            <w:hideMark/>
          </w:tcPr>
          <w:p w14:paraId="516C6F53"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11.5</w:t>
            </w:r>
          </w:p>
        </w:tc>
        <w:tc>
          <w:tcPr>
            <w:tcW w:w="820" w:type="dxa"/>
            <w:tcBorders>
              <w:top w:val="nil"/>
              <w:left w:val="nil"/>
              <w:bottom w:val="nil"/>
              <w:right w:val="nil"/>
            </w:tcBorders>
            <w:shd w:val="clear" w:color="auto" w:fill="auto"/>
            <w:noWrap/>
            <w:vAlign w:val="center"/>
            <w:hideMark/>
          </w:tcPr>
          <w:p w14:paraId="47F7AF20"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1.18</w:t>
            </w:r>
          </w:p>
        </w:tc>
        <w:tc>
          <w:tcPr>
            <w:tcW w:w="820" w:type="dxa"/>
            <w:tcBorders>
              <w:top w:val="nil"/>
              <w:left w:val="nil"/>
              <w:bottom w:val="nil"/>
              <w:right w:val="nil"/>
            </w:tcBorders>
            <w:shd w:val="clear" w:color="auto" w:fill="auto"/>
            <w:noWrap/>
            <w:vAlign w:val="center"/>
            <w:hideMark/>
          </w:tcPr>
          <w:p w14:paraId="04062EA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0.72</w:t>
            </w:r>
          </w:p>
        </w:tc>
        <w:tc>
          <w:tcPr>
            <w:tcW w:w="820" w:type="dxa"/>
            <w:tcBorders>
              <w:top w:val="nil"/>
              <w:left w:val="nil"/>
              <w:bottom w:val="nil"/>
              <w:right w:val="single" w:sz="8" w:space="0" w:color="002060"/>
            </w:tcBorders>
            <w:shd w:val="clear" w:color="auto" w:fill="auto"/>
            <w:noWrap/>
            <w:vAlign w:val="center"/>
            <w:hideMark/>
          </w:tcPr>
          <w:p w14:paraId="7C386FD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1.78</w:t>
            </w:r>
          </w:p>
        </w:tc>
      </w:tr>
      <w:tr w:rsidR="00AE564D" w:rsidRPr="00C252E3" w14:paraId="370CDA8A" w14:textId="77777777" w:rsidTr="00C252E3">
        <w:trPr>
          <w:trHeight w:val="300"/>
          <w:jc w:val="center"/>
        </w:trPr>
        <w:tc>
          <w:tcPr>
            <w:tcW w:w="1000" w:type="dxa"/>
            <w:vMerge/>
            <w:tcBorders>
              <w:top w:val="single" w:sz="8" w:space="0" w:color="002060"/>
              <w:left w:val="single" w:sz="8" w:space="0" w:color="002060"/>
              <w:bottom w:val="single" w:sz="8" w:space="0" w:color="002060"/>
              <w:right w:val="single" w:sz="8" w:space="0" w:color="002060"/>
            </w:tcBorders>
            <w:vAlign w:val="center"/>
            <w:hideMark/>
          </w:tcPr>
          <w:p w14:paraId="34714383" w14:textId="77777777" w:rsidR="00AE564D" w:rsidRPr="00C252E3" w:rsidRDefault="00AE564D" w:rsidP="00E26D3C">
            <w:pPr>
              <w:spacing w:after="0" w:line="240" w:lineRule="auto"/>
              <w:rPr>
                <w:rFonts w:eastAsia="Times New Roman" w:cstheme="minorHAnsi"/>
                <w:color w:val="FFFFFF"/>
                <w:sz w:val="18"/>
                <w:szCs w:val="18"/>
                <w:lang w:eastAsia="en-AU"/>
              </w:rPr>
            </w:pPr>
          </w:p>
        </w:tc>
        <w:tc>
          <w:tcPr>
            <w:tcW w:w="1440" w:type="dxa"/>
            <w:tcBorders>
              <w:top w:val="nil"/>
              <w:left w:val="nil"/>
              <w:bottom w:val="nil"/>
              <w:right w:val="nil"/>
            </w:tcBorders>
            <w:shd w:val="clear" w:color="auto" w:fill="auto"/>
            <w:noWrap/>
            <w:vAlign w:val="center"/>
            <w:hideMark/>
          </w:tcPr>
          <w:p w14:paraId="7837D340"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Summer </w:t>
            </w:r>
          </w:p>
        </w:tc>
        <w:tc>
          <w:tcPr>
            <w:tcW w:w="640" w:type="dxa"/>
            <w:tcBorders>
              <w:top w:val="nil"/>
              <w:left w:val="nil"/>
              <w:bottom w:val="nil"/>
              <w:right w:val="nil"/>
            </w:tcBorders>
            <w:shd w:val="clear" w:color="auto" w:fill="auto"/>
            <w:noWrap/>
            <w:vAlign w:val="center"/>
            <w:hideMark/>
          </w:tcPr>
          <w:p w14:paraId="10B0363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1420</w:t>
            </w:r>
          </w:p>
        </w:tc>
        <w:tc>
          <w:tcPr>
            <w:tcW w:w="820" w:type="dxa"/>
            <w:tcBorders>
              <w:top w:val="nil"/>
              <w:left w:val="nil"/>
              <w:bottom w:val="nil"/>
              <w:right w:val="nil"/>
            </w:tcBorders>
            <w:shd w:val="clear" w:color="auto" w:fill="auto"/>
            <w:noWrap/>
            <w:vAlign w:val="center"/>
            <w:hideMark/>
          </w:tcPr>
          <w:p w14:paraId="531C881D"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2.12</w:t>
            </w:r>
          </w:p>
        </w:tc>
        <w:tc>
          <w:tcPr>
            <w:tcW w:w="820" w:type="dxa"/>
            <w:tcBorders>
              <w:top w:val="nil"/>
              <w:left w:val="nil"/>
              <w:bottom w:val="nil"/>
              <w:right w:val="nil"/>
            </w:tcBorders>
            <w:shd w:val="clear" w:color="auto" w:fill="auto"/>
            <w:noWrap/>
            <w:vAlign w:val="center"/>
            <w:hideMark/>
          </w:tcPr>
          <w:p w14:paraId="089E99DA"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2.05</w:t>
            </w:r>
          </w:p>
        </w:tc>
        <w:tc>
          <w:tcPr>
            <w:tcW w:w="820" w:type="dxa"/>
            <w:tcBorders>
              <w:top w:val="nil"/>
              <w:left w:val="nil"/>
              <w:bottom w:val="nil"/>
              <w:right w:val="nil"/>
            </w:tcBorders>
            <w:shd w:val="clear" w:color="auto" w:fill="auto"/>
            <w:noWrap/>
            <w:vAlign w:val="center"/>
            <w:hideMark/>
          </w:tcPr>
          <w:p w14:paraId="47810774"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0.03</w:t>
            </w:r>
          </w:p>
        </w:tc>
        <w:tc>
          <w:tcPr>
            <w:tcW w:w="820" w:type="dxa"/>
            <w:tcBorders>
              <w:top w:val="nil"/>
              <w:left w:val="nil"/>
              <w:bottom w:val="nil"/>
              <w:right w:val="nil"/>
            </w:tcBorders>
            <w:shd w:val="clear" w:color="auto" w:fill="auto"/>
            <w:noWrap/>
            <w:vAlign w:val="center"/>
            <w:hideMark/>
          </w:tcPr>
          <w:p w14:paraId="3C07BD04"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22.9</w:t>
            </w:r>
          </w:p>
        </w:tc>
        <w:tc>
          <w:tcPr>
            <w:tcW w:w="820" w:type="dxa"/>
            <w:tcBorders>
              <w:top w:val="nil"/>
              <w:left w:val="nil"/>
              <w:bottom w:val="nil"/>
              <w:right w:val="nil"/>
            </w:tcBorders>
            <w:shd w:val="clear" w:color="auto" w:fill="auto"/>
            <w:noWrap/>
            <w:vAlign w:val="center"/>
            <w:hideMark/>
          </w:tcPr>
          <w:p w14:paraId="0FEB0E0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1.57</w:t>
            </w:r>
          </w:p>
        </w:tc>
        <w:tc>
          <w:tcPr>
            <w:tcW w:w="820" w:type="dxa"/>
            <w:tcBorders>
              <w:top w:val="nil"/>
              <w:left w:val="nil"/>
              <w:bottom w:val="nil"/>
              <w:right w:val="nil"/>
            </w:tcBorders>
            <w:shd w:val="clear" w:color="auto" w:fill="auto"/>
            <w:noWrap/>
            <w:vAlign w:val="center"/>
            <w:hideMark/>
          </w:tcPr>
          <w:p w14:paraId="4787137D"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1.16</w:t>
            </w:r>
          </w:p>
        </w:tc>
        <w:tc>
          <w:tcPr>
            <w:tcW w:w="820" w:type="dxa"/>
            <w:tcBorders>
              <w:top w:val="nil"/>
              <w:left w:val="nil"/>
              <w:bottom w:val="nil"/>
              <w:right w:val="single" w:sz="8" w:space="0" w:color="002060"/>
            </w:tcBorders>
            <w:shd w:val="clear" w:color="auto" w:fill="auto"/>
            <w:noWrap/>
            <w:vAlign w:val="center"/>
            <w:hideMark/>
          </w:tcPr>
          <w:p w14:paraId="24038B89"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2.31</w:t>
            </w:r>
          </w:p>
        </w:tc>
      </w:tr>
      <w:tr w:rsidR="00AE564D" w:rsidRPr="00C252E3" w14:paraId="11228298" w14:textId="77777777" w:rsidTr="00C252E3">
        <w:trPr>
          <w:trHeight w:val="300"/>
          <w:jc w:val="center"/>
        </w:trPr>
        <w:tc>
          <w:tcPr>
            <w:tcW w:w="1000" w:type="dxa"/>
            <w:vMerge/>
            <w:tcBorders>
              <w:top w:val="single" w:sz="8" w:space="0" w:color="002060"/>
              <w:left w:val="single" w:sz="8" w:space="0" w:color="002060"/>
              <w:bottom w:val="single" w:sz="8" w:space="0" w:color="002060"/>
              <w:right w:val="single" w:sz="8" w:space="0" w:color="002060"/>
            </w:tcBorders>
            <w:vAlign w:val="center"/>
            <w:hideMark/>
          </w:tcPr>
          <w:p w14:paraId="0328BCD3" w14:textId="77777777" w:rsidR="00AE564D" w:rsidRPr="00C252E3" w:rsidRDefault="00AE564D" w:rsidP="00E26D3C">
            <w:pPr>
              <w:spacing w:after="0" w:line="240" w:lineRule="auto"/>
              <w:rPr>
                <w:rFonts w:eastAsia="Times New Roman" w:cstheme="minorHAnsi"/>
                <w:color w:val="FFFFFF"/>
                <w:sz w:val="18"/>
                <w:szCs w:val="18"/>
                <w:lang w:eastAsia="en-AU"/>
              </w:rPr>
            </w:pPr>
          </w:p>
        </w:tc>
        <w:tc>
          <w:tcPr>
            <w:tcW w:w="1440" w:type="dxa"/>
            <w:tcBorders>
              <w:top w:val="nil"/>
              <w:left w:val="nil"/>
              <w:bottom w:val="nil"/>
              <w:right w:val="nil"/>
            </w:tcBorders>
            <w:shd w:val="clear" w:color="auto" w:fill="auto"/>
            <w:noWrap/>
            <w:vAlign w:val="center"/>
            <w:hideMark/>
          </w:tcPr>
          <w:p w14:paraId="4CE0923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Autumn </w:t>
            </w:r>
          </w:p>
        </w:tc>
        <w:tc>
          <w:tcPr>
            <w:tcW w:w="640" w:type="dxa"/>
            <w:tcBorders>
              <w:top w:val="nil"/>
              <w:left w:val="nil"/>
              <w:bottom w:val="nil"/>
              <w:right w:val="nil"/>
            </w:tcBorders>
            <w:shd w:val="clear" w:color="auto" w:fill="auto"/>
            <w:noWrap/>
            <w:vAlign w:val="center"/>
            <w:hideMark/>
          </w:tcPr>
          <w:p w14:paraId="5E561E39"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819</w:t>
            </w:r>
          </w:p>
        </w:tc>
        <w:tc>
          <w:tcPr>
            <w:tcW w:w="820" w:type="dxa"/>
            <w:tcBorders>
              <w:top w:val="nil"/>
              <w:left w:val="nil"/>
              <w:bottom w:val="nil"/>
              <w:right w:val="nil"/>
            </w:tcBorders>
            <w:shd w:val="clear" w:color="auto" w:fill="auto"/>
            <w:noWrap/>
            <w:vAlign w:val="center"/>
            <w:hideMark/>
          </w:tcPr>
          <w:p w14:paraId="28D2642C"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1.31</w:t>
            </w:r>
          </w:p>
        </w:tc>
        <w:tc>
          <w:tcPr>
            <w:tcW w:w="820" w:type="dxa"/>
            <w:tcBorders>
              <w:top w:val="nil"/>
              <w:left w:val="nil"/>
              <w:bottom w:val="nil"/>
              <w:right w:val="nil"/>
            </w:tcBorders>
            <w:shd w:val="clear" w:color="auto" w:fill="auto"/>
            <w:noWrap/>
            <w:vAlign w:val="center"/>
            <w:hideMark/>
          </w:tcPr>
          <w:p w14:paraId="2A59C24E"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1.58</w:t>
            </w:r>
          </w:p>
        </w:tc>
        <w:tc>
          <w:tcPr>
            <w:tcW w:w="820" w:type="dxa"/>
            <w:tcBorders>
              <w:top w:val="nil"/>
              <w:left w:val="nil"/>
              <w:bottom w:val="nil"/>
              <w:right w:val="nil"/>
            </w:tcBorders>
            <w:shd w:val="clear" w:color="auto" w:fill="auto"/>
            <w:noWrap/>
            <w:vAlign w:val="center"/>
            <w:hideMark/>
          </w:tcPr>
          <w:p w14:paraId="507FE76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0.02</w:t>
            </w:r>
          </w:p>
        </w:tc>
        <w:tc>
          <w:tcPr>
            <w:tcW w:w="820" w:type="dxa"/>
            <w:tcBorders>
              <w:top w:val="nil"/>
              <w:left w:val="nil"/>
              <w:bottom w:val="nil"/>
              <w:right w:val="nil"/>
            </w:tcBorders>
            <w:shd w:val="clear" w:color="auto" w:fill="auto"/>
            <w:noWrap/>
            <w:vAlign w:val="center"/>
            <w:hideMark/>
          </w:tcPr>
          <w:p w14:paraId="55DD35AE"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25.7</w:t>
            </w:r>
          </w:p>
        </w:tc>
        <w:tc>
          <w:tcPr>
            <w:tcW w:w="820" w:type="dxa"/>
            <w:tcBorders>
              <w:top w:val="nil"/>
              <w:left w:val="nil"/>
              <w:bottom w:val="nil"/>
              <w:right w:val="nil"/>
            </w:tcBorders>
            <w:shd w:val="clear" w:color="auto" w:fill="auto"/>
            <w:noWrap/>
            <w:vAlign w:val="center"/>
            <w:hideMark/>
          </w:tcPr>
          <w:p w14:paraId="22613731"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1.06</w:t>
            </w:r>
          </w:p>
        </w:tc>
        <w:tc>
          <w:tcPr>
            <w:tcW w:w="820" w:type="dxa"/>
            <w:tcBorders>
              <w:top w:val="nil"/>
              <w:left w:val="nil"/>
              <w:bottom w:val="nil"/>
              <w:right w:val="nil"/>
            </w:tcBorders>
            <w:shd w:val="clear" w:color="auto" w:fill="auto"/>
            <w:noWrap/>
            <w:vAlign w:val="center"/>
            <w:hideMark/>
          </w:tcPr>
          <w:p w14:paraId="068F2A9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0.79</w:t>
            </w:r>
          </w:p>
        </w:tc>
        <w:tc>
          <w:tcPr>
            <w:tcW w:w="820" w:type="dxa"/>
            <w:tcBorders>
              <w:top w:val="nil"/>
              <w:left w:val="nil"/>
              <w:bottom w:val="nil"/>
              <w:right w:val="single" w:sz="8" w:space="0" w:color="002060"/>
            </w:tcBorders>
            <w:shd w:val="clear" w:color="auto" w:fill="auto"/>
            <w:noWrap/>
            <w:vAlign w:val="center"/>
            <w:hideMark/>
          </w:tcPr>
          <w:p w14:paraId="3D62C4BE"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1.45</w:t>
            </w:r>
          </w:p>
        </w:tc>
      </w:tr>
      <w:tr w:rsidR="00AE564D" w:rsidRPr="00C252E3" w14:paraId="7D8B0D83" w14:textId="77777777" w:rsidTr="00C252E3">
        <w:trPr>
          <w:trHeight w:val="315"/>
          <w:jc w:val="center"/>
        </w:trPr>
        <w:tc>
          <w:tcPr>
            <w:tcW w:w="1000" w:type="dxa"/>
            <w:vMerge/>
            <w:tcBorders>
              <w:top w:val="single" w:sz="8" w:space="0" w:color="002060"/>
              <w:left w:val="single" w:sz="8" w:space="0" w:color="002060"/>
              <w:bottom w:val="single" w:sz="8" w:space="0" w:color="002060"/>
              <w:right w:val="single" w:sz="8" w:space="0" w:color="002060"/>
            </w:tcBorders>
            <w:vAlign w:val="center"/>
            <w:hideMark/>
          </w:tcPr>
          <w:p w14:paraId="73F8C553" w14:textId="77777777" w:rsidR="00AE564D" w:rsidRPr="00C252E3" w:rsidRDefault="00AE564D" w:rsidP="00E26D3C">
            <w:pPr>
              <w:spacing w:after="0" w:line="240" w:lineRule="auto"/>
              <w:rPr>
                <w:rFonts w:eastAsia="Times New Roman" w:cstheme="minorHAnsi"/>
                <w:color w:val="FFFFFF"/>
                <w:sz w:val="18"/>
                <w:szCs w:val="18"/>
                <w:lang w:eastAsia="en-AU"/>
              </w:rPr>
            </w:pPr>
          </w:p>
        </w:tc>
        <w:tc>
          <w:tcPr>
            <w:tcW w:w="1440" w:type="dxa"/>
            <w:tcBorders>
              <w:top w:val="nil"/>
              <w:left w:val="nil"/>
              <w:bottom w:val="nil"/>
              <w:right w:val="nil"/>
            </w:tcBorders>
            <w:shd w:val="clear" w:color="auto" w:fill="auto"/>
            <w:noWrap/>
            <w:vAlign w:val="center"/>
            <w:hideMark/>
          </w:tcPr>
          <w:p w14:paraId="29B705A1"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Winter </w:t>
            </w:r>
          </w:p>
        </w:tc>
        <w:tc>
          <w:tcPr>
            <w:tcW w:w="640" w:type="dxa"/>
            <w:tcBorders>
              <w:top w:val="nil"/>
              <w:left w:val="nil"/>
              <w:bottom w:val="nil"/>
              <w:right w:val="nil"/>
            </w:tcBorders>
            <w:shd w:val="clear" w:color="auto" w:fill="auto"/>
            <w:noWrap/>
            <w:vAlign w:val="center"/>
            <w:hideMark/>
          </w:tcPr>
          <w:p w14:paraId="6D5FAA5B"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218</w:t>
            </w:r>
          </w:p>
        </w:tc>
        <w:tc>
          <w:tcPr>
            <w:tcW w:w="820" w:type="dxa"/>
            <w:tcBorders>
              <w:top w:val="nil"/>
              <w:left w:val="nil"/>
              <w:bottom w:val="nil"/>
              <w:right w:val="nil"/>
            </w:tcBorders>
            <w:shd w:val="clear" w:color="auto" w:fill="auto"/>
            <w:noWrap/>
            <w:vAlign w:val="center"/>
            <w:hideMark/>
          </w:tcPr>
          <w:p w14:paraId="0A176018"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0.57</w:t>
            </w:r>
          </w:p>
        </w:tc>
        <w:tc>
          <w:tcPr>
            <w:tcW w:w="820" w:type="dxa"/>
            <w:tcBorders>
              <w:top w:val="nil"/>
              <w:left w:val="nil"/>
              <w:bottom w:val="nil"/>
              <w:right w:val="nil"/>
            </w:tcBorders>
            <w:shd w:val="clear" w:color="auto" w:fill="auto"/>
            <w:noWrap/>
            <w:vAlign w:val="center"/>
            <w:hideMark/>
          </w:tcPr>
          <w:p w14:paraId="3DCE3616"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0.70</w:t>
            </w:r>
          </w:p>
        </w:tc>
        <w:tc>
          <w:tcPr>
            <w:tcW w:w="820" w:type="dxa"/>
            <w:tcBorders>
              <w:top w:val="nil"/>
              <w:left w:val="nil"/>
              <w:bottom w:val="nil"/>
              <w:right w:val="nil"/>
            </w:tcBorders>
            <w:shd w:val="clear" w:color="auto" w:fill="auto"/>
            <w:noWrap/>
            <w:vAlign w:val="center"/>
            <w:hideMark/>
          </w:tcPr>
          <w:p w14:paraId="2AFDBAC4"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0.01</w:t>
            </w:r>
          </w:p>
        </w:tc>
        <w:tc>
          <w:tcPr>
            <w:tcW w:w="820" w:type="dxa"/>
            <w:tcBorders>
              <w:top w:val="nil"/>
              <w:left w:val="nil"/>
              <w:bottom w:val="nil"/>
              <w:right w:val="nil"/>
            </w:tcBorders>
            <w:shd w:val="clear" w:color="auto" w:fill="auto"/>
            <w:noWrap/>
            <w:vAlign w:val="center"/>
            <w:hideMark/>
          </w:tcPr>
          <w:p w14:paraId="62F2C3B3"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6.60</w:t>
            </w:r>
          </w:p>
        </w:tc>
        <w:tc>
          <w:tcPr>
            <w:tcW w:w="820" w:type="dxa"/>
            <w:tcBorders>
              <w:top w:val="nil"/>
              <w:left w:val="nil"/>
              <w:bottom w:val="nil"/>
              <w:right w:val="nil"/>
            </w:tcBorders>
            <w:shd w:val="clear" w:color="auto" w:fill="auto"/>
            <w:noWrap/>
            <w:vAlign w:val="center"/>
            <w:hideMark/>
          </w:tcPr>
          <w:p w14:paraId="164A8358"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0.49</w:t>
            </w:r>
          </w:p>
        </w:tc>
        <w:tc>
          <w:tcPr>
            <w:tcW w:w="820" w:type="dxa"/>
            <w:tcBorders>
              <w:top w:val="nil"/>
              <w:left w:val="nil"/>
              <w:bottom w:val="nil"/>
              <w:right w:val="nil"/>
            </w:tcBorders>
            <w:shd w:val="clear" w:color="auto" w:fill="auto"/>
            <w:noWrap/>
            <w:vAlign w:val="center"/>
            <w:hideMark/>
          </w:tcPr>
          <w:p w14:paraId="439D8E3A"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0.22</w:t>
            </w:r>
          </w:p>
        </w:tc>
        <w:tc>
          <w:tcPr>
            <w:tcW w:w="820" w:type="dxa"/>
            <w:tcBorders>
              <w:top w:val="nil"/>
              <w:left w:val="nil"/>
              <w:bottom w:val="nil"/>
              <w:right w:val="single" w:sz="8" w:space="0" w:color="002060"/>
            </w:tcBorders>
            <w:shd w:val="clear" w:color="auto" w:fill="auto"/>
            <w:noWrap/>
            <w:vAlign w:val="center"/>
            <w:hideMark/>
          </w:tcPr>
          <w:p w14:paraId="0E6616F2"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0.71</w:t>
            </w:r>
          </w:p>
        </w:tc>
      </w:tr>
      <w:tr w:rsidR="00AE564D" w:rsidRPr="00C252E3" w14:paraId="06BDFF1F" w14:textId="77777777" w:rsidTr="00C252E3">
        <w:trPr>
          <w:trHeight w:val="300"/>
          <w:jc w:val="center"/>
        </w:trPr>
        <w:tc>
          <w:tcPr>
            <w:tcW w:w="1000" w:type="dxa"/>
            <w:vMerge w:val="restart"/>
            <w:tcBorders>
              <w:top w:val="nil"/>
              <w:left w:val="single" w:sz="8" w:space="0" w:color="002060"/>
              <w:bottom w:val="nil"/>
              <w:right w:val="single" w:sz="8" w:space="0" w:color="002060"/>
            </w:tcBorders>
            <w:shd w:val="clear" w:color="000000" w:fill="002060"/>
            <w:noWrap/>
            <w:vAlign w:val="center"/>
            <w:hideMark/>
          </w:tcPr>
          <w:p w14:paraId="5A92655B"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 xml:space="preserve"> ER</w:t>
            </w:r>
          </w:p>
        </w:tc>
        <w:tc>
          <w:tcPr>
            <w:tcW w:w="1440" w:type="dxa"/>
            <w:tcBorders>
              <w:top w:val="single" w:sz="8" w:space="0" w:color="002060"/>
              <w:left w:val="nil"/>
              <w:bottom w:val="nil"/>
              <w:right w:val="nil"/>
            </w:tcBorders>
            <w:shd w:val="clear" w:color="auto" w:fill="auto"/>
            <w:noWrap/>
            <w:vAlign w:val="center"/>
            <w:hideMark/>
          </w:tcPr>
          <w:p w14:paraId="3D473D2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Spring </w:t>
            </w:r>
          </w:p>
        </w:tc>
        <w:tc>
          <w:tcPr>
            <w:tcW w:w="640" w:type="dxa"/>
            <w:tcBorders>
              <w:top w:val="single" w:sz="8" w:space="0" w:color="002060"/>
              <w:left w:val="nil"/>
              <w:bottom w:val="nil"/>
              <w:right w:val="nil"/>
            </w:tcBorders>
            <w:shd w:val="clear" w:color="auto" w:fill="auto"/>
            <w:noWrap/>
            <w:vAlign w:val="center"/>
            <w:hideMark/>
          </w:tcPr>
          <w:p w14:paraId="710307D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822</w:t>
            </w:r>
          </w:p>
        </w:tc>
        <w:tc>
          <w:tcPr>
            <w:tcW w:w="820" w:type="dxa"/>
            <w:tcBorders>
              <w:top w:val="single" w:sz="8" w:space="0" w:color="002060"/>
              <w:left w:val="nil"/>
              <w:bottom w:val="nil"/>
              <w:right w:val="nil"/>
            </w:tcBorders>
            <w:shd w:val="clear" w:color="auto" w:fill="auto"/>
            <w:noWrap/>
            <w:vAlign w:val="center"/>
            <w:hideMark/>
          </w:tcPr>
          <w:p w14:paraId="1C50C628"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3.25</w:t>
            </w:r>
          </w:p>
        </w:tc>
        <w:tc>
          <w:tcPr>
            <w:tcW w:w="820" w:type="dxa"/>
            <w:tcBorders>
              <w:top w:val="single" w:sz="8" w:space="0" w:color="002060"/>
              <w:left w:val="nil"/>
              <w:bottom w:val="nil"/>
              <w:right w:val="nil"/>
            </w:tcBorders>
            <w:shd w:val="clear" w:color="auto" w:fill="auto"/>
            <w:noWrap/>
            <w:vAlign w:val="center"/>
            <w:hideMark/>
          </w:tcPr>
          <w:p w14:paraId="61CEBA88"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3.48</w:t>
            </w:r>
          </w:p>
        </w:tc>
        <w:tc>
          <w:tcPr>
            <w:tcW w:w="820" w:type="dxa"/>
            <w:tcBorders>
              <w:top w:val="single" w:sz="8" w:space="0" w:color="002060"/>
              <w:left w:val="nil"/>
              <w:bottom w:val="nil"/>
              <w:right w:val="nil"/>
            </w:tcBorders>
            <w:shd w:val="clear" w:color="auto" w:fill="auto"/>
            <w:noWrap/>
            <w:vAlign w:val="center"/>
            <w:hideMark/>
          </w:tcPr>
          <w:p w14:paraId="52D6D09E"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0.03</w:t>
            </w:r>
          </w:p>
        </w:tc>
        <w:tc>
          <w:tcPr>
            <w:tcW w:w="820" w:type="dxa"/>
            <w:tcBorders>
              <w:top w:val="single" w:sz="8" w:space="0" w:color="002060"/>
              <w:left w:val="nil"/>
              <w:bottom w:val="nil"/>
              <w:right w:val="nil"/>
            </w:tcBorders>
            <w:shd w:val="clear" w:color="auto" w:fill="auto"/>
            <w:noWrap/>
            <w:vAlign w:val="center"/>
            <w:hideMark/>
          </w:tcPr>
          <w:p w14:paraId="160E15BE"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24.3</w:t>
            </w:r>
          </w:p>
        </w:tc>
        <w:tc>
          <w:tcPr>
            <w:tcW w:w="820" w:type="dxa"/>
            <w:tcBorders>
              <w:top w:val="single" w:sz="8" w:space="0" w:color="002060"/>
              <w:left w:val="nil"/>
              <w:bottom w:val="nil"/>
              <w:right w:val="nil"/>
            </w:tcBorders>
            <w:shd w:val="clear" w:color="auto" w:fill="auto"/>
            <w:noWrap/>
            <w:vAlign w:val="center"/>
            <w:hideMark/>
          </w:tcPr>
          <w:p w14:paraId="3564D36B"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2.08</w:t>
            </w:r>
          </w:p>
        </w:tc>
        <w:tc>
          <w:tcPr>
            <w:tcW w:w="820" w:type="dxa"/>
            <w:tcBorders>
              <w:top w:val="single" w:sz="8" w:space="0" w:color="002060"/>
              <w:left w:val="nil"/>
              <w:bottom w:val="nil"/>
              <w:right w:val="nil"/>
            </w:tcBorders>
            <w:shd w:val="clear" w:color="auto" w:fill="auto"/>
            <w:noWrap/>
            <w:vAlign w:val="center"/>
            <w:hideMark/>
          </w:tcPr>
          <w:p w14:paraId="780F8EF4"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1.16</w:t>
            </w:r>
          </w:p>
        </w:tc>
        <w:tc>
          <w:tcPr>
            <w:tcW w:w="820" w:type="dxa"/>
            <w:tcBorders>
              <w:top w:val="single" w:sz="8" w:space="0" w:color="002060"/>
              <w:left w:val="nil"/>
              <w:bottom w:val="nil"/>
              <w:right w:val="single" w:sz="8" w:space="0" w:color="002060"/>
            </w:tcBorders>
            <w:shd w:val="clear" w:color="auto" w:fill="auto"/>
            <w:noWrap/>
            <w:vAlign w:val="center"/>
            <w:hideMark/>
          </w:tcPr>
          <w:p w14:paraId="07EC13BD"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3.87</w:t>
            </w:r>
          </w:p>
        </w:tc>
      </w:tr>
      <w:tr w:rsidR="00AE564D" w:rsidRPr="00C252E3" w14:paraId="16C97E4C" w14:textId="77777777" w:rsidTr="00C252E3">
        <w:trPr>
          <w:trHeight w:val="300"/>
          <w:jc w:val="center"/>
        </w:trPr>
        <w:tc>
          <w:tcPr>
            <w:tcW w:w="1000" w:type="dxa"/>
            <w:vMerge/>
            <w:tcBorders>
              <w:top w:val="nil"/>
              <w:left w:val="single" w:sz="8" w:space="0" w:color="002060"/>
              <w:bottom w:val="nil"/>
              <w:right w:val="single" w:sz="8" w:space="0" w:color="002060"/>
            </w:tcBorders>
            <w:vAlign w:val="center"/>
            <w:hideMark/>
          </w:tcPr>
          <w:p w14:paraId="41F10A59" w14:textId="77777777" w:rsidR="00AE564D" w:rsidRPr="00C252E3" w:rsidRDefault="00AE564D" w:rsidP="00E26D3C">
            <w:pPr>
              <w:spacing w:after="0" w:line="240" w:lineRule="auto"/>
              <w:rPr>
                <w:rFonts w:eastAsia="Times New Roman" w:cstheme="minorHAnsi"/>
                <w:color w:val="FFFFFF"/>
                <w:sz w:val="18"/>
                <w:szCs w:val="18"/>
                <w:lang w:eastAsia="en-AU"/>
              </w:rPr>
            </w:pPr>
          </w:p>
        </w:tc>
        <w:tc>
          <w:tcPr>
            <w:tcW w:w="1440" w:type="dxa"/>
            <w:tcBorders>
              <w:top w:val="nil"/>
              <w:left w:val="nil"/>
              <w:bottom w:val="nil"/>
              <w:right w:val="nil"/>
            </w:tcBorders>
            <w:shd w:val="clear" w:color="auto" w:fill="auto"/>
            <w:noWrap/>
            <w:vAlign w:val="center"/>
            <w:hideMark/>
          </w:tcPr>
          <w:p w14:paraId="5726DA1D"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Summer </w:t>
            </w:r>
          </w:p>
        </w:tc>
        <w:tc>
          <w:tcPr>
            <w:tcW w:w="640" w:type="dxa"/>
            <w:tcBorders>
              <w:top w:val="nil"/>
              <w:left w:val="nil"/>
              <w:bottom w:val="nil"/>
              <w:right w:val="nil"/>
            </w:tcBorders>
            <w:shd w:val="clear" w:color="auto" w:fill="auto"/>
            <w:noWrap/>
            <w:vAlign w:val="center"/>
            <w:hideMark/>
          </w:tcPr>
          <w:p w14:paraId="088A65F4"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1420</w:t>
            </w:r>
          </w:p>
        </w:tc>
        <w:tc>
          <w:tcPr>
            <w:tcW w:w="820" w:type="dxa"/>
            <w:tcBorders>
              <w:top w:val="nil"/>
              <w:left w:val="nil"/>
              <w:bottom w:val="nil"/>
              <w:right w:val="nil"/>
            </w:tcBorders>
            <w:shd w:val="clear" w:color="auto" w:fill="auto"/>
            <w:noWrap/>
            <w:vAlign w:val="center"/>
            <w:hideMark/>
          </w:tcPr>
          <w:p w14:paraId="4075E5D5"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4.26</w:t>
            </w:r>
          </w:p>
        </w:tc>
        <w:tc>
          <w:tcPr>
            <w:tcW w:w="820" w:type="dxa"/>
            <w:tcBorders>
              <w:top w:val="nil"/>
              <w:left w:val="nil"/>
              <w:bottom w:val="nil"/>
              <w:right w:val="nil"/>
            </w:tcBorders>
            <w:shd w:val="clear" w:color="auto" w:fill="auto"/>
            <w:noWrap/>
            <w:vAlign w:val="center"/>
            <w:hideMark/>
          </w:tcPr>
          <w:p w14:paraId="05FEEBF5"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3.94</w:t>
            </w:r>
          </w:p>
        </w:tc>
        <w:tc>
          <w:tcPr>
            <w:tcW w:w="820" w:type="dxa"/>
            <w:tcBorders>
              <w:top w:val="nil"/>
              <w:left w:val="nil"/>
              <w:bottom w:val="nil"/>
              <w:right w:val="nil"/>
            </w:tcBorders>
            <w:shd w:val="clear" w:color="auto" w:fill="auto"/>
            <w:noWrap/>
            <w:vAlign w:val="center"/>
            <w:hideMark/>
          </w:tcPr>
          <w:p w14:paraId="1FAEC5BC"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0.11</w:t>
            </w:r>
          </w:p>
        </w:tc>
        <w:tc>
          <w:tcPr>
            <w:tcW w:w="820" w:type="dxa"/>
            <w:tcBorders>
              <w:top w:val="nil"/>
              <w:left w:val="nil"/>
              <w:bottom w:val="nil"/>
              <w:right w:val="nil"/>
            </w:tcBorders>
            <w:shd w:val="clear" w:color="auto" w:fill="auto"/>
            <w:noWrap/>
            <w:vAlign w:val="center"/>
            <w:hideMark/>
          </w:tcPr>
          <w:p w14:paraId="0EE48BD3"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40.7</w:t>
            </w:r>
          </w:p>
        </w:tc>
        <w:tc>
          <w:tcPr>
            <w:tcW w:w="820" w:type="dxa"/>
            <w:tcBorders>
              <w:top w:val="nil"/>
              <w:left w:val="nil"/>
              <w:bottom w:val="nil"/>
              <w:right w:val="nil"/>
            </w:tcBorders>
            <w:shd w:val="clear" w:color="auto" w:fill="auto"/>
            <w:noWrap/>
            <w:vAlign w:val="center"/>
            <w:hideMark/>
          </w:tcPr>
          <w:p w14:paraId="70D4DEEA"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3.22</w:t>
            </w:r>
          </w:p>
        </w:tc>
        <w:tc>
          <w:tcPr>
            <w:tcW w:w="820" w:type="dxa"/>
            <w:tcBorders>
              <w:top w:val="nil"/>
              <w:left w:val="nil"/>
              <w:bottom w:val="nil"/>
              <w:right w:val="nil"/>
            </w:tcBorders>
            <w:shd w:val="clear" w:color="auto" w:fill="auto"/>
            <w:noWrap/>
            <w:vAlign w:val="center"/>
            <w:hideMark/>
          </w:tcPr>
          <w:p w14:paraId="317898DE"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2.19</w:t>
            </w:r>
          </w:p>
        </w:tc>
        <w:tc>
          <w:tcPr>
            <w:tcW w:w="820" w:type="dxa"/>
            <w:tcBorders>
              <w:top w:val="nil"/>
              <w:left w:val="nil"/>
              <w:bottom w:val="nil"/>
              <w:right w:val="single" w:sz="8" w:space="0" w:color="002060"/>
            </w:tcBorders>
            <w:shd w:val="clear" w:color="auto" w:fill="auto"/>
            <w:noWrap/>
            <w:vAlign w:val="center"/>
            <w:hideMark/>
          </w:tcPr>
          <w:p w14:paraId="7A8D38D0"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4.98</w:t>
            </w:r>
          </w:p>
        </w:tc>
      </w:tr>
      <w:tr w:rsidR="00AE564D" w:rsidRPr="00C252E3" w14:paraId="30A94C67" w14:textId="77777777" w:rsidTr="00C252E3">
        <w:trPr>
          <w:trHeight w:val="300"/>
          <w:jc w:val="center"/>
        </w:trPr>
        <w:tc>
          <w:tcPr>
            <w:tcW w:w="1000" w:type="dxa"/>
            <w:vMerge/>
            <w:tcBorders>
              <w:top w:val="nil"/>
              <w:left w:val="single" w:sz="8" w:space="0" w:color="002060"/>
              <w:bottom w:val="nil"/>
              <w:right w:val="single" w:sz="8" w:space="0" w:color="002060"/>
            </w:tcBorders>
            <w:vAlign w:val="center"/>
            <w:hideMark/>
          </w:tcPr>
          <w:p w14:paraId="4AFEF177" w14:textId="77777777" w:rsidR="00AE564D" w:rsidRPr="00C252E3" w:rsidRDefault="00AE564D" w:rsidP="00E26D3C">
            <w:pPr>
              <w:spacing w:after="0" w:line="240" w:lineRule="auto"/>
              <w:rPr>
                <w:rFonts w:eastAsia="Times New Roman" w:cstheme="minorHAnsi"/>
                <w:color w:val="FFFFFF"/>
                <w:sz w:val="18"/>
                <w:szCs w:val="18"/>
                <w:lang w:eastAsia="en-AU"/>
              </w:rPr>
            </w:pPr>
          </w:p>
        </w:tc>
        <w:tc>
          <w:tcPr>
            <w:tcW w:w="1440" w:type="dxa"/>
            <w:tcBorders>
              <w:top w:val="nil"/>
              <w:left w:val="nil"/>
              <w:bottom w:val="nil"/>
              <w:right w:val="nil"/>
            </w:tcBorders>
            <w:shd w:val="clear" w:color="auto" w:fill="auto"/>
            <w:noWrap/>
            <w:vAlign w:val="center"/>
            <w:hideMark/>
          </w:tcPr>
          <w:p w14:paraId="3182437D"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Autumn </w:t>
            </w:r>
          </w:p>
        </w:tc>
        <w:tc>
          <w:tcPr>
            <w:tcW w:w="640" w:type="dxa"/>
            <w:tcBorders>
              <w:top w:val="nil"/>
              <w:left w:val="nil"/>
              <w:bottom w:val="nil"/>
              <w:right w:val="nil"/>
            </w:tcBorders>
            <w:shd w:val="clear" w:color="auto" w:fill="auto"/>
            <w:noWrap/>
            <w:vAlign w:val="center"/>
            <w:hideMark/>
          </w:tcPr>
          <w:p w14:paraId="6D63E368"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819</w:t>
            </w:r>
          </w:p>
        </w:tc>
        <w:tc>
          <w:tcPr>
            <w:tcW w:w="820" w:type="dxa"/>
            <w:tcBorders>
              <w:top w:val="nil"/>
              <w:left w:val="nil"/>
              <w:bottom w:val="nil"/>
              <w:right w:val="nil"/>
            </w:tcBorders>
            <w:shd w:val="clear" w:color="auto" w:fill="auto"/>
            <w:noWrap/>
            <w:vAlign w:val="center"/>
            <w:hideMark/>
          </w:tcPr>
          <w:p w14:paraId="2C17F42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2.98</w:t>
            </w:r>
          </w:p>
        </w:tc>
        <w:tc>
          <w:tcPr>
            <w:tcW w:w="820" w:type="dxa"/>
            <w:tcBorders>
              <w:top w:val="nil"/>
              <w:left w:val="nil"/>
              <w:bottom w:val="nil"/>
              <w:right w:val="nil"/>
            </w:tcBorders>
            <w:shd w:val="clear" w:color="auto" w:fill="auto"/>
            <w:noWrap/>
            <w:vAlign w:val="center"/>
            <w:hideMark/>
          </w:tcPr>
          <w:p w14:paraId="2DFF7C0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3.77</w:t>
            </w:r>
          </w:p>
        </w:tc>
        <w:tc>
          <w:tcPr>
            <w:tcW w:w="820" w:type="dxa"/>
            <w:tcBorders>
              <w:top w:val="nil"/>
              <w:left w:val="nil"/>
              <w:bottom w:val="nil"/>
              <w:right w:val="nil"/>
            </w:tcBorders>
            <w:shd w:val="clear" w:color="auto" w:fill="auto"/>
            <w:noWrap/>
            <w:vAlign w:val="center"/>
            <w:hideMark/>
          </w:tcPr>
          <w:p w14:paraId="3D45E0ED"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0.20</w:t>
            </w:r>
          </w:p>
        </w:tc>
        <w:tc>
          <w:tcPr>
            <w:tcW w:w="820" w:type="dxa"/>
            <w:tcBorders>
              <w:top w:val="nil"/>
              <w:left w:val="nil"/>
              <w:bottom w:val="nil"/>
              <w:right w:val="nil"/>
            </w:tcBorders>
            <w:shd w:val="clear" w:color="auto" w:fill="auto"/>
            <w:noWrap/>
            <w:vAlign w:val="center"/>
            <w:hideMark/>
          </w:tcPr>
          <w:p w14:paraId="3CD2A968"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48.1</w:t>
            </w:r>
          </w:p>
        </w:tc>
        <w:tc>
          <w:tcPr>
            <w:tcW w:w="820" w:type="dxa"/>
            <w:tcBorders>
              <w:top w:val="nil"/>
              <w:left w:val="nil"/>
              <w:bottom w:val="nil"/>
              <w:right w:val="nil"/>
            </w:tcBorders>
            <w:shd w:val="clear" w:color="auto" w:fill="auto"/>
            <w:noWrap/>
            <w:vAlign w:val="center"/>
            <w:hideMark/>
          </w:tcPr>
          <w:p w14:paraId="78B9D54B"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2.07</w:t>
            </w:r>
          </w:p>
        </w:tc>
        <w:tc>
          <w:tcPr>
            <w:tcW w:w="820" w:type="dxa"/>
            <w:tcBorders>
              <w:top w:val="nil"/>
              <w:left w:val="nil"/>
              <w:bottom w:val="nil"/>
              <w:right w:val="nil"/>
            </w:tcBorders>
            <w:shd w:val="clear" w:color="auto" w:fill="auto"/>
            <w:noWrap/>
            <w:vAlign w:val="center"/>
            <w:hideMark/>
          </w:tcPr>
          <w:p w14:paraId="0C388846"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1.36</w:t>
            </w:r>
          </w:p>
        </w:tc>
        <w:tc>
          <w:tcPr>
            <w:tcW w:w="820" w:type="dxa"/>
            <w:tcBorders>
              <w:top w:val="nil"/>
              <w:left w:val="nil"/>
              <w:bottom w:val="nil"/>
              <w:right w:val="single" w:sz="8" w:space="0" w:color="002060"/>
            </w:tcBorders>
            <w:shd w:val="clear" w:color="auto" w:fill="auto"/>
            <w:noWrap/>
            <w:vAlign w:val="center"/>
            <w:hideMark/>
          </w:tcPr>
          <w:p w14:paraId="6FD099CD"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3.22</w:t>
            </w:r>
          </w:p>
        </w:tc>
      </w:tr>
      <w:tr w:rsidR="00AE564D" w:rsidRPr="00C252E3" w14:paraId="17D61FFA" w14:textId="77777777" w:rsidTr="00C252E3">
        <w:trPr>
          <w:trHeight w:val="315"/>
          <w:jc w:val="center"/>
        </w:trPr>
        <w:tc>
          <w:tcPr>
            <w:tcW w:w="1000" w:type="dxa"/>
            <w:vMerge/>
            <w:tcBorders>
              <w:top w:val="nil"/>
              <w:left w:val="single" w:sz="8" w:space="0" w:color="002060"/>
              <w:bottom w:val="nil"/>
              <w:right w:val="single" w:sz="8" w:space="0" w:color="002060"/>
            </w:tcBorders>
            <w:vAlign w:val="center"/>
            <w:hideMark/>
          </w:tcPr>
          <w:p w14:paraId="69E4D9DE" w14:textId="77777777" w:rsidR="00AE564D" w:rsidRPr="00C252E3" w:rsidRDefault="00AE564D" w:rsidP="00E26D3C">
            <w:pPr>
              <w:spacing w:after="0" w:line="240" w:lineRule="auto"/>
              <w:rPr>
                <w:rFonts w:eastAsia="Times New Roman" w:cstheme="minorHAnsi"/>
                <w:color w:val="FFFFFF"/>
                <w:sz w:val="18"/>
                <w:szCs w:val="18"/>
                <w:lang w:eastAsia="en-AU"/>
              </w:rPr>
            </w:pPr>
          </w:p>
        </w:tc>
        <w:tc>
          <w:tcPr>
            <w:tcW w:w="1440" w:type="dxa"/>
            <w:tcBorders>
              <w:top w:val="nil"/>
              <w:left w:val="nil"/>
              <w:bottom w:val="single" w:sz="8" w:space="0" w:color="002060"/>
              <w:right w:val="nil"/>
            </w:tcBorders>
            <w:shd w:val="clear" w:color="auto" w:fill="auto"/>
            <w:noWrap/>
            <w:vAlign w:val="center"/>
            <w:hideMark/>
          </w:tcPr>
          <w:p w14:paraId="0B86FA4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Winter </w:t>
            </w:r>
          </w:p>
        </w:tc>
        <w:tc>
          <w:tcPr>
            <w:tcW w:w="640" w:type="dxa"/>
            <w:tcBorders>
              <w:top w:val="nil"/>
              <w:left w:val="nil"/>
              <w:bottom w:val="single" w:sz="8" w:space="0" w:color="002060"/>
              <w:right w:val="nil"/>
            </w:tcBorders>
            <w:shd w:val="clear" w:color="auto" w:fill="auto"/>
            <w:noWrap/>
            <w:vAlign w:val="center"/>
            <w:hideMark/>
          </w:tcPr>
          <w:p w14:paraId="543D6850"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218</w:t>
            </w:r>
          </w:p>
        </w:tc>
        <w:tc>
          <w:tcPr>
            <w:tcW w:w="820" w:type="dxa"/>
            <w:tcBorders>
              <w:top w:val="nil"/>
              <w:left w:val="nil"/>
              <w:bottom w:val="single" w:sz="8" w:space="0" w:color="002060"/>
              <w:right w:val="nil"/>
            </w:tcBorders>
            <w:shd w:val="clear" w:color="auto" w:fill="auto"/>
            <w:noWrap/>
            <w:vAlign w:val="center"/>
            <w:hideMark/>
          </w:tcPr>
          <w:p w14:paraId="52D7A711"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3.44</w:t>
            </w:r>
          </w:p>
        </w:tc>
        <w:tc>
          <w:tcPr>
            <w:tcW w:w="820" w:type="dxa"/>
            <w:tcBorders>
              <w:top w:val="nil"/>
              <w:left w:val="nil"/>
              <w:bottom w:val="single" w:sz="8" w:space="0" w:color="002060"/>
              <w:right w:val="nil"/>
            </w:tcBorders>
            <w:shd w:val="clear" w:color="auto" w:fill="auto"/>
            <w:noWrap/>
            <w:vAlign w:val="center"/>
            <w:hideMark/>
          </w:tcPr>
          <w:p w14:paraId="3631277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3.59</w:t>
            </w:r>
          </w:p>
        </w:tc>
        <w:tc>
          <w:tcPr>
            <w:tcW w:w="820" w:type="dxa"/>
            <w:tcBorders>
              <w:top w:val="nil"/>
              <w:left w:val="nil"/>
              <w:bottom w:val="single" w:sz="8" w:space="0" w:color="002060"/>
              <w:right w:val="nil"/>
            </w:tcBorders>
            <w:shd w:val="clear" w:color="auto" w:fill="auto"/>
            <w:noWrap/>
            <w:vAlign w:val="center"/>
            <w:hideMark/>
          </w:tcPr>
          <w:p w14:paraId="16C4F154"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0.13</w:t>
            </w:r>
          </w:p>
        </w:tc>
        <w:tc>
          <w:tcPr>
            <w:tcW w:w="820" w:type="dxa"/>
            <w:tcBorders>
              <w:top w:val="nil"/>
              <w:left w:val="nil"/>
              <w:bottom w:val="single" w:sz="8" w:space="0" w:color="002060"/>
              <w:right w:val="nil"/>
            </w:tcBorders>
            <w:shd w:val="clear" w:color="auto" w:fill="auto"/>
            <w:noWrap/>
            <w:vAlign w:val="center"/>
            <w:hideMark/>
          </w:tcPr>
          <w:p w14:paraId="1C6AF43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25.7</w:t>
            </w:r>
          </w:p>
        </w:tc>
        <w:tc>
          <w:tcPr>
            <w:tcW w:w="820" w:type="dxa"/>
            <w:tcBorders>
              <w:top w:val="nil"/>
              <w:left w:val="nil"/>
              <w:bottom w:val="single" w:sz="8" w:space="0" w:color="002060"/>
              <w:right w:val="nil"/>
            </w:tcBorders>
            <w:shd w:val="clear" w:color="auto" w:fill="auto"/>
            <w:noWrap/>
            <w:vAlign w:val="center"/>
            <w:hideMark/>
          </w:tcPr>
          <w:p w14:paraId="4E27AD82"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2.28</w:t>
            </w:r>
          </w:p>
        </w:tc>
        <w:tc>
          <w:tcPr>
            <w:tcW w:w="820" w:type="dxa"/>
            <w:tcBorders>
              <w:top w:val="nil"/>
              <w:left w:val="nil"/>
              <w:bottom w:val="single" w:sz="8" w:space="0" w:color="002060"/>
              <w:right w:val="nil"/>
            </w:tcBorders>
            <w:shd w:val="clear" w:color="auto" w:fill="auto"/>
            <w:noWrap/>
            <w:vAlign w:val="center"/>
            <w:hideMark/>
          </w:tcPr>
          <w:p w14:paraId="633831A9"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1.55</w:t>
            </w:r>
          </w:p>
        </w:tc>
        <w:tc>
          <w:tcPr>
            <w:tcW w:w="820" w:type="dxa"/>
            <w:tcBorders>
              <w:top w:val="nil"/>
              <w:left w:val="nil"/>
              <w:bottom w:val="single" w:sz="8" w:space="0" w:color="002060"/>
              <w:right w:val="single" w:sz="8" w:space="0" w:color="002060"/>
            </w:tcBorders>
            <w:shd w:val="clear" w:color="auto" w:fill="auto"/>
            <w:noWrap/>
            <w:vAlign w:val="center"/>
            <w:hideMark/>
          </w:tcPr>
          <w:p w14:paraId="7DD60DA3"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4.58</w:t>
            </w:r>
          </w:p>
        </w:tc>
      </w:tr>
      <w:tr w:rsidR="00AE564D" w:rsidRPr="00C252E3" w14:paraId="42C565A6" w14:textId="77777777" w:rsidTr="00C252E3">
        <w:trPr>
          <w:trHeight w:val="300"/>
          <w:jc w:val="center"/>
        </w:trPr>
        <w:tc>
          <w:tcPr>
            <w:tcW w:w="1000" w:type="dxa"/>
            <w:vMerge w:val="restart"/>
            <w:tcBorders>
              <w:top w:val="nil"/>
              <w:left w:val="single" w:sz="8" w:space="0" w:color="002060"/>
              <w:bottom w:val="nil"/>
              <w:right w:val="single" w:sz="8" w:space="0" w:color="002060"/>
            </w:tcBorders>
            <w:shd w:val="clear" w:color="000000" w:fill="002060"/>
            <w:noWrap/>
            <w:vAlign w:val="center"/>
            <w:hideMark/>
          </w:tcPr>
          <w:p w14:paraId="0C9573BE"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 xml:space="preserve"> P/R</w:t>
            </w:r>
          </w:p>
        </w:tc>
        <w:tc>
          <w:tcPr>
            <w:tcW w:w="1440" w:type="dxa"/>
            <w:tcBorders>
              <w:top w:val="nil"/>
              <w:left w:val="nil"/>
              <w:bottom w:val="nil"/>
              <w:right w:val="nil"/>
            </w:tcBorders>
            <w:shd w:val="clear" w:color="auto" w:fill="auto"/>
            <w:noWrap/>
            <w:vAlign w:val="center"/>
            <w:hideMark/>
          </w:tcPr>
          <w:p w14:paraId="5C860328"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Spring </w:t>
            </w:r>
          </w:p>
        </w:tc>
        <w:tc>
          <w:tcPr>
            <w:tcW w:w="640" w:type="dxa"/>
            <w:tcBorders>
              <w:top w:val="nil"/>
              <w:left w:val="nil"/>
              <w:bottom w:val="nil"/>
              <w:right w:val="nil"/>
            </w:tcBorders>
            <w:shd w:val="clear" w:color="auto" w:fill="auto"/>
            <w:noWrap/>
            <w:vAlign w:val="center"/>
            <w:hideMark/>
          </w:tcPr>
          <w:p w14:paraId="1C340C25"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822</w:t>
            </w:r>
          </w:p>
        </w:tc>
        <w:tc>
          <w:tcPr>
            <w:tcW w:w="820" w:type="dxa"/>
            <w:tcBorders>
              <w:top w:val="nil"/>
              <w:left w:val="nil"/>
              <w:bottom w:val="nil"/>
              <w:right w:val="nil"/>
            </w:tcBorders>
            <w:shd w:val="clear" w:color="auto" w:fill="auto"/>
            <w:noWrap/>
            <w:vAlign w:val="center"/>
            <w:hideMark/>
          </w:tcPr>
          <w:p w14:paraId="13C2AF8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0.83</w:t>
            </w:r>
          </w:p>
        </w:tc>
        <w:tc>
          <w:tcPr>
            <w:tcW w:w="820" w:type="dxa"/>
            <w:tcBorders>
              <w:top w:val="nil"/>
              <w:left w:val="nil"/>
              <w:bottom w:val="nil"/>
              <w:right w:val="nil"/>
            </w:tcBorders>
            <w:shd w:val="clear" w:color="auto" w:fill="auto"/>
            <w:noWrap/>
            <w:vAlign w:val="center"/>
            <w:hideMark/>
          </w:tcPr>
          <w:p w14:paraId="2ED4777B"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1.07</w:t>
            </w:r>
          </w:p>
        </w:tc>
        <w:tc>
          <w:tcPr>
            <w:tcW w:w="820" w:type="dxa"/>
            <w:tcBorders>
              <w:top w:val="nil"/>
              <w:left w:val="nil"/>
              <w:bottom w:val="nil"/>
              <w:right w:val="nil"/>
            </w:tcBorders>
            <w:shd w:val="clear" w:color="auto" w:fill="auto"/>
            <w:noWrap/>
            <w:vAlign w:val="center"/>
            <w:hideMark/>
          </w:tcPr>
          <w:p w14:paraId="27F86E52"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0.01</w:t>
            </w:r>
          </w:p>
        </w:tc>
        <w:tc>
          <w:tcPr>
            <w:tcW w:w="820" w:type="dxa"/>
            <w:tcBorders>
              <w:top w:val="nil"/>
              <w:left w:val="nil"/>
              <w:bottom w:val="nil"/>
              <w:right w:val="nil"/>
            </w:tcBorders>
            <w:shd w:val="clear" w:color="auto" w:fill="auto"/>
            <w:noWrap/>
            <w:vAlign w:val="center"/>
            <w:hideMark/>
          </w:tcPr>
          <w:p w14:paraId="00AD01F4"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9.87</w:t>
            </w:r>
          </w:p>
        </w:tc>
        <w:tc>
          <w:tcPr>
            <w:tcW w:w="820" w:type="dxa"/>
            <w:tcBorders>
              <w:top w:val="nil"/>
              <w:left w:val="nil"/>
              <w:bottom w:val="nil"/>
              <w:right w:val="nil"/>
            </w:tcBorders>
            <w:shd w:val="clear" w:color="auto" w:fill="auto"/>
            <w:noWrap/>
            <w:vAlign w:val="center"/>
            <w:hideMark/>
          </w:tcPr>
          <w:p w14:paraId="0830B008"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0.53</w:t>
            </w:r>
          </w:p>
        </w:tc>
        <w:tc>
          <w:tcPr>
            <w:tcW w:w="820" w:type="dxa"/>
            <w:tcBorders>
              <w:top w:val="nil"/>
              <w:left w:val="nil"/>
              <w:bottom w:val="nil"/>
              <w:right w:val="nil"/>
            </w:tcBorders>
            <w:shd w:val="clear" w:color="auto" w:fill="auto"/>
            <w:noWrap/>
            <w:vAlign w:val="center"/>
            <w:hideMark/>
          </w:tcPr>
          <w:p w14:paraId="4EDDD3D6"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0.31</w:t>
            </w:r>
          </w:p>
        </w:tc>
        <w:tc>
          <w:tcPr>
            <w:tcW w:w="820" w:type="dxa"/>
            <w:tcBorders>
              <w:top w:val="nil"/>
              <w:left w:val="nil"/>
              <w:bottom w:val="nil"/>
              <w:right w:val="single" w:sz="8" w:space="0" w:color="002060"/>
            </w:tcBorders>
            <w:shd w:val="clear" w:color="auto" w:fill="auto"/>
            <w:noWrap/>
            <w:vAlign w:val="center"/>
            <w:hideMark/>
          </w:tcPr>
          <w:p w14:paraId="2F148F2C"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0.90</w:t>
            </w:r>
          </w:p>
        </w:tc>
      </w:tr>
      <w:tr w:rsidR="00AE564D" w:rsidRPr="00C252E3" w14:paraId="16959DA7" w14:textId="77777777" w:rsidTr="00C252E3">
        <w:trPr>
          <w:trHeight w:val="300"/>
          <w:jc w:val="center"/>
        </w:trPr>
        <w:tc>
          <w:tcPr>
            <w:tcW w:w="1000" w:type="dxa"/>
            <w:vMerge/>
            <w:tcBorders>
              <w:top w:val="nil"/>
              <w:left w:val="single" w:sz="8" w:space="0" w:color="002060"/>
              <w:bottom w:val="nil"/>
              <w:right w:val="single" w:sz="8" w:space="0" w:color="002060"/>
            </w:tcBorders>
            <w:vAlign w:val="center"/>
            <w:hideMark/>
          </w:tcPr>
          <w:p w14:paraId="29D962E7" w14:textId="77777777" w:rsidR="00AE564D" w:rsidRPr="00C252E3" w:rsidRDefault="00AE564D" w:rsidP="00E26D3C">
            <w:pPr>
              <w:spacing w:after="0" w:line="240" w:lineRule="auto"/>
              <w:rPr>
                <w:rFonts w:eastAsia="Times New Roman" w:cstheme="minorHAnsi"/>
                <w:color w:val="FFFFFF"/>
                <w:sz w:val="18"/>
                <w:szCs w:val="18"/>
                <w:lang w:eastAsia="en-AU"/>
              </w:rPr>
            </w:pPr>
          </w:p>
        </w:tc>
        <w:tc>
          <w:tcPr>
            <w:tcW w:w="1440" w:type="dxa"/>
            <w:tcBorders>
              <w:top w:val="nil"/>
              <w:left w:val="nil"/>
              <w:bottom w:val="nil"/>
              <w:right w:val="nil"/>
            </w:tcBorders>
            <w:shd w:val="clear" w:color="auto" w:fill="auto"/>
            <w:noWrap/>
            <w:vAlign w:val="center"/>
            <w:hideMark/>
          </w:tcPr>
          <w:p w14:paraId="13B40A58"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Summer </w:t>
            </w:r>
          </w:p>
        </w:tc>
        <w:tc>
          <w:tcPr>
            <w:tcW w:w="640" w:type="dxa"/>
            <w:tcBorders>
              <w:top w:val="nil"/>
              <w:left w:val="nil"/>
              <w:bottom w:val="nil"/>
              <w:right w:val="nil"/>
            </w:tcBorders>
            <w:shd w:val="clear" w:color="auto" w:fill="auto"/>
            <w:noWrap/>
            <w:vAlign w:val="center"/>
            <w:hideMark/>
          </w:tcPr>
          <w:p w14:paraId="7CFD7DF3"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1420</w:t>
            </w:r>
          </w:p>
        </w:tc>
        <w:tc>
          <w:tcPr>
            <w:tcW w:w="820" w:type="dxa"/>
            <w:tcBorders>
              <w:top w:val="nil"/>
              <w:left w:val="nil"/>
              <w:bottom w:val="nil"/>
              <w:right w:val="nil"/>
            </w:tcBorders>
            <w:shd w:val="clear" w:color="auto" w:fill="auto"/>
            <w:noWrap/>
            <w:vAlign w:val="center"/>
            <w:hideMark/>
          </w:tcPr>
          <w:p w14:paraId="23D5C505"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0.69</w:t>
            </w:r>
          </w:p>
        </w:tc>
        <w:tc>
          <w:tcPr>
            <w:tcW w:w="820" w:type="dxa"/>
            <w:tcBorders>
              <w:top w:val="nil"/>
              <w:left w:val="nil"/>
              <w:bottom w:val="nil"/>
              <w:right w:val="nil"/>
            </w:tcBorders>
            <w:shd w:val="clear" w:color="auto" w:fill="auto"/>
            <w:noWrap/>
            <w:vAlign w:val="center"/>
            <w:hideMark/>
          </w:tcPr>
          <w:p w14:paraId="5AF4207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0.93</w:t>
            </w:r>
          </w:p>
        </w:tc>
        <w:tc>
          <w:tcPr>
            <w:tcW w:w="820" w:type="dxa"/>
            <w:tcBorders>
              <w:top w:val="nil"/>
              <w:left w:val="nil"/>
              <w:bottom w:val="nil"/>
              <w:right w:val="nil"/>
            </w:tcBorders>
            <w:shd w:val="clear" w:color="auto" w:fill="auto"/>
            <w:noWrap/>
            <w:vAlign w:val="center"/>
            <w:hideMark/>
          </w:tcPr>
          <w:p w14:paraId="628E524A"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0.01</w:t>
            </w:r>
          </w:p>
        </w:tc>
        <w:tc>
          <w:tcPr>
            <w:tcW w:w="820" w:type="dxa"/>
            <w:tcBorders>
              <w:top w:val="nil"/>
              <w:left w:val="nil"/>
              <w:bottom w:val="nil"/>
              <w:right w:val="nil"/>
            </w:tcBorders>
            <w:shd w:val="clear" w:color="auto" w:fill="auto"/>
            <w:noWrap/>
            <w:vAlign w:val="center"/>
            <w:hideMark/>
          </w:tcPr>
          <w:p w14:paraId="08F7D1A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16.9</w:t>
            </w:r>
          </w:p>
        </w:tc>
        <w:tc>
          <w:tcPr>
            <w:tcW w:w="820" w:type="dxa"/>
            <w:tcBorders>
              <w:top w:val="nil"/>
              <w:left w:val="nil"/>
              <w:bottom w:val="nil"/>
              <w:right w:val="nil"/>
            </w:tcBorders>
            <w:shd w:val="clear" w:color="auto" w:fill="auto"/>
            <w:noWrap/>
            <w:vAlign w:val="center"/>
            <w:hideMark/>
          </w:tcPr>
          <w:p w14:paraId="2632B54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0.49</w:t>
            </w:r>
          </w:p>
        </w:tc>
        <w:tc>
          <w:tcPr>
            <w:tcW w:w="820" w:type="dxa"/>
            <w:tcBorders>
              <w:top w:val="nil"/>
              <w:left w:val="nil"/>
              <w:bottom w:val="nil"/>
              <w:right w:val="nil"/>
            </w:tcBorders>
            <w:shd w:val="clear" w:color="auto" w:fill="auto"/>
            <w:noWrap/>
            <w:vAlign w:val="center"/>
            <w:hideMark/>
          </w:tcPr>
          <w:p w14:paraId="02624FAD"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0.35</w:t>
            </w:r>
          </w:p>
        </w:tc>
        <w:tc>
          <w:tcPr>
            <w:tcW w:w="820" w:type="dxa"/>
            <w:tcBorders>
              <w:top w:val="nil"/>
              <w:left w:val="nil"/>
              <w:bottom w:val="nil"/>
              <w:right w:val="single" w:sz="8" w:space="0" w:color="002060"/>
            </w:tcBorders>
            <w:shd w:val="clear" w:color="auto" w:fill="auto"/>
            <w:noWrap/>
            <w:vAlign w:val="center"/>
            <w:hideMark/>
          </w:tcPr>
          <w:p w14:paraId="10974743"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0.75</w:t>
            </w:r>
          </w:p>
        </w:tc>
      </w:tr>
      <w:tr w:rsidR="00AE564D" w:rsidRPr="00C252E3" w14:paraId="15327AF5" w14:textId="77777777" w:rsidTr="00C252E3">
        <w:trPr>
          <w:trHeight w:val="300"/>
          <w:jc w:val="center"/>
        </w:trPr>
        <w:tc>
          <w:tcPr>
            <w:tcW w:w="1000" w:type="dxa"/>
            <w:vMerge/>
            <w:tcBorders>
              <w:top w:val="nil"/>
              <w:left w:val="single" w:sz="8" w:space="0" w:color="002060"/>
              <w:bottom w:val="nil"/>
              <w:right w:val="single" w:sz="8" w:space="0" w:color="002060"/>
            </w:tcBorders>
            <w:vAlign w:val="center"/>
            <w:hideMark/>
          </w:tcPr>
          <w:p w14:paraId="04CDBEA7" w14:textId="77777777" w:rsidR="00AE564D" w:rsidRPr="00C252E3" w:rsidRDefault="00AE564D" w:rsidP="00E26D3C">
            <w:pPr>
              <w:spacing w:after="0" w:line="240" w:lineRule="auto"/>
              <w:rPr>
                <w:rFonts w:eastAsia="Times New Roman" w:cstheme="minorHAnsi"/>
                <w:color w:val="FFFFFF"/>
                <w:sz w:val="18"/>
                <w:szCs w:val="18"/>
                <w:lang w:eastAsia="en-AU"/>
              </w:rPr>
            </w:pPr>
          </w:p>
        </w:tc>
        <w:tc>
          <w:tcPr>
            <w:tcW w:w="1440" w:type="dxa"/>
            <w:tcBorders>
              <w:top w:val="nil"/>
              <w:left w:val="nil"/>
              <w:bottom w:val="nil"/>
              <w:right w:val="nil"/>
            </w:tcBorders>
            <w:shd w:val="clear" w:color="auto" w:fill="auto"/>
            <w:noWrap/>
            <w:vAlign w:val="center"/>
            <w:hideMark/>
          </w:tcPr>
          <w:p w14:paraId="6417BBD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Autumn </w:t>
            </w:r>
          </w:p>
        </w:tc>
        <w:tc>
          <w:tcPr>
            <w:tcW w:w="640" w:type="dxa"/>
            <w:tcBorders>
              <w:top w:val="nil"/>
              <w:left w:val="nil"/>
              <w:bottom w:val="nil"/>
              <w:right w:val="nil"/>
            </w:tcBorders>
            <w:shd w:val="clear" w:color="auto" w:fill="auto"/>
            <w:noWrap/>
            <w:vAlign w:val="center"/>
            <w:hideMark/>
          </w:tcPr>
          <w:p w14:paraId="7D8F447B"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819</w:t>
            </w:r>
          </w:p>
        </w:tc>
        <w:tc>
          <w:tcPr>
            <w:tcW w:w="820" w:type="dxa"/>
            <w:tcBorders>
              <w:top w:val="nil"/>
              <w:left w:val="nil"/>
              <w:bottom w:val="nil"/>
              <w:right w:val="nil"/>
            </w:tcBorders>
            <w:shd w:val="clear" w:color="auto" w:fill="auto"/>
            <w:noWrap/>
            <w:vAlign w:val="center"/>
            <w:hideMark/>
          </w:tcPr>
          <w:p w14:paraId="7C43272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0.65</w:t>
            </w:r>
          </w:p>
        </w:tc>
        <w:tc>
          <w:tcPr>
            <w:tcW w:w="820" w:type="dxa"/>
            <w:tcBorders>
              <w:top w:val="nil"/>
              <w:left w:val="nil"/>
              <w:bottom w:val="nil"/>
              <w:right w:val="nil"/>
            </w:tcBorders>
            <w:shd w:val="clear" w:color="auto" w:fill="auto"/>
            <w:noWrap/>
            <w:vAlign w:val="center"/>
            <w:hideMark/>
          </w:tcPr>
          <w:p w14:paraId="374208C4"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0.59</w:t>
            </w:r>
          </w:p>
        </w:tc>
        <w:tc>
          <w:tcPr>
            <w:tcW w:w="820" w:type="dxa"/>
            <w:tcBorders>
              <w:top w:val="nil"/>
              <w:left w:val="nil"/>
              <w:bottom w:val="nil"/>
              <w:right w:val="nil"/>
            </w:tcBorders>
            <w:shd w:val="clear" w:color="auto" w:fill="auto"/>
            <w:noWrap/>
            <w:vAlign w:val="center"/>
            <w:hideMark/>
          </w:tcPr>
          <w:p w14:paraId="7B571BF2"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0.01</w:t>
            </w:r>
          </w:p>
        </w:tc>
        <w:tc>
          <w:tcPr>
            <w:tcW w:w="820" w:type="dxa"/>
            <w:tcBorders>
              <w:top w:val="nil"/>
              <w:left w:val="nil"/>
              <w:bottom w:val="nil"/>
              <w:right w:val="nil"/>
            </w:tcBorders>
            <w:shd w:val="clear" w:color="auto" w:fill="auto"/>
            <w:noWrap/>
            <w:vAlign w:val="center"/>
            <w:hideMark/>
          </w:tcPr>
          <w:p w14:paraId="57D7FD76"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8.10</w:t>
            </w:r>
          </w:p>
        </w:tc>
        <w:tc>
          <w:tcPr>
            <w:tcW w:w="820" w:type="dxa"/>
            <w:tcBorders>
              <w:top w:val="nil"/>
              <w:left w:val="nil"/>
              <w:bottom w:val="nil"/>
              <w:right w:val="nil"/>
            </w:tcBorders>
            <w:shd w:val="clear" w:color="auto" w:fill="auto"/>
            <w:noWrap/>
            <w:vAlign w:val="center"/>
            <w:hideMark/>
          </w:tcPr>
          <w:p w14:paraId="14237D19"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0.50</w:t>
            </w:r>
          </w:p>
        </w:tc>
        <w:tc>
          <w:tcPr>
            <w:tcW w:w="820" w:type="dxa"/>
            <w:tcBorders>
              <w:top w:val="nil"/>
              <w:left w:val="nil"/>
              <w:bottom w:val="nil"/>
              <w:right w:val="nil"/>
            </w:tcBorders>
            <w:shd w:val="clear" w:color="auto" w:fill="auto"/>
            <w:noWrap/>
            <w:vAlign w:val="center"/>
            <w:hideMark/>
          </w:tcPr>
          <w:p w14:paraId="3082EAC5"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0.35</w:t>
            </w:r>
          </w:p>
        </w:tc>
        <w:tc>
          <w:tcPr>
            <w:tcW w:w="820" w:type="dxa"/>
            <w:tcBorders>
              <w:top w:val="nil"/>
              <w:left w:val="nil"/>
              <w:bottom w:val="nil"/>
              <w:right w:val="single" w:sz="8" w:space="0" w:color="002060"/>
            </w:tcBorders>
            <w:shd w:val="clear" w:color="auto" w:fill="auto"/>
            <w:noWrap/>
            <w:vAlign w:val="center"/>
            <w:hideMark/>
          </w:tcPr>
          <w:p w14:paraId="2975545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0.77</w:t>
            </w:r>
          </w:p>
        </w:tc>
      </w:tr>
      <w:tr w:rsidR="00AE564D" w:rsidRPr="00C252E3" w14:paraId="5789586C" w14:textId="77777777" w:rsidTr="00C252E3">
        <w:trPr>
          <w:trHeight w:val="315"/>
          <w:jc w:val="center"/>
        </w:trPr>
        <w:tc>
          <w:tcPr>
            <w:tcW w:w="1000" w:type="dxa"/>
            <w:vMerge/>
            <w:tcBorders>
              <w:top w:val="nil"/>
              <w:left w:val="single" w:sz="8" w:space="0" w:color="002060"/>
              <w:bottom w:val="nil"/>
              <w:right w:val="single" w:sz="8" w:space="0" w:color="002060"/>
            </w:tcBorders>
            <w:vAlign w:val="center"/>
            <w:hideMark/>
          </w:tcPr>
          <w:p w14:paraId="4CA3D68E" w14:textId="77777777" w:rsidR="00AE564D" w:rsidRPr="00C252E3" w:rsidRDefault="00AE564D" w:rsidP="00E26D3C">
            <w:pPr>
              <w:spacing w:after="0" w:line="240" w:lineRule="auto"/>
              <w:rPr>
                <w:rFonts w:eastAsia="Times New Roman" w:cstheme="minorHAnsi"/>
                <w:color w:val="FFFFFF"/>
                <w:sz w:val="18"/>
                <w:szCs w:val="18"/>
                <w:lang w:eastAsia="en-AU"/>
              </w:rPr>
            </w:pPr>
          </w:p>
        </w:tc>
        <w:tc>
          <w:tcPr>
            <w:tcW w:w="1440" w:type="dxa"/>
            <w:tcBorders>
              <w:top w:val="nil"/>
              <w:left w:val="nil"/>
              <w:bottom w:val="single" w:sz="8" w:space="0" w:color="002060"/>
              <w:right w:val="nil"/>
            </w:tcBorders>
            <w:shd w:val="clear" w:color="auto" w:fill="auto"/>
            <w:noWrap/>
            <w:vAlign w:val="center"/>
            <w:hideMark/>
          </w:tcPr>
          <w:p w14:paraId="446ADF5A"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Winter </w:t>
            </w:r>
          </w:p>
        </w:tc>
        <w:tc>
          <w:tcPr>
            <w:tcW w:w="640" w:type="dxa"/>
            <w:tcBorders>
              <w:top w:val="nil"/>
              <w:left w:val="nil"/>
              <w:bottom w:val="single" w:sz="8" w:space="0" w:color="002060"/>
              <w:right w:val="nil"/>
            </w:tcBorders>
            <w:shd w:val="clear" w:color="auto" w:fill="auto"/>
            <w:noWrap/>
            <w:vAlign w:val="center"/>
            <w:hideMark/>
          </w:tcPr>
          <w:p w14:paraId="53074A66"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218</w:t>
            </w:r>
          </w:p>
        </w:tc>
        <w:tc>
          <w:tcPr>
            <w:tcW w:w="820" w:type="dxa"/>
            <w:tcBorders>
              <w:top w:val="nil"/>
              <w:left w:val="nil"/>
              <w:bottom w:val="single" w:sz="8" w:space="0" w:color="002060"/>
              <w:right w:val="nil"/>
            </w:tcBorders>
            <w:shd w:val="clear" w:color="auto" w:fill="auto"/>
            <w:noWrap/>
            <w:vAlign w:val="center"/>
            <w:hideMark/>
          </w:tcPr>
          <w:p w14:paraId="59BE0890"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0.33</w:t>
            </w:r>
          </w:p>
        </w:tc>
        <w:tc>
          <w:tcPr>
            <w:tcW w:w="820" w:type="dxa"/>
            <w:tcBorders>
              <w:top w:val="nil"/>
              <w:left w:val="nil"/>
              <w:bottom w:val="single" w:sz="8" w:space="0" w:color="002060"/>
              <w:right w:val="nil"/>
            </w:tcBorders>
            <w:shd w:val="clear" w:color="auto" w:fill="auto"/>
            <w:noWrap/>
            <w:vAlign w:val="center"/>
            <w:hideMark/>
          </w:tcPr>
          <w:p w14:paraId="6A5B7086"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1.09</w:t>
            </w:r>
          </w:p>
        </w:tc>
        <w:tc>
          <w:tcPr>
            <w:tcW w:w="820" w:type="dxa"/>
            <w:tcBorders>
              <w:top w:val="nil"/>
              <w:left w:val="nil"/>
              <w:bottom w:val="single" w:sz="8" w:space="0" w:color="002060"/>
              <w:right w:val="nil"/>
            </w:tcBorders>
            <w:shd w:val="clear" w:color="auto" w:fill="auto"/>
            <w:noWrap/>
            <w:vAlign w:val="center"/>
            <w:hideMark/>
          </w:tcPr>
          <w:p w14:paraId="50F8BA51"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0.01</w:t>
            </w:r>
          </w:p>
        </w:tc>
        <w:tc>
          <w:tcPr>
            <w:tcW w:w="820" w:type="dxa"/>
            <w:tcBorders>
              <w:top w:val="nil"/>
              <w:left w:val="nil"/>
              <w:bottom w:val="single" w:sz="8" w:space="0" w:color="002060"/>
              <w:right w:val="nil"/>
            </w:tcBorders>
            <w:shd w:val="clear" w:color="auto" w:fill="auto"/>
            <w:noWrap/>
            <w:vAlign w:val="center"/>
            <w:hideMark/>
          </w:tcPr>
          <w:p w14:paraId="71109601"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11.6</w:t>
            </w:r>
          </w:p>
        </w:tc>
        <w:tc>
          <w:tcPr>
            <w:tcW w:w="820" w:type="dxa"/>
            <w:tcBorders>
              <w:top w:val="nil"/>
              <w:left w:val="nil"/>
              <w:bottom w:val="single" w:sz="8" w:space="0" w:color="002060"/>
              <w:right w:val="nil"/>
            </w:tcBorders>
            <w:shd w:val="clear" w:color="auto" w:fill="auto"/>
            <w:noWrap/>
            <w:vAlign w:val="center"/>
            <w:hideMark/>
          </w:tcPr>
          <w:p w14:paraId="2457A9BD"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0.13</w:t>
            </w:r>
          </w:p>
        </w:tc>
        <w:tc>
          <w:tcPr>
            <w:tcW w:w="820" w:type="dxa"/>
            <w:tcBorders>
              <w:top w:val="nil"/>
              <w:left w:val="nil"/>
              <w:bottom w:val="single" w:sz="8" w:space="0" w:color="002060"/>
              <w:right w:val="nil"/>
            </w:tcBorders>
            <w:shd w:val="clear" w:color="auto" w:fill="auto"/>
            <w:noWrap/>
            <w:vAlign w:val="center"/>
            <w:hideMark/>
          </w:tcPr>
          <w:p w14:paraId="5217776C"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0.08</w:t>
            </w:r>
          </w:p>
        </w:tc>
        <w:tc>
          <w:tcPr>
            <w:tcW w:w="820" w:type="dxa"/>
            <w:tcBorders>
              <w:top w:val="nil"/>
              <w:left w:val="nil"/>
              <w:bottom w:val="single" w:sz="8" w:space="0" w:color="002060"/>
              <w:right w:val="single" w:sz="8" w:space="0" w:color="002060"/>
            </w:tcBorders>
            <w:shd w:val="clear" w:color="auto" w:fill="auto"/>
            <w:noWrap/>
            <w:vAlign w:val="center"/>
            <w:hideMark/>
          </w:tcPr>
          <w:p w14:paraId="694D5A2D"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0.36</w:t>
            </w:r>
          </w:p>
        </w:tc>
      </w:tr>
      <w:tr w:rsidR="00AE564D" w:rsidRPr="00C252E3" w14:paraId="64030212" w14:textId="77777777" w:rsidTr="00C252E3">
        <w:trPr>
          <w:trHeight w:val="300"/>
          <w:jc w:val="center"/>
        </w:trPr>
        <w:tc>
          <w:tcPr>
            <w:tcW w:w="1000" w:type="dxa"/>
            <w:vMerge w:val="restart"/>
            <w:tcBorders>
              <w:top w:val="nil"/>
              <w:left w:val="single" w:sz="8" w:space="0" w:color="002060"/>
              <w:bottom w:val="single" w:sz="8" w:space="0" w:color="002060"/>
              <w:right w:val="single" w:sz="8" w:space="0" w:color="002060"/>
            </w:tcBorders>
            <w:shd w:val="clear" w:color="000000" w:fill="002060"/>
            <w:noWrap/>
            <w:vAlign w:val="center"/>
            <w:hideMark/>
          </w:tcPr>
          <w:p w14:paraId="4B120C89" w14:textId="77777777" w:rsidR="00AE564D" w:rsidRPr="00C252E3" w:rsidRDefault="00AE564D" w:rsidP="00E26D3C">
            <w:pPr>
              <w:spacing w:after="0" w:line="240" w:lineRule="auto"/>
              <w:jc w:val="center"/>
              <w:rPr>
                <w:rFonts w:eastAsia="Times New Roman" w:cstheme="minorHAnsi"/>
                <w:color w:val="FFFFFF"/>
                <w:sz w:val="18"/>
                <w:szCs w:val="18"/>
                <w:lang w:eastAsia="en-AU"/>
              </w:rPr>
            </w:pPr>
            <w:r w:rsidRPr="00C252E3">
              <w:rPr>
                <w:rFonts w:eastAsia="Times New Roman" w:cstheme="minorHAnsi"/>
                <w:color w:val="FFFFFF"/>
                <w:sz w:val="18"/>
                <w:szCs w:val="18"/>
                <w:lang w:eastAsia="en-AU"/>
              </w:rPr>
              <w:t xml:space="preserve"> NEP</w:t>
            </w:r>
          </w:p>
        </w:tc>
        <w:tc>
          <w:tcPr>
            <w:tcW w:w="1440" w:type="dxa"/>
            <w:tcBorders>
              <w:top w:val="nil"/>
              <w:left w:val="nil"/>
              <w:bottom w:val="nil"/>
              <w:right w:val="nil"/>
            </w:tcBorders>
            <w:shd w:val="clear" w:color="auto" w:fill="auto"/>
            <w:noWrap/>
            <w:vAlign w:val="center"/>
            <w:hideMark/>
          </w:tcPr>
          <w:p w14:paraId="0E77D3CA"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Spring </w:t>
            </w:r>
          </w:p>
        </w:tc>
        <w:tc>
          <w:tcPr>
            <w:tcW w:w="640" w:type="dxa"/>
            <w:tcBorders>
              <w:top w:val="nil"/>
              <w:left w:val="nil"/>
              <w:bottom w:val="nil"/>
              <w:right w:val="nil"/>
            </w:tcBorders>
            <w:shd w:val="clear" w:color="auto" w:fill="auto"/>
            <w:noWrap/>
            <w:vAlign w:val="center"/>
            <w:hideMark/>
          </w:tcPr>
          <w:p w14:paraId="2604B511"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822</w:t>
            </w:r>
          </w:p>
        </w:tc>
        <w:tc>
          <w:tcPr>
            <w:tcW w:w="820" w:type="dxa"/>
            <w:tcBorders>
              <w:top w:val="nil"/>
              <w:left w:val="nil"/>
              <w:bottom w:val="nil"/>
              <w:right w:val="nil"/>
            </w:tcBorders>
            <w:shd w:val="clear" w:color="auto" w:fill="auto"/>
            <w:noWrap/>
            <w:vAlign w:val="center"/>
            <w:hideMark/>
          </w:tcPr>
          <w:p w14:paraId="1DA307F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-1.75</w:t>
            </w:r>
          </w:p>
        </w:tc>
        <w:tc>
          <w:tcPr>
            <w:tcW w:w="820" w:type="dxa"/>
            <w:tcBorders>
              <w:top w:val="nil"/>
              <w:left w:val="nil"/>
              <w:bottom w:val="nil"/>
              <w:right w:val="nil"/>
            </w:tcBorders>
            <w:shd w:val="clear" w:color="auto" w:fill="auto"/>
            <w:noWrap/>
            <w:vAlign w:val="center"/>
            <w:hideMark/>
          </w:tcPr>
          <w:p w14:paraId="12768BAB"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2.94</w:t>
            </w:r>
          </w:p>
        </w:tc>
        <w:tc>
          <w:tcPr>
            <w:tcW w:w="820" w:type="dxa"/>
            <w:tcBorders>
              <w:top w:val="nil"/>
              <w:left w:val="nil"/>
              <w:bottom w:val="nil"/>
              <w:right w:val="nil"/>
            </w:tcBorders>
            <w:shd w:val="clear" w:color="auto" w:fill="auto"/>
            <w:noWrap/>
            <w:vAlign w:val="center"/>
            <w:hideMark/>
          </w:tcPr>
          <w:p w14:paraId="68D8E44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-21.6</w:t>
            </w:r>
          </w:p>
        </w:tc>
        <w:tc>
          <w:tcPr>
            <w:tcW w:w="820" w:type="dxa"/>
            <w:tcBorders>
              <w:top w:val="nil"/>
              <w:left w:val="nil"/>
              <w:bottom w:val="nil"/>
              <w:right w:val="nil"/>
            </w:tcBorders>
            <w:shd w:val="clear" w:color="auto" w:fill="auto"/>
            <w:noWrap/>
            <w:vAlign w:val="center"/>
            <w:hideMark/>
          </w:tcPr>
          <w:p w14:paraId="63BA6ABB"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3.17</w:t>
            </w:r>
          </w:p>
        </w:tc>
        <w:tc>
          <w:tcPr>
            <w:tcW w:w="820" w:type="dxa"/>
            <w:tcBorders>
              <w:top w:val="nil"/>
              <w:left w:val="nil"/>
              <w:bottom w:val="nil"/>
              <w:right w:val="nil"/>
            </w:tcBorders>
            <w:shd w:val="clear" w:color="auto" w:fill="auto"/>
            <w:noWrap/>
            <w:vAlign w:val="center"/>
            <w:hideMark/>
          </w:tcPr>
          <w:p w14:paraId="019D7A34"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-0.81</w:t>
            </w:r>
          </w:p>
        </w:tc>
        <w:tc>
          <w:tcPr>
            <w:tcW w:w="820" w:type="dxa"/>
            <w:tcBorders>
              <w:top w:val="nil"/>
              <w:left w:val="nil"/>
              <w:bottom w:val="nil"/>
              <w:right w:val="nil"/>
            </w:tcBorders>
            <w:shd w:val="clear" w:color="auto" w:fill="auto"/>
            <w:noWrap/>
            <w:vAlign w:val="center"/>
            <w:hideMark/>
          </w:tcPr>
          <w:p w14:paraId="1165D072"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-2.42</w:t>
            </w:r>
          </w:p>
        </w:tc>
        <w:tc>
          <w:tcPr>
            <w:tcW w:w="820" w:type="dxa"/>
            <w:tcBorders>
              <w:top w:val="nil"/>
              <w:left w:val="nil"/>
              <w:bottom w:val="nil"/>
              <w:right w:val="single" w:sz="8" w:space="0" w:color="002060"/>
            </w:tcBorders>
            <w:shd w:val="clear" w:color="auto" w:fill="auto"/>
            <w:noWrap/>
            <w:vAlign w:val="center"/>
            <w:hideMark/>
          </w:tcPr>
          <w:p w14:paraId="09FA57B2"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-0.11</w:t>
            </w:r>
          </w:p>
        </w:tc>
      </w:tr>
      <w:tr w:rsidR="00AE564D" w:rsidRPr="00C252E3" w14:paraId="6587C0F7" w14:textId="77777777" w:rsidTr="00C252E3">
        <w:trPr>
          <w:trHeight w:val="300"/>
          <w:jc w:val="center"/>
        </w:trPr>
        <w:tc>
          <w:tcPr>
            <w:tcW w:w="1000" w:type="dxa"/>
            <w:vMerge/>
            <w:tcBorders>
              <w:top w:val="nil"/>
              <w:left w:val="single" w:sz="8" w:space="0" w:color="002060"/>
              <w:bottom w:val="single" w:sz="8" w:space="0" w:color="002060"/>
              <w:right w:val="single" w:sz="8" w:space="0" w:color="002060"/>
            </w:tcBorders>
            <w:vAlign w:val="center"/>
            <w:hideMark/>
          </w:tcPr>
          <w:p w14:paraId="627349C9" w14:textId="77777777" w:rsidR="00AE564D" w:rsidRPr="00C252E3" w:rsidRDefault="00AE564D" w:rsidP="00E26D3C">
            <w:pPr>
              <w:spacing w:after="0" w:line="240" w:lineRule="auto"/>
              <w:rPr>
                <w:rFonts w:eastAsia="Times New Roman" w:cstheme="minorHAnsi"/>
                <w:color w:val="FFFFFF"/>
                <w:sz w:val="18"/>
                <w:szCs w:val="18"/>
                <w:lang w:eastAsia="en-AU"/>
              </w:rPr>
            </w:pPr>
          </w:p>
        </w:tc>
        <w:tc>
          <w:tcPr>
            <w:tcW w:w="1440" w:type="dxa"/>
            <w:tcBorders>
              <w:top w:val="nil"/>
              <w:left w:val="nil"/>
              <w:bottom w:val="nil"/>
              <w:right w:val="nil"/>
            </w:tcBorders>
            <w:shd w:val="clear" w:color="auto" w:fill="auto"/>
            <w:noWrap/>
            <w:vAlign w:val="center"/>
            <w:hideMark/>
          </w:tcPr>
          <w:p w14:paraId="7BE2930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Summer </w:t>
            </w:r>
          </w:p>
        </w:tc>
        <w:tc>
          <w:tcPr>
            <w:tcW w:w="640" w:type="dxa"/>
            <w:tcBorders>
              <w:top w:val="nil"/>
              <w:left w:val="nil"/>
              <w:bottom w:val="nil"/>
              <w:right w:val="nil"/>
            </w:tcBorders>
            <w:shd w:val="clear" w:color="auto" w:fill="auto"/>
            <w:noWrap/>
            <w:vAlign w:val="center"/>
            <w:hideMark/>
          </w:tcPr>
          <w:p w14:paraId="3E30ADF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1420</w:t>
            </w:r>
          </w:p>
        </w:tc>
        <w:tc>
          <w:tcPr>
            <w:tcW w:w="820" w:type="dxa"/>
            <w:tcBorders>
              <w:top w:val="nil"/>
              <w:left w:val="nil"/>
              <w:bottom w:val="nil"/>
              <w:right w:val="nil"/>
            </w:tcBorders>
            <w:shd w:val="clear" w:color="auto" w:fill="auto"/>
            <w:noWrap/>
            <w:vAlign w:val="center"/>
            <w:hideMark/>
          </w:tcPr>
          <w:p w14:paraId="6C8FD9BD"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-2.13</w:t>
            </w:r>
          </w:p>
        </w:tc>
        <w:tc>
          <w:tcPr>
            <w:tcW w:w="820" w:type="dxa"/>
            <w:tcBorders>
              <w:top w:val="nil"/>
              <w:left w:val="nil"/>
              <w:bottom w:val="nil"/>
              <w:right w:val="nil"/>
            </w:tcBorders>
            <w:shd w:val="clear" w:color="auto" w:fill="auto"/>
            <w:noWrap/>
            <w:vAlign w:val="center"/>
            <w:hideMark/>
          </w:tcPr>
          <w:p w14:paraId="65A11A26"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2.89</w:t>
            </w:r>
          </w:p>
        </w:tc>
        <w:tc>
          <w:tcPr>
            <w:tcW w:w="820" w:type="dxa"/>
            <w:tcBorders>
              <w:top w:val="nil"/>
              <w:left w:val="nil"/>
              <w:bottom w:val="nil"/>
              <w:right w:val="nil"/>
            </w:tcBorders>
            <w:shd w:val="clear" w:color="auto" w:fill="auto"/>
            <w:noWrap/>
            <w:vAlign w:val="center"/>
            <w:hideMark/>
          </w:tcPr>
          <w:p w14:paraId="7075129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-21.7</w:t>
            </w:r>
          </w:p>
        </w:tc>
        <w:tc>
          <w:tcPr>
            <w:tcW w:w="820" w:type="dxa"/>
            <w:tcBorders>
              <w:top w:val="nil"/>
              <w:left w:val="nil"/>
              <w:bottom w:val="nil"/>
              <w:right w:val="nil"/>
            </w:tcBorders>
            <w:shd w:val="clear" w:color="auto" w:fill="auto"/>
            <w:noWrap/>
            <w:vAlign w:val="center"/>
            <w:hideMark/>
          </w:tcPr>
          <w:p w14:paraId="5658506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12.1</w:t>
            </w:r>
          </w:p>
        </w:tc>
        <w:tc>
          <w:tcPr>
            <w:tcW w:w="820" w:type="dxa"/>
            <w:tcBorders>
              <w:top w:val="nil"/>
              <w:left w:val="nil"/>
              <w:bottom w:val="nil"/>
              <w:right w:val="nil"/>
            </w:tcBorders>
            <w:shd w:val="clear" w:color="auto" w:fill="auto"/>
            <w:noWrap/>
            <w:vAlign w:val="center"/>
            <w:hideMark/>
          </w:tcPr>
          <w:p w14:paraId="151155F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-1.63</w:t>
            </w:r>
          </w:p>
        </w:tc>
        <w:tc>
          <w:tcPr>
            <w:tcW w:w="820" w:type="dxa"/>
            <w:tcBorders>
              <w:top w:val="nil"/>
              <w:left w:val="nil"/>
              <w:bottom w:val="nil"/>
              <w:right w:val="nil"/>
            </w:tcBorders>
            <w:shd w:val="clear" w:color="auto" w:fill="auto"/>
            <w:noWrap/>
            <w:vAlign w:val="center"/>
            <w:hideMark/>
          </w:tcPr>
          <w:p w14:paraId="551B9056"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-2.99</w:t>
            </w:r>
          </w:p>
        </w:tc>
        <w:tc>
          <w:tcPr>
            <w:tcW w:w="820" w:type="dxa"/>
            <w:tcBorders>
              <w:top w:val="nil"/>
              <w:left w:val="nil"/>
              <w:bottom w:val="nil"/>
              <w:right w:val="single" w:sz="8" w:space="0" w:color="002060"/>
            </w:tcBorders>
            <w:shd w:val="clear" w:color="auto" w:fill="auto"/>
            <w:noWrap/>
            <w:vAlign w:val="center"/>
            <w:hideMark/>
          </w:tcPr>
          <w:p w14:paraId="1D7D2882"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-0.56</w:t>
            </w:r>
          </w:p>
        </w:tc>
      </w:tr>
      <w:tr w:rsidR="00AE564D" w:rsidRPr="00C252E3" w14:paraId="36F71BFC" w14:textId="77777777" w:rsidTr="00C252E3">
        <w:trPr>
          <w:trHeight w:val="300"/>
          <w:jc w:val="center"/>
        </w:trPr>
        <w:tc>
          <w:tcPr>
            <w:tcW w:w="1000" w:type="dxa"/>
            <w:vMerge/>
            <w:tcBorders>
              <w:top w:val="nil"/>
              <w:left w:val="single" w:sz="8" w:space="0" w:color="002060"/>
              <w:bottom w:val="single" w:sz="8" w:space="0" w:color="002060"/>
              <w:right w:val="single" w:sz="8" w:space="0" w:color="002060"/>
            </w:tcBorders>
            <w:vAlign w:val="center"/>
            <w:hideMark/>
          </w:tcPr>
          <w:p w14:paraId="2402B759" w14:textId="77777777" w:rsidR="00AE564D" w:rsidRPr="00C252E3" w:rsidRDefault="00AE564D" w:rsidP="00E26D3C">
            <w:pPr>
              <w:spacing w:after="0" w:line="240" w:lineRule="auto"/>
              <w:rPr>
                <w:rFonts w:eastAsia="Times New Roman" w:cstheme="minorHAnsi"/>
                <w:color w:val="FFFFFF"/>
                <w:sz w:val="18"/>
                <w:szCs w:val="18"/>
                <w:lang w:eastAsia="en-AU"/>
              </w:rPr>
            </w:pPr>
          </w:p>
        </w:tc>
        <w:tc>
          <w:tcPr>
            <w:tcW w:w="1440" w:type="dxa"/>
            <w:tcBorders>
              <w:top w:val="nil"/>
              <w:left w:val="nil"/>
              <w:bottom w:val="nil"/>
              <w:right w:val="nil"/>
            </w:tcBorders>
            <w:shd w:val="clear" w:color="auto" w:fill="auto"/>
            <w:noWrap/>
            <w:vAlign w:val="center"/>
            <w:hideMark/>
          </w:tcPr>
          <w:p w14:paraId="17408F3A"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Autumn </w:t>
            </w:r>
          </w:p>
        </w:tc>
        <w:tc>
          <w:tcPr>
            <w:tcW w:w="640" w:type="dxa"/>
            <w:tcBorders>
              <w:top w:val="nil"/>
              <w:left w:val="nil"/>
              <w:bottom w:val="nil"/>
              <w:right w:val="nil"/>
            </w:tcBorders>
            <w:shd w:val="clear" w:color="auto" w:fill="auto"/>
            <w:noWrap/>
            <w:vAlign w:val="center"/>
            <w:hideMark/>
          </w:tcPr>
          <w:p w14:paraId="22C358E6"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819</w:t>
            </w:r>
          </w:p>
        </w:tc>
        <w:tc>
          <w:tcPr>
            <w:tcW w:w="820" w:type="dxa"/>
            <w:tcBorders>
              <w:top w:val="nil"/>
              <w:left w:val="nil"/>
              <w:bottom w:val="nil"/>
              <w:right w:val="nil"/>
            </w:tcBorders>
            <w:shd w:val="clear" w:color="auto" w:fill="auto"/>
            <w:noWrap/>
            <w:vAlign w:val="center"/>
            <w:hideMark/>
          </w:tcPr>
          <w:p w14:paraId="3B362534"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-1.67</w:t>
            </w:r>
          </w:p>
        </w:tc>
        <w:tc>
          <w:tcPr>
            <w:tcW w:w="820" w:type="dxa"/>
            <w:tcBorders>
              <w:top w:val="nil"/>
              <w:left w:val="nil"/>
              <w:bottom w:val="nil"/>
              <w:right w:val="nil"/>
            </w:tcBorders>
            <w:shd w:val="clear" w:color="auto" w:fill="auto"/>
            <w:noWrap/>
            <w:vAlign w:val="center"/>
            <w:hideMark/>
          </w:tcPr>
          <w:p w14:paraId="273E17D4"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2.96</w:t>
            </w:r>
          </w:p>
        </w:tc>
        <w:tc>
          <w:tcPr>
            <w:tcW w:w="820" w:type="dxa"/>
            <w:tcBorders>
              <w:top w:val="nil"/>
              <w:left w:val="nil"/>
              <w:bottom w:val="nil"/>
              <w:right w:val="nil"/>
            </w:tcBorders>
            <w:shd w:val="clear" w:color="auto" w:fill="auto"/>
            <w:noWrap/>
            <w:vAlign w:val="center"/>
            <w:hideMark/>
          </w:tcPr>
          <w:p w14:paraId="1424F4FD"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-37.5</w:t>
            </w:r>
          </w:p>
        </w:tc>
        <w:tc>
          <w:tcPr>
            <w:tcW w:w="820" w:type="dxa"/>
            <w:tcBorders>
              <w:top w:val="nil"/>
              <w:left w:val="nil"/>
              <w:bottom w:val="nil"/>
              <w:right w:val="nil"/>
            </w:tcBorders>
            <w:shd w:val="clear" w:color="auto" w:fill="auto"/>
            <w:noWrap/>
            <w:vAlign w:val="center"/>
            <w:hideMark/>
          </w:tcPr>
          <w:p w14:paraId="68D740A2"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7.15</w:t>
            </w:r>
          </w:p>
        </w:tc>
        <w:tc>
          <w:tcPr>
            <w:tcW w:w="820" w:type="dxa"/>
            <w:tcBorders>
              <w:top w:val="nil"/>
              <w:left w:val="nil"/>
              <w:bottom w:val="nil"/>
              <w:right w:val="nil"/>
            </w:tcBorders>
            <w:shd w:val="clear" w:color="auto" w:fill="auto"/>
            <w:noWrap/>
            <w:vAlign w:val="center"/>
            <w:hideMark/>
          </w:tcPr>
          <w:p w14:paraId="24D785EF"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-1.01</w:t>
            </w:r>
          </w:p>
        </w:tc>
        <w:tc>
          <w:tcPr>
            <w:tcW w:w="820" w:type="dxa"/>
            <w:tcBorders>
              <w:top w:val="nil"/>
              <w:left w:val="nil"/>
              <w:bottom w:val="nil"/>
              <w:right w:val="nil"/>
            </w:tcBorders>
            <w:shd w:val="clear" w:color="auto" w:fill="auto"/>
            <w:noWrap/>
            <w:vAlign w:val="center"/>
            <w:hideMark/>
          </w:tcPr>
          <w:p w14:paraId="7B39D7B2"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-1.91</w:t>
            </w:r>
          </w:p>
        </w:tc>
        <w:tc>
          <w:tcPr>
            <w:tcW w:w="820" w:type="dxa"/>
            <w:tcBorders>
              <w:top w:val="nil"/>
              <w:left w:val="nil"/>
              <w:bottom w:val="nil"/>
              <w:right w:val="single" w:sz="8" w:space="0" w:color="002060"/>
            </w:tcBorders>
            <w:shd w:val="clear" w:color="auto" w:fill="auto"/>
            <w:noWrap/>
            <w:vAlign w:val="center"/>
            <w:hideMark/>
          </w:tcPr>
          <w:p w14:paraId="7514B881"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-0.32</w:t>
            </w:r>
          </w:p>
        </w:tc>
      </w:tr>
      <w:tr w:rsidR="00AE564D" w:rsidRPr="00C252E3" w14:paraId="67B7C6C1" w14:textId="77777777" w:rsidTr="00C252E3">
        <w:trPr>
          <w:trHeight w:val="315"/>
          <w:jc w:val="center"/>
        </w:trPr>
        <w:tc>
          <w:tcPr>
            <w:tcW w:w="1000" w:type="dxa"/>
            <w:vMerge/>
            <w:tcBorders>
              <w:top w:val="nil"/>
              <w:left w:val="single" w:sz="8" w:space="0" w:color="002060"/>
              <w:bottom w:val="single" w:sz="8" w:space="0" w:color="002060"/>
              <w:right w:val="single" w:sz="8" w:space="0" w:color="002060"/>
            </w:tcBorders>
            <w:vAlign w:val="center"/>
            <w:hideMark/>
          </w:tcPr>
          <w:p w14:paraId="40F95469" w14:textId="77777777" w:rsidR="00AE564D" w:rsidRPr="00C252E3" w:rsidRDefault="00AE564D" w:rsidP="00E26D3C">
            <w:pPr>
              <w:spacing w:after="0" w:line="240" w:lineRule="auto"/>
              <w:rPr>
                <w:rFonts w:eastAsia="Times New Roman" w:cstheme="minorHAnsi"/>
                <w:color w:val="FFFFFF"/>
                <w:sz w:val="18"/>
                <w:szCs w:val="18"/>
                <w:lang w:eastAsia="en-AU"/>
              </w:rPr>
            </w:pPr>
          </w:p>
        </w:tc>
        <w:tc>
          <w:tcPr>
            <w:tcW w:w="1440" w:type="dxa"/>
            <w:tcBorders>
              <w:top w:val="nil"/>
              <w:left w:val="nil"/>
              <w:bottom w:val="single" w:sz="8" w:space="0" w:color="002060"/>
              <w:right w:val="nil"/>
            </w:tcBorders>
            <w:shd w:val="clear" w:color="auto" w:fill="auto"/>
            <w:noWrap/>
            <w:vAlign w:val="center"/>
            <w:hideMark/>
          </w:tcPr>
          <w:p w14:paraId="38280D06"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 xml:space="preserve">Winter </w:t>
            </w:r>
          </w:p>
        </w:tc>
        <w:tc>
          <w:tcPr>
            <w:tcW w:w="640" w:type="dxa"/>
            <w:tcBorders>
              <w:top w:val="nil"/>
              <w:left w:val="nil"/>
              <w:bottom w:val="single" w:sz="8" w:space="0" w:color="002060"/>
              <w:right w:val="nil"/>
            </w:tcBorders>
            <w:shd w:val="clear" w:color="auto" w:fill="auto"/>
            <w:noWrap/>
            <w:vAlign w:val="center"/>
            <w:hideMark/>
          </w:tcPr>
          <w:p w14:paraId="7388609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218</w:t>
            </w:r>
          </w:p>
        </w:tc>
        <w:tc>
          <w:tcPr>
            <w:tcW w:w="820" w:type="dxa"/>
            <w:tcBorders>
              <w:top w:val="nil"/>
              <w:left w:val="nil"/>
              <w:bottom w:val="single" w:sz="8" w:space="0" w:color="002060"/>
              <w:right w:val="nil"/>
            </w:tcBorders>
            <w:shd w:val="clear" w:color="auto" w:fill="auto"/>
            <w:noWrap/>
            <w:vAlign w:val="center"/>
            <w:hideMark/>
          </w:tcPr>
          <w:p w14:paraId="51EE70A6"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-2.88</w:t>
            </w:r>
          </w:p>
        </w:tc>
        <w:tc>
          <w:tcPr>
            <w:tcW w:w="820" w:type="dxa"/>
            <w:tcBorders>
              <w:top w:val="nil"/>
              <w:left w:val="nil"/>
              <w:bottom w:val="single" w:sz="8" w:space="0" w:color="002060"/>
              <w:right w:val="nil"/>
            </w:tcBorders>
            <w:shd w:val="clear" w:color="auto" w:fill="auto"/>
            <w:noWrap/>
            <w:vAlign w:val="center"/>
            <w:hideMark/>
          </w:tcPr>
          <w:p w14:paraId="43646A72"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3.32</w:t>
            </w:r>
          </w:p>
        </w:tc>
        <w:tc>
          <w:tcPr>
            <w:tcW w:w="820" w:type="dxa"/>
            <w:tcBorders>
              <w:top w:val="nil"/>
              <w:left w:val="nil"/>
              <w:bottom w:val="single" w:sz="8" w:space="0" w:color="002060"/>
              <w:right w:val="nil"/>
            </w:tcBorders>
            <w:shd w:val="clear" w:color="auto" w:fill="auto"/>
            <w:noWrap/>
            <w:vAlign w:val="center"/>
            <w:hideMark/>
          </w:tcPr>
          <w:p w14:paraId="7E545E98"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-25.2</w:t>
            </w:r>
          </w:p>
        </w:tc>
        <w:tc>
          <w:tcPr>
            <w:tcW w:w="820" w:type="dxa"/>
            <w:tcBorders>
              <w:top w:val="nil"/>
              <w:left w:val="nil"/>
              <w:bottom w:val="single" w:sz="8" w:space="0" w:color="002060"/>
              <w:right w:val="nil"/>
            </w:tcBorders>
            <w:shd w:val="clear" w:color="auto" w:fill="auto"/>
            <w:noWrap/>
            <w:vAlign w:val="center"/>
            <w:hideMark/>
          </w:tcPr>
          <w:p w14:paraId="05BDDC7E"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1.69</w:t>
            </w:r>
          </w:p>
        </w:tc>
        <w:tc>
          <w:tcPr>
            <w:tcW w:w="820" w:type="dxa"/>
            <w:tcBorders>
              <w:top w:val="nil"/>
              <w:left w:val="nil"/>
              <w:bottom w:val="single" w:sz="8" w:space="0" w:color="002060"/>
              <w:right w:val="nil"/>
            </w:tcBorders>
            <w:shd w:val="clear" w:color="auto" w:fill="auto"/>
            <w:noWrap/>
            <w:vAlign w:val="center"/>
            <w:hideMark/>
          </w:tcPr>
          <w:p w14:paraId="5FC07735"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-1.81</w:t>
            </w:r>
          </w:p>
        </w:tc>
        <w:tc>
          <w:tcPr>
            <w:tcW w:w="820" w:type="dxa"/>
            <w:tcBorders>
              <w:top w:val="nil"/>
              <w:left w:val="nil"/>
              <w:bottom w:val="single" w:sz="8" w:space="0" w:color="002060"/>
              <w:right w:val="nil"/>
            </w:tcBorders>
            <w:shd w:val="clear" w:color="auto" w:fill="auto"/>
            <w:noWrap/>
            <w:vAlign w:val="center"/>
            <w:hideMark/>
          </w:tcPr>
          <w:p w14:paraId="75AA1740"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-4.09</w:t>
            </w:r>
          </w:p>
        </w:tc>
        <w:tc>
          <w:tcPr>
            <w:tcW w:w="820" w:type="dxa"/>
            <w:tcBorders>
              <w:top w:val="nil"/>
              <w:left w:val="nil"/>
              <w:bottom w:val="single" w:sz="8" w:space="0" w:color="002060"/>
              <w:right w:val="single" w:sz="8" w:space="0" w:color="002060"/>
            </w:tcBorders>
            <w:shd w:val="clear" w:color="auto" w:fill="auto"/>
            <w:noWrap/>
            <w:vAlign w:val="center"/>
            <w:hideMark/>
          </w:tcPr>
          <w:p w14:paraId="194ADAC7" w14:textId="77777777" w:rsidR="00AE564D" w:rsidRPr="00C252E3" w:rsidRDefault="00AE564D" w:rsidP="00E26D3C">
            <w:pPr>
              <w:spacing w:after="0" w:line="240" w:lineRule="auto"/>
              <w:jc w:val="center"/>
              <w:rPr>
                <w:rFonts w:eastAsia="Times New Roman" w:cstheme="minorHAnsi"/>
                <w:color w:val="000000"/>
                <w:sz w:val="18"/>
                <w:szCs w:val="18"/>
                <w:lang w:eastAsia="en-AU"/>
              </w:rPr>
            </w:pPr>
            <w:r w:rsidRPr="00C252E3">
              <w:rPr>
                <w:rFonts w:eastAsia="Times New Roman" w:cstheme="minorHAnsi"/>
                <w:color w:val="000000"/>
                <w:sz w:val="18"/>
                <w:szCs w:val="18"/>
                <w:lang w:eastAsia="en-AU"/>
              </w:rPr>
              <w:t>-0.99</w:t>
            </w:r>
          </w:p>
        </w:tc>
      </w:tr>
    </w:tbl>
    <w:p w14:paraId="1050B860" w14:textId="77777777" w:rsidR="00AE564D" w:rsidRPr="00BA2632" w:rsidRDefault="00AE564D" w:rsidP="00AE564D">
      <w:pPr>
        <w:spacing w:after="240"/>
        <w:rPr>
          <w:rFonts w:ascii="Arial" w:hAnsi="Arial"/>
          <w:color w:val="000000" w:themeColor="text1"/>
          <w:lang w:val="en-GB" w:eastAsia="en-US"/>
        </w:rPr>
      </w:pPr>
    </w:p>
    <w:p w14:paraId="03BE01B0" w14:textId="7C1AD42D" w:rsidR="00AE564D" w:rsidRPr="000E16E0" w:rsidRDefault="00AE564D" w:rsidP="00AE564D">
      <w:pPr>
        <w:spacing w:after="240"/>
        <w:rPr>
          <w:bCs/>
        </w:rPr>
      </w:pPr>
      <w:r w:rsidRPr="000E16E0">
        <w:rPr>
          <w:bCs/>
        </w:rPr>
        <w:t xml:space="preserve">This table shows that across the entire seven-year data set, the highest GPP rates were found, unsurprisingly, during the summertime. Median GPP rates were similar in spring and autumn and much lower during winter. The explanation for these findings is that the highest rates are found during the warmest temperatures (the cellular metabolism of the primary producers – phytoplankton, benthic, epiphytic and epilithic algae and macrophytes, increases with temperature), with the highest photosynthetically active radiation (sunlight) and the most hours of this sunshine. As shown in the Section </w:t>
      </w:r>
      <w:r w:rsidR="00590768">
        <w:rPr>
          <w:bCs/>
        </w:rPr>
        <w:t>5.5.5</w:t>
      </w:r>
      <w:r w:rsidR="00B530B9">
        <w:rPr>
          <w:bCs/>
        </w:rPr>
        <w:t xml:space="preserve"> </w:t>
      </w:r>
      <w:r w:rsidRPr="000E16E0">
        <w:rPr>
          <w:bCs/>
        </w:rPr>
        <w:t>below, GPP is positively correlated with both mean daily water temperature and the amount of PAR each day.</w:t>
      </w:r>
    </w:p>
    <w:p w14:paraId="2B536301" w14:textId="77777777" w:rsidR="00AE564D" w:rsidRPr="007B16F1" w:rsidRDefault="00AE564D" w:rsidP="00AE564D">
      <w:pPr>
        <w:spacing w:after="240"/>
        <w:rPr>
          <w:bCs/>
        </w:rPr>
      </w:pPr>
      <w:r w:rsidRPr="007B16F1">
        <w:rPr>
          <w:bCs/>
        </w:rPr>
        <w:t>Unlike GPP, wintertime ER rates were not lower than spring and autumn. Wintertime showed the largest (most negative) values of NEP due to the decline of GPP in the colder, darker months whereas ER remained constant. As noted earlier in this report, the actual magnitudes of these parameters (now including NEP) are on the lower end of the ‘normal’ range found elsewhere in the world.</w:t>
      </w:r>
    </w:p>
    <w:p w14:paraId="3909DB54" w14:textId="39FC59AE" w:rsidR="00AE564D" w:rsidRDefault="00AE564D" w:rsidP="00AE564D">
      <w:pPr>
        <w:spacing w:after="240"/>
        <w:rPr>
          <w:bCs/>
        </w:rPr>
      </w:pPr>
      <w:r>
        <w:rPr>
          <w:bCs/>
        </w:rPr>
        <w:t xml:space="preserve">In 2018, the concept of metabolic fingerprinting was introduced by Bernhardt and co-workers </w:t>
      </w:r>
      <w:r w:rsidR="00566073">
        <w:rPr>
          <w:bCs/>
          <w:noProof/>
        </w:rPr>
        <w:t>(Bernhardt et al. 2018)</w:t>
      </w:r>
      <w:r w:rsidR="00B530B9">
        <w:rPr>
          <w:bCs/>
        </w:rPr>
        <w:t>.</w:t>
      </w:r>
      <w:r>
        <w:rPr>
          <w:bCs/>
        </w:rPr>
        <w:t xml:space="preserve"> It highlights the relationship between GPP and ER, so in a sense is closely related to the P/R ratio. The benefit is that changes in the relative importance of these two metabolic parameters are easily visualized. An example of such fingerprinting is shown in </w:t>
      </w:r>
      <w:r w:rsidR="00590768">
        <w:t xml:space="preserve">Figure </w:t>
      </w:r>
      <w:r w:rsidR="00590768">
        <w:rPr>
          <w:noProof/>
        </w:rPr>
        <w:t>5</w:t>
      </w:r>
      <w:r w:rsidR="00590768">
        <w:noBreakHyphen/>
      </w:r>
      <w:r w:rsidR="00590768">
        <w:rPr>
          <w:noProof/>
        </w:rPr>
        <w:t>8</w:t>
      </w:r>
      <w:r w:rsidR="005322E1">
        <w:rPr>
          <w:bCs/>
        </w:rPr>
        <w:t xml:space="preserve"> </w:t>
      </w:r>
      <w:r>
        <w:rPr>
          <w:bCs/>
        </w:rPr>
        <w:t>which draws upon the MER Year 2 data from McCoy’s Bridge. Such fingerprinting is also a focal point of the basin-level interpretations.</w:t>
      </w:r>
    </w:p>
    <w:p w14:paraId="6746F3B8" w14:textId="27026777" w:rsidR="005322E1" w:rsidRDefault="00AE564D" w:rsidP="005322E1">
      <w:pPr>
        <w:keepNext/>
        <w:spacing w:after="240"/>
        <w:jc w:val="center"/>
      </w:pPr>
      <w:bookmarkStart w:id="259" w:name="_Hlk83895851"/>
      <w:r>
        <w:rPr>
          <w:noProof/>
          <w:color w:val="000000" w:themeColor="text1"/>
          <w:lang w:val="en-GB"/>
        </w:rPr>
        <w:lastRenderedPageBreak/>
        <w:drawing>
          <wp:inline distT="0" distB="0" distL="0" distR="0" wp14:anchorId="603CD438" wp14:editId="18A644A8">
            <wp:extent cx="5731510" cy="3114675"/>
            <wp:effectExtent l="0" t="0" r="2540" b="9525"/>
            <wp:docPr id="566" name="Picture 566" descr="Chart,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566" descr="Chart, diagram&#10;&#10;Description automatically generated with medium confidence"/>
                    <pic:cNvPicPr/>
                  </pic:nvPicPr>
                  <pic:blipFill rotWithShape="1">
                    <a:blip r:embed="rId44" cstate="email">
                      <a:extLst>
                        <a:ext uri="{28A0092B-C50C-407E-A947-70E740481C1C}">
                          <a14:useLocalDpi xmlns:a14="http://schemas.microsoft.com/office/drawing/2010/main"/>
                        </a:ext>
                      </a:extLst>
                    </a:blip>
                    <a:srcRect t="12226" b="2706"/>
                    <a:stretch/>
                  </pic:blipFill>
                  <pic:spPr bwMode="auto">
                    <a:xfrm>
                      <a:off x="0" y="0"/>
                      <a:ext cx="5731510" cy="3114675"/>
                    </a:xfrm>
                    <a:prstGeom prst="rect">
                      <a:avLst/>
                    </a:prstGeom>
                    <a:ln>
                      <a:noFill/>
                    </a:ln>
                    <a:extLst>
                      <a:ext uri="{53640926-AAD7-44D8-BBD7-CCE9431645EC}">
                        <a14:shadowObscured xmlns:a14="http://schemas.microsoft.com/office/drawing/2010/main"/>
                      </a:ext>
                    </a:extLst>
                  </pic:spPr>
                </pic:pic>
              </a:graphicData>
            </a:graphic>
          </wp:inline>
        </w:drawing>
      </w:r>
    </w:p>
    <w:p w14:paraId="4A3007AC" w14:textId="71F049F8" w:rsidR="00AE564D" w:rsidRDefault="005322E1" w:rsidP="005322E1">
      <w:pPr>
        <w:pStyle w:val="Caption"/>
        <w:rPr>
          <w:color w:val="000000" w:themeColor="text1"/>
        </w:rPr>
      </w:pPr>
      <w:bookmarkStart w:id="260" w:name="_Ref83783494"/>
      <w:bookmarkStart w:id="261" w:name="_Toc83907752"/>
      <w:bookmarkStart w:id="262" w:name="_Toc84475653"/>
      <w:r>
        <w:t xml:space="preserve">Figure </w:t>
      </w:r>
      <w:r w:rsidR="00590768">
        <w:rPr>
          <w:noProof/>
        </w:rPr>
        <w:t>5</w:t>
      </w:r>
      <w:r w:rsidR="00B85158">
        <w:noBreakHyphen/>
      </w:r>
      <w:r w:rsidR="00590768">
        <w:rPr>
          <w:noProof/>
        </w:rPr>
        <w:t>8</w:t>
      </w:r>
      <w:bookmarkEnd w:id="260"/>
      <w:r>
        <w:t xml:space="preserve"> </w:t>
      </w:r>
      <w:r w:rsidRPr="007F6CCF">
        <w:t>Seasonal dependence of the metabolic f</w:t>
      </w:r>
      <w:r w:rsidR="002C6A8D">
        <w:t>inger</w:t>
      </w:r>
      <w:r w:rsidRPr="007F6CCF">
        <w:t>print at McCoy’s Bridge for the Year 2 MER data set.</w:t>
      </w:r>
      <w:bookmarkEnd w:id="261"/>
      <w:bookmarkEnd w:id="262"/>
    </w:p>
    <w:bookmarkEnd w:id="259"/>
    <w:p w14:paraId="21772430" w14:textId="77777777" w:rsidR="00AE564D" w:rsidRDefault="00AE564D" w:rsidP="00AE564D">
      <w:pPr>
        <w:spacing w:after="240"/>
        <w:rPr>
          <w:color w:val="000000" w:themeColor="text1"/>
        </w:rPr>
      </w:pPr>
      <w:r>
        <w:rPr>
          <w:color w:val="000000" w:themeColor="text1"/>
        </w:rPr>
        <w:t xml:space="preserve">As this is the first time such a fingerprint has been presented in these reports, a few key features are explained. Firstly, the dashed line represents a 1:1 ratio of GPP and ER rates </w:t>
      </w:r>
      <w:proofErr w:type="gramStart"/>
      <w:r>
        <w:rPr>
          <w:color w:val="000000" w:themeColor="text1"/>
        </w:rPr>
        <w:t>i.e.</w:t>
      </w:r>
      <w:proofErr w:type="gramEnd"/>
      <w:r>
        <w:rPr>
          <w:color w:val="000000" w:themeColor="text1"/>
        </w:rPr>
        <w:t xml:space="preserve"> P/R=1. Above this line represents a net heterotrophic system where ER &gt; GPP; conversely below this line indicates a net autotrophic system where GPP &gt; ER. Each season is displayed as contour plots (in differing colours). The ‘50’ contour line means half of all daily GPP&amp;ER pairs lie within this contour. The ‘90’ contour contains 90% of all GG&amp;ER pairs and hence covers a wider area than the ‘50’ contour. Similarly, the ‘20’ contour is the smallest area and encloses the region where the most tightly packed GPP&amp;ER pairs are found. </w:t>
      </w:r>
    </w:p>
    <w:p w14:paraId="72B416E2" w14:textId="016CAC09" w:rsidR="00AE564D" w:rsidRDefault="00AE564D" w:rsidP="00AE564D">
      <w:pPr>
        <w:spacing w:after="240"/>
        <w:rPr>
          <w:color w:val="000000" w:themeColor="text1"/>
        </w:rPr>
      </w:pPr>
      <w:r>
        <w:rPr>
          <w:color w:val="000000" w:themeColor="text1"/>
        </w:rPr>
        <w:t xml:space="preserve">Even though there are some seasonal differences, the key feature of the figure is that almost </w:t>
      </w:r>
      <w:proofErr w:type="gramStart"/>
      <w:r>
        <w:rPr>
          <w:color w:val="000000" w:themeColor="text1"/>
        </w:rPr>
        <w:t>all of</w:t>
      </w:r>
      <w:proofErr w:type="gramEnd"/>
      <w:r>
        <w:rPr>
          <w:color w:val="000000" w:themeColor="text1"/>
        </w:rPr>
        <w:t xml:space="preserve"> the ‘90’ contour lies above the 1:1 line, again consistent with the net heterotrophy indicated by NEP and P/R values. The ‘50’ and ‘20’ contours are above this line as well. It is also apparent that the range of </w:t>
      </w:r>
      <w:proofErr w:type="gramStart"/>
      <w:r>
        <w:rPr>
          <w:color w:val="000000" w:themeColor="text1"/>
        </w:rPr>
        <w:t>spring</w:t>
      </w:r>
      <w:r w:rsidR="00A568E7">
        <w:rPr>
          <w:color w:val="000000" w:themeColor="text1"/>
        </w:rPr>
        <w:t xml:space="preserve"> </w:t>
      </w:r>
      <w:r>
        <w:rPr>
          <w:color w:val="000000" w:themeColor="text1"/>
        </w:rPr>
        <w:t>time</w:t>
      </w:r>
      <w:proofErr w:type="gramEnd"/>
      <w:r>
        <w:rPr>
          <w:color w:val="000000" w:themeColor="text1"/>
        </w:rPr>
        <w:t xml:space="preserve"> GPP&amp;ER pairs is much more constrained in both GPP and ER than either summer or autumn (which are very close to equivalent). However, when comparing the ‘50’ contours of summer and autumn, the </w:t>
      </w:r>
      <w:proofErr w:type="gramStart"/>
      <w:r>
        <w:rPr>
          <w:color w:val="000000" w:themeColor="text1"/>
        </w:rPr>
        <w:t>summer time</w:t>
      </w:r>
      <w:proofErr w:type="gramEnd"/>
      <w:r>
        <w:rPr>
          <w:color w:val="000000" w:themeColor="text1"/>
        </w:rPr>
        <w:t xml:space="preserve"> range reaches higher GPP and ER values. Winter results are extremely constrained with a very narrow range of GPP, as shown earlier in Figure 5-5. These </w:t>
      </w:r>
      <w:proofErr w:type="gramStart"/>
      <w:r>
        <w:rPr>
          <w:color w:val="000000" w:themeColor="text1"/>
        </w:rPr>
        <w:t>winter time</w:t>
      </w:r>
      <w:proofErr w:type="gramEnd"/>
      <w:r>
        <w:rPr>
          <w:color w:val="000000" w:themeColor="text1"/>
        </w:rPr>
        <w:t xml:space="preserve"> results are reflective though of the extremely low and narrow GPP results found in 2020. Further comparisons and insights will be made as this technique and its utility are expanded in future reports. </w:t>
      </w:r>
    </w:p>
    <w:p w14:paraId="7648F905" w14:textId="77777777" w:rsidR="00AE564D" w:rsidRPr="00E749C3" w:rsidRDefault="00AE564D" w:rsidP="00AE564D">
      <w:pPr>
        <w:rPr>
          <w:b/>
          <w:i/>
          <w:iCs/>
          <w:szCs w:val="24"/>
        </w:rPr>
      </w:pPr>
      <w:r w:rsidRPr="00E749C3">
        <w:rPr>
          <w:b/>
          <w:i/>
          <w:iCs/>
        </w:rPr>
        <w:t>Metabolism across seasons and flow categories, 2014-2020</w:t>
      </w:r>
    </w:p>
    <w:p w14:paraId="68861A1E" w14:textId="351F3043" w:rsidR="00AE564D" w:rsidRDefault="00AE564D" w:rsidP="00AE564D">
      <w:r w:rsidRPr="00BA2632">
        <w:t>Consideration is now given to stratifying the same seasonal data by site and flow category (</w:t>
      </w:r>
      <w:r w:rsidR="00590768" w:rsidRPr="00BA2632">
        <w:t xml:space="preserve">Table </w:t>
      </w:r>
      <w:r w:rsidR="00590768">
        <w:rPr>
          <w:noProof/>
        </w:rPr>
        <w:t>5</w:t>
      </w:r>
      <w:r w:rsidR="00590768">
        <w:rPr>
          <w:noProof/>
        </w:rPr>
        <w:noBreakHyphen/>
        <w:t>3</w:t>
      </w:r>
      <w:r w:rsidRPr="00BA2632">
        <w:t xml:space="preserve">). </w:t>
      </w:r>
      <w:r w:rsidR="00590768" w:rsidRPr="00BA2632">
        <w:t xml:space="preserve">Table </w:t>
      </w:r>
      <w:r w:rsidR="00590768">
        <w:rPr>
          <w:noProof/>
        </w:rPr>
        <w:t>5</w:t>
      </w:r>
      <w:r w:rsidR="00590768">
        <w:rPr>
          <w:noProof/>
        </w:rPr>
        <w:noBreakHyphen/>
        <w:t>11</w:t>
      </w:r>
      <w:r w:rsidRPr="00BA2632">
        <w:t xml:space="preserve"> presents data for GPP and </w:t>
      </w:r>
      <w:r w:rsidR="00590768" w:rsidRPr="00BA2632">
        <w:t xml:space="preserve">Table </w:t>
      </w:r>
      <w:r w:rsidR="00590768">
        <w:rPr>
          <w:noProof/>
        </w:rPr>
        <w:t>5</w:t>
      </w:r>
      <w:r w:rsidR="00590768">
        <w:rPr>
          <w:noProof/>
        </w:rPr>
        <w:noBreakHyphen/>
        <w:t>12</w:t>
      </w:r>
      <w:r w:rsidRPr="00BA2632">
        <w:t xml:space="preserve"> for ER.</w:t>
      </w:r>
    </w:p>
    <w:p w14:paraId="7BA4E0EA" w14:textId="77777777" w:rsidR="00AE564D" w:rsidRPr="00BA2632" w:rsidRDefault="00AE564D" w:rsidP="00AE564D">
      <w:pPr>
        <w:spacing w:after="0" w:line="240" w:lineRule="auto"/>
        <w:sectPr w:rsidR="00AE564D" w:rsidRPr="00BA2632" w:rsidSect="007C7C0F">
          <w:pgSz w:w="11906" w:h="16838"/>
          <w:pgMar w:top="567" w:right="851" w:bottom="851" w:left="1134" w:header="709" w:footer="709" w:gutter="0"/>
          <w:cols w:space="720"/>
        </w:sectPr>
      </w:pPr>
    </w:p>
    <w:p w14:paraId="7F55600C" w14:textId="6A38BA10" w:rsidR="00AE564D" w:rsidRPr="00BA2632" w:rsidRDefault="00AE564D" w:rsidP="00AE564D">
      <w:pPr>
        <w:pStyle w:val="Caption"/>
        <w:keepNext/>
      </w:pPr>
      <w:bookmarkStart w:id="263" w:name="_Ref52391681"/>
      <w:bookmarkStart w:id="264" w:name="_Toc95391472"/>
      <w:r w:rsidRPr="00BA2632">
        <w:lastRenderedPageBreak/>
        <w:t xml:space="preserve">Table </w:t>
      </w:r>
      <w:r w:rsidR="00590768">
        <w:rPr>
          <w:noProof/>
        </w:rPr>
        <w:t>5</w:t>
      </w:r>
      <w:r w:rsidR="000B75AF">
        <w:noBreakHyphen/>
      </w:r>
      <w:r w:rsidR="00590768">
        <w:rPr>
          <w:noProof/>
        </w:rPr>
        <w:t>11</w:t>
      </w:r>
      <w:bookmarkEnd w:id="263"/>
      <w:r w:rsidRPr="00BA2632">
        <w:t xml:space="preserve"> Summary Statistics for Gross Primary Productivity (mg O2/L/Day), stratified by Season, Site and Flow Category. All data from 2014-202</w:t>
      </w:r>
      <w:r>
        <w:t>1</w:t>
      </w:r>
      <w:r w:rsidRPr="00BA2632">
        <w:t>.</w:t>
      </w:r>
      <w:bookmarkEnd w:id="264"/>
    </w:p>
    <w:tbl>
      <w:tblPr>
        <w:tblW w:w="13588" w:type="dxa"/>
        <w:jc w:val="center"/>
        <w:tblLook w:val="04A0" w:firstRow="1" w:lastRow="0" w:firstColumn="1" w:lastColumn="0" w:noHBand="0" w:noVBand="1"/>
      </w:tblPr>
      <w:tblGrid>
        <w:gridCol w:w="808"/>
        <w:gridCol w:w="1000"/>
        <w:gridCol w:w="1008"/>
        <w:gridCol w:w="536"/>
        <w:gridCol w:w="656"/>
        <w:gridCol w:w="776"/>
        <w:gridCol w:w="596"/>
        <w:gridCol w:w="636"/>
        <w:gridCol w:w="777"/>
        <w:gridCol w:w="588"/>
        <w:gridCol w:w="580"/>
        <w:gridCol w:w="880"/>
        <w:gridCol w:w="528"/>
        <w:gridCol w:w="641"/>
        <w:gridCol w:w="716"/>
        <w:gridCol w:w="556"/>
        <w:gridCol w:w="596"/>
        <w:gridCol w:w="796"/>
        <w:gridCol w:w="536"/>
        <w:gridCol w:w="540"/>
      </w:tblGrid>
      <w:tr w:rsidR="00AE564D" w:rsidRPr="00917EEE" w14:paraId="5716F39E" w14:textId="77777777" w:rsidTr="00917EEE">
        <w:trPr>
          <w:trHeight w:val="255"/>
          <w:jc w:val="center"/>
        </w:trPr>
        <w:tc>
          <w:tcPr>
            <w:tcW w:w="700" w:type="dxa"/>
            <w:tcBorders>
              <w:top w:val="single" w:sz="8" w:space="0" w:color="002060"/>
              <w:left w:val="single" w:sz="8" w:space="0" w:color="002060"/>
              <w:bottom w:val="nil"/>
              <w:right w:val="single" w:sz="8" w:space="0" w:color="002060"/>
            </w:tcBorders>
            <w:shd w:val="clear" w:color="000000" w:fill="002060"/>
            <w:noWrap/>
            <w:vAlign w:val="center"/>
            <w:hideMark/>
          </w:tcPr>
          <w:p w14:paraId="0952B40F"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Season</w:t>
            </w:r>
          </w:p>
        </w:tc>
        <w:tc>
          <w:tcPr>
            <w:tcW w:w="1000" w:type="dxa"/>
            <w:tcBorders>
              <w:top w:val="single" w:sz="8" w:space="0" w:color="002060"/>
              <w:left w:val="nil"/>
              <w:bottom w:val="single" w:sz="8" w:space="0" w:color="002060"/>
              <w:right w:val="single" w:sz="8" w:space="0" w:color="002060"/>
            </w:tcBorders>
            <w:shd w:val="clear" w:color="000000" w:fill="002060"/>
            <w:noWrap/>
            <w:vAlign w:val="center"/>
            <w:hideMark/>
          </w:tcPr>
          <w:p w14:paraId="44D25520"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Site</w:t>
            </w:r>
          </w:p>
        </w:tc>
        <w:tc>
          <w:tcPr>
            <w:tcW w:w="1008" w:type="dxa"/>
            <w:tcBorders>
              <w:top w:val="single" w:sz="8" w:space="0" w:color="002060"/>
              <w:left w:val="nil"/>
              <w:bottom w:val="single" w:sz="8" w:space="0" w:color="002060"/>
              <w:right w:val="nil"/>
            </w:tcBorders>
            <w:shd w:val="clear" w:color="000000" w:fill="002060"/>
            <w:noWrap/>
            <w:vAlign w:val="center"/>
            <w:hideMark/>
          </w:tcPr>
          <w:p w14:paraId="541896DF"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Flow Cat</w:t>
            </w:r>
          </w:p>
        </w:tc>
        <w:tc>
          <w:tcPr>
            <w:tcW w:w="536" w:type="dxa"/>
            <w:tcBorders>
              <w:top w:val="single" w:sz="8" w:space="0" w:color="002060"/>
              <w:left w:val="nil"/>
              <w:bottom w:val="single" w:sz="8" w:space="0" w:color="002060"/>
              <w:right w:val="nil"/>
            </w:tcBorders>
            <w:shd w:val="clear" w:color="000000" w:fill="002060"/>
            <w:noWrap/>
            <w:vAlign w:val="center"/>
            <w:hideMark/>
          </w:tcPr>
          <w:p w14:paraId="4E60D894"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n</w:t>
            </w:r>
          </w:p>
        </w:tc>
        <w:tc>
          <w:tcPr>
            <w:tcW w:w="656" w:type="dxa"/>
            <w:tcBorders>
              <w:top w:val="single" w:sz="8" w:space="0" w:color="002060"/>
              <w:left w:val="nil"/>
              <w:bottom w:val="single" w:sz="8" w:space="0" w:color="002060"/>
              <w:right w:val="nil"/>
            </w:tcBorders>
            <w:shd w:val="clear" w:color="000000" w:fill="002060"/>
            <w:noWrap/>
            <w:vAlign w:val="center"/>
            <w:hideMark/>
          </w:tcPr>
          <w:p w14:paraId="7461915C"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Mean</w:t>
            </w:r>
          </w:p>
        </w:tc>
        <w:tc>
          <w:tcPr>
            <w:tcW w:w="776" w:type="dxa"/>
            <w:tcBorders>
              <w:top w:val="single" w:sz="8" w:space="0" w:color="002060"/>
              <w:left w:val="nil"/>
              <w:bottom w:val="single" w:sz="8" w:space="0" w:color="002060"/>
              <w:right w:val="nil"/>
            </w:tcBorders>
            <w:shd w:val="clear" w:color="000000" w:fill="002060"/>
            <w:noWrap/>
            <w:vAlign w:val="center"/>
            <w:hideMark/>
          </w:tcPr>
          <w:p w14:paraId="5E127054"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Std Dev</w:t>
            </w:r>
          </w:p>
        </w:tc>
        <w:tc>
          <w:tcPr>
            <w:tcW w:w="596" w:type="dxa"/>
            <w:tcBorders>
              <w:top w:val="single" w:sz="8" w:space="0" w:color="002060"/>
              <w:left w:val="nil"/>
              <w:bottom w:val="single" w:sz="8" w:space="0" w:color="002060"/>
              <w:right w:val="nil"/>
            </w:tcBorders>
            <w:shd w:val="clear" w:color="000000" w:fill="002060"/>
            <w:noWrap/>
            <w:vAlign w:val="center"/>
            <w:hideMark/>
          </w:tcPr>
          <w:p w14:paraId="046C34BD"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Min</w:t>
            </w:r>
          </w:p>
        </w:tc>
        <w:tc>
          <w:tcPr>
            <w:tcW w:w="636" w:type="dxa"/>
            <w:tcBorders>
              <w:top w:val="single" w:sz="8" w:space="0" w:color="002060"/>
              <w:left w:val="nil"/>
              <w:bottom w:val="single" w:sz="8" w:space="0" w:color="002060"/>
              <w:right w:val="nil"/>
            </w:tcBorders>
            <w:shd w:val="clear" w:color="000000" w:fill="002060"/>
            <w:noWrap/>
            <w:vAlign w:val="center"/>
            <w:hideMark/>
          </w:tcPr>
          <w:p w14:paraId="462FF18E"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Max</w:t>
            </w:r>
          </w:p>
        </w:tc>
        <w:tc>
          <w:tcPr>
            <w:tcW w:w="776" w:type="dxa"/>
            <w:tcBorders>
              <w:top w:val="single" w:sz="8" w:space="0" w:color="002060"/>
              <w:left w:val="nil"/>
              <w:bottom w:val="single" w:sz="8" w:space="0" w:color="002060"/>
              <w:right w:val="nil"/>
            </w:tcBorders>
            <w:shd w:val="clear" w:color="000000" w:fill="002060"/>
            <w:noWrap/>
            <w:vAlign w:val="center"/>
            <w:hideMark/>
          </w:tcPr>
          <w:p w14:paraId="3852A596" w14:textId="4112E5BF"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 xml:space="preserve">Median </w:t>
            </w:r>
          </w:p>
        </w:tc>
        <w:tc>
          <w:tcPr>
            <w:tcW w:w="588" w:type="dxa"/>
            <w:tcBorders>
              <w:top w:val="single" w:sz="8" w:space="0" w:color="002060"/>
              <w:left w:val="nil"/>
              <w:bottom w:val="single" w:sz="8" w:space="0" w:color="002060"/>
              <w:right w:val="single" w:sz="8" w:space="0" w:color="002060"/>
            </w:tcBorders>
            <w:shd w:val="clear" w:color="000000" w:fill="002060"/>
            <w:noWrap/>
            <w:vAlign w:val="center"/>
            <w:hideMark/>
          </w:tcPr>
          <w:p w14:paraId="55A72C87"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25%</w:t>
            </w:r>
          </w:p>
        </w:tc>
        <w:tc>
          <w:tcPr>
            <w:tcW w:w="580" w:type="dxa"/>
            <w:tcBorders>
              <w:top w:val="single" w:sz="8" w:space="0" w:color="002060"/>
              <w:left w:val="nil"/>
              <w:bottom w:val="single" w:sz="8" w:space="0" w:color="002060"/>
              <w:right w:val="single" w:sz="8" w:space="0" w:color="002060"/>
            </w:tcBorders>
            <w:shd w:val="clear" w:color="000000" w:fill="002060"/>
            <w:noWrap/>
            <w:vAlign w:val="center"/>
            <w:hideMark/>
          </w:tcPr>
          <w:p w14:paraId="09642A5C"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75%</w:t>
            </w:r>
          </w:p>
        </w:tc>
        <w:tc>
          <w:tcPr>
            <w:tcW w:w="880" w:type="dxa"/>
            <w:tcBorders>
              <w:top w:val="single" w:sz="8" w:space="0" w:color="002060"/>
              <w:left w:val="nil"/>
              <w:bottom w:val="nil"/>
              <w:right w:val="single" w:sz="8" w:space="0" w:color="002060"/>
            </w:tcBorders>
            <w:shd w:val="clear" w:color="000000" w:fill="002060"/>
            <w:noWrap/>
            <w:vAlign w:val="center"/>
            <w:hideMark/>
          </w:tcPr>
          <w:p w14:paraId="62B9D3CD"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Season</w:t>
            </w:r>
          </w:p>
        </w:tc>
        <w:tc>
          <w:tcPr>
            <w:tcW w:w="528" w:type="dxa"/>
            <w:tcBorders>
              <w:top w:val="single" w:sz="8" w:space="0" w:color="002060"/>
              <w:left w:val="nil"/>
              <w:bottom w:val="single" w:sz="8" w:space="0" w:color="002060"/>
              <w:right w:val="nil"/>
            </w:tcBorders>
            <w:shd w:val="clear" w:color="000000" w:fill="002060"/>
            <w:noWrap/>
            <w:vAlign w:val="center"/>
            <w:hideMark/>
          </w:tcPr>
          <w:p w14:paraId="0DFF4B26"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n</w:t>
            </w:r>
          </w:p>
        </w:tc>
        <w:tc>
          <w:tcPr>
            <w:tcW w:w="596" w:type="dxa"/>
            <w:tcBorders>
              <w:top w:val="single" w:sz="8" w:space="0" w:color="002060"/>
              <w:left w:val="nil"/>
              <w:bottom w:val="single" w:sz="8" w:space="0" w:color="002060"/>
              <w:right w:val="nil"/>
            </w:tcBorders>
            <w:shd w:val="clear" w:color="000000" w:fill="002060"/>
            <w:noWrap/>
            <w:vAlign w:val="center"/>
            <w:hideMark/>
          </w:tcPr>
          <w:p w14:paraId="15F2A4F5"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Mean</w:t>
            </w:r>
          </w:p>
        </w:tc>
        <w:tc>
          <w:tcPr>
            <w:tcW w:w="716" w:type="dxa"/>
            <w:tcBorders>
              <w:top w:val="single" w:sz="8" w:space="0" w:color="002060"/>
              <w:left w:val="nil"/>
              <w:bottom w:val="single" w:sz="8" w:space="0" w:color="002060"/>
              <w:right w:val="nil"/>
            </w:tcBorders>
            <w:shd w:val="clear" w:color="000000" w:fill="002060"/>
            <w:noWrap/>
            <w:vAlign w:val="center"/>
            <w:hideMark/>
          </w:tcPr>
          <w:p w14:paraId="18AF0EAB"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Std Dev</w:t>
            </w:r>
          </w:p>
        </w:tc>
        <w:tc>
          <w:tcPr>
            <w:tcW w:w="556" w:type="dxa"/>
            <w:tcBorders>
              <w:top w:val="single" w:sz="8" w:space="0" w:color="002060"/>
              <w:left w:val="nil"/>
              <w:bottom w:val="single" w:sz="8" w:space="0" w:color="002060"/>
              <w:right w:val="nil"/>
            </w:tcBorders>
            <w:shd w:val="clear" w:color="000000" w:fill="002060"/>
            <w:noWrap/>
            <w:vAlign w:val="center"/>
            <w:hideMark/>
          </w:tcPr>
          <w:p w14:paraId="0ED26A6D"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Min</w:t>
            </w:r>
          </w:p>
        </w:tc>
        <w:tc>
          <w:tcPr>
            <w:tcW w:w="596" w:type="dxa"/>
            <w:tcBorders>
              <w:top w:val="single" w:sz="8" w:space="0" w:color="002060"/>
              <w:left w:val="nil"/>
              <w:bottom w:val="single" w:sz="8" w:space="0" w:color="002060"/>
              <w:right w:val="nil"/>
            </w:tcBorders>
            <w:shd w:val="clear" w:color="000000" w:fill="002060"/>
            <w:noWrap/>
            <w:vAlign w:val="center"/>
            <w:hideMark/>
          </w:tcPr>
          <w:p w14:paraId="394982D5"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Max</w:t>
            </w:r>
          </w:p>
        </w:tc>
        <w:tc>
          <w:tcPr>
            <w:tcW w:w="796" w:type="dxa"/>
            <w:tcBorders>
              <w:top w:val="single" w:sz="8" w:space="0" w:color="002060"/>
              <w:left w:val="nil"/>
              <w:bottom w:val="single" w:sz="8" w:space="0" w:color="002060"/>
              <w:right w:val="nil"/>
            </w:tcBorders>
            <w:shd w:val="clear" w:color="000000" w:fill="002060"/>
            <w:noWrap/>
            <w:vAlign w:val="center"/>
            <w:hideMark/>
          </w:tcPr>
          <w:p w14:paraId="542CF7CD" w14:textId="0D04A369"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 xml:space="preserve">Median </w:t>
            </w:r>
          </w:p>
        </w:tc>
        <w:tc>
          <w:tcPr>
            <w:tcW w:w="528" w:type="dxa"/>
            <w:tcBorders>
              <w:top w:val="single" w:sz="8" w:space="0" w:color="002060"/>
              <w:left w:val="nil"/>
              <w:bottom w:val="single" w:sz="8" w:space="0" w:color="002060"/>
              <w:right w:val="single" w:sz="8" w:space="0" w:color="002060"/>
            </w:tcBorders>
            <w:shd w:val="clear" w:color="000000" w:fill="002060"/>
            <w:noWrap/>
            <w:vAlign w:val="center"/>
            <w:hideMark/>
          </w:tcPr>
          <w:p w14:paraId="5C2B45D1"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25%</w:t>
            </w:r>
          </w:p>
        </w:tc>
        <w:tc>
          <w:tcPr>
            <w:tcW w:w="540" w:type="dxa"/>
            <w:tcBorders>
              <w:top w:val="single" w:sz="8" w:space="0" w:color="002060"/>
              <w:left w:val="nil"/>
              <w:bottom w:val="single" w:sz="8" w:space="0" w:color="002060"/>
              <w:right w:val="single" w:sz="8" w:space="0" w:color="002060"/>
            </w:tcBorders>
            <w:shd w:val="clear" w:color="000000" w:fill="002060"/>
            <w:noWrap/>
            <w:vAlign w:val="center"/>
            <w:hideMark/>
          </w:tcPr>
          <w:p w14:paraId="032254AC"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75%</w:t>
            </w:r>
          </w:p>
        </w:tc>
      </w:tr>
      <w:tr w:rsidR="00AE564D" w:rsidRPr="00917EEE" w14:paraId="76E5F9C8" w14:textId="77777777" w:rsidTr="00917EEE">
        <w:trPr>
          <w:trHeight w:val="255"/>
          <w:jc w:val="center"/>
        </w:trPr>
        <w:tc>
          <w:tcPr>
            <w:tcW w:w="700" w:type="dxa"/>
            <w:vMerge w:val="restart"/>
            <w:tcBorders>
              <w:top w:val="single" w:sz="8" w:space="0" w:color="002060"/>
              <w:left w:val="single" w:sz="8" w:space="0" w:color="002060"/>
              <w:bottom w:val="nil"/>
              <w:right w:val="single" w:sz="8" w:space="0" w:color="002060"/>
            </w:tcBorders>
            <w:shd w:val="clear" w:color="000000" w:fill="002060"/>
            <w:noWrap/>
            <w:vAlign w:val="center"/>
            <w:hideMark/>
          </w:tcPr>
          <w:p w14:paraId="268CE9E4"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Spring</w:t>
            </w: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06F5931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Arcadia Downs / Darcy's Track</w:t>
            </w:r>
          </w:p>
        </w:tc>
        <w:tc>
          <w:tcPr>
            <w:tcW w:w="1008" w:type="dxa"/>
            <w:tcBorders>
              <w:top w:val="nil"/>
              <w:left w:val="nil"/>
              <w:bottom w:val="nil"/>
              <w:right w:val="nil"/>
            </w:tcBorders>
            <w:shd w:val="clear" w:color="auto" w:fill="auto"/>
            <w:noWrap/>
            <w:vAlign w:val="center"/>
            <w:hideMark/>
          </w:tcPr>
          <w:p w14:paraId="16199DB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Very Low</w:t>
            </w:r>
          </w:p>
        </w:tc>
        <w:tc>
          <w:tcPr>
            <w:tcW w:w="536" w:type="dxa"/>
            <w:tcBorders>
              <w:top w:val="nil"/>
              <w:left w:val="nil"/>
              <w:bottom w:val="nil"/>
              <w:right w:val="nil"/>
            </w:tcBorders>
            <w:shd w:val="clear" w:color="auto" w:fill="auto"/>
            <w:noWrap/>
            <w:vAlign w:val="center"/>
            <w:hideMark/>
          </w:tcPr>
          <w:p w14:paraId="6FC4820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37</w:t>
            </w:r>
          </w:p>
        </w:tc>
        <w:tc>
          <w:tcPr>
            <w:tcW w:w="656" w:type="dxa"/>
            <w:tcBorders>
              <w:top w:val="nil"/>
              <w:left w:val="nil"/>
              <w:bottom w:val="nil"/>
              <w:right w:val="nil"/>
            </w:tcBorders>
            <w:shd w:val="clear" w:color="auto" w:fill="auto"/>
            <w:noWrap/>
            <w:vAlign w:val="center"/>
            <w:hideMark/>
          </w:tcPr>
          <w:p w14:paraId="60BDD6E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1.62</w:t>
            </w:r>
          </w:p>
        </w:tc>
        <w:tc>
          <w:tcPr>
            <w:tcW w:w="776" w:type="dxa"/>
            <w:tcBorders>
              <w:top w:val="nil"/>
              <w:left w:val="nil"/>
              <w:bottom w:val="nil"/>
              <w:right w:val="nil"/>
            </w:tcBorders>
            <w:shd w:val="clear" w:color="auto" w:fill="auto"/>
            <w:noWrap/>
            <w:vAlign w:val="center"/>
            <w:hideMark/>
          </w:tcPr>
          <w:p w14:paraId="6DEA664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0.64</w:t>
            </w:r>
          </w:p>
        </w:tc>
        <w:tc>
          <w:tcPr>
            <w:tcW w:w="596" w:type="dxa"/>
            <w:tcBorders>
              <w:top w:val="nil"/>
              <w:left w:val="nil"/>
              <w:bottom w:val="nil"/>
              <w:right w:val="nil"/>
            </w:tcBorders>
            <w:shd w:val="clear" w:color="auto" w:fill="auto"/>
            <w:noWrap/>
            <w:vAlign w:val="center"/>
            <w:hideMark/>
          </w:tcPr>
          <w:p w14:paraId="5463D15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w:t>
            </w:r>
          </w:p>
        </w:tc>
        <w:tc>
          <w:tcPr>
            <w:tcW w:w="636" w:type="dxa"/>
            <w:tcBorders>
              <w:top w:val="nil"/>
              <w:left w:val="nil"/>
              <w:bottom w:val="nil"/>
              <w:right w:val="nil"/>
            </w:tcBorders>
            <w:shd w:val="clear" w:color="auto" w:fill="auto"/>
            <w:noWrap/>
            <w:vAlign w:val="center"/>
            <w:hideMark/>
          </w:tcPr>
          <w:p w14:paraId="1463057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4.04</w:t>
            </w:r>
          </w:p>
        </w:tc>
        <w:tc>
          <w:tcPr>
            <w:tcW w:w="776" w:type="dxa"/>
            <w:tcBorders>
              <w:top w:val="nil"/>
              <w:left w:val="nil"/>
              <w:bottom w:val="nil"/>
              <w:right w:val="nil"/>
            </w:tcBorders>
            <w:shd w:val="clear" w:color="auto" w:fill="auto"/>
            <w:noWrap/>
            <w:vAlign w:val="center"/>
            <w:hideMark/>
          </w:tcPr>
          <w:p w14:paraId="35D69B8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1.54</w:t>
            </w:r>
          </w:p>
        </w:tc>
        <w:tc>
          <w:tcPr>
            <w:tcW w:w="588" w:type="dxa"/>
            <w:tcBorders>
              <w:top w:val="nil"/>
              <w:left w:val="nil"/>
              <w:bottom w:val="nil"/>
              <w:right w:val="nil"/>
            </w:tcBorders>
            <w:shd w:val="clear" w:color="auto" w:fill="auto"/>
            <w:noWrap/>
            <w:vAlign w:val="center"/>
            <w:hideMark/>
          </w:tcPr>
          <w:p w14:paraId="05193AF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1.24</w:t>
            </w:r>
          </w:p>
        </w:tc>
        <w:tc>
          <w:tcPr>
            <w:tcW w:w="580" w:type="dxa"/>
            <w:tcBorders>
              <w:top w:val="nil"/>
              <w:left w:val="nil"/>
              <w:bottom w:val="nil"/>
              <w:right w:val="single" w:sz="8" w:space="0" w:color="002060"/>
            </w:tcBorders>
            <w:shd w:val="clear" w:color="auto" w:fill="auto"/>
            <w:noWrap/>
            <w:vAlign w:val="center"/>
            <w:hideMark/>
          </w:tcPr>
          <w:p w14:paraId="33F82D6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1.91</w:t>
            </w:r>
          </w:p>
        </w:tc>
        <w:tc>
          <w:tcPr>
            <w:tcW w:w="880" w:type="dxa"/>
            <w:vMerge w:val="restart"/>
            <w:tcBorders>
              <w:top w:val="single" w:sz="8" w:space="0" w:color="002060"/>
              <w:left w:val="single" w:sz="8" w:space="0" w:color="002060"/>
              <w:bottom w:val="nil"/>
              <w:right w:val="single" w:sz="8" w:space="0" w:color="002060"/>
            </w:tcBorders>
            <w:shd w:val="clear" w:color="000000" w:fill="002060"/>
            <w:noWrap/>
            <w:vAlign w:val="center"/>
            <w:hideMark/>
          </w:tcPr>
          <w:p w14:paraId="52F1FB04"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Summer</w:t>
            </w:r>
          </w:p>
        </w:tc>
        <w:tc>
          <w:tcPr>
            <w:tcW w:w="528" w:type="dxa"/>
            <w:tcBorders>
              <w:top w:val="nil"/>
              <w:left w:val="nil"/>
              <w:bottom w:val="nil"/>
              <w:right w:val="nil"/>
            </w:tcBorders>
            <w:shd w:val="clear" w:color="auto" w:fill="auto"/>
            <w:noWrap/>
            <w:vAlign w:val="center"/>
            <w:hideMark/>
          </w:tcPr>
          <w:p w14:paraId="2837B04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38</w:t>
            </w:r>
          </w:p>
        </w:tc>
        <w:tc>
          <w:tcPr>
            <w:tcW w:w="596" w:type="dxa"/>
            <w:tcBorders>
              <w:top w:val="nil"/>
              <w:left w:val="nil"/>
              <w:bottom w:val="nil"/>
              <w:right w:val="nil"/>
            </w:tcBorders>
            <w:shd w:val="clear" w:color="auto" w:fill="auto"/>
            <w:noWrap/>
            <w:vAlign w:val="center"/>
            <w:hideMark/>
          </w:tcPr>
          <w:p w14:paraId="7B7370B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3.58</w:t>
            </w:r>
          </w:p>
        </w:tc>
        <w:tc>
          <w:tcPr>
            <w:tcW w:w="716" w:type="dxa"/>
            <w:tcBorders>
              <w:top w:val="nil"/>
              <w:left w:val="nil"/>
              <w:bottom w:val="nil"/>
              <w:right w:val="nil"/>
            </w:tcBorders>
            <w:shd w:val="clear" w:color="auto" w:fill="auto"/>
            <w:noWrap/>
            <w:vAlign w:val="center"/>
            <w:hideMark/>
          </w:tcPr>
          <w:p w14:paraId="16B8B25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1.93</w:t>
            </w:r>
          </w:p>
        </w:tc>
        <w:tc>
          <w:tcPr>
            <w:tcW w:w="556" w:type="dxa"/>
            <w:tcBorders>
              <w:top w:val="nil"/>
              <w:left w:val="nil"/>
              <w:bottom w:val="nil"/>
              <w:right w:val="nil"/>
            </w:tcBorders>
            <w:shd w:val="clear" w:color="auto" w:fill="auto"/>
            <w:noWrap/>
            <w:vAlign w:val="center"/>
            <w:hideMark/>
          </w:tcPr>
          <w:p w14:paraId="469D94F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1.3</w:t>
            </w:r>
          </w:p>
        </w:tc>
        <w:tc>
          <w:tcPr>
            <w:tcW w:w="596" w:type="dxa"/>
            <w:tcBorders>
              <w:top w:val="nil"/>
              <w:left w:val="nil"/>
              <w:bottom w:val="nil"/>
              <w:right w:val="nil"/>
            </w:tcBorders>
            <w:shd w:val="clear" w:color="auto" w:fill="auto"/>
            <w:noWrap/>
            <w:vAlign w:val="center"/>
            <w:hideMark/>
          </w:tcPr>
          <w:p w14:paraId="26694CE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7.15</w:t>
            </w:r>
          </w:p>
        </w:tc>
        <w:tc>
          <w:tcPr>
            <w:tcW w:w="796" w:type="dxa"/>
            <w:tcBorders>
              <w:top w:val="nil"/>
              <w:left w:val="nil"/>
              <w:bottom w:val="nil"/>
              <w:right w:val="nil"/>
            </w:tcBorders>
            <w:shd w:val="clear" w:color="auto" w:fill="auto"/>
            <w:noWrap/>
            <w:vAlign w:val="center"/>
            <w:hideMark/>
          </w:tcPr>
          <w:p w14:paraId="30B927F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3.14</w:t>
            </w:r>
          </w:p>
        </w:tc>
        <w:tc>
          <w:tcPr>
            <w:tcW w:w="528" w:type="dxa"/>
            <w:tcBorders>
              <w:top w:val="nil"/>
              <w:left w:val="nil"/>
              <w:bottom w:val="nil"/>
              <w:right w:val="nil"/>
            </w:tcBorders>
            <w:shd w:val="clear" w:color="auto" w:fill="auto"/>
            <w:noWrap/>
            <w:vAlign w:val="center"/>
            <w:hideMark/>
          </w:tcPr>
          <w:p w14:paraId="4A3E2E7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1.87</w:t>
            </w:r>
          </w:p>
        </w:tc>
        <w:tc>
          <w:tcPr>
            <w:tcW w:w="540" w:type="dxa"/>
            <w:tcBorders>
              <w:top w:val="nil"/>
              <w:left w:val="nil"/>
              <w:bottom w:val="nil"/>
              <w:right w:val="single" w:sz="8" w:space="0" w:color="002060"/>
            </w:tcBorders>
            <w:shd w:val="clear" w:color="auto" w:fill="auto"/>
            <w:noWrap/>
            <w:vAlign w:val="center"/>
            <w:hideMark/>
          </w:tcPr>
          <w:p w14:paraId="4E88F32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5.56</w:t>
            </w:r>
          </w:p>
        </w:tc>
      </w:tr>
      <w:tr w:rsidR="00AE564D" w:rsidRPr="00917EEE" w14:paraId="7812C1C7" w14:textId="77777777" w:rsidTr="00917EEE">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6FAC7832"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468C10D2"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066E2F7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4C1FC6A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79</w:t>
            </w:r>
          </w:p>
        </w:tc>
        <w:tc>
          <w:tcPr>
            <w:tcW w:w="656" w:type="dxa"/>
            <w:tcBorders>
              <w:top w:val="nil"/>
              <w:left w:val="nil"/>
              <w:bottom w:val="nil"/>
              <w:right w:val="nil"/>
            </w:tcBorders>
            <w:shd w:val="clear" w:color="auto" w:fill="auto"/>
            <w:noWrap/>
            <w:vAlign w:val="center"/>
            <w:hideMark/>
          </w:tcPr>
          <w:p w14:paraId="7A14565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1.99</w:t>
            </w:r>
          </w:p>
        </w:tc>
        <w:tc>
          <w:tcPr>
            <w:tcW w:w="776" w:type="dxa"/>
            <w:tcBorders>
              <w:top w:val="nil"/>
              <w:left w:val="nil"/>
              <w:bottom w:val="nil"/>
              <w:right w:val="nil"/>
            </w:tcBorders>
            <w:shd w:val="clear" w:color="auto" w:fill="auto"/>
            <w:noWrap/>
            <w:vAlign w:val="center"/>
            <w:hideMark/>
          </w:tcPr>
          <w:p w14:paraId="7940725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1.62</w:t>
            </w:r>
          </w:p>
        </w:tc>
        <w:tc>
          <w:tcPr>
            <w:tcW w:w="596" w:type="dxa"/>
            <w:tcBorders>
              <w:top w:val="nil"/>
              <w:left w:val="nil"/>
              <w:bottom w:val="nil"/>
              <w:right w:val="nil"/>
            </w:tcBorders>
            <w:shd w:val="clear" w:color="auto" w:fill="auto"/>
            <w:noWrap/>
            <w:vAlign w:val="center"/>
            <w:hideMark/>
          </w:tcPr>
          <w:p w14:paraId="386F327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w:t>
            </w:r>
          </w:p>
        </w:tc>
        <w:tc>
          <w:tcPr>
            <w:tcW w:w="636" w:type="dxa"/>
            <w:tcBorders>
              <w:top w:val="nil"/>
              <w:left w:val="nil"/>
              <w:bottom w:val="nil"/>
              <w:right w:val="nil"/>
            </w:tcBorders>
            <w:shd w:val="clear" w:color="auto" w:fill="auto"/>
            <w:noWrap/>
            <w:vAlign w:val="center"/>
            <w:hideMark/>
          </w:tcPr>
          <w:p w14:paraId="1CF00EB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10.9</w:t>
            </w:r>
          </w:p>
        </w:tc>
        <w:tc>
          <w:tcPr>
            <w:tcW w:w="776" w:type="dxa"/>
            <w:tcBorders>
              <w:top w:val="nil"/>
              <w:left w:val="nil"/>
              <w:bottom w:val="nil"/>
              <w:right w:val="nil"/>
            </w:tcBorders>
            <w:shd w:val="clear" w:color="auto" w:fill="auto"/>
            <w:noWrap/>
            <w:vAlign w:val="center"/>
            <w:hideMark/>
          </w:tcPr>
          <w:p w14:paraId="40717C9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1.70</w:t>
            </w:r>
          </w:p>
        </w:tc>
        <w:tc>
          <w:tcPr>
            <w:tcW w:w="588" w:type="dxa"/>
            <w:tcBorders>
              <w:top w:val="nil"/>
              <w:left w:val="nil"/>
              <w:bottom w:val="nil"/>
              <w:right w:val="nil"/>
            </w:tcBorders>
            <w:shd w:val="clear" w:color="auto" w:fill="auto"/>
            <w:noWrap/>
            <w:vAlign w:val="center"/>
            <w:hideMark/>
          </w:tcPr>
          <w:p w14:paraId="5CC66FB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1.12</w:t>
            </w:r>
          </w:p>
        </w:tc>
        <w:tc>
          <w:tcPr>
            <w:tcW w:w="580" w:type="dxa"/>
            <w:tcBorders>
              <w:top w:val="nil"/>
              <w:left w:val="nil"/>
              <w:bottom w:val="nil"/>
              <w:right w:val="single" w:sz="8" w:space="0" w:color="002060"/>
            </w:tcBorders>
            <w:shd w:val="clear" w:color="auto" w:fill="auto"/>
            <w:noWrap/>
            <w:vAlign w:val="center"/>
            <w:hideMark/>
          </w:tcPr>
          <w:p w14:paraId="43B8DA2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2.34</w:t>
            </w:r>
          </w:p>
        </w:tc>
        <w:tc>
          <w:tcPr>
            <w:tcW w:w="880" w:type="dxa"/>
            <w:vMerge/>
            <w:tcBorders>
              <w:top w:val="single" w:sz="8" w:space="0" w:color="002060"/>
              <w:left w:val="single" w:sz="8" w:space="0" w:color="002060"/>
              <w:bottom w:val="nil"/>
              <w:right w:val="single" w:sz="8" w:space="0" w:color="002060"/>
            </w:tcBorders>
            <w:vAlign w:val="center"/>
            <w:hideMark/>
          </w:tcPr>
          <w:p w14:paraId="25952099"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651043A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152</w:t>
            </w:r>
          </w:p>
        </w:tc>
        <w:tc>
          <w:tcPr>
            <w:tcW w:w="596" w:type="dxa"/>
            <w:tcBorders>
              <w:top w:val="nil"/>
              <w:left w:val="nil"/>
              <w:bottom w:val="nil"/>
              <w:right w:val="nil"/>
            </w:tcBorders>
            <w:shd w:val="clear" w:color="auto" w:fill="auto"/>
            <w:noWrap/>
            <w:vAlign w:val="center"/>
            <w:hideMark/>
          </w:tcPr>
          <w:p w14:paraId="3C01499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2.16</w:t>
            </w:r>
          </w:p>
        </w:tc>
        <w:tc>
          <w:tcPr>
            <w:tcW w:w="716" w:type="dxa"/>
            <w:tcBorders>
              <w:top w:val="nil"/>
              <w:left w:val="nil"/>
              <w:bottom w:val="nil"/>
              <w:right w:val="nil"/>
            </w:tcBorders>
            <w:shd w:val="clear" w:color="auto" w:fill="auto"/>
            <w:noWrap/>
            <w:vAlign w:val="center"/>
            <w:hideMark/>
          </w:tcPr>
          <w:p w14:paraId="18712ED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1.10</w:t>
            </w:r>
          </w:p>
        </w:tc>
        <w:tc>
          <w:tcPr>
            <w:tcW w:w="556" w:type="dxa"/>
            <w:tcBorders>
              <w:top w:val="nil"/>
              <w:left w:val="nil"/>
              <w:bottom w:val="nil"/>
              <w:right w:val="nil"/>
            </w:tcBorders>
            <w:shd w:val="clear" w:color="auto" w:fill="auto"/>
            <w:noWrap/>
            <w:vAlign w:val="center"/>
            <w:hideMark/>
          </w:tcPr>
          <w:p w14:paraId="491E2FF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w:t>
            </w:r>
          </w:p>
        </w:tc>
        <w:tc>
          <w:tcPr>
            <w:tcW w:w="596" w:type="dxa"/>
            <w:tcBorders>
              <w:top w:val="nil"/>
              <w:left w:val="nil"/>
              <w:bottom w:val="nil"/>
              <w:right w:val="nil"/>
            </w:tcBorders>
            <w:shd w:val="clear" w:color="auto" w:fill="auto"/>
            <w:noWrap/>
            <w:vAlign w:val="center"/>
            <w:hideMark/>
          </w:tcPr>
          <w:p w14:paraId="2623E6D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9.47</w:t>
            </w:r>
          </w:p>
        </w:tc>
        <w:tc>
          <w:tcPr>
            <w:tcW w:w="796" w:type="dxa"/>
            <w:tcBorders>
              <w:top w:val="nil"/>
              <w:left w:val="nil"/>
              <w:bottom w:val="nil"/>
              <w:right w:val="nil"/>
            </w:tcBorders>
            <w:shd w:val="clear" w:color="auto" w:fill="auto"/>
            <w:noWrap/>
            <w:vAlign w:val="center"/>
            <w:hideMark/>
          </w:tcPr>
          <w:p w14:paraId="4A5C599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2.02</w:t>
            </w:r>
          </w:p>
        </w:tc>
        <w:tc>
          <w:tcPr>
            <w:tcW w:w="528" w:type="dxa"/>
            <w:tcBorders>
              <w:top w:val="nil"/>
              <w:left w:val="nil"/>
              <w:bottom w:val="nil"/>
              <w:right w:val="nil"/>
            </w:tcBorders>
            <w:shd w:val="clear" w:color="auto" w:fill="auto"/>
            <w:noWrap/>
            <w:vAlign w:val="center"/>
            <w:hideMark/>
          </w:tcPr>
          <w:p w14:paraId="53E6D81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1.49</w:t>
            </w:r>
          </w:p>
        </w:tc>
        <w:tc>
          <w:tcPr>
            <w:tcW w:w="540" w:type="dxa"/>
            <w:tcBorders>
              <w:top w:val="nil"/>
              <w:left w:val="nil"/>
              <w:bottom w:val="nil"/>
              <w:right w:val="single" w:sz="8" w:space="0" w:color="002060"/>
            </w:tcBorders>
            <w:shd w:val="clear" w:color="auto" w:fill="auto"/>
            <w:noWrap/>
            <w:vAlign w:val="center"/>
            <w:hideMark/>
          </w:tcPr>
          <w:p w14:paraId="59FDC8F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2.57</w:t>
            </w:r>
          </w:p>
        </w:tc>
      </w:tr>
      <w:tr w:rsidR="00AE564D" w:rsidRPr="00917EEE" w14:paraId="052B407B" w14:textId="77777777" w:rsidTr="00917EEE">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02A0F5A5"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73FC6247"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3453257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74D252A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29</w:t>
            </w:r>
          </w:p>
        </w:tc>
        <w:tc>
          <w:tcPr>
            <w:tcW w:w="656" w:type="dxa"/>
            <w:tcBorders>
              <w:top w:val="nil"/>
              <w:left w:val="nil"/>
              <w:bottom w:val="nil"/>
              <w:right w:val="nil"/>
            </w:tcBorders>
            <w:shd w:val="clear" w:color="auto" w:fill="auto"/>
            <w:noWrap/>
            <w:vAlign w:val="center"/>
            <w:hideMark/>
          </w:tcPr>
          <w:p w14:paraId="43BA930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0.63</w:t>
            </w:r>
          </w:p>
        </w:tc>
        <w:tc>
          <w:tcPr>
            <w:tcW w:w="776" w:type="dxa"/>
            <w:tcBorders>
              <w:top w:val="nil"/>
              <w:left w:val="nil"/>
              <w:bottom w:val="nil"/>
              <w:right w:val="nil"/>
            </w:tcBorders>
            <w:shd w:val="clear" w:color="auto" w:fill="auto"/>
            <w:noWrap/>
            <w:vAlign w:val="center"/>
            <w:hideMark/>
          </w:tcPr>
          <w:p w14:paraId="67A69DB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0.34</w:t>
            </w:r>
          </w:p>
        </w:tc>
        <w:tc>
          <w:tcPr>
            <w:tcW w:w="596" w:type="dxa"/>
            <w:tcBorders>
              <w:top w:val="nil"/>
              <w:left w:val="nil"/>
              <w:bottom w:val="nil"/>
              <w:right w:val="nil"/>
            </w:tcBorders>
            <w:shd w:val="clear" w:color="auto" w:fill="auto"/>
            <w:noWrap/>
            <w:vAlign w:val="center"/>
            <w:hideMark/>
          </w:tcPr>
          <w:p w14:paraId="7DFEA96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w:t>
            </w:r>
          </w:p>
        </w:tc>
        <w:tc>
          <w:tcPr>
            <w:tcW w:w="636" w:type="dxa"/>
            <w:tcBorders>
              <w:top w:val="nil"/>
              <w:left w:val="nil"/>
              <w:bottom w:val="nil"/>
              <w:right w:val="nil"/>
            </w:tcBorders>
            <w:shd w:val="clear" w:color="auto" w:fill="auto"/>
            <w:noWrap/>
            <w:vAlign w:val="center"/>
            <w:hideMark/>
          </w:tcPr>
          <w:p w14:paraId="2DB6191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1.65</w:t>
            </w:r>
          </w:p>
        </w:tc>
        <w:tc>
          <w:tcPr>
            <w:tcW w:w="776" w:type="dxa"/>
            <w:tcBorders>
              <w:top w:val="nil"/>
              <w:left w:val="nil"/>
              <w:bottom w:val="nil"/>
              <w:right w:val="nil"/>
            </w:tcBorders>
            <w:shd w:val="clear" w:color="auto" w:fill="auto"/>
            <w:noWrap/>
            <w:vAlign w:val="center"/>
            <w:hideMark/>
          </w:tcPr>
          <w:p w14:paraId="3DEDF34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0.56</w:t>
            </w:r>
          </w:p>
        </w:tc>
        <w:tc>
          <w:tcPr>
            <w:tcW w:w="588" w:type="dxa"/>
            <w:tcBorders>
              <w:top w:val="nil"/>
              <w:left w:val="nil"/>
              <w:bottom w:val="nil"/>
              <w:right w:val="nil"/>
            </w:tcBorders>
            <w:shd w:val="clear" w:color="auto" w:fill="auto"/>
            <w:noWrap/>
            <w:vAlign w:val="center"/>
            <w:hideMark/>
          </w:tcPr>
          <w:p w14:paraId="6C9BD0A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0.40</w:t>
            </w:r>
          </w:p>
        </w:tc>
        <w:tc>
          <w:tcPr>
            <w:tcW w:w="580" w:type="dxa"/>
            <w:tcBorders>
              <w:top w:val="nil"/>
              <w:left w:val="nil"/>
              <w:bottom w:val="nil"/>
              <w:right w:val="single" w:sz="8" w:space="0" w:color="002060"/>
            </w:tcBorders>
            <w:shd w:val="clear" w:color="auto" w:fill="auto"/>
            <w:noWrap/>
            <w:vAlign w:val="center"/>
            <w:hideMark/>
          </w:tcPr>
          <w:p w14:paraId="30A05DE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0.85</w:t>
            </w:r>
          </w:p>
        </w:tc>
        <w:tc>
          <w:tcPr>
            <w:tcW w:w="880" w:type="dxa"/>
            <w:vMerge/>
            <w:tcBorders>
              <w:top w:val="single" w:sz="8" w:space="0" w:color="002060"/>
              <w:left w:val="single" w:sz="8" w:space="0" w:color="002060"/>
              <w:bottom w:val="nil"/>
              <w:right w:val="single" w:sz="8" w:space="0" w:color="002060"/>
            </w:tcBorders>
            <w:vAlign w:val="center"/>
            <w:hideMark/>
          </w:tcPr>
          <w:p w14:paraId="13401D0D"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1DA727E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93</w:t>
            </w:r>
          </w:p>
        </w:tc>
        <w:tc>
          <w:tcPr>
            <w:tcW w:w="596" w:type="dxa"/>
            <w:tcBorders>
              <w:top w:val="nil"/>
              <w:left w:val="nil"/>
              <w:bottom w:val="nil"/>
              <w:right w:val="nil"/>
            </w:tcBorders>
            <w:shd w:val="clear" w:color="auto" w:fill="auto"/>
            <w:noWrap/>
            <w:vAlign w:val="center"/>
            <w:hideMark/>
          </w:tcPr>
          <w:p w14:paraId="30B3B5B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1.25</w:t>
            </w:r>
          </w:p>
        </w:tc>
        <w:tc>
          <w:tcPr>
            <w:tcW w:w="716" w:type="dxa"/>
            <w:tcBorders>
              <w:top w:val="nil"/>
              <w:left w:val="nil"/>
              <w:bottom w:val="nil"/>
              <w:right w:val="nil"/>
            </w:tcBorders>
            <w:shd w:val="clear" w:color="auto" w:fill="auto"/>
            <w:noWrap/>
            <w:vAlign w:val="center"/>
            <w:hideMark/>
          </w:tcPr>
          <w:p w14:paraId="7950238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0.40</w:t>
            </w:r>
          </w:p>
        </w:tc>
        <w:tc>
          <w:tcPr>
            <w:tcW w:w="556" w:type="dxa"/>
            <w:tcBorders>
              <w:top w:val="nil"/>
              <w:left w:val="nil"/>
              <w:bottom w:val="nil"/>
              <w:right w:val="nil"/>
            </w:tcBorders>
            <w:shd w:val="clear" w:color="auto" w:fill="auto"/>
            <w:noWrap/>
            <w:vAlign w:val="center"/>
            <w:hideMark/>
          </w:tcPr>
          <w:p w14:paraId="126F9BE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0.06</w:t>
            </w:r>
          </w:p>
        </w:tc>
        <w:tc>
          <w:tcPr>
            <w:tcW w:w="596" w:type="dxa"/>
            <w:tcBorders>
              <w:top w:val="nil"/>
              <w:left w:val="nil"/>
              <w:bottom w:val="nil"/>
              <w:right w:val="nil"/>
            </w:tcBorders>
            <w:shd w:val="clear" w:color="auto" w:fill="auto"/>
            <w:noWrap/>
            <w:vAlign w:val="center"/>
            <w:hideMark/>
          </w:tcPr>
          <w:p w14:paraId="5EBDC19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2.29</w:t>
            </w:r>
          </w:p>
        </w:tc>
        <w:tc>
          <w:tcPr>
            <w:tcW w:w="796" w:type="dxa"/>
            <w:tcBorders>
              <w:top w:val="nil"/>
              <w:left w:val="nil"/>
              <w:bottom w:val="nil"/>
              <w:right w:val="nil"/>
            </w:tcBorders>
            <w:shd w:val="clear" w:color="auto" w:fill="auto"/>
            <w:noWrap/>
            <w:vAlign w:val="center"/>
            <w:hideMark/>
          </w:tcPr>
          <w:p w14:paraId="30B9A12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1.23</w:t>
            </w:r>
          </w:p>
        </w:tc>
        <w:tc>
          <w:tcPr>
            <w:tcW w:w="528" w:type="dxa"/>
            <w:tcBorders>
              <w:top w:val="nil"/>
              <w:left w:val="nil"/>
              <w:bottom w:val="nil"/>
              <w:right w:val="nil"/>
            </w:tcBorders>
            <w:shd w:val="clear" w:color="auto" w:fill="auto"/>
            <w:noWrap/>
            <w:vAlign w:val="center"/>
            <w:hideMark/>
          </w:tcPr>
          <w:p w14:paraId="5C68AF2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0.99</w:t>
            </w:r>
          </w:p>
        </w:tc>
        <w:tc>
          <w:tcPr>
            <w:tcW w:w="540" w:type="dxa"/>
            <w:tcBorders>
              <w:top w:val="nil"/>
              <w:left w:val="nil"/>
              <w:bottom w:val="nil"/>
              <w:right w:val="single" w:sz="8" w:space="0" w:color="002060"/>
            </w:tcBorders>
            <w:shd w:val="clear" w:color="auto" w:fill="auto"/>
            <w:noWrap/>
            <w:vAlign w:val="center"/>
            <w:hideMark/>
          </w:tcPr>
          <w:p w14:paraId="3713944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1.52</w:t>
            </w:r>
          </w:p>
        </w:tc>
      </w:tr>
      <w:tr w:rsidR="00AE564D" w:rsidRPr="00917EEE" w14:paraId="524A4152" w14:textId="77777777" w:rsidTr="00917EEE">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6755715E"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53EB1650"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7CC3DBD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Med Fresh</w:t>
            </w:r>
          </w:p>
        </w:tc>
        <w:tc>
          <w:tcPr>
            <w:tcW w:w="536" w:type="dxa"/>
            <w:tcBorders>
              <w:top w:val="nil"/>
              <w:left w:val="nil"/>
              <w:bottom w:val="nil"/>
              <w:right w:val="nil"/>
            </w:tcBorders>
            <w:shd w:val="clear" w:color="auto" w:fill="auto"/>
            <w:noWrap/>
            <w:vAlign w:val="center"/>
            <w:hideMark/>
          </w:tcPr>
          <w:p w14:paraId="00D6C79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30</w:t>
            </w:r>
          </w:p>
        </w:tc>
        <w:tc>
          <w:tcPr>
            <w:tcW w:w="656" w:type="dxa"/>
            <w:tcBorders>
              <w:top w:val="nil"/>
              <w:left w:val="nil"/>
              <w:bottom w:val="nil"/>
              <w:right w:val="nil"/>
            </w:tcBorders>
            <w:shd w:val="clear" w:color="auto" w:fill="auto"/>
            <w:noWrap/>
            <w:vAlign w:val="center"/>
            <w:hideMark/>
          </w:tcPr>
          <w:p w14:paraId="4AB2B92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0.48</w:t>
            </w:r>
          </w:p>
        </w:tc>
        <w:tc>
          <w:tcPr>
            <w:tcW w:w="776" w:type="dxa"/>
            <w:tcBorders>
              <w:top w:val="nil"/>
              <w:left w:val="nil"/>
              <w:bottom w:val="nil"/>
              <w:right w:val="nil"/>
            </w:tcBorders>
            <w:shd w:val="clear" w:color="auto" w:fill="auto"/>
            <w:noWrap/>
            <w:vAlign w:val="center"/>
            <w:hideMark/>
          </w:tcPr>
          <w:p w14:paraId="4575DED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0.34</w:t>
            </w:r>
          </w:p>
        </w:tc>
        <w:tc>
          <w:tcPr>
            <w:tcW w:w="596" w:type="dxa"/>
            <w:tcBorders>
              <w:top w:val="nil"/>
              <w:left w:val="nil"/>
              <w:bottom w:val="nil"/>
              <w:right w:val="nil"/>
            </w:tcBorders>
            <w:shd w:val="clear" w:color="auto" w:fill="auto"/>
            <w:noWrap/>
            <w:vAlign w:val="center"/>
            <w:hideMark/>
          </w:tcPr>
          <w:p w14:paraId="55F2C2F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0.03</w:t>
            </w:r>
          </w:p>
        </w:tc>
        <w:tc>
          <w:tcPr>
            <w:tcW w:w="636" w:type="dxa"/>
            <w:tcBorders>
              <w:top w:val="nil"/>
              <w:left w:val="nil"/>
              <w:bottom w:val="nil"/>
              <w:right w:val="nil"/>
            </w:tcBorders>
            <w:shd w:val="clear" w:color="auto" w:fill="auto"/>
            <w:noWrap/>
            <w:vAlign w:val="center"/>
            <w:hideMark/>
          </w:tcPr>
          <w:p w14:paraId="5D2E1D9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1.23</w:t>
            </w:r>
          </w:p>
        </w:tc>
        <w:tc>
          <w:tcPr>
            <w:tcW w:w="776" w:type="dxa"/>
            <w:tcBorders>
              <w:top w:val="nil"/>
              <w:left w:val="nil"/>
              <w:bottom w:val="nil"/>
              <w:right w:val="nil"/>
            </w:tcBorders>
            <w:shd w:val="clear" w:color="auto" w:fill="auto"/>
            <w:noWrap/>
            <w:vAlign w:val="center"/>
            <w:hideMark/>
          </w:tcPr>
          <w:p w14:paraId="4D3171C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0.41</w:t>
            </w:r>
          </w:p>
        </w:tc>
        <w:tc>
          <w:tcPr>
            <w:tcW w:w="588" w:type="dxa"/>
            <w:tcBorders>
              <w:top w:val="nil"/>
              <w:left w:val="nil"/>
              <w:bottom w:val="nil"/>
              <w:right w:val="nil"/>
            </w:tcBorders>
            <w:shd w:val="clear" w:color="auto" w:fill="auto"/>
            <w:noWrap/>
            <w:vAlign w:val="center"/>
            <w:hideMark/>
          </w:tcPr>
          <w:p w14:paraId="7CE7F12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0.22</w:t>
            </w:r>
          </w:p>
        </w:tc>
        <w:tc>
          <w:tcPr>
            <w:tcW w:w="580" w:type="dxa"/>
            <w:tcBorders>
              <w:top w:val="nil"/>
              <w:left w:val="nil"/>
              <w:bottom w:val="nil"/>
              <w:right w:val="single" w:sz="8" w:space="0" w:color="002060"/>
            </w:tcBorders>
            <w:shd w:val="clear" w:color="auto" w:fill="auto"/>
            <w:noWrap/>
            <w:vAlign w:val="center"/>
            <w:hideMark/>
          </w:tcPr>
          <w:p w14:paraId="691A848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0.65</w:t>
            </w:r>
          </w:p>
        </w:tc>
        <w:tc>
          <w:tcPr>
            <w:tcW w:w="880" w:type="dxa"/>
            <w:vMerge/>
            <w:tcBorders>
              <w:top w:val="single" w:sz="8" w:space="0" w:color="002060"/>
              <w:left w:val="single" w:sz="8" w:space="0" w:color="002060"/>
              <w:bottom w:val="nil"/>
              <w:right w:val="single" w:sz="8" w:space="0" w:color="002060"/>
            </w:tcBorders>
            <w:vAlign w:val="center"/>
            <w:hideMark/>
          </w:tcPr>
          <w:p w14:paraId="395A6371"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5BA5B55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19</w:t>
            </w:r>
          </w:p>
        </w:tc>
        <w:tc>
          <w:tcPr>
            <w:tcW w:w="596" w:type="dxa"/>
            <w:tcBorders>
              <w:top w:val="nil"/>
              <w:left w:val="nil"/>
              <w:bottom w:val="nil"/>
              <w:right w:val="nil"/>
            </w:tcBorders>
            <w:shd w:val="clear" w:color="auto" w:fill="auto"/>
            <w:noWrap/>
            <w:vAlign w:val="center"/>
            <w:hideMark/>
          </w:tcPr>
          <w:p w14:paraId="7F2A11B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1.50</w:t>
            </w:r>
          </w:p>
        </w:tc>
        <w:tc>
          <w:tcPr>
            <w:tcW w:w="716" w:type="dxa"/>
            <w:tcBorders>
              <w:top w:val="nil"/>
              <w:left w:val="nil"/>
              <w:bottom w:val="nil"/>
              <w:right w:val="nil"/>
            </w:tcBorders>
            <w:shd w:val="clear" w:color="auto" w:fill="auto"/>
            <w:noWrap/>
            <w:vAlign w:val="center"/>
            <w:hideMark/>
          </w:tcPr>
          <w:p w14:paraId="0BF7384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0.66</w:t>
            </w:r>
          </w:p>
        </w:tc>
        <w:tc>
          <w:tcPr>
            <w:tcW w:w="556" w:type="dxa"/>
            <w:tcBorders>
              <w:top w:val="nil"/>
              <w:left w:val="nil"/>
              <w:bottom w:val="nil"/>
              <w:right w:val="nil"/>
            </w:tcBorders>
            <w:shd w:val="clear" w:color="auto" w:fill="auto"/>
            <w:noWrap/>
            <w:vAlign w:val="center"/>
            <w:hideMark/>
          </w:tcPr>
          <w:p w14:paraId="2637EE7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0.76</w:t>
            </w:r>
          </w:p>
        </w:tc>
        <w:tc>
          <w:tcPr>
            <w:tcW w:w="596" w:type="dxa"/>
            <w:tcBorders>
              <w:top w:val="nil"/>
              <w:left w:val="nil"/>
              <w:bottom w:val="nil"/>
              <w:right w:val="nil"/>
            </w:tcBorders>
            <w:shd w:val="clear" w:color="auto" w:fill="auto"/>
            <w:noWrap/>
            <w:vAlign w:val="center"/>
            <w:hideMark/>
          </w:tcPr>
          <w:p w14:paraId="4AC414C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3.97</w:t>
            </w:r>
          </w:p>
        </w:tc>
        <w:tc>
          <w:tcPr>
            <w:tcW w:w="796" w:type="dxa"/>
            <w:tcBorders>
              <w:top w:val="nil"/>
              <w:left w:val="nil"/>
              <w:bottom w:val="nil"/>
              <w:right w:val="nil"/>
            </w:tcBorders>
            <w:shd w:val="clear" w:color="auto" w:fill="auto"/>
            <w:noWrap/>
            <w:vAlign w:val="center"/>
            <w:hideMark/>
          </w:tcPr>
          <w:p w14:paraId="5F5F314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1.41</w:t>
            </w:r>
          </w:p>
        </w:tc>
        <w:tc>
          <w:tcPr>
            <w:tcW w:w="528" w:type="dxa"/>
            <w:tcBorders>
              <w:top w:val="nil"/>
              <w:left w:val="nil"/>
              <w:bottom w:val="nil"/>
              <w:right w:val="nil"/>
            </w:tcBorders>
            <w:shd w:val="clear" w:color="auto" w:fill="auto"/>
            <w:noWrap/>
            <w:vAlign w:val="center"/>
            <w:hideMark/>
          </w:tcPr>
          <w:p w14:paraId="61F22FB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1.35</w:t>
            </w:r>
          </w:p>
        </w:tc>
        <w:tc>
          <w:tcPr>
            <w:tcW w:w="540" w:type="dxa"/>
            <w:tcBorders>
              <w:top w:val="nil"/>
              <w:left w:val="nil"/>
              <w:bottom w:val="nil"/>
              <w:right w:val="single" w:sz="8" w:space="0" w:color="002060"/>
            </w:tcBorders>
            <w:shd w:val="clear" w:color="auto" w:fill="auto"/>
            <w:noWrap/>
            <w:vAlign w:val="center"/>
            <w:hideMark/>
          </w:tcPr>
          <w:p w14:paraId="231E08F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1.57</w:t>
            </w:r>
          </w:p>
        </w:tc>
      </w:tr>
      <w:tr w:rsidR="00AE564D" w:rsidRPr="00917EEE" w14:paraId="187299B5" w14:textId="77777777" w:rsidTr="00917EEE">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05B8C7FA"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1CDC657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McCoy's Bridge</w:t>
            </w:r>
          </w:p>
        </w:tc>
        <w:tc>
          <w:tcPr>
            <w:tcW w:w="1008" w:type="dxa"/>
            <w:tcBorders>
              <w:top w:val="single" w:sz="8" w:space="0" w:color="002060"/>
              <w:left w:val="nil"/>
              <w:bottom w:val="nil"/>
              <w:right w:val="nil"/>
            </w:tcBorders>
            <w:shd w:val="clear" w:color="auto" w:fill="auto"/>
            <w:noWrap/>
            <w:vAlign w:val="center"/>
            <w:hideMark/>
          </w:tcPr>
          <w:p w14:paraId="4E2E319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Very Low</w:t>
            </w:r>
          </w:p>
        </w:tc>
        <w:tc>
          <w:tcPr>
            <w:tcW w:w="536" w:type="dxa"/>
            <w:tcBorders>
              <w:top w:val="single" w:sz="8" w:space="0" w:color="002060"/>
              <w:left w:val="nil"/>
              <w:bottom w:val="nil"/>
              <w:right w:val="nil"/>
            </w:tcBorders>
            <w:shd w:val="clear" w:color="auto" w:fill="auto"/>
            <w:noWrap/>
            <w:vAlign w:val="center"/>
            <w:hideMark/>
          </w:tcPr>
          <w:p w14:paraId="5D307A9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97</w:t>
            </w:r>
          </w:p>
        </w:tc>
        <w:tc>
          <w:tcPr>
            <w:tcW w:w="656" w:type="dxa"/>
            <w:tcBorders>
              <w:top w:val="single" w:sz="8" w:space="0" w:color="002060"/>
              <w:left w:val="nil"/>
              <w:bottom w:val="nil"/>
              <w:right w:val="nil"/>
            </w:tcBorders>
            <w:shd w:val="clear" w:color="auto" w:fill="auto"/>
            <w:noWrap/>
            <w:vAlign w:val="center"/>
            <w:hideMark/>
          </w:tcPr>
          <w:p w14:paraId="27DCCB4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1.56</w:t>
            </w:r>
          </w:p>
        </w:tc>
        <w:tc>
          <w:tcPr>
            <w:tcW w:w="776" w:type="dxa"/>
            <w:tcBorders>
              <w:top w:val="single" w:sz="8" w:space="0" w:color="002060"/>
              <w:left w:val="nil"/>
              <w:bottom w:val="nil"/>
              <w:right w:val="nil"/>
            </w:tcBorders>
            <w:shd w:val="clear" w:color="auto" w:fill="auto"/>
            <w:noWrap/>
            <w:vAlign w:val="center"/>
            <w:hideMark/>
          </w:tcPr>
          <w:p w14:paraId="5C7022E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0.71</w:t>
            </w:r>
          </w:p>
        </w:tc>
        <w:tc>
          <w:tcPr>
            <w:tcW w:w="596" w:type="dxa"/>
            <w:tcBorders>
              <w:top w:val="single" w:sz="8" w:space="0" w:color="002060"/>
              <w:left w:val="nil"/>
              <w:bottom w:val="nil"/>
              <w:right w:val="nil"/>
            </w:tcBorders>
            <w:shd w:val="clear" w:color="auto" w:fill="auto"/>
            <w:noWrap/>
            <w:vAlign w:val="center"/>
            <w:hideMark/>
          </w:tcPr>
          <w:p w14:paraId="54F7371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w:t>
            </w:r>
          </w:p>
        </w:tc>
        <w:tc>
          <w:tcPr>
            <w:tcW w:w="636" w:type="dxa"/>
            <w:tcBorders>
              <w:top w:val="single" w:sz="8" w:space="0" w:color="002060"/>
              <w:left w:val="nil"/>
              <w:bottom w:val="nil"/>
              <w:right w:val="nil"/>
            </w:tcBorders>
            <w:shd w:val="clear" w:color="auto" w:fill="auto"/>
            <w:noWrap/>
            <w:vAlign w:val="center"/>
            <w:hideMark/>
          </w:tcPr>
          <w:p w14:paraId="2B09DC1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5.98</w:t>
            </w:r>
          </w:p>
        </w:tc>
        <w:tc>
          <w:tcPr>
            <w:tcW w:w="776" w:type="dxa"/>
            <w:tcBorders>
              <w:top w:val="single" w:sz="8" w:space="0" w:color="002060"/>
              <w:left w:val="nil"/>
              <w:bottom w:val="nil"/>
              <w:right w:val="nil"/>
            </w:tcBorders>
            <w:shd w:val="clear" w:color="auto" w:fill="auto"/>
            <w:noWrap/>
            <w:vAlign w:val="center"/>
            <w:hideMark/>
          </w:tcPr>
          <w:p w14:paraId="344CB9D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1.43</w:t>
            </w:r>
          </w:p>
        </w:tc>
        <w:tc>
          <w:tcPr>
            <w:tcW w:w="588" w:type="dxa"/>
            <w:tcBorders>
              <w:top w:val="single" w:sz="8" w:space="0" w:color="002060"/>
              <w:left w:val="nil"/>
              <w:bottom w:val="nil"/>
              <w:right w:val="nil"/>
            </w:tcBorders>
            <w:shd w:val="clear" w:color="auto" w:fill="auto"/>
            <w:noWrap/>
            <w:vAlign w:val="center"/>
            <w:hideMark/>
          </w:tcPr>
          <w:p w14:paraId="7E8341E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1.23</w:t>
            </w:r>
          </w:p>
        </w:tc>
        <w:tc>
          <w:tcPr>
            <w:tcW w:w="580" w:type="dxa"/>
            <w:tcBorders>
              <w:top w:val="single" w:sz="8" w:space="0" w:color="002060"/>
              <w:left w:val="nil"/>
              <w:bottom w:val="nil"/>
              <w:right w:val="single" w:sz="8" w:space="0" w:color="002060"/>
            </w:tcBorders>
            <w:shd w:val="clear" w:color="auto" w:fill="auto"/>
            <w:noWrap/>
            <w:vAlign w:val="center"/>
            <w:hideMark/>
          </w:tcPr>
          <w:p w14:paraId="0C83327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1.71</w:t>
            </w:r>
          </w:p>
        </w:tc>
        <w:tc>
          <w:tcPr>
            <w:tcW w:w="880" w:type="dxa"/>
            <w:vMerge/>
            <w:tcBorders>
              <w:top w:val="single" w:sz="8" w:space="0" w:color="002060"/>
              <w:left w:val="single" w:sz="8" w:space="0" w:color="002060"/>
              <w:bottom w:val="nil"/>
              <w:right w:val="single" w:sz="8" w:space="0" w:color="002060"/>
            </w:tcBorders>
            <w:vAlign w:val="center"/>
            <w:hideMark/>
          </w:tcPr>
          <w:p w14:paraId="20342ECA"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single" w:sz="8" w:space="0" w:color="002060"/>
              <w:left w:val="nil"/>
              <w:bottom w:val="nil"/>
              <w:right w:val="nil"/>
            </w:tcBorders>
            <w:shd w:val="clear" w:color="auto" w:fill="auto"/>
            <w:noWrap/>
            <w:vAlign w:val="center"/>
            <w:hideMark/>
          </w:tcPr>
          <w:p w14:paraId="0CF3C54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97</w:t>
            </w:r>
          </w:p>
        </w:tc>
        <w:tc>
          <w:tcPr>
            <w:tcW w:w="596" w:type="dxa"/>
            <w:tcBorders>
              <w:top w:val="single" w:sz="8" w:space="0" w:color="002060"/>
              <w:left w:val="nil"/>
              <w:bottom w:val="nil"/>
              <w:right w:val="nil"/>
            </w:tcBorders>
            <w:shd w:val="clear" w:color="auto" w:fill="auto"/>
            <w:noWrap/>
            <w:vAlign w:val="center"/>
            <w:hideMark/>
          </w:tcPr>
          <w:p w14:paraId="7EE378E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2.15</w:t>
            </w:r>
          </w:p>
        </w:tc>
        <w:tc>
          <w:tcPr>
            <w:tcW w:w="716" w:type="dxa"/>
            <w:tcBorders>
              <w:top w:val="single" w:sz="8" w:space="0" w:color="002060"/>
              <w:left w:val="nil"/>
              <w:bottom w:val="nil"/>
              <w:right w:val="nil"/>
            </w:tcBorders>
            <w:shd w:val="clear" w:color="auto" w:fill="auto"/>
            <w:noWrap/>
            <w:vAlign w:val="center"/>
            <w:hideMark/>
          </w:tcPr>
          <w:p w14:paraId="77A2F0E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1.38</w:t>
            </w:r>
          </w:p>
        </w:tc>
        <w:tc>
          <w:tcPr>
            <w:tcW w:w="556" w:type="dxa"/>
            <w:tcBorders>
              <w:top w:val="single" w:sz="8" w:space="0" w:color="002060"/>
              <w:left w:val="nil"/>
              <w:bottom w:val="nil"/>
              <w:right w:val="nil"/>
            </w:tcBorders>
            <w:shd w:val="clear" w:color="auto" w:fill="auto"/>
            <w:noWrap/>
            <w:vAlign w:val="center"/>
            <w:hideMark/>
          </w:tcPr>
          <w:p w14:paraId="4101328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w:t>
            </w:r>
          </w:p>
        </w:tc>
        <w:tc>
          <w:tcPr>
            <w:tcW w:w="596" w:type="dxa"/>
            <w:tcBorders>
              <w:top w:val="single" w:sz="8" w:space="0" w:color="002060"/>
              <w:left w:val="nil"/>
              <w:bottom w:val="nil"/>
              <w:right w:val="nil"/>
            </w:tcBorders>
            <w:shd w:val="clear" w:color="auto" w:fill="auto"/>
            <w:noWrap/>
            <w:vAlign w:val="center"/>
            <w:hideMark/>
          </w:tcPr>
          <w:p w14:paraId="65FC1FB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11.6</w:t>
            </w:r>
          </w:p>
        </w:tc>
        <w:tc>
          <w:tcPr>
            <w:tcW w:w="796" w:type="dxa"/>
            <w:tcBorders>
              <w:top w:val="single" w:sz="8" w:space="0" w:color="002060"/>
              <w:left w:val="nil"/>
              <w:bottom w:val="nil"/>
              <w:right w:val="nil"/>
            </w:tcBorders>
            <w:shd w:val="clear" w:color="auto" w:fill="auto"/>
            <w:noWrap/>
            <w:vAlign w:val="center"/>
            <w:hideMark/>
          </w:tcPr>
          <w:p w14:paraId="14596B9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1.70</w:t>
            </w:r>
          </w:p>
        </w:tc>
        <w:tc>
          <w:tcPr>
            <w:tcW w:w="528" w:type="dxa"/>
            <w:tcBorders>
              <w:top w:val="single" w:sz="8" w:space="0" w:color="002060"/>
              <w:left w:val="nil"/>
              <w:bottom w:val="nil"/>
              <w:right w:val="nil"/>
            </w:tcBorders>
            <w:shd w:val="clear" w:color="auto" w:fill="auto"/>
            <w:noWrap/>
            <w:vAlign w:val="center"/>
            <w:hideMark/>
          </w:tcPr>
          <w:p w14:paraId="4580B3C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1.36</w:t>
            </w:r>
          </w:p>
        </w:tc>
        <w:tc>
          <w:tcPr>
            <w:tcW w:w="540" w:type="dxa"/>
            <w:tcBorders>
              <w:top w:val="single" w:sz="8" w:space="0" w:color="002060"/>
              <w:left w:val="nil"/>
              <w:bottom w:val="nil"/>
              <w:right w:val="single" w:sz="8" w:space="0" w:color="002060"/>
            </w:tcBorders>
            <w:shd w:val="clear" w:color="auto" w:fill="auto"/>
            <w:noWrap/>
            <w:vAlign w:val="center"/>
            <w:hideMark/>
          </w:tcPr>
          <w:p w14:paraId="757EB1A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2.82</w:t>
            </w:r>
          </w:p>
        </w:tc>
      </w:tr>
      <w:tr w:rsidR="00AE564D" w:rsidRPr="00917EEE" w14:paraId="5B8DA4F2" w14:textId="77777777" w:rsidTr="00917EEE">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7F7F6B39"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56416BEE"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26D67DF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0DABA49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120</w:t>
            </w:r>
          </w:p>
        </w:tc>
        <w:tc>
          <w:tcPr>
            <w:tcW w:w="656" w:type="dxa"/>
            <w:tcBorders>
              <w:top w:val="nil"/>
              <w:left w:val="nil"/>
              <w:bottom w:val="nil"/>
              <w:right w:val="nil"/>
            </w:tcBorders>
            <w:shd w:val="clear" w:color="auto" w:fill="auto"/>
            <w:noWrap/>
            <w:vAlign w:val="center"/>
            <w:hideMark/>
          </w:tcPr>
          <w:p w14:paraId="0CD69E6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1.64</w:t>
            </w:r>
          </w:p>
        </w:tc>
        <w:tc>
          <w:tcPr>
            <w:tcW w:w="776" w:type="dxa"/>
            <w:tcBorders>
              <w:top w:val="nil"/>
              <w:left w:val="nil"/>
              <w:bottom w:val="nil"/>
              <w:right w:val="nil"/>
            </w:tcBorders>
            <w:shd w:val="clear" w:color="auto" w:fill="auto"/>
            <w:noWrap/>
            <w:vAlign w:val="center"/>
            <w:hideMark/>
          </w:tcPr>
          <w:p w14:paraId="2087DC4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0.76</w:t>
            </w:r>
          </w:p>
        </w:tc>
        <w:tc>
          <w:tcPr>
            <w:tcW w:w="596" w:type="dxa"/>
            <w:tcBorders>
              <w:top w:val="nil"/>
              <w:left w:val="nil"/>
              <w:bottom w:val="nil"/>
              <w:right w:val="nil"/>
            </w:tcBorders>
            <w:shd w:val="clear" w:color="auto" w:fill="auto"/>
            <w:noWrap/>
            <w:vAlign w:val="center"/>
            <w:hideMark/>
          </w:tcPr>
          <w:p w14:paraId="171ADAE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w:t>
            </w:r>
          </w:p>
        </w:tc>
        <w:tc>
          <w:tcPr>
            <w:tcW w:w="636" w:type="dxa"/>
            <w:tcBorders>
              <w:top w:val="nil"/>
              <w:left w:val="nil"/>
              <w:bottom w:val="nil"/>
              <w:right w:val="nil"/>
            </w:tcBorders>
            <w:shd w:val="clear" w:color="auto" w:fill="auto"/>
            <w:noWrap/>
            <w:vAlign w:val="center"/>
            <w:hideMark/>
          </w:tcPr>
          <w:p w14:paraId="7C4D79F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4.09</w:t>
            </w:r>
          </w:p>
        </w:tc>
        <w:tc>
          <w:tcPr>
            <w:tcW w:w="776" w:type="dxa"/>
            <w:tcBorders>
              <w:top w:val="nil"/>
              <w:left w:val="nil"/>
              <w:bottom w:val="nil"/>
              <w:right w:val="nil"/>
            </w:tcBorders>
            <w:shd w:val="clear" w:color="auto" w:fill="auto"/>
            <w:noWrap/>
            <w:vAlign w:val="center"/>
            <w:hideMark/>
          </w:tcPr>
          <w:p w14:paraId="434D81C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1.46</w:t>
            </w:r>
          </w:p>
        </w:tc>
        <w:tc>
          <w:tcPr>
            <w:tcW w:w="588" w:type="dxa"/>
            <w:tcBorders>
              <w:top w:val="nil"/>
              <w:left w:val="nil"/>
              <w:bottom w:val="nil"/>
              <w:right w:val="nil"/>
            </w:tcBorders>
            <w:shd w:val="clear" w:color="auto" w:fill="auto"/>
            <w:noWrap/>
            <w:vAlign w:val="center"/>
            <w:hideMark/>
          </w:tcPr>
          <w:p w14:paraId="0F778E6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1.13</w:t>
            </w:r>
          </w:p>
        </w:tc>
        <w:tc>
          <w:tcPr>
            <w:tcW w:w="580" w:type="dxa"/>
            <w:tcBorders>
              <w:top w:val="nil"/>
              <w:left w:val="nil"/>
              <w:bottom w:val="nil"/>
              <w:right w:val="single" w:sz="8" w:space="0" w:color="002060"/>
            </w:tcBorders>
            <w:shd w:val="clear" w:color="auto" w:fill="auto"/>
            <w:noWrap/>
            <w:vAlign w:val="center"/>
            <w:hideMark/>
          </w:tcPr>
          <w:p w14:paraId="789F9FB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1.93</w:t>
            </w:r>
          </w:p>
        </w:tc>
        <w:tc>
          <w:tcPr>
            <w:tcW w:w="880" w:type="dxa"/>
            <w:vMerge/>
            <w:tcBorders>
              <w:top w:val="single" w:sz="8" w:space="0" w:color="002060"/>
              <w:left w:val="single" w:sz="8" w:space="0" w:color="002060"/>
              <w:bottom w:val="nil"/>
              <w:right w:val="single" w:sz="8" w:space="0" w:color="002060"/>
            </w:tcBorders>
            <w:vAlign w:val="center"/>
            <w:hideMark/>
          </w:tcPr>
          <w:p w14:paraId="1EC04C6A"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524032E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226</w:t>
            </w:r>
          </w:p>
        </w:tc>
        <w:tc>
          <w:tcPr>
            <w:tcW w:w="596" w:type="dxa"/>
            <w:tcBorders>
              <w:top w:val="nil"/>
              <w:left w:val="nil"/>
              <w:bottom w:val="nil"/>
              <w:right w:val="nil"/>
            </w:tcBorders>
            <w:shd w:val="clear" w:color="auto" w:fill="auto"/>
            <w:noWrap/>
            <w:vAlign w:val="center"/>
            <w:hideMark/>
          </w:tcPr>
          <w:p w14:paraId="03ECE0A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1.65</w:t>
            </w:r>
          </w:p>
        </w:tc>
        <w:tc>
          <w:tcPr>
            <w:tcW w:w="716" w:type="dxa"/>
            <w:tcBorders>
              <w:top w:val="nil"/>
              <w:left w:val="nil"/>
              <w:bottom w:val="nil"/>
              <w:right w:val="nil"/>
            </w:tcBorders>
            <w:shd w:val="clear" w:color="auto" w:fill="auto"/>
            <w:noWrap/>
            <w:vAlign w:val="center"/>
            <w:hideMark/>
          </w:tcPr>
          <w:p w14:paraId="3173CE6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1.02</w:t>
            </w:r>
          </w:p>
        </w:tc>
        <w:tc>
          <w:tcPr>
            <w:tcW w:w="556" w:type="dxa"/>
            <w:tcBorders>
              <w:top w:val="nil"/>
              <w:left w:val="nil"/>
              <w:bottom w:val="nil"/>
              <w:right w:val="nil"/>
            </w:tcBorders>
            <w:shd w:val="clear" w:color="auto" w:fill="auto"/>
            <w:noWrap/>
            <w:vAlign w:val="center"/>
            <w:hideMark/>
          </w:tcPr>
          <w:p w14:paraId="42C2D7F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w:t>
            </w:r>
          </w:p>
        </w:tc>
        <w:tc>
          <w:tcPr>
            <w:tcW w:w="596" w:type="dxa"/>
            <w:tcBorders>
              <w:top w:val="nil"/>
              <w:left w:val="nil"/>
              <w:bottom w:val="nil"/>
              <w:right w:val="nil"/>
            </w:tcBorders>
            <w:shd w:val="clear" w:color="auto" w:fill="auto"/>
            <w:noWrap/>
            <w:vAlign w:val="center"/>
            <w:hideMark/>
          </w:tcPr>
          <w:p w14:paraId="47E399D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9.23</w:t>
            </w:r>
          </w:p>
        </w:tc>
        <w:tc>
          <w:tcPr>
            <w:tcW w:w="796" w:type="dxa"/>
            <w:tcBorders>
              <w:top w:val="nil"/>
              <w:left w:val="nil"/>
              <w:bottom w:val="nil"/>
              <w:right w:val="nil"/>
            </w:tcBorders>
            <w:shd w:val="clear" w:color="auto" w:fill="auto"/>
            <w:noWrap/>
            <w:vAlign w:val="center"/>
            <w:hideMark/>
          </w:tcPr>
          <w:p w14:paraId="01926E2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1.42</w:t>
            </w:r>
          </w:p>
        </w:tc>
        <w:tc>
          <w:tcPr>
            <w:tcW w:w="528" w:type="dxa"/>
            <w:tcBorders>
              <w:top w:val="nil"/>
              <w:left w:val="nil"/>
              <w:bottom w:val="nil"/>
              <w:right w:val="nil"/>
            </w:tcBorders>
            <w:shd w:val="clear" w:color="auto" w:fill="auto"/>
            <w:noWrap/>
            <w:vAlign w:val="center"/>
            <w:hideMark/>
          </w:tcPr>
          <w:p w14:paraId="6999ABB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1.14</w:t>
            </w:r>
          </w:p>
        </w:tc>
        <w:tc>
          <w:tcPr>
            <w:tcW w:w="540" w:type="dxa"/>
            <w:tcBorders>
              <w:top w:val="nil"/>
              <w:left w:val="nil"/>
              <w:bottom w:val="nil"/>
              <w:right w:val="single" w:sz="8" w:space="0" w:color="002060"/>
            </w:tcBorders>
            <w:shd w:val="clear" w:color="auto" w:fill="auto"/>
            <w:noWrap/>
            <w:vAlign w:val="center"/>
            <w:hideMark/>
          </w:tcPr>
          <w:p w14:paraId="475D262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1.83</w:t>
            </w:r>
          </w:p>
        </w:tc>
      </w:tr>
      <w:tr w:rsidR="00AE564D" w:rsidRPr="00917EEE" w14:paraId="48E8E3EB" w14:textId="77777777" w:rsidTr="00917EEE">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63FDBEA4"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1887748B"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1F8EBF9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42595F3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49</w:t>
            </w:r>
          </w:p>
        </w:tc>
        <w:tc>
          <w:tcPr>
            <w:tcW w:w="656" w:type="dxa"/>
            <w:tcBorders>
              <w:top w:val="nil"/>
              <w:left w:val="nil"/>
              <w:bottom w:val="nil"/>
              <w:right w:val="nil"/>
            </w:tcBorders>
            <w:shd w:val="clear" w:color="auto" w:fill="auto"/>
            <w:noWrap/>
            <w:vAlign w:val="center"/>
            <w:hideMark/>
          </w:tcPr>
          <w:p w14:paraId="79A7C7B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1.27</w:t>
            </w:r>
          </w:p>
        </w:tc>
        <w:tc>
          <w:tcPr>
            <w:tcW w:w="776" w:type="dxa"/>
            <w:tcBorders>
              <w:top w:val="nil"/>
              <w:left w:val="nil"/>
              <w:bottom w:val="nil"/>
              <w:right w:val="nil"/>
            </w:tcBorders>
            <w:shd w:val="clear" w:color="auto" w:fill="auto"/>
            <w:noWrap/>
            <w:vAlign w:val="center"/>
            <w:hideMark/>
          </w:tcPr>
          <w:p w14:paraId="34A6349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0.55</w:t>
            </w:r>
          </w:p>
        </w:tc>
        <w:tc>
          <w:tcPr>
            <w:tcW w:w="596" w:type="dxa"/>
            <w:tcBorders>
              <w:top w:val="nil"/>
              <w:left w:val="nil"/>
              <w:bottom w:val="nil"/>
              <w:right w:val="nil"/>
            </w:tcBorders>
            <w:shd w:val="clear" w:color="auto" w:fill="auto"/>
            <w:noWrap/>
            <w:vAlign w:val="center"/>
            <w:hideMark/>
          </w:tcPr>
          <w:p w14:paraId="673C4EC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w:t>
            </w:r>
          </w:p>
        </w:tc>
        <w:tc>
          <w:tcPr>
            <w:tcW w:w="636" w:type="dxa"/>
            <w:tcBorders>
              <w:top w:val="nil"/>
              <w:left w:val="nil"/>
              <w:bottom w:val="nil"/>
              <w:right w:val="nil"/>
            </w:tcBorders>
            <w:shd w:val="clear" w:color="auto" w:fill="auto"/>
            <w:noWrap/>
            <w:vAlign w:val="center"/>
            <w:hideMark/>
          </w:tcPr>
          <w:p w14:paraId="0FA83FC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2.65</w:t>
            </w:r>
          </w:p>
        </w:tc>
        <w:tc>
          <w:tcPr>
            <w:tcW w:w="776" w:type="dxa"/>
            <w:tcBorders>
              <w:top w:val="nil"/>
              <w:left w:val="nil"/>
              <w:bottom w:val="nil"/>
              <w:right w:val="nil"/>
            </w:tcBorders>
            <w:shd w:val="clear" w:color="auto" w:fill="auto"/>
            <w:noWrap/>
            <w:vAlign w:val="center"/>
            <w:hideMark/>
          </w:tcPr>
          <w:p w14:paraId="44A29FD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1.18</w:t>
            </w:r>
          </w:p>
        </w:tc>
        <w:tc>
          <w:tcPr>
            <w:tcW w:w="588" w:type="dxa"/>
            <w:tcBorders>
              <w:top w:val="nil"/>
              <w:left w:val="nil"/>
              <w:bottom w:val="nil"/>
              <w:right w:val="nil"/>
            </w:tcBorders>
            <w:shd w:val="clear" w:color="auto" w:fill="auto"/>
            <w:noWrap/>
            <w:vAlign w:val="center"/>
            <w:hideMark/>
          </w:tcPr>
          <w:p w14:paraId="2DD9BA1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0.81</w:t>
            </w:r>
          </w:p>
        </w:tc>
        <w:tc>
          <w:tcPr>
            <w:tcW w:w="580" w:type="dxa"/>
            <w:tcBorders>
              <w:top w:val="nil"/>
              <w:left w:val="nil"/>
              <w:bottom w:val="nil"/>
              <w:right w:val="single" w:sz="8" w:space="0" w:color="002060"/>
            </w:tcBorders>
            <w:shd w:val="clear" w:color="auto" w:fill="auto"/>
            <w:noWrap/>
            <w:vAlign w:val="center"/>
            <w:hideMark/>
          </w:tcPr>
          <w:p w14:paraId="14C4E1C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1.65</w:t>
            </w:r>
          </w:p>
        </w:tc>
        <w:tc>
          <w:tcPr>
            <w:tcW w:w="880" w:type="dxa"/>
            <w:vMerge/>
            <w:tcBorders>
              <w:top w:val="single" w:sz="8" w:space="0" w:color="002060"/>
              <w:left w:val="single" w:sz="8" w:space="0" w:color="002060"/>
              <w:bottom w:val="nil"/>
              <w:right w:val="single" w:sz="8" w:space="0" w:color="002060"/>
            </w:tcBorders>
            <w:vAlign w:val="center"/>
            <w:hideMark/>
          </w:tcPr>
          <w:p w14:paraId="6016EFA0"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6AF3C6E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169</w:t>
            </w:r>
          </w:p>
        </w:tc>
        <w:tc>
          <w:tcPr>
            <w:tcW w:w="596" w:type="dxa"/>
            <w:tcBorders>
              <w:top w:val="nil"/>
              <w:left w:val="nil"/>
              <w:bottom w:val="nil"/>
              <w:right w:val="nil"/>
            </w:tcBorders>
            <w:shd w:val="clear" w:color="auto" w:fill="auto"/>
            <w:noWrap/>
            <w:vAlign w:val="center"/>
            <w:hideMark/>
          </w:tcPr>
          <w:p w14:paraId="2521AC5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1.59</w:t>
            </w:r>
          </w:p>
        </w:tc>
        <w:tc>
          <w:tcPr>
            <w:tcW w:w="716" w:type="dxa"/>
            <w:tcBorders>
              <w:top w:val="nil"/>
              <w:left w:val="nil"/>
              <w:bottom w:val="nil"/>
              <w:right w:val="nil"/>
            </w:tcBorders>
            <w:shd w:val="clear" w:color="auto" w:fill="auto"/>
            <w:noWrap/>
            <w:vAlign w:val="center"/>
            <w:hideMark/>
          </w:tcPr>
          <w:p w14:paraId="17DC353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0.67</w:t>
            </w:r>
          </w:p>
        </w:tc>
        <w:tc>
          <w:tcPr>
            <w:tcW w:w="556" w:type="dxa"/>
            <w:tcBorders>
              <w:top w:val="nil"/>
              <w:left w:val="nil"/>
              <w:bottom w:val="nil"/>
              <w:right w:val="nil"/>
            </w:tcBorders>
            <w:shd w:val="clear" w:color="auto" w:fill="auto"/>
            <w:noWrap/>
            <w:vAlign w:val="center"/>
            <w:hideMark/>
          </w:tcPr>
          <w:p w14:paraId="75F2ECC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w:t>
            </w:r>
          </w:p>
        </w:tc>
        <w:tc>
          <w:tcPr>
            <w:tcW w:w="596" w:type="dxa"/>
            <w:tcBorders>
              <w:top w:val="nil"/>
              <w:left w:val="nil"/>
              <w:bottom w:val="nil"/>
              <w:right w:val="nil"/>
            </w:tcBorders>
            <w:shd w:val="clear" w:color="auto" w:fill="auto"/>
            <w:noWrap/>
            <w:vAlign w:val="center"/>
            <w:hideMark/>
          </w:tcPr>
          <w:p w14:paraId="0373628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3.13</w:t>
            </w:r>
          </w:p>
        </w:tc>
        <w:tc>
          <w:tcPr>
            <w:tcW w:w="796" w:type="dxa"/>
            <w:tcBorders>
              <w:top w:val="nil"/>
              <w:left w:val="nil"/>
              <w:bottom w:val="nil"/>
              <w:right w:val="nil"/>
            </w:tcBorders>
            <w:shd w:val="clear" w:color="auto" w:fill="auto"/>
            <w:noWrap/>
            <w:vAlign w:val="center"/>
            <w:hideMark/>
          </w:tcPr>
          <w:p w14:paraId="7C9841E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1.40</w:t>
            </w:r>
          </w:p>
        </w:tc>
        <w:tc>
          <w:tcPr>
            <w:tcW w:w="528" w:type="dxa"/>
            <w:tcBorders>
              <w:top w:val="nil"/>
              <w:left w:val="nil"/>
              <w:bottom w:val="nil"/>
              <w:right w:val="nil"/>
            </w:tcBorders>
            <w:shd w:val="clear" w:color="auto" w:fill="auto"/>
            <w:noWrap/>
            <w:vAlign w:val="center"/>
            <w:hideMark/>
          </w:tcPr>
          <w:p w14:paraId="7824A80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1.00</w:t>
            </w:r>
          </w:p>
        </w:tc>
        <w:tc>
          <w:tcPr>
            <w:tcW w:w="540" w:type="dxa"/>
            <w:tcBorders>
              <w:top w:val="nil"/>
              <w:left w:val="nil"/>
              <w:bottom w:val="nil"/>
              <w:right w:val="single" w:sz="8" w:space="0" w:color="002060"/>
            </w:tcBorders>
            <w:shd w:val="clear" w:color="auto" w:fill="auto"/>
            <w:noWrap/>
            <w:vAlign w:val="center"/>
            <w:hideMark/>
          </w:tcPr>
          <w:p w14:paraId="314F43C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2.12</w:t>
            </w:r>
          </w:p>
        </w:tc>
      </w:tr>
      <w:tr w:rsidR="00AE564D" w:rsidRPr="00917EEE" w14:paraId="6EC1C6E3" w14:textId="77777777" w:rsidTr="00917EEE">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297C7D0C"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27D6048F"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5879BB9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Med Fresh</w:t>
            </w:r>
          </w:p>
        </w:tc>
        <w:tc>
          <w:tcPr>
            <w:tcW w:w="536" w:type="dxa"/>
            <w:tcBorders>
              <w:top w:val="nil"/>
              <w:left w:val="nil"/>
              <w:bottom w:val="nil"/>
              <w:right w:val="nil"/>
            </w:tcBorders>
            <w:shd w:val="clear" w:color="auto" w:fill="auto"/>
            <w:noWrap/>
            <w:vAlign w:val="center"/>
            <w:hideMark/>
          </w:tcPr>
          <w:p w14:paraId="511D667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85</w:t>
            </w:r>
          </w:p>
        </w:tc>
        <w:tc>
          <w:tcPr>
            <w:tcW w:w="656" w:type="dxa"/>
            <w:tcBorders>
              <w:top w:val="nil"/>
              <w:left w:val="nil"/>
              <w:bottom w:val="nil"/>
              <w:right w:val="nil"/>
            </w:tcBorders>
            <w:shd w:val="clear" w:color="auto" w:fill="auto"/>
            <w:noWrap/>
            <w:vAlign w:val="center"/>
            <w:hideMark/>
          </w:tcPr>
          <w:p w14:paraId="6FEFE2C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0.76</w:t>
            </w:r>
          </w:p>
        </w:tc>
        <w:tc>
          <w:tcPr>
            <w:tcW w:w="776" w:type="dxa"/>
            <w:tcBorders>
              <w:top w:val="nil"/>
              <w:left w:val="nil"/>
              <w:bottom w:val="nil"/>
              <w:right w:val="nil"/>
            </w:tcBorders>
            <w:shd w:val="clear" w:color="auto" w:fill="auto"/>
            <w:noWrap/>
            <w:vAlign w:val="center"/>
            <w:hideMark/>
          </w:tcPr>
          <w:p w14:paraId="60DCC5E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0.39</w:t>
            </w:r>
          </w:p>
        </w:tc>
        <w:tc>
          <w:tcPr>
            <w:tcW w:w="596" w:type="dxa"/>
            <w:tcBorders>
              <w:top w:val="nil"/>
              <w:left w:val="nil"/>
              <w:bottom w:val="nil"/>
              <w:right w:val="nil"/>
            </w:tcBorders>
            <w:shd w:val="clear" w:color="auto" w:fill="auto"/>
            <w:noWrap/>
            <w:vAlign w:val="center"/>
            <w:hideMark/>
          </w:tcPr>
          <w:p w14:paraId="10A25E9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0.14</w:t>
            </w:r>
          </w:p>
        </w:tc>
        <w:tc>
          <w:tcPr>
            <w:tcW w:w="636" w:type="dxa"/>
            <w:tcBorders>
              <w:top w:val="nil"/>
              <w:left w:val="nil"/>
              <w:bottom w:val="nil"/>
              <w:right w:val="nil"/>
            </w:tcBorders>
            <w:shd w:val="clear" w:color="auto" w:fill="auto"/>
            <w:noWrap/>
            <w:vAlign w:val="center"/>
            <w:hideMark/>
          </w:tcPr>
          <w:p w14:paraId="40133E2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2.00</w:t>
            </w:r>
          </w:p>
        </w:tc>
        <w:tc>
          <w:tcPr>
            <w:tcW w:w="776" w:type="dxa"/>
            <w:tcBorders>
              <w:top w:val="nil"/>
              <w:left w:val="nil"/>
              <w:bottom w:val="nil"/>
              <w:right w:val="nil"/>
            </w:tcBorders>
            <w:shd w:val="clear" w:color="auto" w:fill="auto"/>
            <w:noWrap/>
            <w:vAlign w:val="center"/>
            <w:hideMark/>
          </w:tcPr>
          <w:p w14:paraId="3D44A86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0.73</w:t>
            </w:r>
          </w:p>
        </w:tc>
        <w:tc>
          <w:tcPr>
            <w:tcW w:w="588" w:type="dxa"/>
            <w:tcBorders>
              <w:top w:val="nil"/>
              <w:left w:val="nil"/>
              <w:bottom w:val="nil"/>
              <w:right w:val="nil"/>
            </w:tcBorders>
            <w:shd w:val="clear" w:color="auto" w:fill="auto"/>
            <w:noWrap/>
            <w:vAlign w:val="center"/>
            <w:hideMark/>
          </w:tcPr>
          <w:p w14:paraId="0DFD346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0.46</w:t>
            </w:r>
          </w:p>
        </w:tc>
        <w:tc>
          <w:tcPr>
            <w:tcW w:w="580" w:type="dxa"/>
            <w:tcBorders>
              <w:top w:val="nil"/>
              <w:left w:val="nil"/>
              <w:bottom w:val="nil"/>
              <w:right w:val="single" w:sz="8" w:space="0" w:color="002060"/>
            </w:tcBorders>
            <w:shd w:val="clear" w:color="auto" w:fill="auto"/>
            <w:noWrap/>
            <w:vAlign w:val="center"/>
            <w:hideMark/>
          </w:tcPr>
          <w:p w14:paraId="45D0747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0.99</w:t>
            </w:r>
          </w:p>
        </w:tc>
        <w:tc>
          <w:tcPr>
            <w:tcW w:w="880" w:type="dxa"/>
            <w:vMerge/>
            <w:tcBorders>
              <w:top w:val="single" w:sz="8" w:space="0" w:color="002060"/>
              <w:left w:val="single" w:sz="8" w:space="0" w:color="002060"/>
              <w:bottom w:val="nil"/>
              <w:right w:val="single" w:sz="8" w:space="0" w:color="002060"/>
            </w:tcBorders>
            <w:vAlign w:val="center"/>
            <w:hideMark/>
          </w:tcPr>
          <w:p w14:paraId="690FD3C9"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1F3CC3D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w:t>
            </w:r>
          </w:p>
        </w:tc>
        <w:tc>
          <w:tcPr>
            <w:tcW w:w="596" w:type="dxa"/>
            <w:tcBorders>
              <w:top w:val="nil"/>
              <w:left w:val="nil"/>
              <w:bottom w:val="nil"/>
              <w:right w:val="nil"/>
            </w:tcBorders>
            <w:shd w:val="clear" w:color="auto" w:fill="auto"/>
            <w:noWrap/>
            <w:vAlign w:val="center"/>
            <w:hideMark/>
          </w:tcPr>
          <w:p w14:paraId="79314E84" w14:textId="77777777" w:rsidR="00AE564D" w:rsidRPr="00917EEE" w:rsidRDefault="00AE564D" w:rsidP="00E26D3C">
            <w:pPr>
              <w:spacing w:after="0" w:line="240" w:lineRule="auto"/>
              <w:jc w:val="center"/>
              <w:rPr>
                <w:rFonts w:eastAsia="Times New Roman" w:cstheme="minorHAnsi"/>
                <w:color w:val="000000"/>
                <w:sz w:val="18"/>
                <w:szCs w:val="18"/>
                <w:lang w:eastAsia="en-AU"/>
              </w:rPr>
            </w:pPr>
          </w:p>
        </w:tc>
        <w:tc>
          <w:tcPr>
            <w:tcW w:w="716" w:type="dxa"/>
            <w:tcBorders>
              <w:top w:val="nil"/>
              <w:left w:val="nil"/>
              <w:bottom w:val="nil"/>
              <w:right w:val="nil"/>
            </w:tcBorders>
            <w:shd w:val="clear" w:color="auto" w:fill="auto"/>
            <w:noWrap/>
            <w:vAlign w:val="center"/>
            <w:hideMark/>
          </w:tcPr>
          <w:p w14:paraId="739E0820" w14:textId="77777777" w:rsidR="00AE564D" w:rsidRPr="00917EEE" w:rsidRDefault="00AE564D" w:rsidP="00E26D3C">
            <w:pPr>
              <w:spacing w:after="0" w:line="240" w:lineRule="auto"/>
              <w:jc w:val="center"/>
              <w:rPr>
                <w:rFonts w:eastAsia="Times New Roman" w:cstheme="minorHAnsi"/>
                <w:sz w:val="18"/>
                <w:szCs w:val="18"/>
                <w:lang w:eastAsia="en-AU"/>
              </w:rPr>
            </w:pPr>
          </w:p>
        </w:tc>
        <w:tc>
          <w:tcPr>
            <w:tcW w:w="556" w:type="dxa"/>
            <w:tcBorders>
              <w:top w:val="nil"/>
              <w:left w:val="nil"/>
              <w:bottom w:val="nil"/>
              <w:right w:val="nil"/>
            </w:tcBorders>
            <w:shd w:val="clear" w:color="auto" w:fill="auto"/>
            <w:noWrap/>
            <w:vAlign w:val="center"/>
            <w:hideMark/>
          </w:tcPr>
          <w:p w14:paraId="10AA9C4E" w14:textId="77777777" w:rsidR="00AE564D" w:rsidRPr="00917EEE" w:rsidRDefault="00AE564D" w:rsidP="00E26D3C">
            <w:pPr>
              <w:spacing w:after="0" w:line="240" w:lineRule="auto"/>
              <w:jc w:val="center"/>
              <w:rPr>
                <w:rFonts w:eastAsia="Times New Roman" w:cstheme="minorHAnsi"/>
                <w:sz w:val="18"/>
                <w:szCs w:val="18"/>
                <w:lang w:eastAsia="en-AU"/>
              </w:rPr>
            </w:pPr>
          </w:p>
        </w:tc>
        <w:tc>
          <w:tcPr>
            <w:tcW w:w="596" w:type="dxa"/>
            <w:tcBorders>
              <w:top w:val="nil"/>
              <w:left w:val="nil"/>
              <w:bottom w:val="nil"/>
              <w:right w:val="nil"/>
            </w:tcBorders>
            <w:shd w:val="clear" w:color="auto" w:fill="auto"/>
            <w:noWrap/>
            <w:vAlign w:val="center"/>
            <w:hideMark/>
          </w:tcPr>
          <w:p w14:paraId="7C3B065E" w14:textId="77777777" w:rsidR="00AE564D" w:rsidRPr="00917EEE" w:rsidRDefault="00AE564D" w:rsidP="00E26D3C">
            <w:pPr>
              <w:spacing w:after="0" w:line="240" w:lineRule="auto"/>
              <w:jc w:val="center"/>
              <w:rPr>
                <w:rFonts w:eastAsia="Times New Roman" w:cstheme="minorHAnsi"/>
                <w:sz w:val="18"/>
                <w:szCs w:val="18"/>
                <w:lang w:eastAsia="en-AU"/>
              </w:rPr>
            </w:pPr>
          </w:p>
        </w:tc>
        <w:tc>
          <w:tcPr>
            <w:tcW w:w="796" w:type="dxa"/>
            <w:tcBorders>
              <w:top w:val="nil"/>
              <w:left w:val="nil"/>
              <w:bottom w:val="nil"/>
              <w:right w:val="nil"/>
            </w:tcBorders>
            <w:shd w:val="clear" w:color="auto" w:fill="auto"/>
            <w:noWrap/>
            <w:vAlign w:val="center"/>
            <w:hideMark/>
          </w:tcPr>
          <w:p w14:paraId="7F704087" w14:textId="77777777" w:rsidR="00AE564D" w:rsidRPr="00917EEE" w:rsidRDefault="00AE564D" w:rsidP="00E26D3C">
            <w:pPr>
              <w:spacing w:after="0" w:line="240" w:lineRule="auto"/>
              <w:jc w:val="center"/>
              <w:rPr>
                <w:rFonts w:eastAsia="Times New Roman" w:cstheme="minorHAnsi"/>
                <w:sz w:val="18"/>
                <w:szCs w:val="18"/>
                <w:lang w:eastAsia="en-AU"/>
              </w:rPr>
            </w:pPr>
          </w:p>
        </w:tc>
        <w:tc>
          <w:tcPr>
            <w:tcW w:w="528" w:type="dxa"/>
            <w:tcBorders>
              <w:top w:val="nil"/>
              <w:left w:val="nil"/>
              <w:bottom w:val="nil"/>
              <w:right w:val="nil"/>
            </w:tcBorders>
            <w:shd w:val="clear" w:color="auto" w:fill="auto"/>
            <w:noWrap/>
            <w:vAlign w:val="center"/>
            <w:hideMark/>
          </w:tcPr>
          <w:p w14:paraId="106868F7" w14:textId="77777777" w:rsidR="00AE564D" w:rsidRPr="00917EEE" w:rsidRDefault="00AE564D" w:rsidP="00E26D3C">
            <w:pPr>
              <w:spacing w:after="0" w:line="240" w:lineRule="auto"/>
              <w:jc w:val="center"/>
              <w:rPr>
                <w:rFonts w:eastAsia="Times New Roman" w:cstheme="minorHAnsi"/>
                <w:sz w:val="18"/>
                <w:szCs w:val="18"/>
                <w:lang w:eastAsia="en-AU"/>
              </w:rPr>
            </w:pPr>
          </w:p>
        </w:tc>
        <w:tc>
          <w:tcPr>
            <w:tcW w:w="540" w:type="dxa"/>
            <w:tcBorders>
              <w:top w:val="nil"/>
              <w:left w:val="nil"/>
              <w:bottom w:val="nil"/>
              <w:right w:val="single" w:sz="8" w:space="0" w:color="002060"/>
            </w:tcBorders>
            <w:shd w:val="clear" w:color="auto" w:fill="auto"/>
            <w:noWrap/>
            <w:vAlign w:val="center"/>
            <w:hideMark/>
          </w:tcPr>
          <w:p w14:paraId="108F9131" w14:textId="77777777" w:rsidR="00AE564D" w:rsidRPr="00917EEE" w:rsidRDefault="00AE564D" w:rsidP="00E26D3C">
            <w:pPr>
              <w:spacing w:after="0" w:line="240" w:lineRule="auto"/>
              <w:jc w:val="center"/>
              <w:rPr>
                <w:rFonts w:eastAsia="Times New Roman" w:cstheme="minorHAnsi"/>
                <w:color w:val="FF0000"/>
                <w:sz w:val="18"/>
                <w:szCs w:val="18"/>
                <w:lang w:eastAsia="en-AU"/>
              </w:rPr>
            </w:pPr>
            <w:r w:rsidRPr="00917EEE">
              <w:rPr>
                <w:rFonts w:eastAsia="Times New Roman" w:cstheme="minorHAnsi"/>
                <w:color w:val="FF0000"/>
                <w:sz w:val="18"/>
                <w:szCs w:val="18"/>
                <w:lang w:eastAsia="en-AU"/>
              </w:rPr>
              <w:t> </w:t>
            </w:r>
          </w:p>
        </w:tc>
      </w:tr>
      <w:tr w:rsidR="00AE564D" w:rsidRPr="00917EEE" w14:paraId="6FF5BCFF" w14:textId="77777777" w:rsidTr="00917EEE">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1AF7D440"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3096506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Moss Rd / Day Rd / Murchison</w:t>
            </w:r>
          </w:p>
        </w:tc>
        <w:tc>
          <w:tcPr>
            <w:tcW w:w="1008" w:type="dxa"/>
            <w:tcBorders>
              <w:top w:val="single" w:sz="8" w:space="0" w:color="002060"/>
              <w:left w:val="nil"/>
              <w:bottom w:val="nil"/>
              <w:right w:val="nil"/>
            </w:tcBorders>
            <w:shd w:val="clear" w:color="auto" w:fill="auto"/>
            <w:noWrap/>
            <w:vAlign w:val="center"/>
            <w:hideMark/>
          </w:tcPr>
          <w:p w14:paraId="1196446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Very Low</w:t>
            </w:r>
          </w:p>
        </w:tc>
        <w:tc>
          <w:tcPr>
            <w:tcW w:w="536" w:type="dxa"/>
            <w:tcBorders>
              <w:top w:val="single" w:sz="8" w:space="0" w:color="002060"/>
              <w:left w:val="nil"/>
              <w:bottom w:val="nil"/>
              <w:right w:val="nil"/>
            </w:tcBorders>
            <w:shd w:val="clear" w:color="auto" w:fill="auto"/>
            <w:noWrap/>
            <w:vAlign w:val="center"/>
            <w:hideMark/>
          </w:tcPr>
          <w:p w14:paraId="4CCAC88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42</w:t>
            </w:r>
          </w:p>
        </w:tc>
        <w:tc>
          <w:tcPr>
            <w:tcW w:w="656" w:type="dxa"/>
            <w:tcBorders>
              <w:top w:val="single" w:sz="8" w:space="0" w:color="002060"/>
              <w:left w:val="nil"/>
              <w:bottom w:val="nil"/>
              <w:right w:val="nil"/>
            </w:tcBorders>
            <w:shd w:val="clear" w:color="auto" w:fill="auto"/>
            <w:noWrap/>
            <w:vAlign w:val="center"/>
            <w:hideMark/>
          </w:tcPr>
          <w:p w14:paraId="1A7AF9B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3.73</w:t>
            </w:r>
          </w:p>
        </w:tc>
        <w:tc>
          <w:tcPr>
            <w:tcW w:w="776" w:type="dxa"/>
            <w:tcBorders>
              <w:top w:val="single" w:sz="8" w:space="0" w:color="002060"/>
              <w:left w:val="nil"/>
              <w:bottom w:val="nil"/>
              <w:right w:val="nil"/>
            </w:tcBorders>
            <w:shd w:val="clear" w:color="auto" w:fill="auto"/>
            <w:noWrap/>
            <w:vAlign w:val="center"/>
            <w:hideMark/>
          </w:tcPr>
          <w:p w14:paraId="7AC9ECA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3.38</w:t>
            </w:r>
          </w:p>
        </w:tc>
        <w:tc>
          <w:tcPr>
            <w:tcW w:w="596" w:type="dxa"/>
            <w:tcBorders>
              <w:top w:val="single" w:sz="8" w:space="0" w:color="002060"/>
              <w:left w:val="nil"/>
              <w:bottom w:val="nil"/>
              <w:right w:val="nil"/>
            </w:tcBorders>
            <w:shd w:val="clear" w:color="auto" w:fill="auto"/>
            <w:noWrap/>
            <w:vAlign w:val="center"/>
            <w:hideMark/>
          </w:tcPr>
          <w:p w14:paraId="2F892F2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w:t>
            </w:r>
          </w:p>
        </w:tc>
        <w:tc>
          <w:tcPr>
            <w:tcW w:w="636" w:type="dxa"/>
            <w:tcBorders>
              <w:top w:val="single" w:sz="8" w:space="0" w:color="002060"/>
              <w:left w:val="nil"/>
              <w:bottom w:val="nil"/>
              <w:right w:val="nil"/>
            </w:tcBorders>
            <w:shd w:val="clear" w:color="auto" w:fill="auto"/>
            <w:noWrap/>
            <w:vAlign w:val="center"/>
            <w:hideMark/>
          </w:tcPr>
          <w:p w14:paraId="3CE25BC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11.5</w:t>
            </w:r>
          </w:p>
        </w:tc>
        <w:tc>
          <w:tcPr>
            <w:tcW w:w="776" w:type="dxa"/>
            <w:tcBorders>
              <w:top w:val="single" w:sz="8" w:space="0" w:color="002060"/>
              <w:left w:val="nil"/>
              <w:bottom w:val="nil"/>
              <w:right w:val="nil"/>
            </w:tcBorders>
            <w:shd w:val="clear" w:color="auto" w:fill="auto"/>
            <w:noWrap/>
            <w:vAlign w:val="center"/>
            <w:hideMark/>
          </w:tcPr>
          <w:p w14:paraId="52E8E4F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2.04</w:t>
            </w:r>
          </w:p>
        </w:tc>
        <w:tc>
          <w:tcPr>
            <w:tcW w:w="588" w:type="dxa"/>
            <w:tcBorders>
              <w:top w:val="single" w:sz="8" w:space="0" w:color="002060"/>
              <w:left w:val="nil"/>
              <w:bottom w:val="nil"/>
              <w:right w:val="nil"/>
            </w:tcBorders>
            <w:shd w:val="clear" w:color="auto" w:fill="auto"/>
            <w:noWrap/>
            <w:vAlign w:val="center"/>
            <w:hideMark/>
          </w:tcPr>
          <w:p w14:paraId="4BA4F6F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1.12</w:t>
            </w:r>
          </w:p>
        </w:tc>
        <w:tc>
          <w:tcPr>
            <w:tcW w:w="580" w:type="dxa"/>
            <w:tcBorders>
              <w:top w:val="single" w:sz="8" w:space="0" w:color="002060"/>
              <w:left w:val="nil"/>
              <w:bottom w:val="nil"/>
              <w:right w:val="single" w:sz="8" w:space="0" w:color="002060"/>
            </w:tcBorders>
            <w:shd w:val="clear" w:color="auto" w:fill="auto"/>
            <w:noWrap/>
            <w:vAlign w:val="center"/>
            <w:hideMark/>
          </w:tcPr>
          <w:p w14:paraId="12A2C7F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6.05</w:t>
            </w:r>
          </w:p>
        </w:tc>
        <w:tc>
          <w:tcPr>
            <w:tcW w:w="880" w:type="dxa"/>
            <w:vMerge/>
            <w:tcBorders>
              <w:top w:val="single" w:sz="8" w:space="0" w:color="002060"/>
              <w:left w:val="single" w:sz="8" w:space="0" w:color="002060"/>
              <w:bottom w:val="nil"/>
              <w:right w:val="single" w:sz="8" w:space="0" w:color="002060"/>
            </w:tcBorders>
            <w:vAlign w:val="center"/>
            <w:hideMark/>
          </w:tcPr>
          <w:p w14:paraId="09DDC944"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single" w:sz="8" w:space="0" w:color="002060"/>
              <w:left w:val="nil"/>
              <w:bottom w:val="nil"/>
              <w:right w:val="nil"/>
            </w:tcBorders>
            <w:shd w:val="clear" w:color="auto" w:fill="auto"/>
            <w:noWrap/>
            <w:vAlign w:val="center"/>
            <w:hideMark/>
          </w:tcPr>
          <w:p w14:paraId="1C7EDF3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30</w:t>
            </w:r>
          </w:p>
        </w:tc>
        <w:tc>
          <w:tcPr>
            <w:tcW w:w="596" w:type="dxa"/>
            <w:tcBorders>
              <w:top w:val="single" w:sz="8" w:space="0" w:color="002060"/>
              <w:left w:val="nil"/>
              <w:bottom w:val="nil"/>
              <w:right w:val="nil"/>
            </w:tcBorders>
            <w:shd w:val="clear" w:color="auto" w:fill="auto"/>
            <w:noWrap/>
            <w:vAlign w:val="center"/>
            <w:hideMark/>
          </w:tcPr>
          <w:p w14:paraId="4A460C9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7.04</w:t>
            </w:r>
          </w:p>
        </w:tc>
        <w:tc>
          <w:tcPr>
            <w:tcW w:w="716" w:type="dxa"/>
            <w:tcBorders>
              <w:top w:val="single" w:sz="8" w:space="0" w:color="002060"/>
              <w:left w:val="nil"/>
              <w:bottom w:val="nil"/>
              <w:right w:val="nil"/>
            </w:tcBorders>
            <w:shd w:val="clear" w:color="auto" w:fill="auto"/>
            <w:noWrap/>
            <w:vAlign w:val="center"/>
            <w:hideMark/>
          </w:tcPr>
          <w:p w14:paraId="7C5D948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5.02</w:t>
            </w:r>
          </w:p>
        </w:tc>
        <w:tc>
          <w:tcPr>
            <w:tcW w:w="556" w:type="dxa"/>
            <w:tcBorders>
              <w:top w:val="single" w:sz="8" w:space="0" w:color="002060"/>
              <w:left w:val="nil"/>
              <w:bottom w:val="nil"/>
              <w:right w:val="nil"/>
            </w:tcBorders>
            <w:shd w:val="clear" w:color="auto" w:fill="auto"/>
            <w:noWrap/>
            <w:vAlign w:val="center"/>
            <w:hideMark/>
          </w:tcPr>
          <w:p w14:paraId="2D180E8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w:t>
            </w:r>
          </w:p>
        </w:tc>
        <w:tc>
          <w:tcPr>
            <w:tcW w:w="596" w:type="dxa"/>
            <w:tcBorders>
              <w:top w:val="single" w:sz="8" w:space="0" w:color="002060"/>
              <w:left w:val="nil"/>
              <w:bottom w:val="nil"/>
              <w:right w:val="nil"/>
            </w:tcBorders>
            <w:shd w:val="clear" w:color="auto" w:fill="auto"/>
            <w:noWrap/>
            <w:vAlign w:val="center"/>
            <w:hideMark/>
          </w:tcPr>
          <w:p w14:paraId="0EF24B4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20.8</w:t>
            </w:r>
          </w:p>
        </w:tc>
        <w:tc>
          <w:tcPr>
            <w:tcW w:w="796" w:type="dxa"/>
            <w:tcBorders>
              <w:top w:val="single" w:sz="8" w:space="0" w:color="002060"/>
              <w:left w:val="nil"/>
              <w:bottom w:val="nil"/>
              <w:right w:val="nil"/>
            </w:tcBorders>
            <w:shd w:val="clear" w:color="auto" w:fill="auto"/>
            <w:noWrap/>
            <w:vAlign w:val="center"/>
            <w:hideMark/>
          </w:tcPr>
          <w:p w14:paraId="003DB9E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6.55</w:t>
            </w:r>
          </w:p>
        </w:tc>
        <w:tc>
          <w:tcPr>
            <w:tcW w:w="528" w:type="dxa"/>
            <w:tcBorders>
              <w:top w:val="single" w:sz="8" w:space="0" w:color="002060"/>
              <w:left w:val="nil"/>
              <w:bottom w:val="nil"/>
              <w:right w:val="nil"/>
            </w:tcBorders>
            <w:shd w:val="clear" w:color="auto" w:fill="auto"/>
            <w:noWrap/>
            <w:vAlign w:val="center"/>
            <w:hideMark/>
          </w:tcPr>
          <w:p w14:paraId="5B11C31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2.54</w:t>
            </w:r>
          </w:p>
        </w:tc>
        <w:tc>
          <w:tcPr>
            <w:tcW w:w="540" w:type="dxa"/>
            <w:tcBorders>
              <w:top w:val="single" w:sz="8" w:space="0" w:color="002060"/>
              <w:left w:val="nil"/>
              <w:bottom w:val="nil"/>
              <w:right w:val="single" w:sz="8" w:space="0" w:color="002060"/>
            </w:tcBorders>
            <w:shd w:val="clear" w:color="auto" w:fill="auto"/>
            <w:noWrap/>
            <w:vAlign w:val="center"/>
            <w:hideMark/>
          </w:tcPr>
          <w:p w14:paraId="5375F99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9.6</w:t>
            </w:r>
          </w:p>
        </w:tc>
      </w:tr>
      <w:tr w:rsidR="00AE564D" w:rsidRPr="00917EEE" w14:paraId="4FB056E5" w14:textId="77777777" w:rsidTr="00917EEE">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41606EFC"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2B8E8633"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15BF256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610A8FD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33</w:t>
            </w:r>
          </w:p>
        </w:tc>
        <w:tc>
          <w:tcPr>
            <w:tcW w:w="656" w:type="dxa"/>
            <w:tcBorders>
              <w:top w:val="nil"/>
              <w:left w:val="nil"/>
              <w:bottom w:val="nil"/>
              <w:right w:val="nil"/>
            </w:tcBorders>
            <w:shd w:val="clear" w:color="auto" w:fill="auto"/>
            <w:noWrap/>
            <w:vAlign w:val="center"/>
            <w:hideMark/>
          </w:tcPr>
          <w:p w14:paraId="6D3D50D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3.00</w:t>
            </w:r>
          </w:p>
        </w:tc>
        <w:tc>
          <w:tcPr>
            <w:tcW w:w="776" w:type="dxa"/>
            <w:tcBorders>
              <w:top w:val="nil"/>
              <w:left w:val="nil"/>
              <w:bottom w:val="nil"/>
              <w:right w:val="nil"/>
            </w:tcBorders>
            <w:shd w:val="clear" w:color="auto" w:fill="auto"/>
            <w:noWrap/>
            <w:vAlign w:val="center"/>
            <w:hideMark/>
          </w:tcPr>
          <w:p w14:paraId="6453669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2.52</w:t>
            </w:r>
          </w:p>
        </w:tc>
        <w:tc>
          <w:tcPr>
            <w:tcW w:w="596" w:type="dxa"/>
            <w:tcBorders>
              <w:top w:val="nil"/>
              <w:left w:val="nil"/>
              <w:bottom w:val="nil"/>
              <w:right w:val="nil"/>
            </w:tcBorders>
            <w:shd w:val="clear" w:color="auto" w:fill="auto"/>
            <w:noWrap/>
            <w:vAlign w:val="center"/>
            <w:hideMark/>
          </w:tcPr>
          <w:p w14:paraId="6E931C3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w:t>
            </w:r>
          </w:p>
        </w:tc>
        <w:tc>
          <w:tcPr>
            <w:tcW w:w="636" w:type="dxa"/>
            <w:tcBorders>
              <w:top w:val="nil"/>
              <w:left w:val="nil"/>
              <w:bottom w:val="nil"/>
              <w:right w:val="nil"/>
            </w:tcBorders>
            <w:shd w:val="clear" w:color="auto" w:fill="auto"/>
            <w:noWrap/>
            <w:vAlign w:val="center"/>
            <w:hideMark/>
          </w:tcPr>
          <w:p w14:paraId="1CADA19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10.3</w:t>
            </w:r>
          </w:p>
        </w:tc>
        <w:tc>
          <w:tcPr>
            <w:tcW w:w="776" w:type="dxa"/>
            <w:tcBorders>
              <w:top w:val="nil"/>
              <w:left w:val="nil"/>
              <w:bottom w:val="nil"/>
              <w:right w:val="nil"/>
            </w:tcBorders>
            <w:shd w:val="clear" w:color="auto" w:fill="auto"/>
            <w:noWrap/>
            <w:vAlign w:val="center"/>
            <w:hideMark/>
          </w:tcPr>
          <w:p w14:paraId="4C1D591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2.19</w:t>
            </w:r>
          </w:p>
        </w:tc>
        <w:tc>
          <w:tcPr>
            <w:tcW w:w="588" w:type="dxa"/>
            <w:tcBorders>
              <w:top w:val="nil"/>
              <w:left w:val="nil"/>
              <w:bottom w:val="nil"/>
              <w:right w:val="nil"/>
            </w:tcBorders>
            <w:shd w:val="clear" w:color="auto" w:fill="auto"/>
            <w:noWrap/>
            <w:vAlign w:val="center"/>
            <w:hideMark/>
          </w:tcPr>
          <w:p w14:paraId="1CF0113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0.94</w:t>
            </w:r>
          </w:p>
        </w:tc>
        <w:tc>
          <w:tcPr>
            <w:tcW w:w="580" w:type="dxa"/>
            <w:tcBorders>
              <w:top w:val="nil"/>
              <w:left w:val="nil"/>
              <w:bottom w:val="nil"/>
              <w:right w:val="single" w:sz="8" w:space="0" w:color="002060"/>
            </w:tcBorders>
            <w:shd w:val="clear" w:color="auto" w:fill="auto"/>
            <w:noWrap/>
            <w:vAlign w:val="center"/>
            <w:hideMark/>
          </w:tcPr>
          <w:p w14:paraId="40D12B7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3.80</w:t>
            </w:r>
          </w:p>
        </w:tc>
        <w:tc>
          <w:tcPr>
            <w:tcW w:w="880" w:type="dxa"/>
            <w:vMerge/>
            <w:tcBorders>
              <w:top w:val="single" w:sz="8" w:space="0" w:color="002060"/>
              <w:left w:val="single" w:sz="8" w:space="0" w:color="002060"/>
              <w:bottom w:val="nil"/>
              <w:right w:val="single" w:sz="8" w:space="0" w:color="002060"/>
            </w:tcBorders>
            <w:vAlign w:val="center"/>
            <w:hideMark/>
          </w:tcPr>
          <w:p w14:paraId="337E69AD"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13A8D0B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164</w:t>
            </w:r>
          </w:p>
        </w:tc>
        <w:tc>
          <w:tcPr>
            <w:tcW w:w="596" w:type="dxa"/>
            <w:tcBorders>
              <w:top w:val="nil"/>
              <w:left w:val="nil"/>
              <w:bottom w:val="nil"/>
              <w:right w:val="nil"/>
            </w:tcBorders>
            <w:shd w:val="clear" w:color="auto" w:fill="auto"/>
            <w:noWrap/>
            <w:vAlign w:val="center"/>
            <w:hideMark/>
          </w:tcPr>
          <w:p w14:paraId="4E5BBF2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3.38</w:t>
            </w:r>
          </w:p>
        </w:tc>
        <w:tc>
          <w:tcPr>
            <w:tcW w:w="716" w:type="dxa"/>
            <w:tcBorders>
              <w:top w:val="nil"/>
              <w:left w:val="nil"/>
              <w:bottom w:val="nil"/>
              <w:right w:val="nil"/>
            </w:tcBorders>
            <w:shd w:val="clear" w:color="auto" w:fill="auto"/>
            <w:noWrap/>
            <w:vAlign w:val="center"/>
            <w:hideMark/>
          </w:tcPr>
          <w:p w14:paraId="30C1A16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3.81</w:t>
            </w:r>
          </w:p>
        </w:tc>
        <w:tc>
          <w:tcPr>
            <w:tcW w:w="556" w:type="dxa"/>
            <w:tcBorders>
              <w:top w:val="nil"/>
              <w:left w:val="nil"/>
              <w:bottom w:val="nil"/>
              <w:right w:val="nil"/>
            </w:tcBorders>
            <w:shd w:val="clear" w:color="auto" w:fill="auto"/>
            <w:noWrap/>
            <w:vAlign w:val="center"/>
            <w:hideMark/>
          </w:tcPr>
          <w:p w14:paraId="0F5A8D0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w:t>
            </w:r>
          </w:p>
        </w:tc>
        <w:tc>
          <w:tcPr>
            <w:tcW w:w="596" w:type="dxa"/>
            <w:tcBorders>
              <w:top w:val="nil"/>
              <w:left w:val="nil"/>
              <w:bottom w:val="nil"/>
              <w:right w:val="nil"/>
            </w:tcBorders>
            <w:shd w:val="clear" w:color="auto" w:fill="auto"/>
            <w:noWrap/>
            <w:vAlign w:val="center"/>
            <w:hideMark/>
          </w:tcPr>
          <w:p w14:paraId="1FE1AC8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22.9</w:t>
            </w:r>
          </w:p>
        </w:tc>
        <w:tc>
          <w:tcPr>
            <w:tcW w:w="796" w:type="dxa"/>
            <w:tcBorders>
              <w:top w:val="nil"/>
              <w:left w:val="nil"/>
              <w:bottom w:val="nil"/>
              <w:right w:val="nil"/>
            </w:tcBorders>
            <w:shd w:val="clear" w:color="auto" w:fill="auto"/>
            <w:noWrap/>
            <w:vAlign w:val="center"/>
            <w:hideMark/>
          </w:tcPr>
          <w:p w14:paraId="2FA550A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1.87</w:t>
            </w:r>
          </w:p>
        </w:tc>
        <w:tc>
          <w:tcPr>
            <w:tcW w:w="528" w:type="dxa"/>
            <w:tcBorders>
              <w:top w:val="nil"/>
              <w:left w:val="nil"/>
              <w:bottom w:val="nil"/>
              <w:right w:val="nil"/>
            </w:tcBorders>
            <w:shd w:val="clear" w:color="auto" w:fill="auto"/>
            <w:noWrap/>
            <w:vAlign w:val="center"/>
            <w:hideMark/>
          </w:tcPr>
          <w:p w14:paraId="7412D4D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1.26</w:t>
            </w:r>
          </w:p>
        </w:tc>
        <w:tc>
          <w:tcPr>
            <w:tcW w:w="540" w:type="dxa"/>
            <w:tcBorders>
              <w:top w:val="nil"/>
              <w:left w:val="nil"/>
              <w:bottom w:val="nil"/>
              <w:right w:val="single" w:sz="8" w:space="0" w:color="002060"/>
            </w:tcBorders>
            <w:shd w:val="clear" w:color="auto" w:fill="auto"/>
            <w:noWrap/>
            <w:vAlign w:val="center"/>
            <w:hideMark/>
          </w:tcPr>
          <w:p w14:paraId="117BA68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3.94</w:t>
            </w:r>
          </w:p>
        </w:tc>
      </w:tr>
      <w:tr w:rsidR="00AE564D" w:rsidRPr="00917EEE" w14:paraId="06C23F15" w14:textId="77777777" w:rsidTr="00917EEE">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3B025E77"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64EEDBD0"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3A73999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7FD75C2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29</w:t>
            </w:r>
          </w:p>
        </w:tc>
        <w:tc>
          <w:tcPr>
            <w:tcW w:w="656" w:type="dxa"/>
            <w:tcBorders>
              <w:top w:val="nil"/>
              <w:left w:val="nil"/>
              <w:bottom w:val="nil"/>
              <w:right w:val="nil"/>
            </w:tcBorders>
            <w:shd w:val="clear" w:color="auto" w:fill="auto"/>
            <w:noWrap/>
            <w:vAlign w:val="center"/>
            <w:hideMark/>
          </w:tcPr>
          <w:p w14:paraId="03F7A73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0.93</w:t>
            </w:r>
          </w:p>
        </w:tc>
        <w:tc>
          <w:tcPr>
            <w:tcW w:w="776" w:type="dxa"/>
            <w:tcBorders>
              <w:top w:val="nil"/>
              <w:left w:val="nil"/>
              <w:bottom w:val="nil"/>
              <w:right w:val="nil"/>
            </w:tcBorders>
            <w:shd w:val="clear" w:color="auto" w:fill="auto"/>
            <w:noWrap/>
            <w:vAlign w:val="center"/>
            <w:hideMark/>
          </w:tcPr>
          <w:p w14:paraId="4ED637C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0.65</w:t>
            </w:r>
          </w:p>
        </w:tc>
        <w:tc>
          <w:tcPr>
            <w:tcW w:w="596" w:type="dxa"/>
            <w:tcBorders>
              <w:top w:val="nil"/>
              <w:left w:val="nil"/>
              <w:bottom w:val="nil"/>
              <w:right w:val="nil"/>
            </w:tcBorders>
            <w:shd w:val="clear" w:color="auto" w:fill="auto"/>
            <w:noWrap/>
            <w:vAlign w:val="center"/>
            <w:hideMark/>
          </w:tcPr>
          <w:p w14:paraId="0B25B3F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w:t>
            </w:r>
          </w:p>
        </w:tc>
        <w:tc>
          <w:tcPr>
            <w:tcW w:w="636" w:type="dxa"/>
            <w:tcBorders>
              <w:top w:val="nil"/>
              <w:left w:val="nil"/>
              <w:bottom w:val="nil"/>
              <w:right w:val="nil"/>
            </w:tcBorders>
            <w:shd w:val="clear" w:color="auto" w:fill="auto"/>
            <w:noWrap/>
            <w:vAlign w:val="center"/>
            <w:hideMark/>
          </w:tcPr>
          <w:p w14:paraId="4076D8B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2.89</w:t>
            </w:r>
          </w:p>
        </w:tc>
        <w:tc>
          <w:tcPr>
            <w:tcW w:w="776" w:type="dxa"/>
            <w:tcBorders>
              <w:top w:val="nil"/>
              <w:left w:val="nil"/>
              <w:bottom w:val="nil"/>
              <w:right w:val="nil"/>
            </w:tcBorders>
            <w:shd w:val="clear" w:color="auto" w:fill="auto"/>
            <w:noWrap/>
            <w:vAlign w:val="center"/>
            <w:hideMark/>
          </w:tcPr>
          <w:p w14:paraId="2A63A15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0.84</w:t>
            </w:r>
          </w:p>
        </w:tc>
        <w:tc>
          <w:tcPr>
            <w:tcW w:w="588" w:type="dxa"/>
            <w:tcBorders>
              <w:top w:val="nil"/>
              <w:left w:val="nil"/>
              <w:bottom w:val="nil"/>
              <w:right w:val="nil"/>
            </w:tcBorders>
            <w:shd w:val="clear" w:color="auto" w:fill="auto"/>
            <w:noWrap/>
            <w:vAlign w:val="center"/>
            <w:hideMark/>
          </w:tcPr>
          <w:p w14:paraId="4B326D4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0.43</w:t>
            </w:r>
          </w:p>
        </w:tc>
        <w:tc>
          <w:tcPr>
            <w:tcW w:w="580" w:type="dxa"/>
            <w:tcBorders>
              <w:top w:val="nil"/>
              <w:left w:val="nil"/>
              <w:bottom w:val="nil"/>
              <w:right w:val="single" w:sz="8" w:space="0" w:color="002060"/>
            </w:tcBorders>
            <w:shd w:val="clear" w:color="auto" w:fill="auto"/>
            <w:noWrap/>
            <w:vAlign w:val="center"/>
            <w:hideMark/>
          </w:tcPr>
          <w:p w14:paraId="6897771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1.29</w:t>
            </w:r>
          </w:p>
        </w:tc>
        <w:tc>
          <w:tcPr>
            <w:tcW w:w="880" w:type="dxa"/>
            <w:vMerge/>
            <w:tcBorders>
              <w:top w:val="single" w:sz="8" w:space="0" w:color="002060"/>
              <w:left w:val="single" w:sz="8" w:space="0" w:color="002060"/>
              <w:bottom w:val="nil"/>
              <w:right w:val="single" w:sz="8" w:space="0" w:color="002060"/>
            </w:tcBorders>
            <w:vAlign w:val="center"/>
            <w:hideMark/>
          </w:tcPr>
          <w:p w14:paraId="15BF9015"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7107455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84</w:t>
            </w:r>
          </w:p>
        </w:tc>
        <w:tc>
          <w:tcPr>
            <w:tcW w:w="596" w:type="dxa"/>
            <w:tcBorders>
              <w:top w:val="nil"/>
              <w:left w:val="nil"/>
              <w:bottom w:val="nil"/>
              <w:right w:val="nil"/>
            </w:tcBorders>
            <w:shd w:val="clear" w:color="auto" w:fill="auto"/>
            <w:noWrap/>
            <w:vAlign w:val="center"/>
            <w:hideMark/>
          </w:tcPr>
          <w:p w14:paraId="3EFC71B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2.14</w:t>
            </w:r>
          </w:p>
        </w:tc>
        <w:tc>
          <w:tcPr>
            <w:tcW w:w="716" w:type="dxa"/>
            <w:tcBorders>
              <w:top w:val="nil"/>
              <w:left w:val="nil"/>
              <w:bottom w:val="nil"/>
              <w:right w:val="nil"/>
            </w:tcBorders>
            <w:shd w:val="clear" w:color="auto" w:fill="auto"/>
            <w:noWrap/>
            <w:vAlign w:val="center"/>
            <w:hideMark/>
          </w:tcPr>
          <w:p w14:paraId="75A3B2E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1.63</w:t>
            </w:r>
          </w:p>
        </w:tc>
        <w:tc>
          <w:tcPr>
            <w:tcW w:w="556" w:type="dxa"/>
            <w:tcBorders>
              <w:top w:val="nil"/>
              <w:left w:val="nil"/>
              <w:bottom w:val="nil"/>
              <w:right w:val="nil"/>
            </w:tcBorders>
            <w:shd w:val="clear" w:color="auto" w:fill="auto"/>
            <w:noWrap/>
            <w:vAlign w:val="center"/>
            <w:hideMark/>
          </w:tcPr>
          <w:p w14:paraId="24141D7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w:t>
            </w:r>
          </w:p>
        </w:tc>
        <w:tc>
          <w:tcPr>
            <w:tcW w:w="596" w:type="dxa"/>
            <w:tcBorders>
              <w:top w:val="nil"/>
              <w:left w:val="nil"/>
              <w:bottom w:val="nil"/>
              <w:right w:val="nil"/>
            </w:tcBorders>
            <w:shd w:val="clear" w:color="auto" w:fill="auto"/>
            <w:noWrap/>
            <w:vAlign w:val="center"/>
            <w:hideMark/>
          </w:tcPr>
          <w:p w14:paraId="32BA4EE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11.4</w:t>
            </w:r>
          </w:p>
        </w:tc>
        <w:tc>
          <w:tcPr>
            <w:tcW w:w="796" w:type="dxa"/>
            <w:tcBorders>
              <w:top w:val="nil"/>
              <w:left w:val="nil"/>
              <w:bottom w:val="nil"/>
              <w:right w:val="nil"/>
            </w:tcBorders>
            <w:shd w:val="clear" w:color="auto" w:fill="auto"/>
            <w:noWrap/>
            <w:vAlign w:val="center"/>
            <w:hideMark/>
          </w:tcPr>
          <w:p w14:paraId="30716EA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1.90</w:t>
            </w:r>
          </w:p>
        </w:tc>
        <w:tc>
          <w:tcPr>
            <w:tcW w:w="528" w:type="dxa"/>
            <w:tcBorders>
              <w:top w:val="nil"/>
              <w:left w:val="nil"/>
              <w:bottom w:val="nil"/>
              <w:right w:val="nil"/>
            </w:tcBorders>
            <w:shd w:val="clear" w:color="auto" w:fill="auto"/>
            <w:noWrap/>
            <w:vAlign w:val="center"/>
            <w:hideMark/>
          </w:tcPr>
          <w:p w14:paraId="0AAFA14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1.10</w:t>
            </w:r>
          </w:p>
        </w:tc>
        <w:tc>
          <w:tcPr>
            <w:tcW w:w="540" w:type="dxa"/>
            <w:tcBorders>
              <w:top w:val="nil"/>
              <w:left w:val="nil"/>
              <w:bottom w:val="nil"/>
              <w:right w:val="single" w:sz="8" w:space="0" w:color="002060"/>
            </w:tcBorders>
            <w:shd w:val="clear" w:color="auto" w:fill="auto"/>
            <w:noWrap/>
            <w:vAlign w:val="center"/>
            <w:hideMark/>
          </w:tcPr>
          <w:p w14:paraId="0ECA6CF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2.69</w:t>
            </w:r>
          </w:p>
        </w:tc>
      </w:tr>
      <w:tr w:rsidR="00AE564D" w:rsidRPr="00917EEE" w14:paraId="5D37B46C" w14:textId="77777777" w:rsidTr="00917EEE">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64FAC0D3"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02C44156"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single" w:sz="8" w:space="0" w:color="002060"/>
              <w:right w:val="nil"/>
            </w:tcBorders>
            <w:shd w:val="clear" w:color="auto" w:fill="auto"/>
            <w:noWrap/>
            <w:vAlign w:val="center"/>
            <w:hideMark/>
          </w:tcPr>
          <w:p w14:paraId="3E0B3C2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Med Fresh</w:t>
            </w:r>
          </w:p>
        </w:tc>
        <w:tc>
          <w:tcPr>
            <w:tcW w:w="536" w:type="dxa"/>
            <w:tcBorders>
              <w:top w:val="nil"/>
              <w:left w:val="nil"/>
              <w:bottom w:val="single" w:sz="8" w:space="0" w:color="002060"/>
              <w:right w:val="nil"/>
            </w:tcBorders>
            <w:shd w:val="clear" w:color="auto" w:fill="auto"/>
            <w:noWrap/>
            <w:vAlign w:val="center"/>
            <w:hideMark/>
          </w:tcPr>
          <w:p w14:paraId="5010BCE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22</w:t>
            </w:r>
          </w:p>
        </w:tc>
        <w:tc>
          <w:tcPr>
            <w:tcW w:w="656" w:type="dxa"/>
            <w:tcBorders>
              <w:top w:val="nil"/>
              <w:left w:val="nil"/>
              <w:bottom w:val="single" w:sz="8" w:space="0" w:color="002060"/>
              <w:right w:val="nil"/>
            </w:tcBorders>
            <w:shd w:val="clear" w:color="auto" w:fill="auto"/>
            <w:noWrap/>
            <w:vAlign w:val="center"/>
            <w:hideMark/>
          </w:tcPr>
          <w:p w14:paraId="2D2BD4F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0.64</w:t>
            </w:r>
          </w:p>
        </w:tc>
        <w:tc>
          <w:tcPr>
            <w:tcW w:w="776" w:type="dxa"/>
            <w:tcBorders>
              <w:top w:val="nil"/>
              <w:left w:val="nil"/>
              <w:bottom w:val="single" w:sz="8" w:space="0" w:color="002060"/>
              <w:right w:val="nil"/>
            </w:tcBorders>
            <w:shd w:val="clear" w:color="auto" w:fill="auto"/>
            <w:noWrap/>
            <w:vAlign w:val="center"/>
            <w:hideMark/>
          </w:tcPr>
          <w:p w14:paraId="0596DD6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0.32</w:t>
            </w:r>
          </w:p>
        </w:tc>
        <w:tc>
          <w:tcPr>
            <w:tcW w:w="596" w:type="dxa"/>
            <w:tcBorders>
              <w:top w:val="nil"/>
              <w:left w:val="nil"/>
              <w:bottom w:val="single" w:sz="8" w:space="0" w:color="002060"/>
              <w:right w:val="nil"/>
            </w:tcBorders>
            <w:shd w:val="clear" w:color="auto" w:fill="auto"/>
            <w:noWrap/>
            <w:vAlign w:val="center"/>
            <w:hideMark/>
          </w:tcPr>
          <w:p w14:paraId="07B89D0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0.09</w:t>
            </w:r>
          </w:p>
        </w:tc>
        <w:tc>
          <w:tcPr>
            <w:tcW w:w="636" w:type="dxa"/>
            <w:tcBorders>
              <w:top w:val="nil"/>
              <w:left w:val="nil"/>
              <w:bottom w:val="single" w:sz="8" w:space="0" w:color="002060"/>
              <w:right w:val="nil"/>
            </w:tcBorders>
            <w:shd w:val="clear" w:color="auto" w:fill="auto"/>
            <w:noWrap/>
            <w:vAlign w:val="center"/>
            <w:hideMark/>
          </w:tcPr>
          <w:p w14:paraId="506DAD0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1.28</w:t>
            </w:r>
          </w:p>
        </w:tc>
        <w:tc>
          <w:tcPr>
            <w:tcW w:w="776" w:type="dxa"/>
            <w:tcBorders>
              <w:top w:val="nil"/>
              <w:left w:val="nil"/>
              <w:bottom w:val="single" w:sz="8" w:space="0" w:color="002060"/>
              <w:right w:val="nil"/>
            </w:tcBorders>
            <w:shd w:val="clear" w:color="auto" w:fill="auto"/>
            <w:noWrap/>
            <w:vAlign w:val="center"/>
            <w:hideMark/>
          </w:tcPr>
          <w:p w14:paraId="1A93ACF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0.62</w:t>
            </w:r>
          </w:p>
        </w:tc>
        <w:tc>
          <w:tcPr>
            <w:tcW w:w="588" w:type="dxa"/>
            <w:tcBorders>
              <w:top w:val="nil"/>
              <w:left w:val="nil"/>
              <w:bottom w:val="single" w:sz="8" w:space="0" w:color="002060"/>
              <w:right w:val="nil"/>
            </w:tcBorders>
            <w:shd w:val="clear" w:color="auto" w:fill="auto"/>
            <w:noWrap/>
            <w:vAlign w:val="center"/>
            <w:hideMark/>
          </w:tcPr>
          <w:p w14:paraId="2E5EC41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0.44</w:t>
            </w:r>
          </w:p>
        </w:tc>
        <w:tc>
          <w:tcPr>
            <w:tcW w:w="580" w:type="dxa"/>
            <w:tcBorders>
              <w:top w:val="nil"/>
              <w:left w:val="nil"/>
              <w:bottom w:val="single" w:sz="8" w:space="0" w:color="002060"/>
              <w:right w:val="single" w:sz="8" w:space="0" w:color="002060"/>
            </w:tcBorders>
            <w:shd w:val="clear" w:color="auto" w:fill="auto"/>
            <w:noWrap/>
            <w:vAlign w:val="center"/>
            <w:hideMark/>
          </w:tcPr>
          <w:p w14:paraId="049569B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0.83</w:t>
            </w:r>
          </w:p>
        </w:tc>
        <w:tc>
          <w:tcPr>
            <w:tcW w:w="880" w:type="dxa"/>
            <w:vMerge/>
            <w:tcBorders>
              <w:top w:val="single" w:sz="8" w:space="0" w:color="002060"/>
              <w:left w:val="single" w:sz="8" w:space="0" w:color="002060"/>
              <w:bottom w:val="nil"/>
              <w:right w:val="single" w:sz="8" w:space="0" w:color="002060"/>
            </w:tcBorders>
            <w:vAlign w:val="center"/>
            <w:hideMark/>
          </w:tcPr>
          <w:p w14:paraId="730576A2"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single" w:sz="8" w:space="0" w:color="002060"/>
              <w:right w:val="nil"/>
            </w:tcBorders>
            <w:shd w:val="clear" w:color="auto" w:fill="auto"/>
            <w:noWrap/>
            <w:vAlign w:val="center"/>
            <w:hideMark/>
          </w:tcPr>
          <w:p w14:paraId="33A506E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9</w:t>
            </w:r>
          </w:p>
        </w:tc>
        <w:tc>
          <w:tcPr>
            <w:tcW w:w="596" w:type="dxa"/>
            <w:tcBorders>
              <w:top w:val="nil"/>
              <w:left w:val="nil"/>
              <w:bottom w:val="single" w:sz="8" w:space="0" w:color="002060"/>
              <w:right w:val="nil"/>
            </w:tcBorders>
            <w:shd w:val="clear" w:color="auto" w:fill="auto"/>
            <w:noWrap/>
            <w:vAlign w:val="center"/>
            <w:hideMark/>
          </w:tcPr>
          <w:p w14:paraId="5D07CFD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2.27</w:t>
            </w:r>
          </w:p>
        </w:tc>
        <w:tc>
          <w:tcPr>
            <w:tcW w:w="716" w:type="dxa"/>
            <w:tcBorders>
              <w:top w:val="nil"/>
              <w:left w:val="nil"/>
              <w:bottom w:val="single" w:sz="8" w:space="0" w:color="002060"/>
              <w:right w:val="nil"/>
            </w:tcBorders>
            <w:shd w:val="clear" w:color="auto" w:fill="auto"/>
            <w:noWrap/>
            <w:vAlign w:val="center"/>
            <w:hideMark/>
          </w:tcPr>
          <w:p w14:paraId="0FBC92B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0.67</w:t>
            </w:r>
          </w:p>
        </w:tc>
        <w:tc>
          <w:tcPr>
            <w:tcW w:w="556" w:type="dxa"/>
            <w:tcBorders>
              <w:top w:val="nil"/>
              <w:left w:val="nil"/>
              <w:bottom w:val="single" w:sz="8" w:space="0" w:color="002060"/>
              <w:right w:val="nil"/>
            </w:tcBorders>
            <w:shd w:val="clear" w:color="auto" w:fill="auto"/>
            <w:noWrap/>
            <w:vAlign w:val="center"/>
            <w:hideMark/>
          </w:tcPr>
          <w:p w14:paraId="50545D4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1.47</w:t>
            </w:r>
          </w:p>
        </w:tc>
        <w:tc>
          <w:tcPr>
            <w:tcW w:w="596" w:type="dxa"/>
            <w:tcBorders>
              <w:top w:val="nil"/>
              <w:left w:val="nil"/>
              <w:bottom w:val="single" w:sz="8" w:space="0" w:color="002060"/>
              <w:right w:val="nil"/>
            </w:tcBorders>
            <w:shd w:val="clear" w:color="auto" w:fill="auto"/>
            <w:noWrap/>
            <w:vAlign w:val="center"/>
            <w:hideMark/>
          </w:tcPr>
          <w:p w14:paraId="4F8A4EF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3.64</w:t>
            </w:r>
          </w:p>
        </w:tc>
        <w:tc>
          <w:tcPr>
            <w:tcW w:w="796" w:type="dxa"/>
            <w:tcBorders>
              <w:top w:val="nil"/>
              <w:left w:val="nil"/>
              <w:bottom w:val="single" w:sz="8" w:space="0" w:color="002060"/>
              <w:right w:val="nil"/>
            </w:tcBorders>
            <w:shd w:val="clear" w:color="auto" w:fill="auto"/>
            <w:noWrap/>
            <w:vAlign w:val="center"/>
            <w:hideMark/>
          </w:tcPr>
          <w:p w14:paraId="080551F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2.04</w:t>
            </w:r>
          </w:p>
        </w:tc>
        <w:tc>
          <w:tcPr>
            <w:tcW w:w="528" w:type="dxa"/>
            <w:tcBorders>
              <w:top w:val="nil"/>
              <w:left w:val="nil"/>
              <w:bottom w:val="single" w:sz="8" w:space="0" w:color="002060"/>
              <w:right w:val="nil"/>
            </w:tcBorders>
            <w:shd w:val="clear" w:color="auto" w:fill="auto"/>
            <w:noWrap/>
            <w:vAlign w:val="center"/>
            <w:hideMark/>
          </w:tcPr>
          <w:p w14:paraId="4F258B6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1.81</w:t>
            </w:r>
          </w:p>
        </w:tc>
        <w:tc>
          <w:tcPr>
            <w:tcW w:w="540" w:type="dxa"/>
            <w:tcBorders>
              <w:top w:val="nil"/>
              <w:left w:val="nil"/>
              <w:bottom w:val="single" w:sz="8" w:space="0" w:color="002060"/>
              <w:right w:val="single" w:sz="8" w:space="0" w:color="002060"/>
            </w:tcBorders>
            <w:shd w:val="clear" w:color="auto" w:fill="auto"/>
            <w:noWrap/>
            <w:vAlign w:val="center"/>
            <w:hideMark/>
          </w:tcPr>
          <w:p w14:paraId="6E62BE9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2.71</w:t>
            </w:r>
          </w:p>
        </w:tc>
      </w:tr>
      <w:tr w:rsidR="00AE564D" w:rsidRPr="00917EEE" w14:paraId="7C37C364" w14:textId="77777777" w:rsidTr="00917EEE">
        <w:trPr>
          <w:trHeight w:val="255"/>
          <w:jc w:val="center"/>
        </w:trPr>
        <w:tc>
          <w:tcPr>
            <w:tcW w:w="700" w:type="dxa"/>
            <w:vMerge w:val="restart"/>
            <w:tcBorders>
              <w:top w:val="single" w:sz="8" w:space="0" w:color="FFFFFF"/>
              <w:left w:val="single" w:sz="8" w:space="0" w:color="002060"/>
              <w:bottom w:val="single" w:sz="8" w:space="0" w:color="002060"/>
              <w:right w:val="single" w:sz="8" w:space="0" w:color="002060"/>
            </w:tcBorders>
            <w:shd w:val="clear" w:color="000000" w:fill="002060"/>
            <w:noWrap/>
            <w:vAlign w:val="center"/>
            <w:hideMark/>
          </w:tcPr>
          <w:p w14:paraId="3D118B58"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Autumn</w:t>
            </w: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651B8F5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Arcadia Downs / Darcy's Track</w:t>
            </w:r>
          </w:p>
        </w:tc>
        <w:tc>
          <w:tcPr>
            <w:tcW w:w="1008" w:type="dxa"/>
            <w:tcBorders>
              <w:top w:val="nil"/>
              <w:left w:val="nil"/>
              <w:bottom w:val="nil"/>
              <w:right w:val="nil"/>
            </w:tcBorders>
            <w:shd w:val="clear" w:color="auto" w:fill="auto"/>
            <w:noWrap/>
            <w:vAlign w:val="center"/>
            <w:hideMark/>
          </w:tcPr>
          <w:p w14:paraId="6D56539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Very Low</w:t>
            </w:r>
          </w:p>
        </w:tc>
        <w:tc>
          <w:tcPr>
            <w:tcW w:w="536" w:type="dxa"/>
            <w:tcBorders>
              <w:top w:val="nil"/>
              <w:left w:val="nil"/>
              <w:bottom w:val="nil"/>
              <w:right w:val="nil"/>
            </w:tcBorders>
            <w:shd w:val="clear" w:color="auto" w:fill="auto"/>
            <w:noWrap/>
            <w:vAlign w:val="center"/>
            <w:hideMark/>
          </w:tcPr>
          <w:p w14:paraId="23D2C6E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w:t>
            </w:r>
          </w:p>
        </w:tc>
        <w:tc>
          <w:tcPr>
            <w:tcW w:w="656" w:type="dxa"/>
            <w:tcBorders>
              <w:top w:val="nil"/>
              <w:left w:val="nil"/>
              <w:bottom w:val="nil"/>
              <w:right w:val="nil"/>
            </w:tcBorders>
            <w:shd w:val="clear" w:color="auto" w:fill="auto"/>
            <w:noWrap/>
            <w:vAlign w:val="center"/>
            <w:hideMark/>
          </w:tcPr>
          <w:p w14:paraId="6824E148" w14:textId="77777777" w:rsidR="00AE564D" w:rsidRPr="00917EEE" w:rsidRDefault="00AE564D" w:rsidP="00E26D3C">
            <w:pPr>
              <w:spacing w:after="0" w:line="240" w:lineRule="auto"/>
              <w:jc w:val="center"/>
              <w:rPr>
                <w:rFonts w:eastAsia="Times New Roman" w:cstheme="minorHAnsi"/>
                <w:color w:val="FF0000"/>
                <w:sz w:val="18"/>
                <w:szCs w:val="18"/>
                <w:lang w:eastAsia="en-AU"/>
              </w:rPr>
            </w:pPr>
            <w:r w:rsidRPr="00917EEE">
              <w:rPr>
                <w:rFonts w:eastAsia="Times New Roman" w:cstheme="minorHAnsi"/>
                <w:color w:val="FF0000"/>
                <w:sz w:val="18"/>
                <w:szCs w:val="18"/>
                <w:lang w:eastAsia="en-AU"/>
              </w:rPr>
              <w:t> </w:t>
            </w:r>
          </w:p>
        </w:tc>
        <w:tc>
          <w:tcPr>
            <w:tcW w:w="776" w:type="dxa"/>
            <w:tcBorders>
              <w:top w:val="nil"/>
              <w:left w:val="nil"/>
              <w:bottom w:val="nil"/>
              <w:right w:val="nil"/>
            </w:tcBorders>
            <w:shd w:val="clear" w:color="auto" w:fill="auto"/>
            <w:noWrap/>
            <w:vAlign w:val="center"/>
            <w:hideMark/>
          </w:tcPr>
          <w:p w14:paraId="69E379CB" w14:textId="77777777" w:rsidR="00AE564D" w:rsidRPr="00917EEE" w:rsidRDefault="00AE564D" w:rsidP="00E26D3C">
            <w:pPr>
              <w:spacing w:after="0" w:line="240" w:lineRule="auto"/>
              <w:jc w:val="center"/>
              <w:rPr>
                <w:rFonts w:eastAsia="Times New Roman" w:cstheme="minorHAnsi"/>
                <w:color w:val="FF0000"/>
                <w:sz w:val="18"/>
                <w:szCs w:val="18"/>
                <w:lang w:eastAsia="en-AU"/>
              </w:rPr>
            </w:pPr>
            <w:r w:rsidRPr="00917EEE">
              <w:rPr>
                <w:rFonts w:eastAsia="Times New Roman" w:cstheme="minorHAnsi"/>
                <w:color w:val="FF0000"/>
                <w:sz w:val="18"/>
                <w:szCs w:val="18"/>
                <w:lang w:eastAsia="en-AU"/>
              </w:rPr>
              <w:t> </w:t>
            </w:r>
          </w:p>
        </w:tc>
        <w:tc>
          <w:tcPr>
            <w:tcW w:w="596" w:type="dxa"/>
            <w:tcBorders>
              <w:top w:val="nil"/>
              <w:left w:val="nil"/>
              <w:bottom w:val="nil"/>
              <w:right w:val="nil"/>
            </w:tcBorders>
            <w:shd w:val="clear" w:color="auto" w:fill="auto"/>
            <w:noWrap/>
            <w:vAlign w:val="center"/>
            <w:hideMark/>
          </w:tcPr>
          <w:p w14:paraId="56C45D80" w14:textId="77777777" w:rsidR="00AE564D" w:rsidRPr="00917EEE" w:rsidRDefault="00AE564D" w:rsidP="00E26D3C">
            <w:pPr>
              <w:spacing w:after="0" w:line="240" w:lineRule="auto"/>
              <w:jc w:val="center"/>
              <w:rPr>
                <w:rFonts w:eastAsia="Times New Roman" w:cstheme="minorHAnsi"/>
                <w:color w:val="FF0000"/>
                <w:sz w:val="18"/>
                <w:szCs w:val="18"/>
                <w:lang w:eastAsia="en-AU"/>
              </w:rPr>
            </w:pPr>
            <w:r w:rsidRPr="00917EEE">
              <w:rPr>
                <w:rFonts w:eastAsia="Times New Roman" w:cstheme="minorHAnsi"/>
                <w:color w:val="FF0000"/>
                <w:sz w:val="18"/>
                <w:szCs w:val="18"/>
                <w:lang w:eastAsia="en-AU"/>
              </w:rPr>
              <w:t> </w:t>
            </w:r>
          </w:p>
        </w:tc>
        <w:tc>
          <w:tcPr>
            <w:tcW w:w="636" w:type="dxa"/>
            <w:tcBorders>
              <w:top w:val="nil"/>
              <w:left w:val="nil"/>
              <w:bottom w:val="nil"/>
              <w:right w:val="nil"/>
            </w:tcBorders>
            <w:shd w:val="clear" w:color="auto" w:fill="auto"/>
            <w:noWrap/>
            <w:vAlign w:val="center"/>
            <w:hideMark/>
          </w:tcPr>
          <w:p w14:paraId="4643E1E6" w14:textId="77777777" w:rsidR="00AE564D" w:rsidRPr="00917EEE" w:rsidRDefault="00AE564D" w:rsidP="00E26D3C">
            <w:pPr>
              <w:spacing w:after="0" w:line="240" w:lineRule="auto"/>
              <w:jc w:val="center"/>
              <w:rPr>
                <w:rFonts w:eastAsia="Times New Roman" w:cstheme="minorHAnsi"/>
                <w:color w:val="FF0000"/>
                <w:sz w:val="18"/>
                <w:szCs w:val="18"/>
                <w:lang w:eastAsia="en-AU"/>
              </w:rPr>
            </w:pPr>
            <w:r w:rsidRPr="00917EEE">
              <w:rPr>
                <w:rFonts w:eastAsia="Times New Roman" w:cstheme="minorHAnsi"/>
                <w:color w:val="FF0000"/>
                <w:sz w:val="18"/>
                <w:szCs w:val="18"/>
                <w:lang w:eastAsia="en-AU"/>
              </w:rPr>
              <w:t> </w:t>
            </w:r>
          </w:p>
        </w:tc>
        <w:tc>
          <w:tcPr>
            <w:tcW w:w="776" w:type="dxa"/>
            <w:tcBorders>
              <w:top w:val="nil"/>
              <w:left w:val="nil"/>
              <w:bottom w:val="nil"/>
              <w:right w:val="nil"/>
            </w:tcBorders>
            <w:shd w:val="clear" w:color="auto" w:fill="auto"/>
            <w:noWrap/>
            <w:vAlign w:val="center"/>
            <w:hideMark/>
          </w:tcPr>
          <w:p w14:paraId="353E0BB3" w14:textId="77777777" w:rsidR="00AE564D" w:rsidRPr="00917EEE" w:rsidRDefault="00AE564D" w:rsidP="00E26D3C">
            <w:pPr>
              <w:spacing w:after="0" w:line="240" w:lineRule="auto"/>
              <w:jc w:val="center"/>
              <w:rPr>
                <w:rFonts w:eastAsia="Times New Roman" w:cstheme="minorHAnsi"/>
                <w:color w:val="FF0000"/>
                <w:sz w:val="18"/>
                <w:szCs w:val="18"/>
                <w:lang w:eastAsia="en-AU"/>
              </w:rPr>
            </w:pPr>
            <w:r w:rsidRPr="00917EEE">
              <w:rPr>
                <w:rFonts w:eastAsia="Times New Roman" w:cstheme="minorHAnsi"/>
                <w:color w:val="FF0000"/>
                <w:sz w:val="18"/>
                <w:szCs w:val="18"/>
                <w:lang w:eastAsia="en-AU"/>
              </w:rPr>
              <w:t> </w:t>
            </w:r>
          </w:p>
        </w:tc>
        <w:tc>
          <w:tcPr>
            <w:tcW w:w="588" w:type="dxa"/>
            <w:tcBorders>
              <w:top w:val="nil"/>
              <w:left w:val="nil"/>
              <w:bottom w:val="nil"/>
              <w:right w:val="nil"/>
            </w:tcBorders>
            <w:shd w:val="clear" w:color="auto" w:fill="auto"/>
            <w:noWrap/>
            <w:vAlign w:val="center"/>
            <w:hideMark/>
          </w:tcPr>
          <w:p w14:paraId="28538F05" w14:textId="77777777" w:rsidR="00AE564D" w:rsidRPr="00917EEE" w:rsidRDefault="00AE564D" w:rsidP="00E26D3C">
            <w:pPr>
              <w:spacing w:after="0" w:line="240" w:lineRule="auto"/>
              <w:jc w:val="center"/>
              <w:rPr>
                <w:rFonts w:eastAsia="Times New Roman" w:cstheme="minorHAnsi"/>
                <w:color w:val="FF0000"/>
                <w:sz w:val="18"/>
                <w:szCs w:val="18"/>
                <w:lang w:eastAsia="en-AU"/>
              </w:rPr>
            </w:pPr>
            <w:r w:rsidRPr="00917EEE">
              <w:rPr>
                <w:rFonts w:eastAsia="Times New Roman" w:cstheme="minorHAnsi"/>
                <w:color w:val="FF0000"/>
                <w:sz w:val="18"/>
                <w:szCs w:val="18"/>
                <w:lang w:eastAsia="en-AU"/>
              </w:rPr>
              <w:t> </w:t>
            </w:r>
          </w:p>
        </w:tc>
        <w:tc>
          <w:tcPr>
            <w:tcW w:w="580" w:type="dxa"/>
            <w:tcBorders>
              <w:top w:val="nil"/>
              <w:left w:val="nil"/>
              <w:bottom w:val="nil"/>
              <w:right w:val="single" w:sz="8" w:space="0" w:color="002060"/>
            </w:tcBorders>
            <w:shd w:val="clear" w:color="auto" w:fill="auto"/>
            <w:noWrap/>
            <w:vAlign w:val="center"/>
            <w:hideMark/>
          </w:tcPr>
          <w:p w14:paraId="28A2871D" w14:textId="77777777" w:rsidR="00AE564D" w:rsidRPr="00917EEE" w:rsidRDefault="00AE564D" w:rsidP="00E26D3C">
            <w:pPr>
              <w:spacing w:after="0" w:line="240" w:lineRule="auto"/>
              <w:jc w:val="center"/>
              <w:rPr>
                <w:rFonts w:eastAsia="Times New Roman" w:cstheme="minorHAnsi"/>
                <w:color w:val="FF0000"/>
                <w:sz w:val="18"/>
                <w:szCs w:val="18"/>
                <w:lang w:eastAsia="en-AU"/>
              </w:rPr>
            </w:pPr>
            <w:r w:rsidRPr="00917EEE">
              <w:rPr>
                <w:rFonts w:eastAsia="Times New Roman" w:cstheme="minorHAnsi"/>
                <w:color w:val="FF0000"/>
                <w:sz w:val="18"/>
                <w:szCs w:val="18"/>
                <w:lang w:eastAsia="en-AU"/>
              </w:rPr>
              <w:t> </w:t>
            </w:r>
          </w:p>
        </w:tc>
        <w:tc>
          <w:tcPr>
            <w:tcW w:w="880" w:type="dxa"/>
            <w:vMerge w:val="restart"/>
            <w:tcBorders>
              <w:top w:val="single" w:sz="8" w:space="0" w:color="FFFFFF"/>
              <w:left w:val="single" w:sz="8" w:space="0" w:color="002060"/>
              <w:bottom w:val="single" w:sz="8" w:space="0" w:color="002060"/>
              <w:right w:val="single" w:sz="8" w:space="0" w:color="002060"/>
            </w:tcBorders>
            <w:shd w:val="clear" w:color="000000" w:fill="002060"/>
            <w:noWrap/>
            <w:vAlign w:val="center"/>
            <w:hideMark/>
          </w:tcPr>
          <w:p w14:paraId="7E262445" w14:textId="77777777" w:rsidR="00AE564D" w:rsidRPr="00917EEE" w:rsidRDefault="00AE564D" w:rsidP="00E26D3C">
            <w:pPr>
              <w:spacing w:after="0" w:line="240" w:lineRule="auto"/>
              <w:jc w:val="center"/>
              <w:rPr>
                <w:rFonts w:eastAsia="Times New Roman" w:cstheme="minorHAnsi"/>
                <w:color w:val="FFFFFF"/>
                <w:sz w:val="18"/>
                <w:szCs w:val="18"/>
                <w:lang w:eastAsia="en-AU"/>
              </w:rPr>
            </w:pPr>
            <w:r w:rsidRPr="00917EEE">
              <w:rPr>
                <w:rFonts w:eastAsia="Times New Roman" w:cstheme="minorHAnsi"/>
                <w:color w:val="FFFFFF"/>
                <w:sz w:val="18"/>
                <w:szCs w:val="18"/>
                <w:lang w:eastAsia="en-AU"/>
              </w:rPr>
              <w:t>Winter</w:t>
            </w:r>
          </w:p>
        </w:tc>
        <w:tc>
          <w:tcPr>
            <w:tcW w:w="528" w:type="dxa"/>
            <w:tcBorders>
              <w:top w:val="nil"/>
              <w:left w:val="nil"/>
              <w:bottom w:val="nil"/>
              <w:right w:val="nil"/>
            </w:tcBorders>
            <w:shd w:val="clear" w:color="auto" w:fill="auto"/>
            <w:noWrap/>
            <w:vAlign w:val="center"/>
            <w:hideMark/>
          </w:tcPr>
          <w:p w14:paraId="184A68E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w:t>
            </w:r>
          </w:p>
        </w:tc>
        <w:tc>
          <w:tcPr>
            <w:tcW w:w="596" w:type="dxa"/>
            <w:tcBorders>
              <w:top w:val="nil"/>
              <w:left w:val="nil"/>
              <w:bottom w:val="nil"/>
              <w:right w:val="nil"/>
            </w:tcBorders>
            <w:shd w:val="clear" w:color="auto" w:fill="auto"/>
            <w:noWrap/>
            <w:vAlign w:val="center"/>
            <w:hideMark/>
          </w:tcPr>
          <w:p w14:paraId="79A60BF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c>
          <w:tcPr>
            <w:tcW w:w="716" w:type="dxa"/>
            <w:tcBorders>
              <w:top w:val="nil"/>
              <w:left w:val="nil"/>
              <w:bottom w:val="nil"/>
              <w:right w:val="nil"/>
            </w:tcBorders>
            <w:shd w:val="clear" w:color="auto" w:fill="auto"/>
            <w:noWrap/>
            <w:vAlign w:val="center"/>
            <w:hideMark/>
          </w:tcPr>
          <w:p w14:paraId="72255A6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c>
          <w:tcPr>
            <w:tcW w:w="556" w:type="dxa"/>
            <w:tcBorders>
              <w:top w:val="nil"/>
              <w:left w:val="nil"/>
              <w:bottom w:val="nil"/>
              <w:right w:val="nil"/>
            </w:tcBorders>
            <w:shd w:val="clear" w:color="auto" w:fill="auto"/>
            <w:noWrap/>
            <w:vAlign w:val="center"/>
            <w:hideMark/>
          </w:tcPr>
          <w:p w14:paraId="1E0A9F8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c>
          <w:tcPr>
            <w:tcW w:w="596" w:type="dxa"/>
            <w:tcBorders>
              <w:top w:val="nil"/>
              <w:left w:val="nil"/>
              <w:bottom w:val="nil"/>
              <w:right w:val="nil"/>
            </w:tcBorders>
            <w:shd w:val="clear" w:color="auto" w:fill="auto"/>
            <w:noWrap/>
            <w:vAlign w:val="center"/>
            <w:hideMark/>
          </w:tcPr>
          <w:p w14:paraId="1895C93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c>
          <w:tcPr>
            <w:tcW w:w="796" w:type="dxa"/>
            <w:tcBorders>
              <w:top w:val="nil"/>
              <w:left w:val="nil"/>
              <w:bottom w:val="nil"/>
              <w:right w:val="nil"/>
            </w:tcBorders>
            <w:shd w:val="clear" w:color="auto" w:fill="auto"/>
            <w:noWrap/>
            <w:vAlign w:val="center"/>
            <w:hideMark/>
          </w:tcPr>
          <w:p w14:paraId="45561DE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c>
          <w:tcPr>
            <w:tcW w:w="528" w:type="dxa"/>
            <w:tcBorders>
              <w:top w:val="nil"/>
              <w:left w:val="nil"/>
              <w:bottom w:val="nil"/>
              <w:right w:val="nil"/>
            </w:tcBorders>
            <w:shd w:val="clear" w:color="auto" w:fill="auto"/>
            <w:noWrap/>
            <w:vAlign w:val="center"/>
            <w:hideMark/>
          </w:tcPr>
          <w:p w14:paraId="13C5DA3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c>
          <w:tcPr>
            <w:tcW w:w="540" w:type="dxa"/>
            <w:tcBorders>
              <w:top w:val="nil"/>
              <w:left w:val="nil"/>
              <w:bottom w:val="nil"/>
              <w:right w:val="single" w:sz="8" w:space="0" w:color="002060"/>
            </w:tcBorders>
            <w:shd w:val="clear" w:color="auto" w:fill="auto"/>
            <w:noWrap/>
            <w:vAlign w:val="center"/>
            <w:hideMark/>
          </w:tcPr>
          <w:p w14:paraId="285266A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r>
      <w:tr w:rsidR="00AE564D" w:rsidRPr="00917EEE" w14:paraId="1A07D88B" w14:textId="77777777" w:rsidTr="00917EEE">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024FC72C"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49988F91"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7CC88A7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3473D69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69</w:t>
            </w:r>
          </w:p>
        </w:tc>
        <w:tc>
          <w:tcPr>
            <w:tcW w:w="656" w:type="dxa"/>
            <w:tcBorders>
              <w:top w:val="nil"/>
              <w:left w:val="nil"/>
              <w:bottom w:val="nil"/>
              <w:right w:val="nil"/>
            </w:tcBorders>
            <w:shd w:val="clear" w:color="auto" w:fill="auto"/>
            <w:noWrap/>
            <w:vAlign w:val="center"/>
            <w:hideMark/>
          </w:tcPr>
          <w:p w14:paraId="5AFC018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1.13</w:t>
            </w:r>
          </w:p>
        </w:tc>
        <w:tc>
          <w:tcPr>
            <w:tcW w:w="776" w:type="dxa"/>
            <w:tcBorders>
              <w:top w:val="nil"/>
              <w:left w:val="nil"/>
              <w:bottom w:val="nil"/>
              <w:right w:val="nil"/>
            </w:tcBorders>
            <w:shd w:val="clear" w:color="auto" w:fill="auto"/>
            <w:noWrap/>
            <w:vAlign w:val="center"/>
            <w:hideMark/>
          </w:tcPr>
          <w:p w14:paraId="10D4358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0.86</w:t>
            </w:r>
          </w:p>
        </w:tc>
        <w:tc>
          <w:tcPr>
            <w:tcW w:w="596" w:type="dxa"/>
            <w:tcBorders>
              <w:top w:val="nil"/>
              <w:left w:val="nil"/>
              <w:bottom w:val="nil"/>
              <w:right w:val="nil"/>
            </w:tcBorders>
            <w:shd w:val="clear" w:color="auto" w:fill="auto"/>
            <w:noWrap/>
            <w:vAlign w:val="center"/>
            <w:hideMark/>
          </w:tcPr>
          <w:p w14:paraId="38160B1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0.02</w:t>
            </w:r>
          </w:p>
        </w:tc>
        <w:tc>
          <w:tcPr>
            <w:tcW w:w="636" w:type="dxa"/>
            <w:tcBorders>
              <w:top w:val="nil"/>
              <w:left w:val="nil"/>
              <w:bottom w:val="nil"/>
              <w:right w:val="nil"/>
            </w:tcBorders>
            <w:shd w:val="clear" w:color="auto" w:fill="auto"/>
            <w:noWrap/>
            <w:vAlign w:val="center"/>
            <w:hideMark/>
          </w:tcPr>
          <w:p w14:paraId="40B4D1D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5.4</w:t>
            </w:r>
          </w:p>
        </w:tc>
        <w:tc>
          <w:tcPr>
            <w:tcW w:w="776" w:type="dxa"/>
            <w:tcBorders>
              <w:top w:val="nil"/>
              <w:left w:val="nil"/>
              <w:bottom w:val="nil"/>
              <w:right w:val="nil"/>
            </w:tcBorders>
            <w:shd w:val="clear" w:color="auto" w:fill="auto"/>
            <w:noWrap/>
            <w:vAlign w:val="center"/>
            <w:hideMark/>
          </w:tcPr>
          <w:p w14:paraId="73E3066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0.96</w:t>
            </w:r>
          </w:p>
        </w:tc>
        <w:tc>
          <w:tcPr>
            <w:tcW w:w="588" w:type="dxa"/>
            <w:tcBorders>
              <w:top w:val="nil"/>
              <w:left w:val="nil"/>
              <w:bottom w:val="nil"/>
              <w:right w:val="nil"/>
            </w:tcBorders>
            <w:shd w:val="clear" w:color="auto" w:fill="auto"/>
            <w:noWrap/>
            <w:vAlign w:val="center"/>
            <w:hideMark/>
          </w:tcPr>
          <w:p w14:paraId="677ACEA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0.69</w:t>
            </w:r>
          </w:p>
        </w:tc>
        <w:tc>
          <w:tcPr>
            <w:tcW w:w="580" w:type="dxa"/>
            <w:tcBorders>
              <w:top w:val="nil"/>
              <w:left w:val="nil"/>
              <w:bottom w:val="nil"/>
              <w:right w:val="single" w:sz="8" w:space="0" w:color="002060"/>
            </w:tcBorders>
            <w:shd w:val="clear" w:color="auto" w:fill="auto"/>
            <w:noWrap/>
            <w:vAlign w:val="center"/>
            <w:hideMark/>
          </w:tcPr>
          <w:p w14:paraId="6D56C01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1.26</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34145A59"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0BDAC51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13</w:t>
            </w:r>
          </w:p>
        </w:tc>
        <w:tc>
          <w:tcPr>
            <w:tcW w:w="596" w:type="dxa"/>
            <w:tcBorders>
              <w:top w:val="nil"/>
              <w:left w:val="nil"/>
              <w:bottom w:val="nil"/>
              <w:right w:val="nil"/>
            </w:tcBorders>
            <w:shd w:val="clear" w:color="auto" w:fill="auto"/>
            <w:noWrap/>
            <w:vAlign w:val="center"/>
            <w:hideMark/>
          </w:tcPr>
          <w:p w14:paraId="62C835D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0.35</w:t>
            </w:r>
          </w:p>
        </w:tc>
        <w:tc>
          <w:tcPr>
            <w:tcW w:w="716" w:type="dxa"/>
            <w:tcBorders>
              <w:top w:val="nil"/>
              <w:left w:val="nil"/>
              <w:bottom w:val="nil"/>
              <w:right w:val="nil"/>
            </w:tcBorders>
            <w:shd w:val="clear" w:color="auto" w:fill="auto"/>
            <w:noWrap/>
            <w:vAlign w:val="center"/>
            <w:hideMark/>
          </w:tcPr>
          <w:p w14:paraId="35C61FD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0.15</w:t>
            </w:r>
          </w:p>
        </w:tc>
        <w:tc>
          <w:tcPr>
            <w:tcW w:w="556" w:type="dxa"/>
            <w:tcBorders>
              <w:top w:val="nil"/>
              <w:left w:val="nil"/>
              <w:bottom w:val="nil"/>
              <w:right w:val="nil"/>
            </w:tcBorders>
            <w:shd w:val="clear" w:color="auto" w:fill="auto"/>
            <w:noWrap/>
            <w:vAlign w:val="center"/>
            <w:hideMark/>
          </w:tcPr>
          <w:p w14:paraId="0CC077C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0.19</w:t>
            </w:r>
          </w:p>
        </w:tc>
        <w:tc>
          <w:tcPr>
            <w:tcW w:w="596" w:type="dxa"/>
            <w:tcBorders>
              <w:top w:val="nil"/>
              <w:left w:val="nil"/>
              <w:bottom w:val="nil"/>
              <w:right w:val="nil"/>
            </w:tcBorders>
            <w:shd w:val="clear" w:color="auto" w:fill="auto"/>
            <w:noWrap/>
            <w:vAlign w:val="center"/>
            <w:hideMark/>
          </w:tcPr>
          <w:p w14:paraId="4EC03D7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0.66</w:t>
            </w:r>
          </w:p>
        </w:tc>
        <w:tc>
          <w:tcPr>
            <w:tcW w:w="796" w:type="dxa"/>
            <w:tcBorders>
              <w:top w:val="nil"/>
              <w:left w:val="nil"/>
              <w:bottom w:val="nil"/>
              <w:right w:val="nil"/>
            </w:tcBorders>
            <w:shd w:val="clear" w:color="auto" w:fill="auto"/>
            <w:noWrap/>
            <w:vAlign w:val="center"/>
            <w:hideMark/>
          </w:tcPr>
          <w:p w14:paraId="4002400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0.32</w:t>
            </w:r>
          </w:p>
        </w:tc>
        <w:tc>
          <w:tcPr>
            <w:tcW w:w="528" w:type="dxa"/>
            <w:tcBorders>
              <w:top w:val="nil"/>
              <w:left w:val="nil"/>
              <w:bottom w:val="nil"/>
              <w:right w:val="nil"/>
            </w:tcBorders>
            <w:shd w:val="clear" w:color="auto" w:fill="auto"/>
            <w:noWrap/>
            <w:vAlign w:val="center"/>
            <w:hideMark/>
          </w:tcPr>
          <w:p w14:paraId="315FA29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0.23</w:t>
            </w:r>
          </w:p>
        </w:tc>
        <w:tc>
          <w:tcPr>
            <w:tcW w:w="540" w:type="dxa"/>
            <w:tcBorders>
              <w:top w:val="nil"/>
              <w:left w:val="nil"/>
              <w:bottom w:val="nil"/>
              <w:right w:val="single" w:sz="8" w:space="0" w:color="002060"/>
            </w:tcBorders>
            <w:shd w:val="clear" w:color="auto" w:fill="auto"/>
            <w:noWrap/>
            <w:vAlign w:val="center"/>
            <w:hideMark/>
          </w:tcPr>
          <w:p w14:paraId="3CEE38D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0.40</w:t>
            </w:r>
          </w:p>
        </w:tc>
      </w:tr>
      <w:tr w:rsidR="00AE564D" w:rsidRPr="00917EEE" w14:paraId="4FDDB308" w14:textId="77777777" w:rsidTr="00917EEE">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3A0AFBB4"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5266EC80"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518BC89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7A9BE7E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14</w:t>
            </w:r>
          </w:p>
        </w:tc>
        <w:tc>
          <w:tcPr>
            <w:tcW w:w="656" w:type="dxa"/>
            <w:tcBorders>
              <w:top w:val="nil"/>
              <w:left w:val="nil"/>
              <w:bottom w:val="nil"/>
              <w:right w:val="nil"/>
            </w:tcBorders>
            <w:shd w:val="clear" w:color="auto" w:fill="auto"/>
            <w:noWrap/>
            <w:vAlign w:val="center"/>
            <w:hideMark/>
          </w:tcPr>
          <w:p w14:paraId="4A1C83F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0.84</w:t>
            </w:r>
          </w:p>
        </w:tc>
        <w:tc>
          <w:tcPr>
            <w:tcW w:w="776" w:type="dxa"/>
            <w:tcBorders>
              <w:top w:val="nil"/>
              <w:left w:val="nil"/>
              <w:bottom w:val="nil"/>
              <w:right w:val="nil"/>
            </w:tcBorders>
            <w:shd w:val="clear" w:color="auto" w:fill="auto"/>
            <w:noWrap/>
            <w:vAlign w:val="center"/>
            <w:hideMark/>
          </w:tcPr>
          <w:p w14:paraId="42FEE50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0.46</w:t>
            </w:r>
          </w:p>
        </w:tc>
        <w:tc>
          <w:tcPr>
            <w:tcW w:w="596" w:type="dxa"/>
            <w:tcBorders>
              <w:top w:val="nil"/>
              <w:left w:val="nil"/>
              <w:bottom w:val="nil"/>
              <w:right w:val="nil"/>
            </w:tcBorders>
            <w:shd w:val="clear" w:color="auto" w:fill="auto"/>
            <w:noWrap/>
            <w:vAlign w:val="center"/>
            <w:hideMark/>
          </w:tcPr>
          <w:p w14:paraId="47A44E8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w:t>
            </w:r>
          </w:p>
        </w:tc>
        <w:tc>
          <w:tcPr>
            <w:tcW w:w="636" w:type="dxa"/>
            <w:tcBorders>
              <w:top w:val="nil"/>
              <w:left w:val="nil"/>
              <w:bottom w:val="nil"/>
              <w:right w:val="nil"/>
            </w:tcBorders>
            <w:shd w:val="clear" w:color="auto" w:fill="auto"/>
            <w:noWrap/>
            <w:vAlign w:val="center"/>
            <w:hideMark/>
          </w:tcPr>
          <w:p w14:paraId="0564570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1.62</w:t>
            </w:r>
          </w:p>
        </w:tc>
        <w:tc>
          <w:tcPr>
            <w:tcW w:w="776" w:type="dxa"/>
            <w:tcBorders>
              <w:top w:val="nil"/>
              <w:left w:val="nil"/>
              <w:bottom w:val="nil"/>
              <w:right w:val="nil"/>
            </w:tcBorders>
            <w:shd w:val="clear" w:color="auto" w:fill="auto"/>
            <w:noWrap/>
            <w:vAlign w:val="center"/>
            <w:hideMark/>
          </w:tcPr>
          <w:p w14:paraId="756A4DF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0.67</w:t>
            </w:r>
          </w:p>
        </w:tc>
        <w:tc>
          <w:tcPr>
            <w:tcW w:w="588" w:type="dxa"/>
            <w:tcBorders>
              <w:top w:val="nil"/>
              <w:left w:val="nil"/>
              <w:bottom w:val="nil"/>
              <w:right w:val="nil"/>
            </w:tcBorders>
            <w:shd w:val="clear" w:color="auto" w:fill="auto"/>
            <w:noWrap/>
            <w:vAlign w:val="center"/>
            <w:hideMark/>
          </w:tcPr>
          <w:p w14:paraId="0A3D50E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0.48</w:t>
            </w:r>
          </w:p>
        </w:tc>
        <w:tc>
          <w:tcPr>
            <w:tcW w:w="580" w:type="dxa"/>
            <w:tcBorders>
              <w:top w:val="nil"/>
              <w:left w:val="nil"/>
              <w:bottom w:val="nil"/>
              <w:right w:val="single" w:sz="8" w:space="0" w:color="002060"/>
            </w:tcBorders>
            <w:shd w:val="clear" w:color="auto" w:fill="auto"/>
            <w:noWrap/>
            <w:vAlign w:val="center"/>
            <w:hideMark/>
          </w:tcPr>
          <w:p w14:paraId="6D55578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1.20</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7E0AC26E"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7DD1FCC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w:t>
            </w:r>
          </w:p>
        </w:tc>
        <w:tc>
          <w:tcPr>
            <w:tcW w:w="596" w:type="dxa"/>
            <w:tcBorders>
              <w:top w:val="nil"/>
              <w:left w:val="nil"/>
              <w:bottom w:val="nil"/>
              <w:right w:val="nil"/>
            </w:tcBorders>
            <w:shd w:val="clear" w:color="auto" w:fill="auto"/>
            <w:noWrap/>
            <w:vAlign w:val="center"/>
            <w:hideMark/>
          </w:tcPr>
          <w:p w14:paraId="7BDA6F9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0.23</w:t>
            </w:r>
          </w:p>
        </w:tc>
        <w:tc>
          <w:tcPr>
            <w:tcW w:w="716" w:type="dxa"/>
            <w:tcBorders>
              <w:top w:val="nil"/>
              <w:left w:val="nil"/>
              <w:bottom w:val="nil"/>
              <w:right w:val="nil"/>
            </w:tcBorders>
            <w:shd w:val="clear" w:color="auto" w:fill="auto"/>
            <w:noWrap/>
            <w:vAlign w:val="center"/>
            <w:hideMark/>
          </w:tcPr>
          <w:p w14:paraId="05F91C2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0.12</w:t>
            </w:r>
          </w:p>
        </w:tc>
        <w:tc>
          <w:tcPr>
            <w:tcW w:w="556" w:type="dxa"/>
            <w:tcBorders>
              <w:top w:val="nil"/>
              <w:left w:val="nil"/>
              <w:bottom w:val="nil"/>
              <w:right w:val="nil"/>
            </w:tcBorders>
            <w:shd w:val="clear" w:color="auto" w:fill="auto"/>
            <w:noWrap/>
            <w:vAlign w:val="center"/>
            <w:hideMark/>
          </w:tcPr>
          <w:p w14:paraId="40BAB61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0.07</w:t>
            </w:r>
          </w:p>
        </w:tc>
        <w:tc>
          <w:tcPr>
            <w:tcW w:w="596" w:type="dxa"/>
            <w:tcBorders>
              <w:top w:val="nil"/>
              <w:left w:val="nil"/>
              <w:bottom w:val="nil"/>
              <w:right w:val="nil"/>
            </w:tcBorders>
            <w:shd w:val="clear" w:color="auto" w:fill="auto"/>
            <w:noWrap/>
            <w:vAlign w:val="center"/>
            <w:hideMark/>
          </w:tcPr>
          <w:p w14:paraId="55E8CF6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0.47</w:t>
            </w:r>
          </w:p>
        </w:tc>
        <w:tc>
          <w:tcPr>
            <w:tcW w:w="796" w:type="dxa"/>
            <w:tcBorders>
              <w:top w:val="nil"/>
              <w:left w:val="nil"/>
              <w:bottom w:val="nil"/>
              <w:right w:val="nil"/>
            </w:tcBorders>
            <w:shd w:val="clear" w:color="auto" w:fill="auto"/>
            <w:noWrap/>
            <w:vAlign w:val="center"/>
            <w:hideMark/>
          </w:tcPr>
          <w:p w14:paraId="5F6A431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0.21</w:t>
            </w:r>
          </w:p>
        </w:tc>
        <w:tc>
          <w:tcPr>
            <w:tcW w:w="528" w:type="dxa"/>
            <w:tcBorders>
              <w:top w:val="nil"/>
              <w:left w:val="nil"/>
              <w:bottom w:val="nil"/>
              <w:right w:val="nil"/>
            </w:tcBorders>
            <w:shd w:val="clear" w:color="auto" w:fill="auto"/>
            <w:noWrap/>
            <w:vAlign w:val="center"/>
            <w:hideMark/>
          </w:tcPr>
          <w:p w14:paraId="0A9DAA6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0.13</w:t>
            </w:r>
          </w:p>
        </w:tc>
        <w:tc>
          <w:tcPr>
            <w:tcW w:w="540" w:type="dxa"/>
            <w:tcBorders>
              <w:top w:val="nil"/>
              <w:left w:val="nil"/>
              <w:bottom w:val="nil"/>
              <w:right w:val="single" w:sz="8" w:space="0" w:color="002060"/>
            </w:tcBorders>
            <w:shd w:val="clear" w:color="auto" w:fill="auto"/>
            <w:noWrap/>
            <w:vAlign w:val="center"/>
            <w:hideMark/>
          </w:tcPr>
          <w:p w14:paraId="5D9FA08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0.34</w:t>
            </w:r>
          </w:p>
        </w:tc>
      </w:tr>
      <w:tr w:rsidR="00AE564D" w:rsidRPr="00917EEE" w14:paraId="017A4FBF" w14:textId="77777777" w:rsidTr="00917EEE">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072A13E6"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744A17CC"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597FE49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Med Fresh</w:t>
            </w:r>
          </w:p>
        </w:tc>
        <w:tc>
          <w:tcPr>
            <w:tcW w:w="536" w:type="dxa"/>
            <w:tcBorders>
              <w:top w:val="nil"/>
              <w:left w:val="nil"/>
              <w:bottom w:val="nil"/>
              <w:right w:val="nil"/>
            </w:tcBorders>
            <w:shd w:val="clear" w:color="auto" w:fill="auto"/>
            <w:noWrap/>
            <w:vAlign w:val="center"/>
            <w:hideMark/>
          </w:tcPr>
          <w:p w14:paraId="1A7276D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18</w:t>
            </w:r>
          </w:p>
        </w:tc>
        <w:tc>
          <w:tcPr>
            <w:tcW w:w="656" w:type="dxa"/>
            <w:tcBorders>
              <w:top w:val="nil"/>
              <w:left w:val="nil"/>
              <w:bottom w:val="nil"/>
              <w:right w:val="nil"/>
            </w:tcBorders>
            <w:shd w:val="clear" w:color="auto" w:fill="auto"/>
            <w:noWrap/>
            <w:vAlign w:val="center"/>
            <w:hideMark/>
          </w:tcPr>
          <w:p w14:paraId="3444D53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0.68</w:t>
            </w:r>
          </w:p>
        </w:tc>
        <w:tc>
          <w:tcPr>
            <w:tcW w:w="776" w:type="dxa"/>
            <w:tcBorders>
              <w:top w:val="nil"/>
              <w:left w:val="nil"/>
              <w:bottom w:val="nil"/>
              <w:right w:val="nil"/>
            </w:tcBorders>
            <w:shd w:val="clear" w:color="auto" w:fill="auto"/>
            <w:noWrap/>
            <w:vAlign w:val="center"/>
            <w:hideMark/>
          </w:tcPr>
          <w:p w14:paraId="4FB5708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0.29</w:t>
            </w:r>
          </w:p>
        </w:tc>
        <w:tc>
          <w:tcPr>
            <w:tcW w:w="596" w:type="dxa"/>
            <w:tcBorders>
              <w:top w:val="nil"/>
              <w:left w:val="nil"/>
              <w:bottom w:val="nil"/>
              <w:right w:val="nil"/>
            </w:tcBorders>
            <w:shd w:val="clear" w:color="auto" w:fill="auto"/>
            <w:noWrap/>
            <w:vAlign w:val="center"/>
            <w:hideMark/>
          </w:tcPr>
          <w:p w14:paraId="7EAAF66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0.04</w:t>
            </w:r>
          </w:p>
        </w:tc>
        <w:tc>
          <w:tcPr>
            <w:tcW w:w="636" w:type="dxa"/>
            <w:tcBorders>
              <w:top w:val="nil"/>
              <w:left w:val="nil"/>
              <w:bottom w:val="nil"/>
              <w:right w:val="nil"/>
            </w:tcBorders>
            <w:shd w:val="clear" w:color="auto" w:fill="auto"/>
            <w:noWrap/>
            <w:vAlign w:val="center"/>
            <w:hideMark/>
          </w:tcPr>
          <w:p w14:paraId="7FBBEE4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1.08</w:t>
            </w:r>
          </w:p>
        </w:tc>
        <w:tc>
          <w:tcPr>
            <w:tcW w:w="776" w:type="dxa"/>
            <w:tcBorders>
              <w:top w:val="nil"/>
              <w:left w:val="nil"/>
              <w:bottom w:val="nil"/>
              <w:right w:val="nil"/>
            </w:tcBorders>
            <w:shd w:val="clear" w:color="auto" w:fill="auto"/>
            <w:noWrap/>
            <w:vAlign w:val="center"/>
            <w:hideMark/>
          </w:tcPr>
          <w:p w14:paraId="67B1661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0.73</w:t>
            </w:r>
          </w:p>
        </w:tc>
        <w:tc>
          <w:tcPr>
            <w:tcW w:w="588" w:type="dxa"/>
            <w:tcBorders>
              <w:top w:val="nil"/>
              <w:left w:val="nil"/>
              <w:bottom w:val="nil"/>
              <w:right w:val="nil"/>
            </w:tcBorders>
            <w:shd w:val="clear" w:color="auto" w:fill="auto"/>
            <w:noWrap/>
            <w:vAlign w:val="center"/>
            <w:hideMark/>
          </w:tcPr>
          <w:p w14:paraId="1BA799F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0.54</w:t>
            </w:r>
          </w:p>
        </w:tc>
        <w:tc>
          <w:tcPr>
            <w:tcW w:w="580" w:type="dxa"/>
            <w:tcBorders>
              <w:top w:val="nil"/>
              <w:left w:val="nil"/>
              <w:bottom w:val="nil"/>
              <w:right w:val="single" w:sz="8" w:space="0" w:color="002060"/>
            </w:tcBorders>
            <w:shd w:val="clear" w:color="auto" w:fill="auto"/>
            <w:noWrap/>
            <w:vAlign w:val="center"/>
            <w:hideMark/>
          </w:tcPr>
          <w:p w14:paraId="07CB59E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0.90</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1F43AD7C"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02632FF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8</w:t>
            </w:r>
          </w:p>
        </w:tc>
        <w:tc>
          <w:tcPr>
            <w:tcW w:w="596" w:type="dxa"/>
            <w:tcBorders>
              <w:top w:val="nil"/>
              <w:left w:val="nil"/>
              <w:bottom w:val="nil"/>
              <w:right w:val="nil"/>
            </w:tcBorders>
            <w:shd w:val="clear" w:color="auto" w:fill="auto"/>
            <w:noWrap/>
            <w:vAlign w:val="center"/>
            <w:hideMark/>
          </w:tcPr>
          <w:p w14:paraId="3234AA6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0.13</w:t>
            </w:r>
          </w:p>
        </w:tc>
        <w:tc>
          <w:tcPr>
            <w:tcW w:w="716" w:type="dxa"/>
            <w:tcBorders>
              <w:top w:val="nil"/>
              <w:left w:val="nil"/>
              <w:bottom w:val="nil"/>
              <w:right w:val="nil"/>
            </w:tcBorders>
            <w:shd w:val="clear" w:color="auto" w:fill="auto"/>
            <w:noWrap/>
            <w:vAlign w:val="center"/>
            <w:hideMark/>
          </w:tcPr>
          <w:p w14:paraId="2979A1F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0.08</w:t>
            </w:r>
          </w:p>
        </w:tc>
        <w:tc>
          <w:tcPr>
            <w:tcW w:w="556" w:type="dxa"/>
            <w:tcBorders>
              <w:top w:val="nil"/>
              <w:left w:val="nil"/>
              <w:bottom w:val="nil"/>
              <w:right w:val="nil"/>
            </w:tcBorders>
            <w:shd w:val="clear" w:color="auto" w:fill="auto"/>
            <w:noWrap/>
            <w:vAlign w:val="center"/>
            <w:hideMark/>
          </w:tcPr>
          <w:p w14:paraId="3A48215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0.03</w:t>
            </w:r>
          </w:p>
        </w:tc>
        <w:tc>
          <w:tcPr>
            <w:tcW w:w="596" w:type="dxa"/>
            <w:tcBorders>
              <w:top w:val="nil"/>
              <w:left w:val="nil"/>
              <w:bottom w:val="nil"/>
              <w:right w:val="nil"/>
            </w:tcBorders>
            <w:shd w:val="clear" w:color="auto" w:fill="auto"/>
            <w:noWrap/>
            <w:vAlign w:val="center"/>
            <w:hideMark/>
          </w:tcPr>
          <w:p w14:paraId="7C346D9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0.24</w:t>
            </w:r>
          </w:p>
        </w:tc>
        <w:tc>
          <w:tcPr>
            <w:tcW w:w="796" w:type="dxa"/>
            <w:tcBorders>
              <w:top w:val="nil"/>
              <w:left w:val="nil"/>
              <w:bottom w:val="nil"/>
              <w:right w:val="nil"/>
            </w:tcBorders>
            <w:shd w:val="clear" w:color="auto" w:fill="auto"/>
            <w:noWrap/>
            <w:vAlign w:val="center"/>
            <w:hideMark/>
          </w:tcPr>
          <w:p w14:paraId="025DD37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0.14</w:t>
            </w:r>
          </w:p>
        </w:tc>
        <w:tc>
          <w:tcPr>
            <w:tcW w:w="528" w:type="dxa"/>
            <w:tcBorders>
              <w:top w:val="nil"/>
              <w:left w:val="nil"/>
              <w:bottom w:val="nil"/>
              <w:right w:val="nil"/>
            </w:tcBorders>
            <w:shd w:val="clear" w:color="auto" w:fill="auto"/>
            <w:noWrap/>
            <w:vAlign w:val="center"/>
            <w:hideMark/>
          </w:tcPr>
          <w:p w14:paraId="64853A8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0.06</w:t>
            </w:r>
          </w:p>
        </w:tc>
        <w:tc>
          <w:tcPr>
            <w:tcW w:w="540" w:type="dxa"/>
            <w:tcBorders>
              <w:top w:val="nil"/>
              <w:left w:val="nil"/>
              <w:bottom w:val="nil"/>
              <w:right w:val="single" w:sz="8" w:space="0" w:color="002060"/>
            </w:tcBorders>
            <w:shd w:val="clear" w:color="auto" w:fill="auto"/>
            <w:noWrap/>
            <w:vAlign w:val="center"/>
            <w:hideMark/>
          </w:tcPr>
          <w:p w14:paraId="6623AB9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0.19</w:t>
            </w:r>
          </w:p>
        </w:tc>
      </w:tr>
      <w:tr w:rsidR="00AE564D" w:rsidRPr="00917EEE" w14:paraId="3962B378" w14:textId="77777777" w:rsidTr="00917EEE">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4C51F2FB"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7EE3618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McCoy's Bridge</w:t>
            </w:r>
          </w:p>
        </w:tc>
        <w:tc>
          <w:tcPr>
            <w:tcW w:w="1008" w:type="dxa"/>
            <w:tcBorders>
              <w:top w:val="single" w:sz="8" w:space="0" w:color="002060"/>
              <w:left w:val="nil"/>
              <w:bottom w:val="nil"/>
              <w:right w:val="nil"/>
            </w:tcBorders>
            <w:shd w:val="clear" w:color="auto" w:fill="auto"/>
            <w:noWrap/>
            <w:vAlign w:val="center"/>
            <w:hideMark/>
          </w:tcPr>
          <w:p w14:paraId="74221F6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Very Low</w:t>
            </w:r>
          </w:p>
        </w:tc>
        <w:tc>
          <w:tcPr>
            <w:tcW w:w="536" w:type="dxa"/>
            <w:tcBorders>
              <w:top w:val="single" w:sz="8" w:space="0" w:color="002060"/>
              <w:left w:val="nil"/>
              <w:bottom w:val="nil"/>
              <w:right w:val="nil"/>
            </w:tcBorders>
            <w:shd w:val="clear" w:color="auto" w:fill="auto"/>
            <w:noWrap/>
            <w:vAlign w:val="center"/>
            <w:hideMark/>
          </w:tcPr>
          <w:p w14:paraId="5C1BDA2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100</w:t>
            </w:r>
          </w:p>
        </w:tc>
        <w:tc>
          <w:tcPr>
            <w:tcW w:w="656" w:type="dxa"/>
            <w:tcBorders>
              <w:top w:val="single" w:sz="8" w:space="0" w:color="002060"/>
              <w:left w:val="nil"/>
              <w:bottom w:val="nil"/>
              <w:right w:val="nil"/>
            </w:tcBorders>
            <w:shd w:val="clear" w:color="auto" w:fill="auto"/>
            <w:noWrap/>
            <w:vAlign w:val="center"/>
            <w:hideMark/>
          </w:tcPr>
          <w:p w14:paraId="338E0B3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1.30</w:t>
            </w:r>
          </w:p>
        </w:tc>
        <w:tc>
          <w:tcPr>
            <w:tcW w:w="776" w:type="dxa"/>
            <w:tcBorders>
              <w:top w:val="single" w:sz="8" w:space="0" w:color="002060"/>
              <w:left w:val="nil"/>
              <w:bottom w:val="nil"/>
              <w:right w:val="nil"/>
            </w:tcBorders>
            <w:shd w:val="clear" w:color="auto" w:fill="auto"/>
            <w:noWrap/>
            <w:vAlign w:val="center"/>
            <w:hideMark/>
          </w:tcPr>
          <w:p w14:paraId="6B5174D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0.48</w:t>
            </w:r>
          </w:p>
        </w:tc>
        <w:tc>
          <w:tcPr>
            <w:tcW w:w="596" w:type="dxa"/>
            <w:tcBorders>
              <w:top w:val="single" w:sz="8" w:space="0" w:color="002060"/>
              <w:left w:val="nil"/>
              <w:bottom w:val="nil"/>
              <w:right w:val="nil"/>
            </w:tcBorders>
            <w:shd w:val="clear" w:color="auto" w:fill="auto"/>
            <w:noWrap/>
            <w:vAlign w:val="center"/>
            <w:hideMark/>
          </w:tcPr>
          <w:p w14:paraId="2EFCC5A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w:t>
            </w:r>
          </w:p>
        </w:tc>
        <w:tc>
          <w:tcPr>
            <w:tcW w:w="636" w:type="dxa"/>
            <w:tcBorders>
              <w:top w:val="single" w:sz="8" w:space="0" w:color="002060"/>
              <w:left w:val="nil"/>
              <w:bottom w:val="nil"/>
              <w:right w:val="nil"/>
            </w:tcBorders>
            <w:shd w:val="clear" w:color="auto" w:fill="auto"/>
            <w:noWrap/>
            <w:vAlign w:val="center"/>
            <w:hideMark/>
          </w:tcPr>
          <w:p w14:paraId="32379E9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2.56</w:t>
            </w:r>
          </w:p>
        </w:tc>
        <w:tc>
          <w:tcPr>
            <w:tcW w:w="776" w:type="dxa"/>
            <w:tcBorders>
              <w:top w:val="single" w:sz="8" w:space="0" w:color="002060"/>
              <w:left w:val="nil"/>
              <w:bottom w:val="nil"/>
              <w:right w:val="nil"/>
            </w:tcBorders>
            <w:shd w:val="clear" w:color="auto" w:fill="auto"/>
            <w:noWrap/>
            <w:vAlign w:val="center"/>
            <w:hideMark/>
          </w:tcPr>
          <w:p w14:paraId="1ACCCC0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1.19</w:t>
            </w:r>
          </w:p>
        </w:tc>
        <w:tc>
          <w:tcPr>
            <w:tcW w:w="588" w:type="dxa"/>
            <w:tcBorders>
              <w:top w:val="single" w:sz="8" w:space="0" w:color="002060"/>
              <w:left w:val="nil"/>
              <w:bottom w:val="nil"/>
              <w:right w:val="nil"/>
            </w:tcBorders>
            <w:shd w:val="clear" w:color="auto" w:fill="auto"/>
            <w:noWrap/>
            <w:vAlign w:val="center"/>
            <w:hideMark/>
          </w:tcPr>
          <w:p w14:paraId="3DBCA82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0.94</w:t>
            </w:r>
          </w:p>
        </w:tc>
        <w:tc>
          <w:tcPr>
            <w:tcW w:w="580" w:type="dxa"/>
            <w:tcBorders>
              <w:top w:val="single" w:sz="8" w:space="0" w:color="002060"/>
              <w:left w:val="nil"/>
              <w:bottom w:val="nil"/>
              <w:right w:val="single" w:sz="8" w:space="0" w:color="002060"/>
            </w:tcBorders>
            <w:shd w:val="clear" w:color="auto" w:fill="auto"/>
            <w:noWrap/>
            <w:vAlign w:val="center"/>
            <w:hideMark/>
          </w:tcPr>
          <w:p w14:paraId="098A9D3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1.64</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25BDBBF8"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single" w:sz="8" w:space="0" w:color="002060"/>
              <w:left w:val="nil"/>
              <w:bottom w:val="nil"/>
              <w:right w:val="nil"/>
            </w:tcBorders>
            <w:shd w:val="clear" w:color="auto" w:fill="auto"/>
            <w:noWrap/>
            <w:vAlign w:val="center"/>
            <w:hideMark/>
          </w:tcPr>
          <w:p w14:paraId="7AE0D80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w:t>
            </w:r>
          </w:p>
        </w:tc>
        <w:tc>
          <w:tcPr>
            <w:tcW w:w="596" w:type="dxa"/>
            <w:tcBorders>
              <w:top w:val="single" w:sz="8" w:space="0" w:color="002060"/>
              <w:left w:val="nil"/>
              <w:bottom w:val="nil"/>
              <w:right w:val="nil"/>
            </w:tcBorders>
            <w:shd w:val="clear" w:color="auto" w:fill="auto"/>
            <w:noWrap/>
            <w:vAlign w:val="center"/>
            <w:hideMark/>
          </w:tcPr>
          <w:p w14:paraId="1ECC9AE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0.83</w:t>
            </w:r>
          </w:p>
        </w:tc>
        <w:tc>
          <w:tcPr>
            <w:tcW w:w="716" w:type="dxa"/>
            <w:tcBorders>
              <w:top w:val="single" w:sz="8" w:space="0" w:color="002060"/>
              <w:left w:val="nil"/>
              <w:bottom w:val="nil"/>
              <w:right w:val="nil"/>
            </w:tcBorders>
            <w:shd w:val="clear" w:color="auto" w:fill="auto"/>
            <w:noWrap/>
            <w:vAlign w:val="center"/>
            <w:hideMark/>
          </w:tcPr>
          <w:p w14:paraId="2A603ED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0.16</w:t>
            </w:r>
          </w:p>
        </w:tc>
        <w:tc>
          <w:tcPr>
            <w:tcW w:w="556" w:type="dxa"/>
            <w:tcBorders>
              <w:top w:val="single" w:sz="8" w:space="0" w:color="002060"/>
              <w:left w:val="nil"/>
              <w:bottom w:val="nil"/>
              <w:right w:val="nil"/>
            </w:tcBorders>
            <w:shd w:val="clear" w:color="auto" w:fill="auto"/>
            <w:noWrap/>
            <w:vAlign w:val="center"/>
            <w:hideMark/>
          </w:tcPr>
          <w:p w14:paraId="4958195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0.5</w:t>
            </w:r>
          </w:p>
        </w:tc>
        <w:tc>
          <w:tcPr>
            <w:tcW w:w="596" w:type="dxa"/>
            <w:tcBorders>
              <w:top w:val="single" w:sz="8" w:space="0" w:color="002060"/>
              <w:left w:val="nil"/>
              <w:bottom w:val="nil"/>
              <w:right w:val="nil"/>
            </w:tcBorders>
            <w:shd w:val="clear" w:color="auto" w:fill="auto"/>
            <w:noWrap/>
            <w:vAlign w:val="center"/>
            <w:hideMark/>
          </w:tcPr>
          <w:p w14:paraId="53D1313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1.02</w:t>
            </w:r>
          </w:p>
        </w:tc>
        <w:tc>
          <w:tcPr>
            <w:tcW w:w="796" w:type="dxa"/>
            <w:tcBorders>
              <w:top w:val="single" w:sz="8" w:space="0" w:color="002060"/>
              <w:left w:val="nil"/>
              <w:bottom w:val="nil"/>
              <w:right w:val="nil"/>
            </w:tcBorders>
            <w:shd w:val="clear" w:color="auto" w:fill="auto"/>
            <w:noWrap/>
            <w:vAlign w:val="center"/>
            <w:hideMark/>
          </w:tcPr>
          <w:p w14:paraId="1B5ADD0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0.85</w:t>
            </w:r>
          </w:p>
        </w:tc>
        <w:tc>
          <w:tcPr>
            <w:tcW w:w="528" w:type="dxa"/>
            <w:tcBorders>
              <w:top w:val="single" w:sz="8" w:space="0" w:color="002060"/>
              <w:left w:val="nil"/>
              <w:bottom w:val="nil"/>
              <w:right w:val="nil"/>
            </w:tcBorders>
            <w:shd w:val="clear" w:color="auto" w:fill="auto"/>
            <w:noWrap/>
            <w:vAlign w:val="center"/>
            <w:hideMark/>
          </w:tcPr>
          <w:p w14:paraId="07DF518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0.73</w:t>
            </w:r>
          </w:p>
        </w:tc>
        <w:tc>
          <w:tcPr>
            <w:tcW w:w="540" w:type="dxa"/>
            <w:tcBorders>
              <w:top w:val="single" w:sz="8" w:space="0" w:color="002060"/>
              <w:left w:val="nil"/>
              <w:bottom w:val="nil"/>
              <w:right w:val="single" w:sz="8" w:space="0" w:color="002060"/>
            </w:tcBorders>
            <w:shd w:val="clear" w:color="auto" w:fill="auto"/>
            <w:noWrap/>
            <w:vAlign w:val="center"/>
            <w:hideMark/>
          </w:tcPr>
          <w:p w14:paraId="1D469F8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0.95</w:t>
            </w:r>
          </w:p>
        </w:tc>
      </w:tr>
      <w:tr w:rsidR="00AE564D" w:rsidRPr="00917EEE" w14:paraId="7472FE93" w14:textId="77777777" w:rsidTr="00917EEE">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1A8BC9A1"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7FC2E074"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7229C07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46C99F0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188</w:t>
            </w:r>
          </w:p>
        </w:tc>
        <w:tc>
          <w:tcPr>
            <w:tcW w:w="656" w:type="dxa"/>
            <w:tcBorders>
              <w:top w:val="nil"/>
              <w:left w:val="nil"/>
              <w:bottom w:val="nil"/>
              <w:right w:val="nil"/>
            </w:tcBorders>
            <w:shd w:val="clear" w:color="auto" w:fill="auto"/>
            <w:noWrap/>
            <w:vAlign w:val="center"/>
            <w:hideMark/>
          </w:tcPr>
          <w:p w14:paraId="3FE6848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1.25</w:t>
            </w:r>
          </w:p>
        </w:tc>
        <w:tc>
          <w:tcPr>
            <w:tcW w:w="776" w:type="dxa"/>
            <w:tcBorders>
              <w:top w:val="nil"/>
              <w:left w:val="nil"/>
              <w:bottom w:val="nil"/>
              <w:right w:val="nil"/>
            </w:tcBorders>
            <w:shd w:val="clear" w:color="auto" w:fill="auto"/>
            <w:noWrap/>
            <w:vAlign w:val="center"/>
            <w:hideMark/>
          </w:tcPr>
          <w:p w14:paraId="0976A5E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0.66</w:t>
            </w:r>
          </w:p>
        </w:tc>
        <w:tc>
          <w:tcPr>
            <w:tcW w:w="596" w:type="dxa"/>
            <w:tcBorders>
              <w:top w:val="nil"/>
              <w:left w:val="nil"/>
              <w:bottom w:val="nil"/>
              <w:right w:val="nil"/>
            </w:tcBorders>
            <w:shd w:val="clear" w:color="auto" w:fill="auto"/>
            <w:noWrap/>
            <w:vAlign w:val="center"/>
            <w:hideMark/>
          </w:tcPr>
          <w:p w14:paraId="27C7629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w:t>
            </w:r>
          </w:p>
        </w:tc>
        <w:tc>
          <w:tcPr>
            <w:tcW w:w="636" w:type="dxa"/>
            <w:tcBorders>
              <w:top w:val="nil"/>
              <w:left w:val="nil"/>
              <w:bottom w:val="nil"/>
              <w:right w:val="nil"/>
            </w:tcBorders>
            <w:shd w:val="clear" w:color="auto" w:fill="auto"/>
            <w:noWrap/>
            <w:vAlign w:val="center"/>
            <w:hideMark/>
          </w:tcPr>
          <w:p w14:paraId="271EF6C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4.53</w:t>
            </w:r>
          </w:p>
        </w:tc>
        <w:tc>
          <w:tcPr>
            <w:tcW w:w="776" w:type="dxa"/>
            <w:tcBorders>
              <w:top w:val="nil"/>
              <w:left w:val="nil"/>
              <w:bottom w:val="nil"/>
              <w:right w:val="nil"/>
            </w:tcBorders>
            <w:shd w:val="clear" w:color="auto" w:fill="auto"/>
            <w:noWrap/>
            <w:vAlign w:val="center"/>
            <w:hideMark/>
          </w:tcPr>
          <w:p w14:paraId="69ED1C2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1.10</w:t>
            </w:r>
          </w:p>
        </w:tc>
        <w:tc>
          <w:tcPr>
            <w:tcW w:w="588" w:type="dxa"/>
            <w:tcBorders>
              <w:top w:val="nil"/>
              <w:left w:val="nil"/>
              <w:bottom w:val="nil"/>
              <w:right w:val="nil"/>
            </w:tcBorders>
            <w:shd w:val="clear" w:color="auto" w:fill="auto"/>
            <w:noWrap/>
            <w:vAlign w:val="center"/>
            <w:hideMark/>
          </w:tcPr>
          <w:p w14:paraId="485E26C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0.83</w:t>
            </w:r>
          </w:p>
        </w:tc>
        <w:tc>
          <w:tcPr>
            <w:tcW w:w="580" w:type="dxa"/>
            <w:tcBorders>
              <w:top w:val="nil"/>
              <w:left w:val="nil"/>
              <w:bottom w:val="nil"/>
              <w:right w:val="single" w:sz="8" w:space="0" w:color="002060"/>
            </w:tcBorders>
            <w:shd w:val="clear" w:color="auto" w:fill="auto"/>
            <w:noWrap/>
            <w:vAlign w:val="center"/>
            <w:hideMark/>
          </w:tcPr>
          <w:p w14:paraId="5F01E6D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1.48</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6700FA47"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2B8E568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100</w:t>
            </w:r>
          </w:p>
        </w:tc>
        <w:tc>
          <w:tcPr>
            <w:tcW w:w="596" w:type="dxa"/>
            <w:tcBorders>
              <w:top w:val="nil"/>
              <w:left w:val="nil"/>
              <w:bottom w:val="nil"/>
              <w:right w:val="nil"/>
            </w:tcBorders>
            <w:shd w:val="clear" w:color="auto" w:fill="auto"/>
            <w:noWrap/>
            <w:vAlign w:val="center"/>
            <w:hideMark/>
          </w:tcPr>
          <w:p w14:paraId="0E9A3FA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0.66</w:t>
            </w:r>
          </w:p>
        </w:tc>
        <w:tc>
          <w:tcPr>
            <w:tcW w:w="716" w:type="dxa"/>
            <w:tcBorders>
              <w:top w:val="nil"/>
              <w:left w:val="nil"/>
              <w:bottom w:val="nil"/>
              <w:right w:val="nil"/>
            </w:tcBorders>
            <w:shd w:val="clear" w:color="auto" w:fill="auto"/>
            <w:noWrap/>
            <w:vAlign w:val="center"/>
            <w:hideMark/>
          </w:tcPr>
          <w:p w14:paraId="4E87BB0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0.29</w:t>
            </w:r>
          </w:p>
        </w:tc>
        <w:tc>
          <w:tcPr>
            <w:tcW w:w="556" w:type="dxa"/>
            <w:tcBorders>
              <w:top w:val="nil"/>
              <w:left w:val="nil"/>
              <w:bottom w:val="nil"/>
              <w:right w:val="nil"/>
            </w:tcBorders>
            <w:shd w:val="clear" w:color="auto" w:fill="auto"/>
            <w:noWrap/>
            <w:vAlign w:val="center"/>
            <w:hideMark/>
          </w:tcPr>
          <w:p w14:paraId="481E2C6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0.06</w:t>
            </w:r>
          </w:p>
        </w:tc>
        <w:tc>
          <w:tcPr>
            <w:tcW w:w="596" w:type="dxa"/>
            <w:tcBorders>
              <w:top w:val="nil"/>
              <w:left w:val="nil"/>
              <w:bottom w:val="nil"/>
              <w:right w:val="nil"/>
            </w:tcBorders>
            <w:shd w:val="clear" w:color="auto" w:fill="auto"/>
            <w:noWrap/>
            <w:vAlign w:val="center"/>
            <w:hideMark/>
          </w:tcPr>
          <w:p w14:paraId="489AE5E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1.85</w:t>
            </w:r>
          </w:p>
        </w:tc>
        <w:tc>
          <w:tcPr>
            <w:tcW w:w="796" w:type="dxa"/>
            <w:tcBorders>
              <w:top w:val="nil"/>
              <w:left w:val="nil"/>
              <w:bottom w:val="nil"/>
              <w:right w:val="nil"/>
            </w:tcBorders>
            <w:shd w:val="clear" w:color="auto" w:fill="auto"/>
            <w:noWrap/>
            <w:vAlign w:val="center"/>
            <w:hideMark/>
          </w:tcPr>
          <w:p w14:paraId="7972B15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0.65</w:t>
            </w:r>
          </w:p>
        </w:tc>
        <w:tc>
          <w:tcPr>
            <w:tcW w:w="528" w:type="dxa"/>
            <w:tcBorders>
              <w:top w:val="nil"/>
              <w:left w:val="nil"/>
              <w:bottom w:val="nil"/>
              <w:right w:val="nil"/>
            </w:tcBorders>
            <w:shd w:val="clear" w:color="auto" w:fill="auto"/>
            <w:noWrap/>
            <w:vAlign w:val="center"/>
            <w:hideMark/>
          </w:tcPr>
          <w:p w14:paraId="400B7D4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0.50</w:t>
            </w:r>
          </w:p>
        </w:tc>
        <w:tc>
          <w:tcPr>
            <w:tcW w:w="540" w:type="dxa"/>
            <w:tcBorders>
              <w:top w:val="nil"/>
              <w:left w:val="nil"/>
              <w:bottom w:val="nil"/>
              <w:right w:val="single" w:sz="8" w:space="0" w:color="002060"/>
            </w:tcBorders>
            <w:shd w:val="clear" w:color="auto" w:fill="auto"/>
            <w:noWrap/>
            <w:vAlign w:val="center"/>
            <w:hideMark/>
          </w:tcPr>
          <w:p w14:paraId="13D1D8B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0.77</w:t>
            </w:r>
          </w:p>
        </w:tc>
      </w:tr>
      <w:tr w:rsidR="00AE564D" w:rsidRPr="00917EEE" w14:paraId="14C264A0" w14:textId="77777777" w:rsidTr="00917EEE">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7A9D4C67"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7F89071F"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46E32C4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14261E3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121</w:t>
            </w:r>
          </w:p>
        </w:tc>
        <w:tc>
          <w:tcPr>
            <w:tcW w:w="656" w:type="dxa"/>
            <w:tcBorders>
              <w:top w:val="nil"/>
              <w:left w:val="nil"/>
              <w:bottom w:val="nil"/>
              <w:right w:val="nil"/>
            </w:tcBorders>
            <w:shd w:val="clear" w:color="auto" w:fill="auto"/>
            <w:noWrap/>
            <w:vAlign w:val="center"/>
            <w:hideMark/>
          </w:tcPr>
          <w:p w14:paraId="15622B4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1.06</w:t>
            </w:r>
          </w:p>
        </w:tc>
        <w:tc>
          <w:tcPr>
            <w:tcW w:w="776" w:type="dxa"/>
            <w:tcBorders>
              <w:top w:val="nil"/>
              <w:left w:val="nil"/>
              <w:bottom w:val="nil"/>
              <w:right w:val="nil"/>
            </w:tcBorders>
            <w:shd w:val="clear" w:color="auto" w:fill="auto"/>
            <w:noWrap/>
            <w:vAlign w:val="center"/>
            <w:hideMark/>
          </w:tcPr>
          <w:p w14:paraId="7224047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0.35</w:t>
            </w:r>
          </w:p>
        </w:tc>
        <w:tc>
          <w:tcPr>
            <w:tcW w:w="596" w:type="dxa"/>
            <w:tcBorders>
              <w:top w:val="nil"/>
              <w:left w:val="nil"/>
              <w:bottom w:val="nil"/>
              <w:right w:val="nil"/>
            </w:tcBorders>
            <w:shd w:val="clear" w:color="auto" w:fill="auto"/>
            <w:noWrap/>
            <w:vAlign w:val="center"/>
            <w:hideMark/>
          </w:tcPr>
          <w:p w14:paraId="6ACBF46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w:t>
            </w:r>
          </w:p>
        </w:tc>
        <w:tc>
          <w:tcPr>
            <w:tcW w:w="636" w:type="dxa"/>
            <w:tcBorders>
              <w:top w:val="nil"/>
              <w:left w:val="nil"/>
              <w:bottom w:val="nil"/>
              <w:right w:val="nil"/>
            </w:tcBorders>
            <w:shd w:val="clear" w:color="auto" w:fill="auto"/>
            <w:noWrap/>
            <w:vAlign w:val="center"/>
            <w:hideMark/>
          </w:tcPr>
          <w:p w14:paraId="2D6B6BC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2.10</w:t>
            </w:r>
          </w:p>
        </w:tc>
        <w:tc>
          <w:tcPr>
            <w:tcW w:w="776" w:type="dxa"/>
            <w:tcBorders>
              <w:top w:val="nil"/>
              <w:left w:val="nil"/>
              <w:bottom w:val="nil"/>
              <w:right w:val="nil"/>
            </w:tcBorders>
            <w:shd w:val="clear" w:color="auto" w:fill="auto"/>
            <w:noWrap/>
            <w:vAlign w:val="center"/>
            <w:hideMark/>
          </w:tcPr>
          <w:p w14:paraId="0D12AE3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1.03</w:t>
            </w:r>
          </w:p>
        </w:tc>
        <w:tc>
          <w:tcPr>
            <w:tcW w:w="588" w:type="dxa"/>
            <w:tcBorders>
              <w:top w:val="nil"/>
              <w:left w:val="nil"/>
              <w:bottom w:val="nil"/>
              <w:right w:val="nil"/>
            </w:tcBorders>
            <w:shd w:val="clear" w:color="auto" w:fill="auto"/>
            <w:noWrap/>
            <w:vAlign w:val="center"/>
            <w:hideMark/>
          </w:tcPr>
          <w:p w14:paraId="20B1AC8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0.77</w:t>
            </w:r>
          </w:p>
        </w:tc>
        <w:tc>
          <w:tcPr>
            <w:tcW w:w="580" w:type="dxa"/>
            <w:tcBorders>
              <w:top w:val="nil"/>
              <w:left w:val="nil"/>
              <w:bottom w:val="nil"/>
              <w:right w:val="single" w:sz="8" w:space="0" w:color="002060"/>
            </w:tcBorders>
            <w:shd w:val="clear" w:color="auto" w:fill="auto"/>
            <w:noWrap/>
            <w:vAlign w:val="center"/>
            <w:hideMark/>
          </w:tcPr>
          <w:p w14:paraId="5B33796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1.25</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60C52228"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05BC4C2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8</w:t>
            </w:r>
          </w:p>
        </w:tc>
        <w:tc>
          <w:tcPr>
            <w:tcW w:w="596" w:type="dxa"/>
            <w:tcBorders>
              <w:top w:val="nil"/>
              <w:left w:val="nil"/>
              <w:bottom w:val="nil"/>
              <w:right w:val="nil"/>
            </w:tcBorders>
            <w:shd w:val="clear" w:color="auto" w:fill="auto"/>
            <w:noWrap/>
            <w:vAlign w:val="center"/>
            <w:hideMark/>
          </w:tcPr>
          <w:p w14:paraId="23C20BB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0.19</w:t>
            </w:r>
          </w:p>
        </w:tc>
        <w:tc>
          <w:tcPr>
            <w:tcW w:w="716" w:type="dxa"/>
            <w:tcBorders>
              <w:top w:val="nil"/>
              <w:left w:val="nil"/>
              <w:bottom w:val="nil"/>
              <w:right w:val="nil"/>
            </w:tcBorders>
            <w:shd w:val="clear" w:color="auto" w:fill="auto"/>
            <w:noWrap/>
            <w:vAlign w:val="center"/>
            <w:hideMark/>
          </w:tcPr>
          <w:p w14:paraId="664786D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0.12</w:t>
            </w:r>
          </w:p>
        </w:tc>
        <w:tc>
          <w:tcPr>
            <w:tcW w:w="556" w:type="dxa"/>
            <w:tcBorders>
              <w:top w:val="nil"/>
              <w:left w:val="nil"/>
              <w:bottom w:val="nil"/>
              <w:right w:val="nil"/>
            </w:tcBorders>
            <w:shd w:val="clear" w:color="auto" w:fill="auto"/>
            <w:noWrap/>
            <w:vAlign w:val="center"/>
            <w:hideMark/>
          </w:tcPr>
          <w:p w14:paraId="610D353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0.04</w:t>
            </w:r>
          </w:p>
        </w:tc>
        <w:tc>
          <w:tcPr>
            <w:tcW w:w="596" w:type="dxa"/>
            <w:tcBorders>
              <w:top w:val="nil"/>
              <w:left w:val="nil"/>
              <w:bottom w:val="nil"/>
              <w:right w:val="nil"/>
            </w:tcBorders>
            <w:shd w:val="clear" w:color="auto" w:fill="auto"/>
            <w:noWrap/>
            <w:vAlign w:val="center"/>
            <w:hideMark/>
          </w:tcPr>
          <w:p w14:paraId="52BF0E3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0.38</w:t>
            </w:r>
          </w:p>
        </w:tc>
        <w:tc>
          <w:tcPr>
            <w:tcW w:w="796" w:type="dxa"/>
            <w:tcBorders>
              <w:top w:val="nil"/>
              <w:left w:val="nil"/>
              <w:bottom w:val="nil"/>
              <w:right w:val="nil"/>
            </w:tcBorders>
            <w:shd w:val="clear" w:color="auto" w:fill="auto"/>
            <w:noWrap/>
            <w:vAlign w:val="center"/>
            <w:hideMark/>
          </w:tcPr>
          <w:p w14:paraId="069042C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0.14</w:t>
            </w:r>
          </w:p>
        </w:tc>
        <w:tc>
          <w:tcPr>
            <w:tcW w:w="528" w:type="dxa"/>
            <w:tcBorders>
              <w:top w:val="nil"/>
              <w:left w:val="nil"/>
              <w:bottom w:val="nil"/>
              <w:right w:val="nil"/>
            </w:tcBorders>
            <w:shd w:val="clear" w:color="auto" w:fill="auto"/>
            <w:noWrap/>
            <w:vAlign w:val="center"/>
            <w:hideMark/>
          </w:tcPr>
          <w:p w14:paraId="675E58A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0.12</w:t>
            </w:r>
          </w:p>
        </w:tc>
        <w:tc>
          <w:tcPr>
            <w:tcW w:w="540" w:type="dxa"/>
            <w:tcBorders>
              <w:top w:val="nil"/>
              <w:left w:val="nil"/>
              <w:bottom w:val="nil"/>
              <w:right w:val="single" w:sz="8" w:space="0" w:color="002060"/>
            </w:tcBorders>
            <w:shd w:val="clear" w:color="auto" w:fill="auto"/>
            <w:noWrap/>
            <w:vAlign w:val="center"/>
            <w:hideMark/>
          </w:tcPr>
          <w:p w14:paraId="297BFDC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0.32</w:t>
            </w:r>
          </w:p>
        </w:tc>
      </w:tr>
      <w:tr w:rsidR="00AE564D" w:rsidRPr="00917EEE" w14:paraId="455A098C" w14:textId="77777777" w:rsidTr="00917EEE">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009B189C"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590BBAEA"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320E7D3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Med Fresh</w:t>
            </w:r>
          </w:p>
        </w:tc>
        <w:tc>
          <w:tcPr>
            <w:tcW w:w="536" w:type="dxa"/>
            <w:tcBorders>
              <w:top w:val="nil"/>
              <w:left w:val="nil"/>
              <w:bottom w:val="nil"/>
              <w:right w:val="nil"/>
            </w:tcBorders>
            <w:shd w:val="clear" w:color="auto" w:fill="auto"/>
            <w:noWrap/>
            <w:vAlign w:val="center"/>
            <w:hideMark/>
          </w:tcPr>
          <w:p w14:paraId="70E6CD5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29</w:t>
            </w:r>
          </w:p>
        </w:tc>
        <w:tc>
          <w:tcPr>
            <w:tcW w:w="656" w:type="dxa"/>
            <w:tcBorders>
              <w:top w:val="nil"/>
              <w:left w:val="nil"/>
              <w:bottom w:val="nil"/>
              <w:right w:val="nil"/>
            </w:tcBorders>
            <w:shd w:val="clear" w:color="auto" w:fill="auto"/>
            <w:noWrap/>
            <w:vAlign w:val="center"/>
            <w:hideMark/>
          </w:tcPr>
          <w:p w14:paraId="615FA5E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1.22</w:t>
            </w:r>
          </w:p>
        </w:tc>
        <w:tc>
          <w:tcPr>
            <w:tcW w:w="776" w:type="dxa"/>
            <w:tcBorders>
              <w:top w:val="nil"/>
              <w:left w:val="nil"/>
              <w:bottom w:val="nil"/>
              <w:right w:val="nil"/>
            </w:tcBorders>
            <w:shd w:val="clear" w:color="auto" w:fill="auto"/>
            <w:noWrap/>
            <w:vAlign w:val="center"/>
            <w:hideMark/>
          </w:tcPr>
          <w:p w14:paraId="2D6D0E3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0.35</w:t>
            </w:r>
          </w:p>
        </w:tc>
        <w:tc>
          <w:tcPr>
            <w:tcW w:w="596" w:type="dxa"/>
            <w:tcBorders>
              <w:top w:val="nil"/>
              <w:left w:val="nil"/>
              <w:bottom w:val="nil"/>
              <w:right w:val="nil"/>
            </w:tcBorders>
            <w:shd w:val="clear" w:color="auto" w:fill="auto"/>
            <w:noWrap/>
            <w:vAlign w:val="center"/>
            <w:hideMark/>
          </w:tcPr>
          <w:p w14:paraId="4BC68E9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0.13</w:t>
            </w:r>
          </w:p>
        </w:tc>
        <w:tc>
          <w:tcPr>
            <w:tcW w:w="636" w:type="dxa"/>
            <w:tcBorders>
              <w:top w:val="nil"/>
              <w:left w:val="nil"/>
              <w:bottom w:val="nil"/>
              <w:right w:val="nil"/>
            </w:tcBorders>
            <w:shd w:val="clear" w:color="auto" w:fill="auto"/>
            <w:noWrap/>
            <w:vAlign w:val="center"/>
            <w:hideMark/>
          </w:tcPr>
          <w:p w14:paraId="1B5955C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1.60</w:t>
            </w:r>
          </w:p>
        </w:tc>
        <w:tc>
          <w:tcPr>
            <w:tcW w:w="776" w:type="dxa"/>
            <w:tcBorders>
              <w:top w:val="nil"/>
              <w:left w:val="nil"/>
              <w:bottom w:val="nil"/>
              <w:right w:val="nil"/>
            </w:tcBorders>
            <w:shd w:val="clear" w:color="auto" w:fill="auto"/>
            <w:noWrap/>
            <w:vAlign w:val="center"/>
            <w:hideMark/>
          </w:tcPr>
          <w:p w14:paraId="4D3C971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1.36</w:t>
            </w:r>
          </w:p>
        </w:tc>
        <w:tc>
          <w:tcPr>
            <w:tcW w:w="588" w:type="dxa"/>
            <w:tcBorders>
              <w:top w:val="nil"/>
              <w:left w:val="nil"/>
              <w:bottom w:val="nil"/>
              <w:right w:val="nil"/>
            </w:tcBorders>
            <w:shd w:val="clear" w:color="auto" w:fill="auto"/>
            <w:noWrap/>
            <w:vAlign w:val="center"/>
            <w:hideMark/>
          </w:tcPr>
          <w:p w14:paraId="287D71D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0.98</w:t>
            </w:r>
          </w:p>
        </w:tc>
        <w:tc>
          <w:tcPr>
            <w:tcW w:w="580" w:type="dxa"/>
            <w:tcBorders>
              <w:top w:val="nil"/>
              <w:left w:val="nil"/>
              <w:bottom w:val="nil"/>
              <w:right w:val="single" w:sz="8" w:space="0" w:color="002060"/>
            </w:tcBorders>
            <w:shd w:val="clear" w:color="auto" w:fill="auto"/>
            <w:noWrap/>
            <w:vAlign w:val="center"/>
            <w:hideMark/>
          </w:tcPr>
          <w:p w14:paraId="6F847A0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1.46</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484A383B"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625C199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5</w:t>
            </w:r>
          </w:p>
        </w:tc>
        <w:tc>
          <w:tcPr>
            <w:tcW w:w="596" w:type="dxa"/>
            <w:tcBorders>
              <w:top w:val="nil"/>
              <w:left w:val="nil"/>
              <w:bottom w:val="nil"/>
              <w:right w:val="nil"/>
            </w:tcBorders>
            <w:shd w:val="clear" w:color="auto" w:fill="auto"/>
            <w:noWrap/>
            <w:vAlign w:val="center"/>
            <w:hideMark/>
          </w:tcPr>
          <w:p w14:paraId="024F37E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0.10</w:t>
            </w:r>
          </w:p>
        </w:tc>
        <w:tc>
          <w:tcPr>
            <w:tcW w:w="716" w:type="dxa"/>
            <w:tcBorders>
              <w:top w:val="nil"/>
              <w:left w:val="nil"/>
              <w:bottom w:val="nil"/>
              <w:right w:val="nil"/>
            </w:tcBorders>
            <w:shd w:val="clear" w:color="auto" w:fill="auto"/>
            <w:noWrap/>
            <w:vAlign w:val="center"/>
            <w:hideMark/>
          </w:tcPr>
          <w:p w14:paraId="3420AF0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0.09</w:t>
            </w:r>
          </w:p>
        </w:tc>
        <w:tc>
          <w:tcPr>
            <w:tcW w:w="556" w:type="dxa"/>
            <w:tcBorders>
              <w:top w:val="nil"/>
              <w:left w:val="nil"/>
              <w:bottom w:val="nil"/>
              <w:right w:val="nil"/>
            </w:tcBorders>
            <w:shd w:val="clear" w:color="auto" w:fill="auto"/>
            <w:noWrap/>
            <w:vAlign w:val="center"/>
            <w:hideMark/>
          </w:tcPr>
          <w:p w14:paraId="64E6662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0.01</w:t>
            </w:r>
          </w:p>
        </w:tc>
        <w:tc>
          <w:tcPr>
            <w:tcW w:w="596" w:type="dxa"/>
            <w:tcBorders>
              <w:top w:val="nil"/>
              <w:left w:val="nil"/>
              <w:bottom w:val="nil"/>
              <w:right w:val="nil"/>
            </w:tcBorders>
            <w:shd w:val="clear" w:color="auto" w:fill="auto"/>
            <w:noWrap/>
            <w:vAlign w:val="center"/>
            <w:hideMark/>
          </w:tcPr>
          <w:p w14:paraId="75EA884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0.26</w:t>
            </w:r>
          </w:p>
        </w:tc>
        <w:tc>
          <w:tcPr>
            <w:tcW w:w="796" w:type="dxa"/>
            <w:tcBorders>
              <w:top w:val="nil"/>
              <w:left w:val="nil"/>
              <w:bottom w:val="nil"/>
              <w:right w:val="nil"/>
            </w:tcBorders>
            <w:shd w:val="clear" w:color="auto" w:fill="auto"/>
            <w:noWrap/>
            <w:vAlign w:val="center"/>
            <w:hideMark/>
          </w:tcPr>
          <w:p w14:paraId="417B64B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0.08</w:t>
            </w:r>
          </w:p>
        </w:tc>
        <w:tc>
          <w:tcPr>
            <w:tcW w:w="528" w:type="dxa"/>
            <w:tcBorders>
              <w:top w:val="nil"/>
              <w:left w:val="nil"/>
              <w:bottom w:val="nil"/>
              <w:right w:val="nil"/>
            </w:tcBorders>
            <w:shd w:val="clear" w:color="auto" w:fill="auto"/>
            <w:noWrap/>
            <w:vAlign w:val="center"/>
            <w:hideMark/>
          </w:tcPr>
          <w:p w14:paraId="35D36E4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0.03</w:t>
            </w:r>
          </w:p>
        </w:tc>
        <w:tc>
          <w:tcPr>
            <w:tcW w:w="540" w:type="dxa"/>
            <w:tcBorders>
              <w:top w:val="nil"/>
              <w:left w:val="nil"/>
              <w:bottom w:val="nil"/>
              <w:right w:val="single" w:sz="8" w:space="0" w:color="002060"/>
            </w:tcBorders>
            <w:shd w:val="clear" w:color="auto" w:fill="auto"/>
            <w:noWrap/>
            <w:vAlign w:val="center"/>
            <w:hideMark/>
          </w:tcPr>
          <w:p w14:paraId="0B39D98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0.18</w:t>
            </w:r>
          </w:p>
        </w:tc>
      </w:tr>
      <w:tr w:rsidR="00AE564D" w:rsidRPr="00917EEE" w14:paraId="4A8DDCC2" w14:textId="77777777" w:rsidTr="00917EEE">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2A2D17FA"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1EFD9CA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Moss Rd / Day Rd / Murchison</w:t>
            </w:r>
          </w:p>
        </w:tc>
        <w:tc>
          <w:tcPr>
            <w:tcW w:w="1008" w:type="dxa"/>
            <w:tcBorders>
              <w:top w:val="single" w:sz="8" w:space="0" w:color="002060"/>
              <w:left w:val="nil"/>
              <w:bottom w:val="nil"/>
              <w:right w:val="nil"/>
            </w:tcBorders>
            <w:shd w:val="clear" w:color="auto" w:fill="auto"/>
            <w:noWrap/>
            <w:vAlign w:val="center"/>
            <w:hideMark/>
          </w:tcPr>
          <w:p w14:paraId="02705DF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Very Low</w:t>
            </w:r>
          </w:p>
        </w:tc>
        <w:tc>
          <w:tcPr>
            <w:tcW w:w="536" w:type="dxa"/>
            <w:tcBorders>
              <w:top w:val="single" w:sz="8" w:space="0" w:color="002060"/>
              <w:left w:val="nil"/>
              <w:bottom w:val="nil"/>
              <w:right w:val="nil"/>
            </w:tcBorders>
            <w:shd w:val="clear" w:color="auto" w:fill="auto"/>
            <w:noWrap/>
            <w:vAlign w:val="center"/>
            <w:hideMark/>
          </w:tcPr>
          <w:p w14:paraId="2BD05F6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12</w:t>
            </w:r>
          </w:p>
        </w:tc>
        <w:tc>
          <w:tcPr>
            <w:tcW w:w="656" w:type="dxa"/>
            <w:tcBorders>
              <w:top w:val="single" w:sz="8" w:space="0" w:color="002060"/>
              <w:left w:val="nil"/>
              <w:bottom w:val="nil"/>
              <w:right w:val="nil"/>
            </w:tcBorders>
            <w:shd w:val="clear" w:color="auto" w:fill="auto"/>
            <w:noWrap/>
            <w:vAlign w:val="center"/>
            <w:hideMark/>
          </w:tcPr>
          <w:p w14:paraId="73E9F55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2.36</w:t>
            </w:r>
          </w:p>
        </w:tc>
        <w:tc>
          <w:tcPr>
            <w:tcW w:w="776" w:type="dxa"/>
            <w:tcBorders>
              <w:top w:val="single" w:sz="8" w:space="0" w:color="002060"/>
              <w:left w:val="nil"/>
              <w:bottom w:val="nil"/>
              <w:right w:val="nil"/>
            </w:tcBorders>
            <w:shd w:val="clear" w:color="auto" w:fill="auto"/>
            <w:noWrap/>
            <w:vAlign w:val="center"/>
            <w:hideMark/>
          </w:tcPr>
          <w:p w14:paraId="717647D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3.35</w:t>
            </w:r>
          </w:p>
        </w:tc>
        <w:tc>
          <w:tcPr>
            <w:tcW w:w="596" w:type="dxa"/>
            <w:tcBorders>
              <w:top w:val="single" w:sz="8" w:space="0" w:color="002060"/>
              <w:left w:val="nil"/>
              <w:bottom w:val="nil"/>
              <w:right w:val="nil"/>
            </w:tcBorders>
            <w:shd w:val="clear" w:color="auto" w:fill="auto"/>
            <w:noWrap/>
            <w:vAlign w:val="center"/>
            <w:hideMark/>
          </w:tcPr>
          <w:p w14:paraId="61B02F9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w:t>
            </w:r>
          </w:p>
        </w:tc>
        <w:tc>
          <w:tcPr>
            <w:tcW w:w="636" w:type="dxa"/>
            <w:tcBorders>
              <w:top w:val="single" w:sz="8" w:space="0" w:color="002060"/>
              <w:left w:val="nil"/>
              <w:bottom w:val="nil"/>
              <w:right w:val="nil"/>
            </w:tcBorders>
            <w:shd w:val="clear" w:color="auto" w:fill="auto"/>
            <w:noWrap/>
            <w:vAlign w:val="center"/>
            <w:hideMark/>
          </w:tcPr>
          <w:p w14:paraId="3F1FB91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11.5</w:t>
            </w:r>
          </w:p>
        </w:tc>
        <w:tc>
          <w:tcPr>
            <w:tcW w:w="776" w:type="dxa"/>
            <w:tcBorders>
              <w:top w:val="single" w:sz="8" w:space="0" w:color="002060"/>
              <w:left w:val="nil"/>
              <w:bottom w:val="nil"/>
              <w:right w:val="nil"/>
            </w:tcBorders>
            <w:shd w:val="clear" w:color="auto" w:fill="auto"/>
            <w:noWrap/>
            <w:vAlign w:val="center"/>
            <w:hideMark/>
          </w:tcPr>
          <w:p w14:paraId="3F0D328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0.96</w:t>
            </w:r>
          </w:p>
        </w:tc>
        <w:tc>
          <w:tcPr>
            <w:tcW w:w="588" w:type="dxa"/>
            <w:tcBorders>
              <w:top w:val="single" w:sz="8" w:space="0" w:color="002060"/>
              <w:left w:val="nil"/>
              <w:bottom w:val="nil"/>
              <w:right w:val="nil"/>
            </w:tcBorders>
            <w:shd w:val="clear" w:color="auto" w:fill="auto"/>
            <w:noWrap/>
            <w:vAlign w:val="center"/>
            <w:hideMark/>
          </w:tcPr>
          <w:p w14:paraId="78591AB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0.57</w:t>
            </w:r>
          </w:p>
        </w:tc>
        <w:tc>
          <w:tcPr>
            <w:tcW w:w="580" w:type="dxa"/>
            <w:tcBorders>
              <w:top w:val="single" w:sz="8" w:space="0" w:color="002060"/>
              <w:left w:val="nil"/>
              <w:bottom w:val="nil"/>
              <w:right w:val="single" w:sz="8" w:space="0" w:color="002060"/>
            </w:tcBorders>
            <w:shd w:val="clear" w:color="auto" w:fill="auto"/>
            <w:noWrap/>
            <w:vAlign w:val="center"/>
            <w:hideMark/>
          </w:tcPr>
          <w:p w14:paraId="0D62FA5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3.30</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292A6187"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single" w:sz="8" w:space="0" w:color="002060"/>
              <w:left w:val="nil"/>
              <w:bottom w:val="nil"/>
              <w:right w:val="nil"/>
            </w:tcBorders>
            <w:shd w:val="clear" w:color="auto" w:fill="auto"/>
            <w:noWrap/>
            <w:vAlign w:val="center"/>
            <w:hideMark/>
          </w:tcPr>
          <w:p w14:paraId="59EC38E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6</w:t>
            </w:r>
          </w:p>
        </w:tc>
        <w:tc>
          <w:tcPr>
            <w:tcW w:w="596" w:type="dxa"/>
            <w:tcBorders>
              <w:top w:val="single" w:sz="8" w:space="0" w:color="002060"/>
              <w:left w:val="nil"/>
              <w:bottom w:val="nil"/>
              <w:right w:val="nil"/>
            </w:tcBorders>
            <w:shd w:val="clear" w:color="auto" w:fill="auto"/>
            <w:noWrap/>
            <w:vAlign w:val="center"/>
            <w:hideMark/>
          </w:tcPr>
          <w:p w14:paraId="5650E7D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0.76</w:t>
            </w:r>
          </w:p>
        </w:tc>
        <w:tc>
          <w:tcPr>
            <w:tcW w:w="716" w:type="dxa"/>
            <w:tcBorders>
              <w:top w:val="single" w:sz="8" w:space="0" w:color="002060"/>
              <w:left w:val="nil"/>
              <w:bottom w:val="nil"/>
              <w:right w:val="nil"/>
            </w:tcBorders>
            <w:shd w:val="clear" w:color="auto" w:fill="auto"/>
            <w:noWrap/>
            <w:vAlign w:val="center"/>
            <w:hideMark/>
          </w:tcPr>
          <w:p w14:paraId="78DAF3B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0.50</w:t>
            </w:r>
          </w:p>
        </w:tc>
        <w:tc>
          <w:tcPr>
            <w:tcW w:w="556" w:type="dxa"/>
            <w:tcBorders>
              <w:top w:val="single" w:sz="8" w:space="0" w:color="002060"/>
              <w:left w:val="nil"/>
              <w:bottom w:val="nil"/>
              <w:right w:val="nil"/>
            </w:tcBorders>
            <w:shd w:val="clear" w:color="auto" w:fill="auto"/>
            <w:noWrap/>
            <w:vAlign w:val="center"/>
            <w:hideMark/>
          </w:tcPr>
          <w:p w14:paraId="02C5117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0.2</w:t>
            </w:r>
          </w:p>
        </w:tc>
        <w:tc>
          <w:tcPr>
            <w:tcW w:w="596" w:type="dxa"/>
            <w:tcBorders>
              <w:top w:val="single" w:sz="8" w:space="0" w:color="002060"/>
              <w:left w:val="nil"/>
              <w:bottom w:val="nil"/>
              <w:right w:val="nil"/>
            </w:tcBorders>
            <w:shd w:val="clear" w:color="auto" w:fill="auto"/>
            <w:noWrap/>
            <w:vAlign w:val="center"/>
            <w:hideMark/>
          </w:tcPr>
          <w:p w14:paraId="5D3CF06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1.7</w:t>
            </w:r>
          </w:p>
        </w:tc>
        <w:tc>
          <w:tcPr>
            <w:tcW w:w="796" w:type="dxa"/>
            <w:tcBorders>
              <w:top w:val="single" w:sz="8" w:space="0" w:color="002060"/>
              <w:left w:val="nil"/>
              <w:bottom w:val="nil"/>
              <w:right w:val="nil"/>
            </w:tcBorders>
            <w:shd w:val="clear" w:color="auto" w:fill="auto"/>
            <w:noWrap/>
            <w:vAlign w:val="center"/>
            <w:hideMark/>
          </w:tcPr>
          <w:p w14:paraId="05DF934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0.68</w:t>
            </w:r>
          </w:p>
        </w:tc>
        <w:tc>
          <w:tcPr>
            <w:tcW w:w="528" w:type="dxa"/>
            <w:tcBorders>
              <w:top w:val="single" w:sz="8" w:space="0" w:color="002060"/>
              <w:left w:val="nil"/>
              <w:bottom w:val="nil"/>
              <w:right w:val="nil"/>
            </w:tcBorders>
            <w:shd w:val="clear" w:color="auto" w:fill="auto"/>
            <w:noWrap/>
            <w:vAlign w:val="center"/>
            <w:hideMark/>
          </w:tcPr>
          <w:p w14:paraId="6D2134C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0.42</w:t>
            </w:r>
          </w:p>
        </w:tc>
        <w:tc>
          <w:tcPr>
            <w:tcW w:w="540" w:type="dxa"/>
            <w:tcBorders>
              <w:top w:val="single" w:sz="8" w:space="0" w:color="002060"/>
              <w:left w:val="nil"/>
              <w:bottom w:val="nil"/>
              <w:right w:val="single" w:sz="8" w:space="0" w:color="002060"/>
            </w:tcBorders>
            <w:shd w:val="clear" w:color="auto" w:fill="auto"/>
            <w:noWrap/>
            <w:vAlign w:val="center"/>
            <w:hideMark/>
          </w:tcPr>
          <w:p w14:paraId="2DF27C0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w:t>
            </w:r>
          </w:p>
        </w:tc>
      </w:tr>
      <w:tr w:rsidR="00AE564D" w:rsidRPr="00917EEE" w14:paraId="61BD6F54" w14:textId="77777777" w:rsidTr="00917EEE">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3F5AD6BE"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1AED0FD1"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138481C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5D7328E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53</w:t>
            </w:r>
          </w:p>
        </w:tc>
        <w:tc>
          <w:tcPr>
            <w:tcW w:w="656" w:type="dxa"/>
            <w:tcBorders>
              <w:top w:val="nil"/>
              <w:left w:val="nil"/>
              <w:bottom w:val="nil"/>
              <w:right w:val="nil"/>
            </w:tcBorders>
            <w:shd w:val="clear" w:color="auto" w:fill="auto"/>
            <w:noWrap/>
            <w:vAlign w:val="center"/>
            <w:hideMark/>
          </w:tcPr>
          <w:p w14:paraId="25F5D51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1.82</w:t>
            </w:r>
          </w:p>
        </w:tc>
        <w:tc>
          <w:tcPr>
            <w:tcW w:w="776" w:type="dxa"/>
            <w:tcBorders>
              <w:top w:val="nil"/>
              <w:left w:val="nil"/>
              <w:bottom w:val="nil"/>
              <w:right w:val="nil"/>
            </w:tcBorders>
            <w:shd w:val="clear" w:color="auto" w:fill="auto"/>
            <w:noWrap/>
            <w:vAlign w:val="center"/>
            <w:hideMark/>
          </w:tcPr>
          <w:p w14:paraId="62FC36F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2.17</w:t>
            </w:r>
          </w:p>
        </w:tc>
        <w:tc>
          <w:tcPr>
            <w:tcW w:w="596" w:type="dxa"/>
            <w:tcBorders>
              <w:top w:val="nil"/>
              <w:left w:val="nil"/>
              <w:bottom w:val="nil"/>
              <w:right w:val="nil"/>
            </w:tcBorders>
            <w:shd w:val="clear" w:color="auto" w:fill="auto"/>
            <w:noWrap/>
            <w:vAlign w:val="center"/>
            <w:hideMark/>
          </w:tcPr>
          <w:p w14:paraId="00D534E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w:t>
            </w:r>
          </w:p>
        </w:tc>
        <w:tc>
          <w:tcPr>
            <w:tcW w:w="636" w:type="dxa"/>
            <w:tcBorders>
              <w:top w:val="nil"/>
              <w:left w:val="nil"/>
              <w:bottom w:val="nil"/>
              <w:right w:val="nil"/>
            </w:tcBorders>
            <w:shd w:val="clear" w:color="auto" w:fill="auto"/>
            <w:noWrap/>
            <w:vAlign w:val="center"/>
            <w:hideMark/>
          </w:tcPr>
          <w:p w14:paraId="0E5BBBA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14.3</w:t>
            </w:r>
          </w:p>
        </w:tc>
        <w:tc>
          <w:tcPr>
            <w:tcW w:w="776" w:type="dxa"/>
            <w:tcBorders>
              <w:top w:val="nil"/>
              <w:left w:val="nil"/>
              <w:bottom w:val="nil"/>
              <w:right w:val="nil"/>
            </w:tcBorders>
            <w:shd w:val="clear" w:color="auto" w:fill="auto"/>
            <w:noWrap/>
            <w:vAlign w:val="center"/>
            <w:hideMark/>
          </w:tcPr>
          <w:p w14:paraId="703B4D9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1.04</w:t>
            </w:r>
          </w:p>
        </w:tc>
        <w:tc>
          <w:tcPr>
            <w:tcW w:w="588" w:type="dxa"/>
            <w:tcBorders>
              <w:top w:val="nil"/>
              <w:left w:val="nil"/>
              <w:bottom w:val="nil"/>
              <w:right w:val="nil"/>
            </w:tcBorders>
            <w:shd w:val="clear" w:color="auto" w:fill="auto"/>
            <w:noWrap/>
            <w:vAlign w:val="center"/>
            <w:hideMark/>
          </w:tcPr>
          <w:p w14:paraId="2E1D51B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0.93</w:t>
            </w:r>
          </w:p>
        </w:tc>
        <w:tc>
          <w:tcPr>
            <w:tcW w:w="580" w:type="dxa"/>
            <w:tcBorders>
              <w:top w:val="nil"/>
              <w:left w:val="nil"/>
              <w:bottom w:val="nil"/>
              <w:right w:val="single" w:sz="8" w:space="0" w:color="002060"/>
            </w:tcBorders>
            <w:shd w:val="clear" w:color="auto" w:fill="auto"/>
            <w:noWrap/>
            <w:vAlign w:val="center"/>
            <w:hideMark/>
          </w:tcPr>
          <w:p w14:paraId="35D5D63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1.86</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6786EC6A"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3E289DD0"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15</w:t>
            </w:r>
          </w:p>
        </w:tc>
        <w:tc>
          <w:tcPr>
            <w:tcW w:w="596" w:type="dxa"/>
            <w:tcBorders>
              <w:top w:val="nil"/>
              <w:left w:val="nil"/>
              <w:bottom w:val="nil"/>
              <w:right w:val="nil"/>
            </w:tcBorders>
            <w:shd w:val="clear" w:color="auto" w:fill="auto"/>
            <w:noWrap/>
            <w:vAlign w:val="center"/>
            <w:hideMark/>
          </w:tcPr>
          <w:p w14:paraId="373AFF5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0.39</w:t>
            </w:r>
          </w:p>
        </w:tc>
        <w:tc>
          <w:tcPr>
            <w:tcW w:w="716" w:type="dxa"/>
            <w:tcBorders>
              <w:top w:val="nil"/>
              <w:left w:val="nil"/>
              <w:bottom w:val="nil"/>
              <w:right w:val="nil"/>
            </w:tcBorders>
            <w:shd w:val="clear" w:color="auto" w:fill="auto"/>
            <w:noWrap/>
            <w:vAlign w:val="center"/>
            <w:hideMark/>
          </w:tcPr>
          <w:p w14:paraId="6D62911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0.16</w:t>
            </w:r>
          </w:p>
        </w:tc>
        <w:tc>
          <w:tcPr>
            <w:tcW w:w="556" w:type="dxa"/>
            <w:tcBorders>
              <w:top w:val="nil"/>
              <w:left w:val="nil"/>
              <w:bottom w:val="nil"/>
              <w:right w:val="nil"/>
            </w:tcBorders>
            <w:shd w:val="clear" w:color="auto" w:fill="auto"/>
            <w:noWrap/>
            <w:vAlign w:val="center"/>
            <w:hideMark/>
          </w:tcPr>
          <w:p w14:paraId="7964C2B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w:t>
            </w:r>
          </w:p>
        </w:tc>
        <w:tc>
          <w:tcPr>
            <w:tcW w:w="596" w:type="dxa"/>
            <w:tcBorders>
              <w:top w:val="nil"/>
              <w:left w:val="nil"/>
              <w:bottom w:val="nil"/>
              <w:right w:val="nil"/>
            </w:tcBorders>
            <w:shd w:val="clear" w:color="auto" w:fill="auto"/>
            <w:noWrap/>
            <w:vAlign w:val="center"/>
            <w:hideMark/>
          </w:tcPr>
          <w:p w14:paraId="298F02D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w:t>
            </w:r>
          </w:p>
        </w:tc>
        <w:tc>
          <w:tcPr>
            <w:tcW w:w="796" w:type="dxa"/>
            <w:tcBorders>
              <w:top w:val="nil"/>
              <w:left w:val="nil"/>
              <w:bottom w:val="nil"/>
              <w:right w:val="nil"/>
            </w:tcBorders>
            <w:shd w:val="clear" w:color="auto" w:fill="auto"/>
            <w:noWrap/>
            <w:vAlign w:val="center"/>
            <w:hideMark/>
          </w:tcPr>
          <w:p w14:paraId="6E6D68B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0.39</w:t>
            </w:r>
          </w:p>
        </w:tc>
        <w:tc>
          <w:tcPr>
            <w:tcW w:w="528" w:type="dxa"/>
            <w:tcBorders>
              <w:top w:val="nil"/>
              <w:left w:val="nil"/>
              <w:bottom w:val="nil"/>
              <w:right w:val="nil"/>
            </w:tcBorders>
            <w:shd w:val="clear" w:color="auto" w:fill="auto"/>
            <w:noWrap/>
            <w:vAlign w:val="center"/>
            <w:hideMark/>
          </w:tcPr>
          <w:p w14:paraId="7656460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0.30</w:t>
            </w:r>
          </w:p>
        </w:tc>
        <w:tc>
          <w:tcPr>
            <w:tcW w:w="540" w:type="dxa"/>
            <w:tcBorders>
              <w:top w:val="nil"/>
              <w:left w:val="nil"/>
              <w:bottom w:val="nil"/>
              <w:right w:val="single" w:sz="8" w:space="0" w:color="002060"/>
            </w:tcBorders>
            <w:shd w:val="clear" w:color="auto" w:fill="auto"/>
            <w:noWrap/>
            <w:vAlign w:val="center"/>
            <w:hideMark/>
          </w:tcPr>
          <w:p w14:paraId="66C9AB4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0.51</w:t>
            </w:r>
          </w:p>
        </w:tc>
      </w:tr>
      <w:tr w:rsidR="00AE564D" w:rsidRPr="00917EEE" w14:paraId="2C754CB0" w14:textId="77777777" w:rsidTr="00917EEE">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3B64D8DC"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26E0469E"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0501D4F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32530E9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24</w:t>
            </w:r>
          </w:p>
        </w:tc>
        <w:tc>
          <w:tcPr>
            <w:tcW w:w="656" w:type="dxa"/>
            <w:tcBorders>
              <w:top w:val="nil"/>
              <w:left w:val="nil"/>
              <w:bottom w:val="nil"/>
              <w:right w:val="nil"/>
            </w:tcBorders>
            <w:shd w:val="clear" w:color="auto" w:fill="auto"/>
            <w:noWrap/>
            <w:vAlign w:val="center"/>
            <w:hideMark/>
          </w:tcPr>
          <w:p w14:paraId="3762DBE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1.81</w:t>
            </w:r>
          </w:p>
        </w:tc>
        <w:tc>
          <w:tcPr>
            <w:tcW w:w="776" w:type="dxa"/>
            <w:tcBorders>
              <w:top w:val="nil"/>
              <w:left w:val="nil"/>
              <w:bottom w:val="nil"/>
              <w:right w:val="nil"/>
            </w:tcBorders>
            <w:shd w:val="clear" w:color="auto" w:fill="auto"/>
            <w:noWrap/>
            <w:vAlign w:val="center"/>
            <w:hideMark/>
          </w:tcPr>
          <w:p w14:paraId="669AA66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0.71</w:t>
            </w:r>
          </w:p>
        </w:tc>
        <w:tc>
          <w:tcPr>
            <w:tcW w:w="596" w:type="dxa"/>
            <w:tcBorders>
              <w:top w:val="nil"/>
              <w:left w:val="nil"/>
              <w:bottom w:val="nil"/>
              <w:right w:val="nil"/>
            </w:tcBorders>
            <w:shd w:val="clear" w:color="auto" w:fill="auto"/>
            <w:noWrap/>
            <w:vAlign w:val="center"/>
            <w:hideMark/>
          </w:tcPr>
          <w:p w14:paraId="55EE787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w:t>
            </w:r>
          </w:p>
        </w:tc>
        <w:tc>
          <w:tcPr>
            <w:tcW w:w="636" w:type="dxa"/>
            <w:tcBorders>
              <w:top w:val="nil"/>
              <w:left w:val="nil"/>
              <w:bottom w:val="nil"/>
              <w:right w:val="nil"/>
            </w:tcBorders>
            <w:shd w:val="clear" w:color="auto" w:fill="auto"/>
            <w:noWrap/>
            <w:vAlign w:val="center"/>
            <w:hideMark/>
          </w:tcPr>
          <w:p w14:paraId="389025C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3.48</w:t>
            </w:r>
          </w:p>
        </w:tc>
        <w:tc>
          <w:tcPr>
            <w:tcW w:w="776" w:type="dxa"/>
            <w:tcBorders>
              <w:top w:val="nil"/>
              <w:left w:val="nil"/>
              <w:bottom w:val="nil"/>
              <w:right w:val="nil"/>
            </w:tcBorders>
            <w:shd w:val="clear" w:color="auto" w:fill="auto"/>
            <w:noWrap/>
            <w:vAlign w:val="center"/>
            <w:hideMark/>
          </w:tcPr>
          <w:p w14:paraId="0D0708A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1.77</w:t>
            </w:r>
          </w:p>
        </w:tc>
        <w:tc>
          <w:tcPr>
            <w:tcW w:w="588" w:type="dxa"/>
            <w:tcBorders>
              <w:top w:val="nil"/>
              <w:left w:val="nil"/>
              <w:bottom w:val="nil"/>
              <w:right w:val="nil"/>
            </w:tcBorders>
            <w:shd w:val="clear" w:color="auto" w:fill="auto"/>
            <w:noWrap/>
            <w:vAlign w:val="center"/>
            <w:hideMark/>
          </w:tcPr>
          <w:p w14:paraId="61E2FC8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1.06</w:t>
            </w:r>
          </w:p>
        </w:tc>
        <w:tc>
          <w:tcPr>
            <w:tcW w:w="580" w:type="dxa"/>
            <w:tcBorders>
              <w:top w:val="nil"/>
              <w:left w:val="nil"/>
              <w:bottom w:val="nil"/>
              <w:right w:val="single" w:sz="8" w:space="0" w:color="002060"/>
            </w:tcBorders>
            <w:shd w:val="clear" w:color="auto" w:fill="auto"/>
            <w:noWrap/>
            <w:vAlign w:val="center"/>
            <w:hideMark/>
          </w:tcPr>
          <w:p w14:paraId="5BFF94EC"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2.33</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77010A8E"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7DFEEE35"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7</w:t>
            </w:r>
          </w:p>
        </w:tc>
        <w:tc>
          <w:tcPr>
            <w:tcW w:w="596" w:type="dxa"/>
            <w:tcBorders>
              <w:top w:val="nil"/>
              <w:left w:val="nil"/>
              <w:bottom w:val="nil"/>
              <w:right w:val="nil"/>
            </w:tcBorders>
            <w:shd w:val="clear" w:color="auto" w:fill="auto"/>
            <w:noWrap/>
            <w:vAlign w:val="center"/>
            <w:hideMark/>
          </w:tcPr>
          <w:p w14:paraId="3805549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0.33</w:t>
            </w:r>
          </w:p>
        </w:tc>
        <w:tc>
          <w:tcPr>
            <w:tcW w:w="716" w:type="dxa"/>
            <w:tcBorders>
              <w:top w:val="nil"/>
              <w:left w:val="nil"/>
              <w:bottom w:val="nil"/>
              <w:right w:val="nil"/>
            </w:tcBorders>
            <w:shd w:val="clear" w:color="auto" w:fill="auto"/>
            <w:noWrap/>
            <w:vAlign w:val="center"/>
            <w:hideMark/>
          </w:tcPr>
          <w:p w14:paraId="3F8A65D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0.35</w:t>
            </w:r>
          </w:p>
        </w:tc>
        <w:tc>
          <w:tcPr>
            <w:tcW w:w="556" w:type="dxa"/>
            <w:tcBorders>
              <w:top w:val="nil"/>
              <w:left w:val="nil"/>
              <w:bottom w:val="nil"/>
              <w:right w:val="nil"/>
            </w:tcBorders>
            <w:shd w:val="clear" w:color="auto" w:fill="auto"/>
            <w:noWrap/>
            <w:vAlign w:val="center"/>
            <w:hideMark/>
          </w:tcPr>
          <w:p w14:paraId="3B71CC2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w:t>
            </w:r>
          </w:p>
        </w:tc>
        <w:tc>
          <w:tcPr>
            <w:tcW w:w="596" w:type="dxa"/>
            <w:tcBorders>
              <w:top w:val="nil"/>
              <w:left w:val="nil"/>
              <w:bottom w:val="nil"/>
              <w:right w:val="nil"/>
            </w:tcBorders>
            <w:shd w:val="clear" w:color="auto" w:fill="auto"/>
            <w:noWrap/>
            <w:vAlign w:val="center"/>
            <w:hideMark/>
          </w:tcPr>
          <w:p w14:paraId="17B21FAE"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0.96</w:t>
            </w:r>
          </w:p>
        </w:tc>
        <w:tc>
          <w:tcPr>
            <w:tcW w:w="796" w:type="dxa"/>
            <w:tcBorders>
              <w:top w:val="nil"/>
              <w:left w:val="nil"/>
              <w:bottom w:val="nil"/>
              <w:right w:val="nil"/>
            </w:tcBorders>
            <w:shd w:val="clear" w:color="auto" w:fill="auto"/>
            <w:noWrap/>
            <w:vAlign w:val="center"/>
            <w:hideMark/>
          </w:tcPr>
          <w:p w14:paraId="2776276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0.18</w:t>
            </w:r>
          </w:p>
        </w:tc>
        <w:tc>
          <w:tcPr>
            <w:tcW w:w="528" w:type="dxa"/>
            <w:tcBorders>
              <w:top w:val="nil"/>
              <w:left w:val="nil"/>
              <w:bottom w:val="nil"/>
              <w:right w:val="nil"/>
            </w:tcBorders>
            <w:shd w:val="clear" w:color="auto" w:fill="auto"/>
            <w:noWrap/>
            <w:vAlign w:val="center"/>
            <w:hideMark/>
          </w:tcPr>
          <w:p w14:paraId="7AD3A34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0.05</w:t>
            </w:r>
          </w:p>
        </w:tc>
        <w:tc>
          <w:tcPr>
            <w:tcW w:w="540" w:type="dxa"/>
            <w:tcBorders>
              <w:top w:val="nil"/>
              <w:left w:val="nil"/>
              <w:bottom w:val="nil"/>
              <w:right w:val="single" w:sz="8" w:space="0" w:color="002060"/>
            </w:tcBorders>
            <w:shd w:val="clear" w:color="auto" w:fill="auto"/>
            <w:noWrap/>
            <w:vAlign w:val="center"/>
            <w:hideMark/>
          </w:tcPr>
          <w:p w14:paraId="242B4EA8"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0.59</w:t>
            </w:r>
          </w:p>
        </w:tc>
      </w:tr>
      <w:tr w:rsidR="00AE564D" w:rsidRPr="00917EEE" w14:paraId="097DAB4A" w14:textId="77777777" w:rsidTr="00917EEE">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2B0BC49F"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7D82C294" w14:textId="77777777" w:rsidR="00AE564D" w:rsidRPr="00917EEE"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single" w:sz="8" w:space="0" w:color="002060"/>
              <w:right w:val="nil"/>
            </w:tcBorders>
            <w:shd w:val="clear" w:color="auto" w:fill="auto"/>
            <w:noWrap/>
            <w:vAlign w:val="center"/>
            <w:hideMark/>
          </w:tcPr>
          <w:p w14:paraId="1C6F982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Med Fresh</w:t>
            </w:r>
          </w:p>
        </w:tc>
        <w:tc>
          <w:tcPr>
            <w:tcW w:w="536" w:type="dxa"/>
            <w:tcBorders>
              <w:top w:val="nil"/>
              <w:left w:val="nil"/>
              <w:bottom w:val="single" w:sz="8" w:space="0" w:color="002060"/>
              <w:right w:val="nil"/>
            </w:tcBorders>
            <w:shd w:val="clear" w:color="auto" w:fill="auto"/>
            <w:noWrap/>
            <w:vAlign w:val="center"/>
            <w:hideMark/>
          </w:tcPr>
          <w:p w14:paraId="002D220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15</w:t>
            </w:r>
          </w:p>
        </w:tc>
        <w:tc>
          <w:tcPr>
            <w:tcW w:w="656" w:type="dxa"/>
            <w:tcBorders>
              <w:top w:val="nil"/>
              <w:left w:val="nil"/>
              <w:bottom w:val="single" w:sz="8" w:space="0" w:color="002060"/>
              <w:right w:val="nil"/>
            </w:tcBorders>
            <w:shd w:val="clear" w:color="auto" w:fill="auto"/>
            <w:noWrap/>
            <w:vAlign w:val="center"/>
            <w:hideMark/>
          </w:tcPr>
          <w:p w14:paraId="5E803FA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1.00</w:t>
            </w:r>
          </w:p>
        </w:tc>
        <w:tc>
          <w:tcPr>
            <w:tcW w:w="776" w:type="dxa"/>
            <w:tcBorders>
              <w:top w:val="nil"/>
              <w:left w:val="nil"/>
              <w:bottom w:val="single" w:sz="8" w:space="0" w:color="002060"/>
              <w:right w:val="nil"/>
            </w:tcBorders>
            <w:shd w:val="clear" w:color="auto" w:fill="auto"/>
            <w:noWrap/>
            <w:vAlign w:val="center"/>
            <w:hideMark/>
          </w:tcPr>
          <w:p w14:paraId="791728A9"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0.32</w:t>
            </w:r>
          </w:p>
        </w:tc>
        <w:tc>
          <w:tcPr>
            <w:tcW w:w="596" w:type="dxa"/>
            <w:tcBorders>
              <w:top w:val="nil"/>
              <w:left w:val="nil"/>
              <w:bottom w:val="single" w:sz="8" w:space="0" w:color="002060"/>
              <w:right w:val="nil"/>
            </w:tcBorders>
            <w:shd w:val="clear" w:color="auto" w:fill="auto"/>
            <w:noWrap/>
            <w:vAlign w:val="center"/>
            <w:hideMark/>
          </w:tcPr>
          <w:p w14:paraId="087FC3B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0.19</w:t>
            </w:r>
          </w:p>
        </w:tc>
        <w:tc>
          <w:tcPr>
            <w:tcW w:w="636" w:type="dxa"/>
            <w:tcBorders>
              <w:top w:val="nil"/>
              <w:left w:val="nil"/>
              <w:bottom w:val="single" w:sz="8" w:space="0" w:color="002060"/>
              <w:right w:val="nil"/>
            </w:tcBorders>
            <w:shd w:val="clear" w:color="auto" w:fill="auto"/>
            <w:noWrap/>
            <w:vAlign w:val="center"/>
            <w:hideMark/>
          </w:tcPr>
          <w:p w14:paraId="28835783"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1.35</w:t>
            </w:r>
          </w:p>
        </w:tc>
        <w:tc>
          <w:tcPr>
            <w:tcW w:w="776" w:type="dxa"/>
            <w:tcBorders>
              <w:top w:val="nil"/>
              <w:left w:val="nil"/>
              <w:bottom w:val="single" w:sz="8" w:space="0" w:color="002060"/>
              <w:right w:val="nil"/>
            </w:tcBorders>
            <w:shd w:val="clear" w:color="auto" w:fill="auto"/>
            <w:noWrap/>
            <w:vAlign w:val="center"/>
            <w:hideMark/>
          </w:tcPr>
          <w:p w14:paraId="51C0F9E1"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1.11</w:t>
            </w:r>
          </w:p>
        </w:tc>
        <w:tc>
          <w:tcPr>
            <w:tcW w:w="588" w:type="dxa"/>
            <w:tcBorders>
              <w:top w:val="nil"/>
              <w:left w:val="nil"/>
              <w:bottom w:val="single" w:sz="8" w:space="0" w:color="002060"/>
              <w:right w:val="nil"/>
            </w:tcBorders>
            <w:shd w:val="clear" w:color="auto" w:fill="auto"/>
            <w:noWrap/>
            <w:vAlign w:val="center"/>
            <w:hideMark/>
          </w:tcPr>
          <w:p w14:paraId="733F1CE7"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0.94</w:t>
            </w:r>
          </w:p>
        </w:tc>
        <w:tc>
          <w:tcPr>
            <w:tcW w:w="580" w:type="dxa"/>
            <w:tcBorders>
              <w:top w:val="nil"/>
              <w:left w:val="nil"/>
              <w:bottom w:val="single" w:sz="8" w:space="0" w:color="002060"/>
              <w:right w:val="single" w:sz="8" w:space="0" w:color="002060"/>
            </w:tcBorders>
            <w:shd w:val="clear" w:color="auto" w:fill="auto"/>
            <w:noWrap/>
            <w:vAlign w:val="center"/>
            <w:hideMark/>
          </w:tcPr>
          <w:p w14:paraId="5744C6E6"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1.17</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048F3E80" w14:textId="77777777" w:rsidR="00AE564D" w:rsidRPr="00917EEE"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single" w:sz="8" w:space="0" w:color="002060"/>
              <w:right w:val="nil"/>
            </w:tcBorders>
            <w:shd w:val="clear" w:color="auto" w:fill="auto"/>
            <w:noWrap/>
            <w:vAlign w:val="center"/>
            <w:hideMark/>
          </w:tcPr>
          <w:p w14:paraId="065D58EB"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4</w:t>
            </w:r>
          </w:p>
        </w:tc>
        <w:tc>
          <w:tcPr>
            <w:tcW w:w="596" w:type="dxa"/>
            <w:tcBorders>
              <w:top w:val="nil"/>
              <w:left w:val="nil"/>
              <w:bottom w:val="single" w:sz="8" w:space="0" w:color="002060"/>
              <w:right w:val="nil"/>
            </w:tcBorders>
            <w:shd w:val="clear" w:color="auto" w:fill="auto"/>
            <w:noWrap/>
            <w:vAlign w:val="center"/>
            <w:hideMark/>
          </w:tcPr>
          <w:p w14:paraId="4628ED7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c>
          <w:tcPr>
            <w:tcW w:w="716" w:type="dxa"/>
            <w:tcBorders>
              <w:top w:val="nil"/>
              <w:left w:val="nil"/>
              <w:bottom w:val="single" w:sz="8" w:space="0" w:color="002060"/>
              <w:right w:val="nil"/>
            </w:tcBorders>
            <w:shd w:val="clear" w:color="auto" w:fill="auto"/>
            <w:noWrap/>
            <w:vAlign w:val="center"/>
            <w:hideMark/>
          </w:tcPr>
          <w:p w14:paraId="2B2B9E24"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c>
          <w:tcPr>
            <w:tcW w:w="556" w:type="dxa"/>
            <w:tcBorders>
              <w:top w:val="nil"/>
              <w:left w:val="nil"/>
              <w:bottom w:val="single" w:sz="8" w:space="0" w:color="002060"/>
              <w:right w:val="nil"/>
            </w:tcBorders>
            <w:shd w:val="clear" w:color="auto" w:fill="auto"/>
            <w:noWrap/>
            <w:vAlign w:val="center"/>
            <w:hideMark/>
          </w:tcPr>
          <w:p w14:paraId="435E9ABA"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c>
          <w:tcPr>
            <w:tcW w:w="596" w:type="dxa"/>
            <w:tcBorders>
              <w:top w:val="nil"/>
              <w:left w:val="nil"/>
              <w:bottom w:val="single" w:sz="8" w:space="0" w:color="002060"/>
              <w:right w:val="nil"/>
            </w:tcBorders>
            <w:shd w:val="clear" w:color="auto" w:fill="auto"/>
            <w:noWrap/>
            <w:vAlign w:val="center"/>
            <w:hideMark/>
          </w:tcPr>
          <w:p w14:paraId="1F62AEA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c>
          <w:tcPr>
            <w:tcW w:w="796" w:type="dxa"/>
            <w:tcBorders>
              <w:top w:val="nil"/>
              <w:left w:val="nil"/>
              <w:bottom w:val="single" w:sz="8" w:space="0" w:color="002060"/>
              <w:right w:val="nil"/>
            </w:tcBorders>
            <w:shd w:val="clear" w:color="auto" w:fill="auto"/>
            <w:noWrap/>
            <w:vAlign w:val="center"/>
            <w:hideMark/>
          </w:tcPr>
          <w:p w14:paraId="27D24742"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c>
          <w:tcPr>
            <w:tcW w:w="528" w:type="dxa"/>
            <w:tcBorders>
              <w:top w:val="nil"/>
              <w:left w:val="nil"/>
              <w:bottom w:val="single" w:sz="8" w:space="0" w:color="002060"/>
              <w:right w:val="nil"/>
            </w:tcBorders>
            <w:shd w:val="clear" w:color="auto" w:fill="auto"/>
            <w:noWrap/>
            <w:vAlign w:val="center"/>
            <w:hideMark/>
          </w:tcPr>
          <w:p w14:paraId="4904709D"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c>
          <w:tcPr>
            <w:tcW w:w="540" w:type="dxa"/>
            <w:tcBorders>
              <w:top w:val="nil"/>
              <w:left w:val="nil"/>
              <w:bottom w:val="single" w:sz="8" w:space="0" w:color="002060"/>
              <w:right w:val="single" w:sz="8" w:space="0" w:color="002060"/>
            </w:tcBorders>
            <w:shd w:val="clear" w:color="auto" w:fill="auto"/>
            <w:noWrap/>
            <w:vAlign w:val="center"/>
            <w:hideMark/>
          </w:tcPr>
          <w:p w14:paraId="4A61155F" w14:textId="77777777" w:rsidR="00AE564D" w:rsidRPr="00917EEE" w:rsidRDefault="00AE564D" w:rsidP="00E26D3C">
            <w:pPr>
              <w:spacing w:after="0" w:line="240" w:lineRule="auto"/>
              <w:jc w:val="center"/>
              <w:rPr>
                <w:rFonts w:eastAsia="Times New Roman" w:cstheme="minorHAnsi"/>
                <w:color w:val="000000"/>
                <w:sz w:val="18"/>
                <w:szCs w:val="18"/>
                <w:lang w:eastAsia="en-AU"/>
              </w:rPr>
            </w:pPr>
            <w:r w:rsidRPr="00917EEE">
              <w:rPr>
                <w:rFonts w:eastAsia="Times New Roman" w:cstheme="minorHAnsi"/>
                <w:color w:val="000000"/>
                <w:sz w:val="18"/>
                <w:szCs w:val="18"/>
                <w:lang w:eastAsia="en-AU"/>
              </w:rPr>
              <w:t> </w:t>
            </w:r>
          </w:p>
        </w:tc>
      </w:tr>
    </w:tbl>
    <w:p w14:paraId="3520FE31" w14:textId="77777777" w:rsidR="00AE564D" w:rsidRPr="00BA2632" w:rsidRDefault="00AE564D" w:rsidP="00AE564D">
      <w:pPr>
        <w:spacing w:after="0" w:line="240" w:lineRule="auto"/>
        <w:rPr>
          <w:rFonts w:ascii="Times New Roman" w:eastAsia="Times New Roman" w:hAnsi="Times New Roman" w:cs="Times New Roman"/>
          <w:sz w:val="24"/>
          <w:szCs w:val="24"/>
          <w:lang w:eastAsia="en-AU"/>
        </w:rPr>
      </w:pPr>
    </w:p>
    <w:p w14:paraId="4DC45C24" w14:textId="77777777" w:rsidR="00AE564D" w:rsidRDefault="00AE564D" w:rsidP="00AE564D">
      <w:pPr>
        <w:spacing w:after="0" w:line="240" w:lineRule="auto"/>
        <w:rPr>
          <w:rFonts w:ascii="Times New Roman" w:eastAsia="Times New Roman" w:hAnsi="Times New Roman" w:cs="Times New Roman"/>
          <w:sz w:val="24"/>
          <w:szCs w:val="24"/>
          <w:lang w:eastAsia="en-AU"/>
        </w:rPr>
      </w:pPr>
    </w:p>
    <w:p w14:paraId="010FAFB7" w14:textId="77777777" w:rsidR="00AE564D" w:rsidRDefault="00AE564D" w:rsidP="00AE564D">
      <w:pPr>
        <w:spacing w:after="0" w:line="240" w:lineRule="auto"/>
        <w:rPr>
          <w:rFonts w:ascii="Times New Roman" w:eastAsia="Times New Roman" w:hAnsi="Times New Roman" w:cs="Times New Roman"/>
          <w:sz w:val="24"/>
          <w:szCs w:val="24"/>
          <w:lang w:eastAsia="en-AU"/>
        </w:rPr>
      </w:pPr>
    </w:p>
    <w:p w14:paraId="0288741F" w14:textId="77777777" w:rsidR="007C7C0F" w:rsidRPr="00BA2632" w:rsidRDefault="007C7C0F" w:rsidP="00AE564D">
      <w:pPr>
        <w:spacing w:after="0" w:line="240" w:lineRule="auto"/>
        <w:rPr>
          <w:rFonts w:ascii="Times New Roman" w:eastAsia="Times New Roman" w:hAnsi="Times New Roman" w:cs="Times New Roman"/>
          <w:sz w:val="24"/>
          <w:szCs w:val="24"/>
          <w:lang w:eastAsia="en-AU"/>
        </w:rPr>
      </w:pPr>
    </w:p>
    <w:p w14:paraId="51D4C2C4" w14:textId="77777777" w:rsidR="00AE564D" w:rsidRPr="00BA2632" w:rsidRDefault="00AE564D" w:rsidP="00AE564D">
      <w:pPr>
        <w:spacing w:after="0" w:line="240" w:lineRule="auto"/>
        <w:rPr>
          <w:rFonts w:ascii="Times New Roman" w:eastAsia="Times New Roman" w:hAnsi="Times New Roman" w:cs="Times New Roman"/>
          <w:sz w:val="24"/>
          <w:szCs w:val="24"/>
          <w:lang w:eastAsia="en-AU"/>
        </w:rPr>
      </w:pPr>
    </w:p>
    <w:p w14:paraId="4FC842A1" w14:textId="64E88791" w:rsidR="00AE564D" w:rsidRDefault="00AE564D" w:rsidP="00733C11">
      <w:pPr>
        <w:pStyle w:val="Caption"/>
        <w:keepNext/>
      </w:pPr>
      <w:bookmarkStart w:id="265" w:name="_Ref52391696"/>
      <w:bookmarkStart w:id="266" w:name="_Toc95391473"/>
      <w:r w:rsidRPr="00BA2632">
        <w:lastRenderedPageBreak/>
        <w:t xml:space="preserve">Table </w:t>
      </w:r>
      <w:r w:rsidR="00590768">
        <w:rPr>
          <w:noProof/>
        </w:rPr>
        <w:t>5</w:t>
      </w:r>
      <w:r w:rsidR="000B75AF">
        <w:noBreakHyphen/>
      </w:r>
      <w:r w:rsidR="00590768">
        <w:rPr>
          <w:noProof/>
        </w:rPr>
        <w:t>12</w:t>
      </w:r>
      <w:bookmarkEnd w:id="265"/>
      <w:r w:rsidRPr="00BA2632">
        <w:t xml:space="preserve"> Summary Statistics for Ecosystem Respiration (mg O2/L/Day), stratified by Season, Site and Flow Category. All data from 2014-202</w:t>
      </w:r>
      <w:r>
        <w:t>1</w:t>
      </w:r>
      <w:r w:rsidRPr="00BA2632">
        <w:t>.</w:t>
      </w:r>
      <w:bookmarkEnd w:id="266"/>
    </w:p>
    <w:tbl>
      <w:tblPr>
        <w:tblW w:w="13588" w:type="dxa"/>
        <w:jc w:val="center"/>
        <w:tblLook w:val="04A0" w:firstRow="1" w:lastRow="0" w:firstColumn="1" w:lastColumn="0" w:noHBand="0" w:noVBand="1"/>
      </w:tblPr>
      <w:tblGrid>
        <w:gridCol w:w="808"/>
        <w:gridCol w:w="1000"/>
        <w:gridCol w:w="1008"/>
        <w:gridCol w:w="536"/>
        <w:gridCol w:w="656"/>
        <w:gridCol w:w="776"/>
        <w:gridCol w:w="596"/>
        <w:gridCol w:w="636"/>
        <w:gridCol w:w="777"/>
        <w:gridCol w:w="588"/>
        <w:gridCol w:w="627"/>
        <w:gridCol w:w="880"/>
        <w:gridCol w:w="528"/>
        <w:gridCol w:w="641"/>
        <w:gridCol w:w="716"/>
        <w:gridCol w:w="556"/>
        <w:gridCol w:w="596"/>
        <w:gridCol w:w="796"/>
        <w:gridCol w:w="536"/>
        <w:gridCol w:w="540"/>
      </w:tblGrid>
      <w:tr w:rsidR="00AE564D" w:rsidRPr="00397875" w14:paraId="3AE108AE" w14:textId="77777777" w:rsidTr="00397875">
        <w:trPr>
          <w:trHeight w:val="255"/>
          <w:jc w:val="center"/>
        </w:trPr>
        <w:tc>
          <w:tcPr>
            <w:tcW w:w="700" w:type="dxa"/>
            <w:tcBorders>
              <w:top w:val="single" w:sz="8" w:space="0" w:color="002060"/>
              <w:left w:val="single" w:sz="8" w:space="0" w:color="002060"/>
              <w:bottom w:val="nil"/>
              <w:right w:val="single" w:sz="8" w:space="0" w:color="002060"/>
            </w:tcBorders>
            <w:shd w:val="clear" w:color="000000" w:fill="002060"/>
            <w:noWrap/>
            <w:vAlign w:val="center"/>
            <w:hideMark/>
          </w:tcPr>
          <w:p w14:paraId="50B10962"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Season</w:t>
            </w:r>
          </w:p>
        </w:tc>
        <w:tc>
          <w:tcPr>
            <w:tcW w:w="1000" w:type="dxa"/>
            <w:tcBorders>
              <w:top w:val="single" w:sz="8" w:space="0" w:color="002060"/>
              <w:left w:val="nil"/>
              <w:bottom w:val="single" w:sz="8" w:space="0" w:color="002060"/>
              <w:right w:val="single" w:sz="8" w:space="0" w:color="002060"/>
            </w:tcBorders>
            <w:shd w:val="clear" w:color="000000" w:fill="002060"/>
            <w:noWrap/>
            <w:vAlign w:val="center"/>
            <w:hideMark/>
          </w:tcPr>
          <w:p w14:paraId="32C1C7D9"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Site</w:t>
            </w:r>
          </w:p>
        </w:tc>
        <w:tc>
          <w:tcPr>
            <w:tcW w:w="1008" w:type="dxa"/>
            <w:tcBorders>
              <w:top w:val="single" w:sz="8" w:space="0" w:color="002060"/>
              <w:left w:val="nil"/>
              <w:bottom w:val="single" w:sz="8" w:space="0" w:color="002060"/>
              <w:right w:val="nil"/>
            </w:tcBorders>
            <w:shd w:val="clear" w:color="000000" w:fill="002060"/>
            <w:noWrap/>
            <w:vAlign w:val="center"/>
            <w:hideMark/>
          </w:tcPr>
          <w:p w14:paraId="4F1CA21A"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Flow Cat</w:t>
            </w:r>
          </w:p>
        </w:tc>
        <w:tc>
          <w:tcPr>
            <w:tcW w:w="536" w:type="dxa"/>
            <w:tcBorders>
              <w:top w:val="single" w:sz="8" w:space="0" w:color="002060"/>
              <w:left w:val="nil"/>
              <w:bottom w:val="single" w:sz="8" w:space="0" w:color="002060"/>
              <w:right w:val="nil"/>
            </w:tcBorders>
            <w:shd w:val="clear" w:color="000000" w:fill="002060"/>
            <w:noWrap/>
            <w:vAlign w:val="center"/>
            <w:hideMark/>
          </w:tcPr>
          <w:p w14:paraId="1883AA39"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n</w:t>
            </w:r>
          </w:p>
        </w:tc>
        <w:tc>
          <w:tcPr>
            <w:tcW w:w="656" w:type="dxa"/>
            <w:tcBorders>
              <w:top w:val="single" w:sz="8" w:space="0" w:color="002060"/>
              <w:left w:val="nil"/>
              <w:bottom w:val="single" w:sz="8" w:space="0" w:color="002060"/>
              <w:right w:val="nil"/>
            </w:tcBorders>
            <w:shd w:val="clear" w:color="000000" w:fill="002060"/>
            <w:noWrap/>
            <w:vAlign w:val="center"/>
            <w:hideMark/>
          </w:tcPr>
          <w:p w14:paraId="0E25F9F8"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Mean</w:t>
            </w:r>
          </w:p>
        </w:tc>
        <w:tc>
          <w:tcPr>
            <w:tcW w:w="776" w:type="dxa"/>
            <w:tcBorders>
              <w:top w:val="single" w:sz="8" w:space="0" w:color="002060"/>
              <w:left w:val="nil"/>
              <w:bottom w:val="single" w:sz="8" w:space="0" w:color="002060"/>
              <w:right w:val="nil"/>
            </w:tcBorders>
            <w:shd w:val="clear" w:color="000000" w:fill="002060"/>
            <w:noWrap/>
            <w:vAlign w:val="center"/>
            <w:hideMark/>
          </w:tcPr>
          <w:p w14:paraId="61F3477A"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Std Dev</w:t>
            </w:r>
          </w:p>
        </w:tc>
        <w:tc>
          <w:tcPr>
            <w:tcW w:w="596" w:type="dxa"/>
            <w:tcBorders>
              <w:top w:val="single" w:sz="8" w:space="0" w:color="002060"/>
              <w:left w:val="nil"/>
              <w:bottom w:val="single" w:sz="8" w:space="0" w:color="002060"/>
              <w:right w:val="nil"/>
            </w:tcBorders>
            <w:shd w:val="clear" w:color="000000" w:fill="002060"/>
            <w:noWrap/>
            <w:vAlign w:val="center"/>
            <w:hideMark/>
          </w:tcPr>
          <w:p w14:paraId="4D0A0FDA"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Min</w:t>
            </w:r>
          </w:p>
        </w:tc>
        <w:tc>
          <w:tcPr>
            <w:tcW w:w="636" w:type="dxa"/>
            <w:tcBorders>
              <w:top w:val="single" w:sz="8" w:space="0" w:color="002060"/>
              <w:left w:val="nil"/>
              <w:bottom w:val="single" w:sz="8" w:space="0" w:color="002060"/>
              <w:right w:val="nil"/>
            </w:tcBorders>
            <w:shd w:val="clear" w:color="000000" w:fill="002060"/>
            <w:noWrap/>
            <w:vAlign w:val="center"/>
            <w:hideMark/>
          </w:tcPr>
          <w:p w14:paraId="160EF3B1"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Max</w:t>
            </w:r>
          </w:p>
        </w:tc>
        <w:tc>
          <w:tcPr>
            <w:tcW w:w="776" w:type="dxa"/>
            <w:tcBorders>
              <w:top w:val="single" w:sz="8" w:space="0" w:color="002060"/>
              <w:left w:val="nil"/>
              <w:bottom w:val="single" w:sz="8" w:space="0" w:color="002060"/>
              <w:right w:val="nil"/>
            </w:tcBorders>
            <w:shd w:val="clear" w:color="000000" w:fill="002060"/>
            <w:noWrap/>
            <w:vAlign w:val="center"/>
            <w:hideMark/>
          </w:tcPr>
          <w:p w14:paraId="56A78A71" w14:textId="516E12D3"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 xml:space="preserve">Median </w:t>
            </w:r>
          </w:p>
        </w:tc>
        <w:tc>
          <w:tcPr>
            <w:tcW w:w="588" w:type="dxa"/>
            <w:tcBorders>
              <w:top w:val="single" w:sz="8" w:space="0" w:color="002060"/>
              <w:left w:val="nil"/>
              <w:bottom w:val="single" w:sz="8" w:space="0" w:color="002060"/>
              <w:right w:val="single" w:sz="8" w:space="0" w:color="002060"/>
            </w:tcBorders>
            <w:shd w:val="clear" w:color="000000" w:fill="002060"/>
            <w:noWrap/>
            <w:vAlign w:val="center"/>
            <w:hideMark/>
          </w:tcPr>
          <w:p w14:paraId="7476F347"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25%</w:t>
            </w:r>
          </w:p>
        </w:tc>
        <w:tc>
          <w:tcPr>
            <w:tcW w:w="580" w:type="dxa"/>
            <w:tcBorders>
              <w:top w:val="single" w:sz="8" w:space="0" w:color="002060"/>
              <w:left w:val="nil"/>
              <w:bottom w:val="single" w:sz="8" w:space="0" w:color="002060"/>
              <w:right w:val="single" w:sz="8" w:space="0" w:color="002060"/>
            </w:tcBorders>
            <w:shd w:val="clear" w:color="000000" w:fill="002060"/>
            <w:noWrap/>
            <w:vAlign w:val="center"/>
            <w:hideMark/>
          </w:tcPr>
          <w:p w14:paraId="125FF005"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75%</w:t>
            </w:r>
          </w:p>
        </w:tc>
        <w:tc>
          <w:tcPr>
            <w:tcW w:w="880" w:type="dxa"/>
            <w:tcBorders>
              <w:top w:val="single" w:sz="8" w:space="0" w:color="002060"/>
              <w:left w:val="nil"/>
              <w:bottom w:val="nil"/>
              <w:right w:val="single" w:sz="8" w:space="0" w:color="002060"/>
            </w:tcBorders>
            <w:shd w:val="clear" w:color="000000" w:fill="002060"/>
            <w:noWrap/>
            <w:vAlign w:val="center"/>
            <w:hideMark/>
          </w:tcPr>
          <w:p w14:paraId="0587A1CC"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Season</w:t>
            </w:r>
          </w:p>
        </w:tc>
        <w:tc>
          <w:tcPr>
            <w:tcW w:w="528" w:type="dxa"/>
            <w:tcBorders>
              <w:top w:val="single" w:sz="8" w:space="0" w:color="002060"/>
              <w:left w:val="nil"/>
              <w:bottom w:val="single" w:sz="8" w:space="0" w:color="002060"/>
              <w:right w:val="nil"/>
            </w:tcBorders>
            <w:shd w:val="clear" w:color="000000" w:fill="002060"/>
            <w:noWrap/>
            <w:vAlign w:val="center"/>
            <w:hideMark/>
          </w:tcPr>
          <w:p w14:paraId="3F56C881"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n</w:t>
            </w:r>
          </w:p>
        </w:tc>
        <w:tc>
          <w:tcPr>
            <w:tcW w:w="596" w:type="dxa"/>
            <w:tcBorders>
              <w:top w:val="single" w:sz="8" w:space="0" w:color="002060"/>
              <w:left w:val="nil"/>
              <w:bottom w:val="single" w:sz="8" w:space="0" w:color="002060"/>
              <w:right w:val="nil"/>
            </w:tcBorders>
            <w:shd w:val="clear" w:color="000000" w:fill="002060"/>
            <w:noWrap/>
            <w:vAlign w:val="center"/>
            <w:hideMark/>
          </w:tcPr>
          <w:p w14:paraId="7F56DBF2"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Mean</w:t>
            </w:r>
          </w:p>
        </w:tc>
        <w:tc>
          <w:tcPr>
            <w:tcW w:w="716" w:type="dxa"/>
            <w:tcBorders>
              <w:top w:val="single" w:sz="8" w:space="0" w:color="002060"/>
              <w:left w:val="nil"/>
              <w:bottom w:val="single" w:sz="8" w:space="0" w:color="002060"/>
              <w:right w:val="nil"/>
            </w:tcBorders>
            <w:shd w:val="clear" w:color="000000" w:fill="002060"/>
            <w:noWrap/>
            <w:vAlign w:val="center"/>
            <w:hideMark/>
          </w:tcPr>
          <w:p w14:paraId="4240C003"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Std Dev</w:t>
            </w:r>
          </w:p>
        </w:tc>
        <w:tc>
          <w:tcPr>
            <w:tcW w:w="556" w:type="dxa"/>
            <w:tcBorders>
              <w:top w:val="single" w:sz="8" w:space="0" w:color="002060"/>
              <w:left w:val="nil"/>
              <w:bottom w:val="single" w:sz="8" w:space="0" w:color="002060"/>
              <w:right w:val="nil"/>
            </w:tcBorders>
            <w:shd w:val="clear" w:color="000000" w:fill="002060"/>
            <w:noWrap/>
            <w:vAlign w:val="center"/>
            <w:hideMark/>
          </w:tcPr>
          <w:p w14:paraId="4912F88C"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Min</w:t>
            </w:r>
          </w:p>
        </w:tc>
        <w:tc>
          <w:tcPr>
            <w:tcW w:w="596" w:type="dxa"/>
            <w:tcBorders>
              <w:top w:val="single" w:sz="8" w:space="0" w:color="002060"/>
              <w:left w:val="nil"/>
              <w:bottom w:val="single" w:sz="8" w:space="0" w:color="002060"/>
              <w:right w:val="nil"/>
            </w:tcBorders>
            <w:shd w:val="clear" w:color="000000" w:fill="002060"/>
            <w:noWrap/>
            <w:vAlign w:val="center"/>
            <w:hideMark/>
          </w:tcPr>
          <w:p w14:paraId="77D5FB4E"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Max</w:t>
            </w:r>
          </w:p>
        </w:tc>
        <w:tc>
          <w:tcPr>
            <w:tcW w:w="796" w:type="dxa"/>
            <w:tcBorders>
              <w:top w:val="single" w:sz="8" w:space="0" w:color="002060"/>
              <w:left w:val="nil"/>
              <w:bottom w:val="single" w:sz="8" w:space="0" w:color="002060"/>
              <w:right w:val="nil"/>
            </w:tcBorders>
            <w:shd w:val="clear" w:color="000000" w:fill="002060"/>
            <w:noWrap/>
            <w:vAlign w:val="center"/>
            <w:hideMark/>
          </w:tcPr>
          <w:p w14:paraId="6716E77B" w14:textId="06D510F5"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 xml:space="preserve">Median </w:t>
            </w:r>
          </w:p>
        </w:tc>
        <w:tc>
          <w:tcPr>
            <w:tcW w:w="528" w:type="dxa"/>
            <w:tcBorders>
              <w:top w:val="single" w:sz="8" w:space="0" w:color="002060"/>
              <w:left w:val="nil"/>
              <w:bottom w:val="single" w:sz="8" w:space="0" w:color="002060"/>
              <w:right w:val="single" w:sz="8" w:space="0" w:color="002060"/>
            </w:tcBorders>
            <w:shd w:val="clear" w:color="000000" w:fill="002060"/>
            <w:noWrap/>
            <w:vAlign w:val="center"/>
            <w:hideMark/>
          </w:tcPr>
          <w:p w14:paraId="74BB352B"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25%</w:t>
            </w:r>
          </w:p>
        </w:tc>
        <w:tc>
          <w:tcPr>
            <w:tcW w:w="540" w:type="dxa"/>
            <w:tcBorders>
              <w:top w:val="single" w:sz="8" w:space="0" w:color="002060"/>
              <w:left w:val="nil"/>
              <w:bottom w:val="single" w:sz="8" w:space="0" w:color="002060"/>
              <w:right w:val="single" w:sz="8" w:space="0" w:color="002060"/>
            </w:tcBorders>
            <w:shd w:val="clear" w:color="000000" w:fill="002060"/>
            <w:noWrap/>
            <w:vAlign w:val="center"/>
            <w:hideMark/>
          </w:tcPr>
          <w:p w14:paraId="4CF3AA82"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75%</w:t>
            </w:r>
          </w:p>
        </w:tc>
      </w:tr>
      <w:tr w:rsidR="00AE564D" w:rsidRPr="00397875" w14:paraId="382EA328" w14:textId="77777777" w:rsidTr="00397875">
        <w:trPr>
          <w:trHeight w:val="255"/>
          <w:jc w:val="center"/>
        </w:trPr>
        <w:tc>
          <w:tcPr>
            <w:tcW w:w="700" w:type="dxa"/>
            <w:vMerge w:val="restart"/>
            <w:tcBorders>
              <w:top w:val="single" w:sz="8" w:space="0" w:color="002060"/>
              <w:left w:val="single" w:sz="8" w:space="0" w:color="002060"/>
              <w:bottom w:val="nil"/>
              <w:right w:val="single" w:sz="8" w:space="0" w:color="002060"/>
            </w:tcBorders>
            <w:shd w:val="clear" w:color="000000" w:fill="002060"/>
            <w:noWrap/>
            <w:vAlign w:val="center"/>
            <w:hideMark/>
          </w:tcPr>
          <w:p w14:paraId="6616D1AD"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Spring</w:t>
            </w: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1476CB3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Arcadia Downs / Darcy's Track</w:t>
            </w:r>
          </w:p>
        </w:tc>
        <w:tc>
          <w:tcPr>
            <w:tcW w:w="1008" w:type="dxa"/>
            <w:tcBorders>
              <w:top w:val="nil"/>
              <w:left w:val="nil"/>
              <w:bottom w:val="nil"/>
              <w:right w:val="nil"/>
            </w:tcBorders>
            <w:shd w:val="clear" w:color="auto" w:fill="auto"/>
            <w:noWrap/>
            <w:vAlign w:val="center"/>
            <w:hideMark/>
          </w:tcPr>
          <w:p w14:paraId="2C5ED00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Very Low</w:t>
            </w:r>
          </w:p>
        </w:tc>
        <w:tc>
          <w:tcPr>
            <w:tcW w:w="536" w:type="dxa"/>
            <w:tcBorders>
              <w:top w:val="nil"/>
              <w:left w:val="nil"/>
              <w:bottom w:val="nil"/>
              <w:right w:val="nil"/>
            </w:tcBorders>
            <w:shd w:val="clear" w:color="auto" w:fill="auto"/>
            <w:noWrap/>
            <w:vAlign w:val="center"/>
            <w:hideMark/>
          </w:tcPr>
          <w:p w14:paraId="4C5E73B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37</w:t>
            </w:r>
          </w:p>
        </w:tc>
        <w:tc>
          <w:tcPr>
            <w:tcW w:w="656" w:type="dxa"/>
            <w:tcBorders>
              <w:top w:val="nil"/>
              <w:left w:val="nil"/>
              <w:bottom w:val="nil"/>
              <w:right w:val="nil"/>
            </w:tcBorders>
            <w:shd w:val="clear" w:color="auto" w:fill="auto"/>
            <w:noWrap/>
            <w:vAlign w:val="center"/>
            <w:hideMark/>
          </w:tcPr>
          <w:p w14:paraId="5E8A9DB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4.17</w:t>
            </w:r>
          </w:p>
        </w:tc>
        <w:tc>
          <w:tcPr>
            <w:tcW w:w="776" w:type="dxa"/>
            <w:tcBorders>
              <w:top w:val="nil"/>
              <w:left w:val="nil"/>
              <w:bottom w:val="nil"/>
              <w:right w:val="nil"/>
            </w:tcBorders>
            <w:shd w:val="clear" w:color="auto" w:fill="auto"/>
            <w:noWrap/>
            <w:vAlign w:val="center"/>
            <w:hideMark/>
          </w:tcPr>
          <w:p w14:paraId="06D0FB4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2.76</w:t>
            </w:r>
          </w:p>
        </w:tc>
        <w:tc>
          <w:tcPr>
            <w:tcW w:w="596" w:type="dxa"/>
            <w:tcBorders>
              <w:top w:val="nil"/>
              <w:left w:val="nil"/>
              <w:bottom w:val="nil"/>
              <w:right w:val="nil"/>
            </w:tcBorders>
            <w:shd w:val="clear" w:color="auto" w:fill="auto"/>
            <w:noWrap/>
            <w:vAlign w:val="center"/>
            <w:hideMark/>
          </w:tcPr>
          <w:p w14:paraId="1A439F9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w:t>
            </w:r>
          </w:p>
        </w:tc>
        <w:tc>
          <w:tcPr>
            <w:tcW w:w="636" w:type="dxa"/>
            <w:tcBorders>
              <w:top w:val="nil"/>
              <w:left w:val="nil"/>
              <w:bottom w:val="nil"/>
              <w:right w:val="nil"/>
            </w:tcBorders>
            <w:shd w:val="clear" w:color="auto" w:fill="auto"/>
            <w:noWrap/>
            <w:vAlign w:val="center"/>
            <w:hideMark/>
          </w:tcPr>
          <w:p w14:paraId="2F4D44E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10.7</w:t>
            </w:r>
          </w:p>
        </w:tc>
        <w:tc>
          <w:tcPr>
            <w:tcW w:w="776" w:type="dxa"/>
            <w:tcBorders>
              <w:top w:val="nil"/>
              <w:left w:val="nil"/>
              <w:bottom w:val="nil"/>
              <w:right w:val="nil"/>
            </w:tcBorders>
            <w:shd w:val="clear" w:color="auto" w:fill="auto"/>
            <w:noWrap/>
            <w:vAlign w:val="center"/>
            <w:hideMark/>
          </w:tcPr>
          <w:p w14:paraId="425A54B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2.81</w:t>
            </w:r>
          </w:p>
        </w:tc>
        <w:tc>
          <w:tcPr>
            <w:tcW w:w="588" w:type="dxa"/>
            <w:tcBorders>
              <w:top w:val="nil"/>
              <w:left w:val="nil"/>
              <w:bottom w:val="nil"/>
              <w:right w:val="nil"/>
            </w:tcBorders>
            <w:shd w:val="clear" w:color="auto" w:fill="auto"/>
            <w:noWrap/>
            <w:vAlign w:val="center"/>
            <w:hideMark/>
          </w:tcPr>
          <w:p w14:paraId="1E7022A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2.25</w:t>
            </w:r>
          </w:p>
        </w:tc>
        <w:tc>
          <w:tcPr>
            <w:tcW w:w="580" w:type="dxa"/>
            <w:tcBorders>
              <w:top w:val="nil"/>
              <w:left w:val="nil"/>
              <w:bottom w:val="nil"/>
              <w:right w:val="single" w:sz="8" w:space="0" w:color="002060"/>
            </w:tcBorders>
            <w:shd w:val="clear" w:color="auto" w:fill="auto"/>
            <w:noWrap/>
            <w:vAlign w:val="center"/>
            <w:hideMark/>
          </w:tcPr>
          <w:p w14:paraId="4EED5EE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6.16</w:t>
            </w:r>
          </w:p>
        </w:tc>
        <w:tc>
          <w:tcPr>
            <w:tcW w:w="880" w:type="dxa"/>
            <w:vMerge w:val="restart"/>
            <w:tcBorders>
              <w:top w:val="single" w:sz="8" w:space="0" w:color="002060"/>
              <w:left w:val="single" w:sz="8" w:space="0" w:color="002060"/>
              <w:bottom w:val="nil"/>
              <w:right w:val="single" w:sz="8" w:space="0" w:color="002060"/>
            </w:tcBorders>
            <w:shd w:val="clear" w:color="000000" w:fill="002060"/>
            <w:noWrap/>
            <w:vAlign w:val="center"/>
            <w:hideMark/>
          </w:tcPr>
          <w:p w14:paraId="035E39F5"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Summer</w:t>
            </w:r>
          </w:p>
        </w:tc>
        <w:tc>
          <w:tcPr>
            <w:tcW w:w="528" w:type="dxa"/>
            <w:tcBorders>
              <w:top w:val="nil"/>
              <w:left w:val="nil"/>
              <w:bottom w:val="nil"/>
              <w:right w:val="nil"/>
            </w:tcBorders>
            <w:shd w:val="clear" w:color="auto" w:fill="auto"/>
            <w:noWrap/>
            <w:vAlign w:val="center"/>
            <w:hideMark/>
          </w:tcPr>
          <w:p w14:paraId="50E2196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38</w:t>
            </w:r>
          </w:p>
        </w:tc>
        <w:tc>
          <w:tcPr>
            <w:tcW w:w="596" w:type="dxa"/>
            <w:tcBorders>
              <w:top w:val="nil"/>
              <w:left w:val="nil"/>
              <w:bottom w:val="nil"/>
              <w:right w:val="nil"/>
            </w:tcBorders>
            <w:shd w:val="clear" w:color="auto" w:fill="auto"/>
            <w:noWrap/>
            <w:vAlign w:val="center"/>
            <w:hideMark/>
          </w:tcPr>
          <w:p w14:paraId="0CF5ADD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6.38</w:t>
            </w:r>
          </w:p>
        </w:tc>
        <w:tc>
          <w:tcPr>
            <w:tcW w:w="716" w:type="dxa"/>
            <w:tcBorders>
              <w:top w:val="nil"/>
              <w:left w:val="nil"/>
              <w:bottom w:val="nil"/>
              <w:right w:val="nil"/>
            </w:tcBorders>
            <w:shd w:val="clear" w:color="auto" w:fill="auto"/>
            <w:noWrap/>
            <w:vAlign w:val="center"/>
            <w:hideMark/>
          </w:tcPr>
          <w:p w14:paraId="481A924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4.36</w:t>
            </w:r>
          </w:p>
        </w:tc>
        <w:tc>
          <w:tcPr>
            <w:tcW w:w="556" w:type="dxa"/>
            <w:tcBorders>
              <w:top w:val="nil"/>
              <w:left w:val="nil"/>
              <w:bottom w:val="nil"/>
              <w:right w:val="nil"/>
            </w:tcBorders>
            <w:shd w:val="clear" w:color="auto" w:fill="auto"/>
            <w:noWrap/>
            <w:vAlign w:val="center"/>
            <w:hideMark/>
          </w:tcPr>
          <w:p w14:paraId="3E6B909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1.8</w:t>
            </w:r>
          </w:p>
        </w:tc>
        <w:tc>
          <w:tcPr>
            <w:tcW w:w="596" w:type="dxa"/>
            <w:tcBorders>
              <w:top w:val="nil"/>
              <w:left w:val="nil"/>
              <w:bottom w:val="nil"/>
              <w:right w:val="nil"/>
            </w:tcBorders>
            <w:shd w:val="clear" w:color="auto" w:fill="auto"/>
            <w:noWrap/>
            <w:vAlign w:val="center"/>
            <w:hideMark/>
          </w:tcPr>
          <w:p w14:paraId="3F965A3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18.1</w:t>
            </w:r>
          </w:p>
        </w:tc>
        <w:tc>
          <w:tcPr>
            <w:tcW w:w="796" w:type="dxa"/>
            <w:tcBorders>
              <w:top w:val="nil"/>
              <w:left w:val="nil"/>
              <w:bottom w:val="nil"/>
              <w:right w:val="nil"/>
            </w:tcBorders>
            <w:shd w:val="clear" w:color="auto" w:fill="auto"/>
            <w:noWrap/>
            <w:vAlign w:val="center"/>
            <w:hideMark/>
          </w:tcPr>
          <w:p w14:paraId="0610427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5.34</w:t>
            </w:r>
          </w:p>
        </w:tc>
        <w:tc>
          <w:tcPr>
            <w:tcW w:w="528" w:type="dxa"/>
            <w:tcBorders>
              <w:top w:val="nil"/>
              <w:left w:val="nil"/>
              <w:bottom w:val="nil"/>
              <w:right w:val="nil"/>
            </w:tcBorders>
            <w:shd w:val="clear" w:color="auto" w:fill="auto"/>
            <w:noWrap/>
            <w:vAlign w:val="center"/>
            <w:hideMark/>
          </w:tcPr>
          <w:p w14:paraId="38D23EB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2.67</w:t>
            </w:r>
          </w:p>
        </w:tc>
        <w:tc>
          <w:tcPr>
            <w:tcW w:w="540" w:type="dxa"/>
            <w:tcBorders>
              <w:top w:val="nil"/>
              <w:left w:val="nil"/>
              <w:bottom w:val="nil"/>
              <w:right w:val="single" w:sz="8" w:space="0" w:color="002060"/>
            </w:tcBorders>
            <w:shd w:val="clear" w:color="auto" w:fill="auto"/>
            <w:noWrap/>
            <w:vAlign w:val="center"/>
            <w:hideMark/>
          </w:tcPr>
          <w:p w14:paraId="74BE00B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8.21</w:t>
            </w:r>
          </w:p>
        </w:tc>
      </w:tr>
      <w:tr w:rsidR="00AE564D" w:rsidRPr="00397875" w14:paraId="5C871A17" w14:textId="77777777" w:rsidTr="00397875">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70360960"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64128B87"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367FAA5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5AB76FF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79</w:t>
            </w:r>
          </w:p>
        </w:tc>
        <w:tc>
          <w:tcPr>
            <w:tcW w:w="656" w:type="dxa"/>
            <w:tcBorders>
              <w:top w:val="nil"/>
              <w:left w:val="nil"/>
              <w:bottom w:val="nil"/>
              <w:right w:val="nil"/>
            </w:tcBorders>
            <w:shd w:val="clear" w:color="auto" w:fill="auto"/>
            <w:noWrap/>
            <w:vAlign w:val="center"/>
            <w:hideMark/>
          </w:tcPr>
          <w:p w14:paraId="4A4F9A8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3.26</w:t>
            </w:r>
          </w:p>
        </w:tc>
        <w:tc>
          <w:tcPr>
            <w:tcW w:w="776" w:type="dxa"/>
            <w:tcBorders>
              <w:top w:val="nil"/>
              <w:left w:val="nil"/>
              <w:bottom w:val="nil"/>
              <w:right w:val="nil"/>
            </w:tcBorders>
            <w:shd w:val="clear" w:color="auto" w:fill="auto"/>
            <w:noWrap/>
            <w:vAlign w:val="center"/>
            <w:hideMark/>
          </w:tcPr>
          <w:p w14:paraId="6AE7ABD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2.89</w:t>
            </w:r>
          </w:p>
        </w:tc>
        <w:tc>
          <w:tcPr>
            <w:tcW w:w="596" w:type="dxa"/>
            <w:tcBorders>
              <w:top w:val="nil"/>
              <w:left w:val="nil"/>
              <w:bottom w:val="nil"/>
              <w:right w:val="nil"/>
            </w:tcBorders>
            <w:shd w:val="clear" w:color="auto" w:fill="auto"/>
            <w:noWrap/>
            <w:vAlign w:val="center"/>
            <w:hideMark/>
          </w:tcPr>
          <w:p w14:paraId="54B85AE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0.4</w:t>
            </w:r>
          </w:p>
        </w:tc>
        <w:tc>
          <w:tcPr>
            <w:tcW w:w="636" w:type="dxa"/>
            <w:tcBorders>
              <w:top w:val="nil"/>
              <w:left w:val="nil"/>
              <w:bottom w:val="nil"/>
              <w:right w:val="nil"/>
            </w:tcBorders>
            <w:shd w:val="clear" w:color="auto" w:fill="auto"/>
            <w:noWrap/>
            <w:vAlign w:val="center"/>
            <w:hideMark/>
          </w:tcPr>
          <w:p w14:paraId="3F843D3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12.3</w:t>
            </w:r>
          </w:p>
        </w:tc>
        <w:tc>
          <w:tcPr>
            <w:tcW w:w="776" w:type="dxa"/>
            <w:tcBorders>
              <w:top w:val="nil"/>
              <w:left w:val="nil"/>
              <w:bottom w:val="nil"/>
              <w:right w:val="nil"/>
            </w:tcBorders>
            <w:shd w:val="clear" w:color="auto" w:fill="auto"/>
            <w:noWrap/>
            <w:vAlign w:val="center"/>
            <w:hideMark/>
          </w:tcPr>
          <w:p w14:paraId="4F2E278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2.26</w:t>
            </w:r>
          </w:p>
        </w:tc>
        <w:tc>
          <w:tcPr>
            <w:tcW w:w="588" w:type="dxa"/>
            <w:tcBorders>
              <w:top w:val="nil"/>
              <w:left w:val="nil"/>
              <w:bottom w:val="nil"/>
              <w:right w:val="nil"/>
            </w:tcBorders>
            <w:shd w:val="clear" w:color="auto" w:fill="auto"/>
            <w:noWrap/>
            <w:vAlign w:val="center"/>
            <w:hideMark/>
          </w:tcPr>
          <w:p w14:paraId="38AF1BC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1.50</w:t>
            </w:r>
          </w:p>
        </w:tc>
        <w:tc>
          <w:tcPr>
            <w:tcW w:w="580" w:type="dxa"/>
            <w:tcBorders>
              <w:top w:val="nil"/>
              <w:left w:val="nil"/>
              <w:bottom w:val="nil"/>
              <w:right w:val="single" w:sz="8" w:space="0" w:color="002060"/>
            </w:tcBorders>
            <w:shd w:val="clear" w:color="auto" w:fill="auto"/>
            <w:noWrap/>
            <w:vAlign w:val="center"/>
            <w:hideMark/>
          </w:tcPr>
          <w:p w14:paraId="30C9111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3.59</w:t>
            </w:r>
          </w:p>
        </w:tc>
        <w:tc>
          <w:tcPr>
            <w:tcW w:w="880" w:type="dxa"/>
            <w:vMerge/>
            <w:tcBorders>
              <w:top w:val="single" w:sz="8" w:space="0" w:color="002060"/>
              <w:left w:val="single" w:sz="8" w:space="0" w:color="002060"/>
              <w:bottom w:val="nil"/>
              <w:right w:val="single" w:sz="8" w:space="0" w:color="002060"/>
            </w:tcBorders>
            <w:vAlign w:val="center"/>
            <w:hideMark/>
          </w:tcPr>
          <w:p w14:paraId="2CA23005"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6519094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152</w:t>
            </w:r>
          </w:p>
        </w:tc>
        <w:tc>
          <w:tcPr>
            <w:tcW w:w="596" w:type="dxa"/>
            <w:tcBorders>
              <w:top w:val="nil"/>
              <w:left w:val="nil"/>
              <w:bottom w:val="nil"/>
              <w:right w:val="nil"/>
            </w:tcBorders>
            <w:shd w:val="clear" w:color="auto" w:fill="auto"/>
            <w:noWrap/>
            <w:vAlign w:val="center"/>
            <w:hideMark/>
          </w:tcPr>
          <w:p w14:paraId="0C85E45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4.11</w:t>
            </w:r>
          </w:p>
        </w:tc>
        <w:tc>
          <w:tcPr>
            <w:tcW w:w="716" w:type="dxa"/>
            <w:tcBorders>
              <w:top w:val="nil"/>
              <w:left w:val="nil"/>
              <w:bottom w:val="nil"/>
              <w:right w:val="nil"/>
            </w:tcBorders>
            <w:shd w:val="clear" w:color="auto" w:fill="auto"/>
            <w:noWrap/>
            <w:vAlign w:val="center"/>
            <w:hideMark/>
          </w:tcPr>
          <w:p w14:paraId="0796185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3.18</w:t>
            </w:r>
          </w:p>
        </w:tc>
        <w:tc>
          <w:tcPr>
            <w:tcW w:w="556" w:type="dxa"/>
            <w:tcBorders>
              <w:top w:val="nil"/>
              <w:left w:val="nil"/>
              <w:bottom w:val="nil"/>
              <w:right w:val="nil"/>
            </w:tcBorders>
            <w:shd w:val="clear" w:color="auto" w:fill="auto"/>
            <w:noWrap/>
            <w:vAlign w:val="center"/>
            <w:hideMark/>
          </w:tcPr>
          <w:p w14:paraId="24301AD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0.9</w:t>
            </w:r>
          </w:p>
        </w:tc>
        <w:tc>
          <w:tcPr>
            <w:tcW w:w="596" w:type="dxa"/>
            <w:tcBorders>
              <w:top w:val="nil"/>
              <w:left w:val="nil"/>
              <w:bottom w:val="nil"/>
              <w:right w:val="nil"/>
            </w:tcBorders>
            <w:shd w:val="clear" w:color="auto" w:fill="auto"/>
            <w:noWrap/>
            <w:vAlign w:val="center"/>
            <w:hideMark/>
          </w:tcPr>
          <w:p w14:paraId="6483940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30.5</w:t>
            </w:r>
          </w:p>
        </w:tc>
        <w:tc>
          <w:tcPr>
            <w:tcW w:w="796" w:type="dxa"/>
            <w:tcBorders>
              <w:top w:val="nil"/>
              <w:left w:val="nil"/>
              <w:bottom w:val="nil"/>
              <w:right w:val="nil"/>
            </w:tcBorders>
            <w:shd w:val="clear" w:color="auto" w:fill="auto"/>
            <w:noWrap/>
            <w:vAlign w:val="center"/>
            <w:hideMark/>
          </w:tcPr>
          <w:p w14:paraId="26D1F70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3.46</w:t>
            </w:r>
          </w:p>
        </w:tc>
        <w:tc>
          <w:tcPr>
            <w:tcW w:w="528" w:type="dxa"/>
            <w:tcBorders>
              <w:top w:val="nil"/>
              <w:left w:val="nil"/>
              <w:bottom w:val="nil"/>
              <w:right w:val="nil"/>
            </w:tcBorders>
            <w:shd w:val="clear" w:color="auto" w:fill="auto"/>
            <w:noWrap/>
            <w:vAlign w:val="center"/>
            <w:hideMark/>
          </w:tcPr>
          <w:p w14:paraId="5FFDB8E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2.51</w:t>
            </w:r>
          </w:p>
        </w:tc>
        <w:tc>
          <w:tcPr>
            <w:tcW w:w="540" w:type="dxa"/>
            <w:tcBorders>
              <w:top w:val="nil"/>
              <w:left w:val="nil"/>
              <w:bottom w:val="nil"/>
              <w:right w:val="single" w:sz="8" w:space="0" w:color="002060"/>
            </w:tcBorders>
            <w:shd w:val="clear" w:color="auto" w:fill="auto"/>
            <w:noWrap/>
            <w:vAlign w:val="center"/>
            <w:hideMark/>
          </w:tcPr>
          <w:p w14:paraId="23AA6F9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4.68</w:t>
            </w:r>
          </w:p>
        </w:tc>
      </w:tr>
      <w:tr w:rsidR="00AE564D" w:rsidRPr="00397875" w14:paraId="1BD6F8D9" w14:textId="77777777" w:rsidTr="00397875">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4600CD54"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27D1FBB7"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3DB25A0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7E354B8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29</w:t>
            </w:r>
          </w:p>
        </w:tc>
        <w:tc>
          <w:tcPr>
            <w:tcW w:w="656" w:type="dxa"/>
            <w:tcBorders>
              <w:top w:val="nil"/>
              <w:left w:val="nil"/>
              <w:bottom w:val="nil"/>
              <w:right w:val="nil"/>
            </w:tcBorders>
            <w:shd w:val="clear" w:color="auto" w:fill="auto"/>
            <w:noWrap/>
            <w:vAlign w:val="center"/>
            <w:hideMark/>
          </w:tcPr>
          <w:p w14:paraId="5D9FA40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1.52</w:t>
            </w:r>
          </w:p>
        </w:tc>
        <w:tc>
          <w:tcPr>
            <w:tcW w:w="776" w:type="dxa"/>
            <w:tcBorders>
              <w:top w:val="nil"/>
              <w:left w:val="nil"/>
              <w:bottom w:val="nil"/>
              <w:right w:val="nil"/>
            </w:tcBorders>
            <w:shd w:val="clear" w:color="auto" w:fill="auto"/>
            <w:noWrap/>
            <w:vAlign w:val="center"/>
            <w:hideMark/>
          </w:tcPr>
          <w:p w14:paraId="50658C7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0.65</w:t>
            </w:r>
          </w:p>
        </w:tc>
        <w:tc>
          <w:tcPr>
            <w:tcW w:w="596" w:type="dxa"/>
            <w:tcBorders>
              <w:top w:val="nil"/>
              <w:left w:val="nil"/>
              <w:bottom w:val="nil"/>
              <w:right w:val="nil"/>
            </w:tcBorders>
            <w:shd w:val="clear" w:color="auto" w:fill="auto"/>
            <w:noWrap/>
            <w:vAlign w:val="center"/>
            <w:hideMark/>
          </w:tcPr>
          <w:p w14:paraId="62CABA3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0.2</w:t>
            </w:r>
          </w:p>
        </w:tc>
        <w:tc>
          <w:tcPr>
            <w:tcW w:w="636" w:type="dxa"/>
            <w:tcBorders>
              <w:top w:val="nil"/>
              <w:left w:val="nil"/>
              <w:bottom w:val="nil"/>
              <w:right w:val="nil"/>
            </w:tcBorders>
            <w:shd w:val="clear" w:color="auto" w:fill="auto"/>
            <w:noWrap/>
            <w:vAlign w:val="center"/>
            <w:hideMark/>
          </w:tcPr>
          <w:p w14:paraId="165611D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3.10</w:t>
            </w:r>
          </w:p>
        </w:tc>
        <w:tc>
          <w:tcPr>
            <w:tcW w:w="776" w:type="dxa"/>
            <w:tcBorders>
              <w:top w:val="nil"/>
              <w:left w:val="nil"/>
              <w:bottom w:val="nil"/>
              <w:right w:val="nil"/>
            </w:tcBorders>
            <w:shd w:val="clear" w:color="auto" w:fill="auto"/>
            <w:noWrap/>
            <w:vAlign w:val="center"/>
            <w:hideMark/>
          </w:tcPr>
          <w:p w14:paraId="7EF8353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1.45</w:t>
            </w:r>
          </w:p>
        </w:tc>
        <w:tc>
          <w:tcPr>
            <w:tcW w:w="588" w:type="dxa"/>
            <w:tcBorders>
              <w:top w:val="nil"/>
              <w:left w:val="nil"/>
              <w:bottom w:val="nil"/>
              <w:right w:val="nil"/>
            </w:tcBorders>
            <w:shd w:val="clear" w:color="auto" w:fill="auto"/>
            <w:noWrap/>
            <w:vAlign w:val="center"/>
            <w:hideMark/>
          </w:tcPr>
          <w:p w14:paraId="131F127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1.02</w:t>
            </w:r>
          </w:p>
        </w:tc>
        <w:tc>
          <w:tcPr>
            <w:tcW w:w="580" w:type="dxa"/>
            <w:tcBorders>
              <w:top w:val="nil"/>
              <w:left w:val="nil"/>
              <w:bottom w:val="nil"/>
              <w:right w:val="single" w:sz="8" w:space="0" w:color="002060"/>
            </w:tcBorders>
            <w:shd w:val="clear" w:color="auto" w:fill="auto"/>
            <w:noWrap/>
            <w:vAlign w:val="center"/>
            <w:hideMark/>
          </w:tcPr>
          <w:p w14:paraId="2A15419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1.94</w:t>
            </w:r>
          </w:p>
        </w:tc>
        <w:tc>
          <w:tcPr>
            <w:tcW w:w="880" w:type="dxa"/>
            <w:vMerge/>
            <w:tcBorders>
              <w:top w:val="single" w:sz="8" w:space="0" w:color="002060"/>
              <w:left w:val="single" w:sz="8" w:space="0" w:color="002060"/>
              <w:bottom w:val="nil"/>
              <w:right w:val="single" w:sz="8" w:space="0" w:color="002060"/>
            </w:tcBorders>
            <w:vAlign w:val="center"/>
            <w:hideMark/>
          </w:tcPr>
          <w:p w14:paraId="0C8130B2"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5335C80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93</w:t>
            </w:r>
          </w:p>
        </w:tc>
        <w:tc>
          <w:tcPr>
            <w:tcW w:w="596" w:type="dxa"/>
            <w:tcBorders>
              <w:top w:val="nil"/>
              <w:left w:val="nil"/>
              <w:bottom w:val="nil"/>
              <w:right w:val="nil"/>
            </w:tcBorders>
            <w:shd w:val="clear" w:color="auto" w:fill="auto"/>
            <w:noWrap/>
            <w:vAlign w:val="center"/>
            <w:hideMark/>
          </w:tcPr>
          <w:p w14:paraId="514854B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2.11</w:t>
            </w:r>
          </w:p>
        </w:tc>
        <w:tc>
          <w:tcPr>
            <w:tcW w:w="716" w:type="dxa"/>
            <w:tcBorders>
              <w:top w:val="nil"/>
              <w:left w:val="nil"/>
              <w:bottom w:val="nil"/>
              <w:right w:val="nil"/>
            </w:tcBorders>
            <w:shd w:val="clear" w:color="auto" w:fill="auto"/>
            <w:noWrap/>
            <w:vAlign w:val="center"/>
            <w:hideMark/>
          </w:tcPr>
          <w:p w14:paraId="5EE6E0F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1.16</w:t>
            </w:r>
          </w:p>
        </w:tc>
        <w:tc>
          <w:tcPr>
            <w:tcW w:w="556" w:type="dxa"/>
            <w:tcBorders>
              <w:top w:val="nil"/>
              <w:left w:val="nil"/>
              <w:bottom w:val="nil"/>
              <w:right w:val="nil"/>
            </w:tcBorders>
            <w:shd w:val="clear" w:color="auto" w:fill="auto"/>
            <w:noWrap/>
            <w:vAlign w:val="center"/>
            <w:hideMark/>
          </w:tcPr>
          <w:p w14:paraId="5A50966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0.7</w:t>
            </w:r>
          </w:p>
        </w:tc>
        <w:tc>
          <w:tcPr>
            <w:tcW w:w="596" w:type="dxa"/>
            <w:tcBorders>
              <w:top w:val="nil"/>
              <w:left w:val="nil"/>
              <w:bottom w:val="nil"/>
              <w:right w:val="nil"/>
            </w:tcBorders>
            <w:shd w:val="clear" w:color="auto" w:fill="auto"/>
            <w:noWrap/>
            <w:vAlign w:val="center"/>
            <w:hideMark/>
          </w:tcPr>
          <w:p w14:paraId="60A6DC3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6.4</w:t>
            </w:r>
          </w:p>
        </w:tc>
        <w:tc>
          <w:tcPr>
            <w:tcW w:w="796" w:type="dxa"/>
            <w:tcBorders>
              <w:top w:val="nil"/>
              <w:left w:val="nil"/>
              <w:bottom w:val="nil"/>
              <w:right w:val="nil"/>
            </w:tcBorders>
            <w:shd w:val="clear" w:color="auto" w:fill="auto"/>
            <w:noWrap/>
            <w:vAlign w:val="center"/>
            <w:hideMark/>
          </w:tcPr>
          <w:p w14:paraId="7C5BDC6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1.81</w:t>
            </w:r>
          </w:p>
        </w:tc>
        <w:tc>
          <w:tcPr>
            <w:tcW w:w="528" w:type="dxa"/>
            <w:tcBorders>
              <w:top w:val="nil"/>
              <w:left w:val="nil"/>
              <w:bottom w:val="nil"/>
              <w:right w:val="nil"/>
            </w:tcBorders>
            <w:shd w:val="clear" w:color="auto" w:fill="auto"/>
            <w:noWrap/>
            <w:vAlign w:val="center"/>
            <w:hideMark/>
          </w:tcPr>
          <w:p w14:paraId="6B248B1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1.26</w:t>
            </w:r>
          </w:p>
        </w:tc>
        <w:tc>
          <w:tcPr>
            <w:tcW w:w="540" w:type="dxa"/>
            <w:tcBorders>
              <w:top w:val="nil"/>
              <w:left w:val="nil"/>
              <w:bottom w:val="nil"/>
              <w:right w:val="single" w:sz="8" w:space="0" w:color="002060"/>
            </w:tcBorders>
            <w:shd w:val="clear" w:color="auto" w:fill="auto"/>
            <w:noWrap/>
            <w:vAlign w:val="center"/>
            <w:hideMark/>
          </w:tcPr>
          <w:p w14:paraId="73F868B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2.61</w:t>
            </w:r>
          </w:p>
        </w:tc>
      </w:tr>
      <w:tr w:rsidR="00AE564D" w:rsidRPr="00397875" w14:paraId="0EE05044" w14:textId="77777777" w:rsidTr="00397875">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21155CC0"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4B93E2E7"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037497C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Med Fresh</w:t>
            </w:r>
          </w:p>
        </w:tc>
        <w:tc>
          <w:tcPr>
            <w:tcW w:w="536" w:type="dxa"/>
            <w:tcBorders>
              <w:top w:val="nil"/>
              <w:left w:val="nil"/>
              <w:bottom w:val="nil"/>
              <w:right w:val="nil"/>
            </w:tcBorders>
            <w:shd w:val="clear" w:color="auto" w:fill="auto"/>
            <w:noWrap/>
            <w:vAlign w:val="center"/>
            <w:hideMark/>
          </w:tcPr>
          <w:p w14:paraId="2AEE86C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30</w:t>
            </w:r>
          </w:p>
        </w:tc>
        <w:tc>
          <w:tcPr>
            <w:tcW w:w="656" w:type="dxa"/>
            <w:tcBorders>
              <w:top w:val="nil"/>
              <w:left w:val="nil"/>
              <w:bottom w:val="nil"/>
              <w:right w:val="nil"/>
            </w:tcBorders>
            <w:shd w:val="clear" w:color="auto" w:fill="auto"/>
            <w:noWrap/>
            <w:vAlign w:val="center"/>
            <w:hideMark/>
          </w:tcPr>
          <w:p w14:paraId="1BB64F7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1.09</w:t>
            </w:r>
          </w:p>
        </w:tc>
        <w:tc>
          <w:tcPr>
            <w:tcW w:w="776" w:type="dxa"/>
            <w:tcBorders>
              <w:top w:val="nil"/>
              <w:left w:val="nil"/>
              <w:bottom w:val="nil"/>
              <w:right w:val="nil"/>
            </w:tcBorders>
            <w:shd w:val="clear" w:color="auto" w:fill="auto"/>
            <w:noWrap/>
            <w:vAlign w:val="center"/>
            <w:hideMark/>
          </w:tcPr>
          <w:p w14:paraId="3C12B49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0.78</w:t>
            </w:r>
          </w:p>
        </w:tc>
        <w:tc>
          <w:tcPr>
            <w:tcW w:w="596" w:type="dxa"/>
            <w:tcBorders>
              <w:top w:val="nil"/>
              <w:left w:val="nil"/>
              <w:bottom w:val="nil"/>
              <w:right w:val="nil"/>
            </w:tcBorders>
            <w:shd w:val="clear" w:color="auto" w:fill="auto"/>
            <w:noWrap/>
            <w:vAlign w:val="center"/>
            <w:hideMark/>
          </w:tcPr>
          <w:p w14:paraId="34A7A99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0.03</w:t>
            </w:r>
          </w:p>
        </w:tc>
        <w:tc>
          <w:tcPr>
            <w:tcW w:w="636" w:type="dxa"/>
            <w:tcBorders>
              <w:top w:val="nil"/>
              <w:left w:val="nil"/>
              <w:bottom w:val="nil"/>
              <w:right w:val="nil"/>
            </w:tcBorders>
            <w:shd w:val="clear" w:color="auto" w:fill="auto"/>
            <w:noWrap/>
            <w:vAlign w:val="center"/>
            <w:hideMark/>
          </w:tcPr>
          <w:p w14:paraId="1F22462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3.19</w:t>
            </w:r>
          </w:p>
        </w:tc>
        <w:tc>
          <w:tcPr>
            <w:tcW w:w="776" w:type="dxa"/>
            <w:tcBorders>
              <w:top w:val="nil"/>
              <w:left w:val="nil"/>
              <w:bottom w:val="nil"/>
              <w:right w:val="nil"/>
            </w:tcBorders>
            <w:shd w:val="clear" w:color="auto" w:fill="auto"/>
            <w:noWrap/>
            <w:vAlign w:val="center"/>
            <w:hideMark/>
          </w:tcPr>
          <w:p w14:paraId="00E8F08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0.98</w:t>
            </w:r>
          </w:p>
        </w:tc>
        <w:tc>
          <w:tcPr>
            <w:tcW w:w="588" w:type="dxa"/>
            <w:tcBorders>
              <w:top w:val="nil"/>
              <w:left w:val="nil"/>
              <w:bottom w:val="nil"/>
              <w:right w:val="nil"/>
            </w:tcBorders>
            <w:shd w:val="clear" w:color="auto" w:fill="auto"/>
            <w:noWrap/>
            <w:vAlign w:val="center"/>
            <w:hideMark/>
          </w:tcPr>
          <w:p w14:paraId="03610A2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0.46</w:t>
            </w:r>
          </w:p>
        </w:tc>
        <w:tc>
          <w:tcPr>
            <w:tcW w:w="580" w:type="dxa"/>
            <w:tcBorders>
              <w:top w:val="nil"/>
              <w:left w:val="nil"/>
              <w:bottom w:val="nil"/>
              <w:right w:val="single" w:sz="8" w:space="0" w:color="002060"/>
            </w:tcBorders>
            <w:shd w:val="clear" w:color="auto" w:fill="auto"/>
            <w:noWrap/>
            <w:vAlign w:val="center"/>
            <w:hideMark/>
          </w:tcPr>
          <w:p w14:paraId="3CCFEF4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1.77</w:t>
            </w:r>
          </w:p>
        </w:tc>
        <w:tc>
          <w:tcPr>
            <w:tcW w:w="880" w:type="dxa"/>
            <w:vMerge/>
            <w:tcBorders>
              <w:top w:val="single" w:sz="8" w:space="0" w:color="002060"/>
              <w:left w:val="single" w:sz="8" w:space="0" w:color="002060"/>
              <w:bottom w:val="nil"/>
              <w:right w:val="single" w:sz="8" w:space="0" w:color="002060"/>
            </w:tcBorders>
            <w:vAlign w:val="center"/>
            <w:hideMark/>
          </w:tcPr>
          <w:p w14:paraId="101AA1EF"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68C3181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19</w:t>
            </w:r>
          </w:p>
        </w:tc>
        <w:tc>
          <w:tcPr>
            <w:tcW w:w="596" w:type="dxa"/>
            <w:tcBorders>
              <w:top w:val="nil"/>
              <w:left w:val="nil"/>
              <w:bottom w:val="nil"/>
              <w:right w:val="nil"/>
            </w:tcBorders>
            <w:shd w:val="clear" w:color="auto" w:fill="auto"/>
            <w:noWrap/>
            <w:vAlign w:val="center"/>
            <w:hideMark/>
          </w:tcPr>
          <w:p w14:paraId="1F7F915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2.82</w:t>
            </w:r>
          </w:p>
        </w:tc>
        <w:tc>
          <w:tcPr>
            <w:tcW w:w="716" w:type="dxa"/>
            <w:tcBorders>
              <w:top w:val="nil"/>
              <w:left w:val="nil"/>
              <w:bottom w:val="nil"/>
              <w:right w:val="nil"/>
            </w:tcBorders>
            <w:shd w:val="clear" w:color="auto" w:fill="auto"/>
            <w:noWrap/>
            <w:vAlign w:val="center"/>
            <w:hideMark/>
          </w:tcPr>
          <w:p w14:paraId="7BF72A1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2.28</w:t>
            </w:r>
          </w:p>
        </w:tc>
        <w:tc>
          <w:tcPr>
            <w:tcW w:w="556" w:type="dxa"/>
            <w:tcBorders>
              <w:top w:val="nil"/>
              <w:left w:val="nil"/>
              <w:bottom w:val="nil"/>
              <w:right w:val="nil"/>
            </w:tcBorders>
            <w:shd w:val="clear" w:color="auto" w:fill="auto"/>
            <w:noWrap/>
            <w:vAlign w:val="center"/>
            <w:hideMark/>
          </w:tcPr>
          <w:p w14:paraId="5416A7B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1.21</w:t>
            </w:r>
          </w:p>
        </w:tc>
        <w:tc>
          <w:tcPr>
            <w:tcW w:w="596" w:type="dxa"/>
            <w:tcBorders>
              <w:top w:val="nil"/>
              <w:left w:val="nil"/>
              <w:bottom w:val="nil"/>
              <w:right w:val="nil"/>
            </w:tcBorders>
            <w:shd w:val="clear" w:color="auto" w:fill="auto"/>
            <w:noWrap/>
            <w:vAlign w:val="center"/>
            <w:hideMark/>
          </w:tcPr>
          <w:p w14:paraId="042E19B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11.8</w:t>
            </w:r>
          </w:p>
        </w:tc>
        <w:tc>
          <w:tcPr>
            <w:tcW w:w="796" w:type="dxa"/>
            <w:tcBorders>
              <w:top w:val="nil"/>
              <w:left w:val="nil"/>
              <w:bottom w:val="nil"/>
              <w:right w:val="nil"/>
            </w:tcBorders>
            <w:shd w:val="clear" w:color="auto" w:fill="auto"/>
            <w:noWrap/>
            <w:vAlign w:val="center"/>
            <w:hideMark/>
          </w:tcPr>
          <w:p w14:paraId="779E28D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2.37</w:t>
            </w:r>
          </w:p>
        </w:tc>
        <w:tc>
          <w:tcPr>
            <w:tcW w:w="528" w:type="dxa"/>
            <w:tcBorders>
              <w:top w:val="nil"/>
              <w:left w:val="nil"/>
              <w:bottom w:val="nil"/>
              <w:right w:val="nil"/>
            </w:tcBorders>
            <w:shd w:val="clear" w:color="auto" w:fill="auto"/>
            <w:noWrap/>
            <w:vAlign w:val="center"/>
            <w:hideMark/>
          </w:tcPr>
          <w:p w14:paraId="0991E7B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1.75</w:t>
            </w:r>
          </w:p>
        </w:tc>
        <w:tc>
          <w:tcPr>
            <w:tcW w:w="540" w:type="dxa"/>
            <w:tcBorders>
              <w:top w:val="nil"/>
              <w:left w:val="nil"/>
              <w:bottom w:val="nil"/>
              <w:right w:val="single" w:sz="8" w:space="0" w:color="002060"/>
            </w:tcBorders>
            <w:shd w:val="clear" w:color="auto" w:fill="auto"/>
            <w:noWrap/>
            <w:vAlign w:val="center"/>
            <w:hideMark/>
          </w:tcPr>
          <w:p w14:paraId="3D73646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2.92</w:t>
            </w:r>
          </w:p>
        </w:tc>
      </w:tr>
      <w:tr w:rsidR="00AE564D" w:rsidRPr="00397875" w14:paraId="2E10FEBA" w14:textId="77777777" w:rsidTr="00397875">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4E73E9B0"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4FD8EC7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McCoy's Bridge</w:t>
            </w:r>
          </w:p>
        </w:tc>
        <w:tc>
          <w:tcPr>
            <w:tcW w:w="1008" w:type="dxa"/>
            <w:tcBorders>
              <w:top w:val="single" w:sz="8" w:space="0" w:color="002060"/>
              <w:left w:val="nil"/>
              <w:bottom w:val="nil"/>
              <w:right w:val="nil"/>
            </w:tcBorders>
            <w:shd w:val="clear" w:color="auto" w:fill="auto"/>
            <w:noWrap/>
            <w:vAlign w:val="center"/>
            <w:hideMark/>
          </w:tcPr>
          <w:p w14:paraId="4FF5524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Very Low</w:t>
            </w:r>
          </w:p>
        </w:tc>
        <w:tc>
          <w:tcPr>
            <w:tcW w:w="536" w:type="dxa"/>
            <w:tcBorders>
              <w:top w:val="single" w:sz="8" w:space="0" w:color="002060"/>
              <w:left w:val="nil"/>
              <w:bottom w:val="nil"/>
              <w:right w:val="nil"/>
            </w:tcBorders>
            <w:shd w:val="clear" w:color="auto" w:fill="auto"/>
            <w:noWrap/>
            <w:vAlign w:val="center"/>
            <w:hideMark/>
          </w:tcPr>
          <w:p w14:paraId="1163141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97</w:t>
            </w:r>
          </w:p>
        </w:tc>
        <w:tc>
          <w:tcPr>
            <w:tcW w:w="656" w:type="dxa"/>
            <w:tcBorders>
              <w:top w:val="single" w:sz="8" w:space="0" w:color="002060"/>
              <w:left w:val="nil"/>
              <w:bottom w:val="nil"/>
              <w:right w:val="nil"/>
            </w:tcBorders>
            <w:shd w:val="clear" w:color="auto" w:fill="auto"/>
            <w:noWrap/>
            <w:vAlign w:val="center"/>
            <w:hideMark/>
          </w:tcPr>
          <w:p w14:paraId="2107629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4.22</w:t>
            </w:r>
          </w:p>
        </w:tc>
        <w:tc>
          <w:tcPr>
            <w:tcW w:w="776" w:type="dxa"/>
            <w:tcBorders>
              <w:top w:val="single" w:sz="8" w:space="0" w:color="002060"/>
              <w:left w:val="nil"/>
              <w:bottom w:val="nil"/>
              <w:right w:val="nil"/>
            </w:tcBorders>
            <w:shd w:val="clear" w:color="auto" w:fill="auto"/>
            <w:noWrap/>
            <w:vAlign w:val="center"/>
            <w:hideMark/>
          </w:tcPr>
          <w:p w14:paraId="335E34B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2.59</w:t>
            </w:r>
          </w:p>
        </w:tc>
        <w:tc>
          <w:tcPr>
            <w:tcW w:w="596" w:type="dxa"/>
            <w:tcBorders>
              <w:top w:val="single" w:sz="8" w:space="0" w:color="002060"/>
              <w:left w:val="nil"/>
              <w:bottom w:val="nil"/>
              <w:right w:val="nil"/>
            </w:tcBorders>
            <w:shd w:val="clear" w:color="auto" w:fill="auto"/>
            <w:noWrap/>
            <w:vAlign w:val="center"/>
            <w:hideMark/>
          </w:tcPr>
          <w:p w14:paraId="40182B1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0.7</w:t>
            </w:r>
          </w:p>
        </w:tc>
        <w:tc>
          <w:tcPr>
            <w:tcW w:w="636" w:type="dxa"/>
            <w:tcBorders>
              <w:top w:val="single" w:sz="8" w:space="0" w:color="002060"/>
              <w:left w:val="nil"/>
              <w:bottom w:val="nil"/>
              <w:right w:val="nil"/>
            </w:tcBorders>
            <w:shd w:val="clear" w:color="auto" w:fill="auto"/>
            <w:noWrap/>
            <w:vAlign w:val="center"/>
            <w:hideMark/>
          </w:tcPr>
          <w:p w14:paraId="7A3AD5F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17.7</w:t>
            </w:r>
          </w:p>
        </w:tc>
        <w:tc>
          <w:tcPr>
            <w:tcW w:w="776" w:type="dxa"/>
            <w:tcBorders>
              <w:top w:val="single" w:sz="8" w:space="0" w:color="002060"/>
              <w:left w:val="nil"/>
              <w:bottom w:val="nil"/>
              <w:right w:val="nil"/>
            </w:tcBorders>
            <w:shd w:val="clear" w:color="auto" w:fill="auto"/>
            <w:noWrap/>
            <w:vAlign w:val="center"/>
            <w:hideMark/>
          </w:tcPr>
          <w:p w14:paraId="3E2E79A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3.68</w:t>
            </w:r>
          </w:p>
        </w:tc>
        <w:tc>
          <w:tcPr>
            <w:tcW w:w="588" w:type="dxa"/>
            <w:tcBorders>
              <w:top w:val="single" w:sz="8" w:space="0" w:color="002060"/>
              <w:left w:val="nil"/>
              <w:bottom w:val="nil"/>
              <w:right w:val="nil"/>
            </w:tcBorders>
            <w:shd w:val="clear" w:color="auto" w:fill="auto"/>
            <w:noWrap/>
            <w:vAlign w:val="center"/>
            <w:hideMark/>
          </w:tcPr>
          <w:p w14:paraId="17FE0CA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2.57</w:t>
            </w:r>
          </w:p>
        </w:tc>
        <w:tc>
          <w:tcPr>
            <w:tcW w:w="580" w:type="dxa"/>
            <w:tcBorders>
              <w:top w:val="single" w:sz="8" w:space="0" w:color="002060"/>
              <w:left w:val="nil"/>
              <w:bottom w:val="nil"/>
              <w:right w:val="single" w:sz="8" w:space="0" w:color="002060"/>
            </w:tcBorders>
            <w:shd w:val="clear" w:color="auto" w:fill="auto"/>
            <w:noWrap/>
            <w:vAlign w:val="center"/>
            <w:hideMark/>
          </w:tcPr>
          <w:p w14:paraId="08384EB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5.27</w:t>
            </w:r>
          </w:p>
        </w:tc>
        <w:tc>
          <w:tcPr>
            <w:tcW w:w="880" w:type="dxa"/>
            <w:vMerge/>
            <w:tcBorders>
              <w:top w:val="single" w:sz="8" w:space="0" w:color="002060"/>
              <w:left w:val="single" w:sz="8" w:space="0" w:color="002060"/>
              <w:bottom w:val="nil"/>
              <w:right w:val="single" w:sz="8" w:space="0" w:color="002060"/>
            </w:tcBorders>
            <w:vAlign w:val="center"/>
            <w:hideMark/>
          </w:tcPr>
          <w:p w14:paraId="73309978"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single" w:sz="8" w:space="0" w:color="002060"/>
              <w:left w:val="nil"/>
              <w:bottom w:val="nil"/>
              <w:right w:val="nil"/>
            </w:tcBorders>
            <w:shd w:val="clear" w:color="auto" w:fill="auto"/>
            <w:noWrap/>
            <w:vAlign w:val="center"/>
            <w:hideMark/>
          </w:tcPr>
          <w:p w14:paraId="2A7C8C6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97</w:t>
            </w:r>
          </w:p>
        </w:tc>
        <w:tc>
          <w:tcPr>
            <w:tcW w:w="596" w:type="dxa"/>
            <w:tcBorders>
              <w:top w:val="single" w:sz="8" w:space="0" w:color="002060"/>
              <w:left w:val="nil"/>
              <w:bottom w:val="nil"/>
              <w:right w:val="nil"/>
            </w:tcBorders>
            <w:shd w:val="clear" w:color="auto" w:fill="auto"/>
            <w:noWrap/>
            <w:vAlign w:val="center"/>
            <w:hideMark/>
          </w:tcPr>
          <w:p w14:paraId="07221B6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5.06</w:t>
            </w:r>
          </w:p>
        </w:tc>
        <w:tc>
          <w:tcPr>
            <w:tcW w:w="716" w:type="dxa"/>
            <w:tcBorders>
              <w:top w:val="single" w:sz="8" w:space="0" w:color="002060"/>
              <w:left w:val="nil"/>
              <w:bottom w:val="nil"/>
              <w:right w:val="nil"/>
            </w:tcBorders>
            <w:shd w:val="clear" w:color="auto" w:fill="auto"/>
            <w:noWrap/>
            <w:vAlign w:val="center"/>
            <w:hideMark/>
          </w:tcPr>
          <w:p w14:paraId="4282717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3.29</w:t>
            </w:r>
          </w:p>
        </w:tc>
        <w:tc>
          <w:tcPr>
            <w:tcW w:w="556" w:type="dxa"/>
            <w:tcBorders>
              <w:top w:val="single" w:sz="8" w:space="0" w:color="002060"/>
              <w:left w:val="nil"/>
              <w:bottom w:val="nil"/>
              <w:right w:val="nil"/>
            </w:tcBorders>
            <w:shd w:val="clear" w:color="auto" w:fill="auto"/>
            <w:noWrap/>
            <w:vAlign w:val="center"/>
            <w:hideMark/>
          </w:tcPr>
          <w:p w14:paraId="2148F3A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1.5</w:t>
            </w:r>
          </w:p>
        </w:tc>
        <w:tc>
          <w:tcPr>
            <w:tcW w:w="596" w:type="dxa"/>
            <w:tcBorders>
              <w:top w:val="single" w:sz="8" w:space="0" w:color="002060"/>
              <w:left w:val="nil"/>
              <w:bottom w:val="nil"/>
              <w:right w:val="nil"/>
            </w:tcBorders>
            <w:shd w:val="clear" w:color="auto" w:fill="auto"/>
            <w:noWrap/>
            <w:vAlign w:val="center"/>
            <w:hideMark/>
          </w:tcPr>
          <w:p w14:paraId="06B6F67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25.2</w:t>
            </w:r>
          </w:p>
        </w:tc>
        <w:tc>
          <w:tcPr>
            <w:tcW w:w="796" w:type="dxa"/>
            <w:tcBorders>
              <w:top w:val="single" w:sz="8" w:space="0" w:color="002060"/>
              <w:left w:val="nil"/>
              <w:bottom w:val="nil"/>
              <w:right w:val="nil"/>
            </w:tcBorders>
            <w:shd w:val="clear" w:color="auto" w:fill="auto"/>
            <w:noWrap/>
            <w:vAlign w:val="center"/>
            <w:hideMark/>
          </w:tcPr>
          <w:p w14:paraId="341A666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4.27</w:t>
            </w:r>
          </w:p>
        </w:tc>
        <w:tc>
          <w:tcPr>
            <w:tcW w:w="528" w:type="dxa"/>
            <w:tcBorders>
              <w:top w:val="single" w:sz="8" w:space="0" w:color="002060"/>
              <w:left w:val="nil"/>
              <w:bottom w:val="nil"/>
              <w:right w:val="nil"/>
            </w:tcBorders>
            <w:shd w:val="clear" w:color="auto" w:fill="auto"/>
            <w:noWrap/>
            <w:vAlign w:val="center"/>
            <w:hideMark/>
          </w:tcPr>
          <w:p w14:paraId="73D6A30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2.74</w:t>
            </w:r>
          </w:p>
        </w:tc>
        <w:tc>
          <w:tcPr>
            <w:tcW w:w="540" w:type="dxa"/>
            <w:tcBorders>
              <w:top w:val="single" w:sz="8" w:space="0" w:color="002060"/>
              <w:left w:val="nil"/>
              <w:bottom w:val="nil"/>
              <w:right w:val="single" w:sz="8" w:space="0" w:color="002060"/>
            </w:tcBorders>
            <w:shd w:val="clear" w:color="auto" w:fill="auto"/>
            <w:noWrap/>
            <w:vAlign w:val="center"/>
            <w:hideMark/>
          </w:tcPr>
          <w:p w14:paraId="0C3A27A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6.70</w:t>
            </w:r>
          </w:p>
        </w:tc>
      </w:tr>
      <w:tr w:rsidR="00AE564D" w:rsidRPr="00397875" w14:paraId="7968DAE7" w14:textId="77777777" w:rsidTr="00397875">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5D08E81B"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39BD390A"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2B41F75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1CB9D19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120</w:t>
            </w:r>
          </w:p>
        </w:tc>
        <w:tc>
          <w:tcPr>
            <w:tcW w:w="656" w:type="dxa"/>
            <w:tcBorders>
              <w:top w:val="nil"/>
              <w:left w:val="nil"/>
              <w:bottom w:val="nil"/>
              <w:right w:val="nil"/>
            </w:tcBorders>
            <w:shd w:val="clear" w:color="auto" w:fill="auto"/>
            <w:noWrap/>
            <w:vAlign w:val="center"/>
            <w:hideMark/>
          </w:tcPr>
          <w:p w14:paraId="1FAA6EA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2.19</w:t>
            </w:r>
          </w:p>
        </w:tc>
        <w:tc>
          <w:tcPr>
            <w:tcW w:w="776" w:type="dxa"/>
            <w:tcBorders>
              <w:top w:val="nil"/>
              <w:left w:val="nil"/>
              <w:bottom w:val="nil"/>
              <w:right w:val="nil"/>
            </w:tcBorders>
            <w:shd w:val="clear" w:color="auto" w:fill="auto"/>
            <w:noWrap/>
            <w:vAlign w:val="center"/>
            <w:hideMark/>
          </w:tcPr>
          <w:p w14:paraId="68643D4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1.21</w:t>
            </w:r>
          </w:p>
        </w:tc>
        <w:tc>
          <w:tcPr>
            <w:tcW w:w="596" w:type="dxa"/>
            <w:tcBorders>
              <w:top w:val="nil"/>
              <w:left w:val="nil"/>
              <w:bottom w:val="nil"/>
              <w:right w:val="nil"/>
            </w:tcBorders>
            <w:shd w:val="clear" w:color="auto" w:fill="auto"/>
            <w:noWrap/>
            <w:vAlign w:val="center"/>
            <w:hideMark/>
          </w:tcPr>
          <w:p w14:paraId="6890D97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0.06</w:t>
            </w:r>
          </w:p>
        </w:tc>
        <w:tc>
          <w:tcPr>
            <w:tcW w:w="636" w:type="dxa"/>
            <w:tcBorders>
              <w:top w:val="nil"/>
              <w:left w:val="nil"/>
              <w:bottom w:val="nil"/>
              <w:right w:val="nil"/>
            </w:tcBorders>
            <w:shd w:val="clear" w:color="auto" w:fill="auto"/>
            <w:noWrap/>
            <w:vAlign w:val="center"/>
            <w:hideMark/>
          </w:tcPr>
          <w:p w14:paraId="17F374F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6.02</w:t>
            </w:r>
          </w:p>
        </w:tc>
        <w:tc>
          <w:tcPr>
            <w:tcW w:w="776" w:type="dxa"/>
            <w:tcBorders>
              <w:top w:val="nil"/>
              <w:left w:val="nil"/>
              <w:bottom w:val="nil"/>
              <w:right w:val="nil"/>
            </w:tcBorders>
            <w:shd w:val="clear" w:color="auto" w:fill="auto"/>
            <w:noWrap/>
            <w:vAlign w:val="center"/>
            <w:hideMark/>
          </w:tcPr>
          <w:p w14:paraId="71D9D25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2.08</w:t>
            </w:r>
          </w:p>
        </w:tc>
        <w:tc>
          <w:tcPr>
            <w:tcW w:w="588" w:type="dxa"/>
            <w:tcBorders>
              <w:top w:val="nil"/>
              <w:left w:val="nil"/>
              <w:bottom w:val="nil"/>
              <w:right w:val="nil"/>
            </w:tcBorders>
            <w:shd w:val="clear" w:color="auto" w:fill="auto"/>
            <w:noWrap/>
            <w:vAlign w:val="center"/>
            <w:hideMark/>
          </w:tcPr>
          <w:p w14:paraId="4C66FB1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1.47</w:t>
            </w:r>
          </w:p>
        </w:tc>
        <w:tc>
          <w:tcPr>
            <w:tcW w:w="580" w:type="dxa"/>
            <w:tcBorders>
              <w:top w:val="nil"/>
              <w:left w:val="nil"/>
              <w:bottom w:val="nil"/>
              <w:right w:val="single" w:sz="8" w:space="0" w:color="002060"/>
            </w:tcBorders>
            <w:shd w:val="clear" w:color="auto" w:fill="auto"/>
            <w:noWrap/>
            <w:vAlign w:val="center"/>
            <w:hideMark/>
          </w:tcPr>
          <w:p w14:paraId="25BB971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2.70</w:t>
            </w:r>
          </w:p>
        </w:tc>
        <w:tc>
          <w:tcPr>
            <w:tcW w:w="880" w:type="dxa"/>
            <w:vMerge/>
            <w:tcBorders>
              <w:top w:val="single" w:sz="8" w:space="0" w:color="002060"/>
              <w:left w:val="single" w:sz="8" w:space="0" w:color="002060"/>
              <w:bottom w:val="nil"/>
              <w:right w:val="single" w:sz="8" w:space="0" w:color="002060"/>
            </w:tcBorders>
            <w:vAlign w:val="center"/>
            <w:hideMark/>
          </w:tcPr>
          <w:p w14:paraId="289F4EBA"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029C107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226</w:t>
            </w:r>
          </w:p>
        </w:tc>
        <w:tc>
          <w:tcPr>
            <w:tcW w:w="596" w:type="dxa"/>
            <w:tcBorders>
              <w:top w:val="nil"/>
              <w:left w:val="nil"/>
              <w:bottom w:val="nil"/>
              <w:right w:val="nil"/>
            </w:tcBorders>
            <w:shd w:val="clear" w:color="auto" w:fill="auto"/>
            <w:noWrap/>
            <w:vAlign w:val="center"/>
            <w:hideMark/>
          </w:tcPr>
          <w:p w14:paraId="38303F0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4.49</w:t>
            </w:r>
          </w:p>
        </w:tc>
        <w:tc>
          <w:tcPr>
            <w:tcW w:w="716" w:type="dxa"/>
            <w:tcBorders>
              <w:top w:val="nil"/>
              <w:left w:val="nil"/>
              <w:bottom w:val="nil"/>
              <w:right w:val="nil"/>
            </w:tcBorders>
            <w:shd w:val="clear" w:color="auto" w:fill="auto"/>
            <w:noWrap/>
            <w:vAlign w:val="center"/>
            <w:hideMark/>
          </w:tcPr>
          <w:p w14:paraId="2DEDF5C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3.03</w:t>
            </w:r>
          </w:p>
        </w:tc>
        <w:tc>
          <w:tcPr>
            <w:tcW w:w="556" w:type="dxa"/>
            <w:tcBorders>
              <w:top w:val="nil"/>
              <w:left w:val="nil"/>
              <w:bottom w:val="nil"/>
              <w:right w:val="nil"/>
            </w:tcBorders>
            <w:shd w:val="clear" w:color="auto" w:fill="auto"/>
            <w:noWrap/>
            <w:vAlign w:val="center"/>
            <w:hideMark/>
          </w:tcPr>
          <w:p w14:paraId="1CFB0A7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w:t>
            </w:r>
          </w:p>
        </w:tc>
        <w:tc>
          <w:tcPr>
            <w:tcW w:w="596" w:type="dxa"/>
            <w:tcBorders>
              <w:top w:val="nil"/>
              <w:left w:val="nil"/>
              <w:bottom w:val="nil"/>
              <w:right w:val="nil"/>
            </w:tcBorders>
            <w:shd w:val="clear" w:color="auto" w:fill="auto"/>
            <w:noWrap/>
            <w:vAlign w:val="center"/>
            <w:hideMark/>
          </w:tcPr>
          <w:p w14:paraId="65CE61E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28.4</w:t>
            </w:r>
          </w:p>
        </w:tc>
        <w:tc>
          <w:tcPr>
            <w:tcW w:w="796" w:type="dxa"/>
            <w:tcBorders>
              <w:top w:val="nil"/>
              <w:left w:val="nil"/>
              <w:bottom w:val="nil"/>
              <w:right w:val="nil"/>
            </w:tcBorders>
            <w:shd w:val="clear" w:color="auto" w:fill="auto"/>
            <w:noWrap/>
            <w:vAlign w:val="center"/>
            <w:hideMark/>
          </w:tcPr>
          <w:p w14:paraId="398DFA5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3.84</w:t>
            </w:r>
          </w:p>
        </w:tc>
        <w:tc>
          <w:tcPr>
            <w:tcW w:w="528" w:type="dxa"/>
            <w:tcBorders>
              <w:top w:val="nil"/>
              <w:left w:val="nil"/>
              <w:bottom w:val="nil"/>
              <w:right w:val="nil"/>
            </w:tcBorders>
            <w:shd w:val="clear" w:color="auto" w:fill="auto"/>
            <w:noWrap/>
            <w:vAlign w:val="center"/>
            <w:hideMark/>
          </w:tcPr>
          <w:p w14:paraId="16C989E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2.96</w:t>
            </w:r>
          </w:p>
        </w:tc>
        <w:tc>
          <w:tcPr>
            <w:tcW w:w="540" w:type="dxa"/>
            <w:tcBorders>
              <w:top w:val="nil"/>
              <w:left w:val="nil"/>
              <w:bottom w:val="nil"/>
              <w:right w:val="single" w:sz="8" w:space="0" w:color="002060"/>
            </w:tcBorders>
            <w:shd w:val="clear" w:color="auto" w:fill="auto"/>
            <w:noWrap/>
            <w:vAlign w:val="center"/>
            <w:hideMark/>
          </w:tcPr>
          <w:p w14:paraId="4CBC933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5.14</w:t>
            </w:r>
          </w:p>
        </w:tc>
      </w:tr>
      <w:tr w:rsidR="00AE564D" w:rsidRPr="00397875" w14:paraId="72A37FB1" w14:textId="77777777" w:rsidTr="00397875">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46A2D105"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6F398574"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0CC1AEC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7D5AB0A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49</w:t>
            </w:r>
          </w:p>
        </w:tc>
        <w:tc>
          <w:tcPr>
            <w:tcW w:w="656" w:type="dxa"/>
            <w:tcBorders>
              <w:top w:val="nil"/>
              <w:left w:val="nil"/>
              <w:bottom w:val="nil"/>
              <w:right w:val="nil"/>
            </w:tcBorders>
            <w:shd w:val="clear" w:color="auto" w:fill="auto"/>
            <w:noWrap/>
            <w:vAlign w:val="center"/>
            <w:hideMark/>
          </w:tcPr>
          <w:p w14:paraId="1B38D96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1.67</w:t>
            </w:r>
          </w:p>
        </w:tc>
        <w:tc>
          <w:tcPr>
            <w:tcW w:w="776" w:type="dxa"/>
            <w:tcBorders>
              <w:top w:val="nil"/>
              <w:left w:val="nil"/>
              <w:bottom w:val="nil"/>
              <w:right w:val="nil"/>
            </w:tcBorders>
            <w:shd w:val="clear" w:color="auto" w:fill="auto"/>
            <w:noWrap/>
            <w:vAlign w:val="center"/>
            <w:hideMark/>
          </w:tcPr>
          <w:p w14:paraId="6EF833E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1.01</w:t>
            </w:r>
          </w:p>
        </w:tc>
        <w:tc>
          <w:tcPr>
            <w:tcW w:w="596" w:type="dxa"/>
            <w:tcBorders>
              <w:top w:val="nil"/>
              <w:left w:val="nil"/>
              <w:bottom w:val="nil"/>
              <w:right w:val="nil"/>
            </w:tcBorders>
            <w:shd w:val="clear" w:color="auto" w:fill="auto"/>
            <w:noWrap/>
            <w:vAlign w:val="center"/>
            <w:hideMark/>
          </w:tcPr>
          <w:p w14:paraId="42EB302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0.14</w:t>
            </w:r>
          </w:p>
        </w:tc>
        <w:tc>
          <w:tcPr>
            <w:tcW w:w="636" w:type="dxa"/>
            <w:tcBorders>
              <w:top w:val="nil"/>
              <w:left w:val="nil"/>
              <w:bottom w:val="nil"/>
              <w:right w:val="nil"/>
            </w:tcBorders>
            <w:shd w:val="clear" w:color="auto" w:fill="auto"/>
            <w:noWrap/>
            <w:vAlign w:val="center"/>
            <w:hideMark/>
          </w:tcPr>
          <w:p w14:paraId="53A42ED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4.72</w:t>
            </w:r>
          </w:p>
        </w:tc>
        <w:tc>
          <w:tcPr>
            <w:tcW w:w="776" w:type="dxa"/>
            <w:tcBorders>
              <w:top w:val="nil"/>
              <w:left w:val="nil"/>
              <w:bottom w:val="nil"/>
              <w:right w:val="nil"/>
            </w:tcBorders>
            <w:shd w:val="clear" w:color="auto" w:fill="auto"/>
            <w:noWrap/>
            <w:vAlign w:val="center"/>
            <w:hideMark/>
          </w:tcPr>
          <w:p w14:paraId="5CA6286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1.41</w:t>
            </w:r>
          </w:p>
        </w:tc>
        <w:tc>
          <w:tcPr>
            <w:tcW w:w="588" w:type="dxa"/>
            <w:tcBorders>
              <w:top w:val="nil"/>
              <w:left w:val="nil"/>
              <w:bottom w:val="nil"/>
              <w:right w:val="nil"/>
            </w:tcBorders>
            <w:shd w:val="clear" w:color="auto" w:fill="auto"/>
            <w:noWrap/>
            <w:vAlign w:val="center"/>
            <w:hideMark/>
          </w:tcPr>
          <w:p w14:paraId="6D67DA2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1.17</w:t>
            </w:r>
          </w:p>
        </w:tc>
        <w:tc>
          <w:tcPr>
            <w:tcW w:w="580" w:type="dxa"/>
            <w:tcBorders>
              <w:top w:val="nil"/>
              <w:left w:val="nil"/>
              <w:bottom w:val="nil"/>
              <w:right w:val="single" w:sz="8" w:space="0" w:color="002060"/>
            </w:tcBorders>
            <w:shd w:val="clear" w:color="auto" w:fill="auto"/>
            <w:noWrap/>
            <w:vAlign w:val="center"/>
            <w:hideMark/>
          </w:tcPr>
          <w:p w14:paraId="44288D2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2.08</w:t>
            </w:r>
          </w:p>
        </w:tc>
        <w:tc>
          <w:tcPr>
            <w:tcW w:w="880" w:type="dxa"/>
            <w:vMerge/>
            <w:tcBorders>
              <w:top w:val="single" w:sz="8" w:space="0" w:color="002060"/>
              <w:left w:val="single" w:sz="8" w:space="0" w:color="002060"/>
              <w:bottom w:val="nil"/>
              <w:right w:val="single" w:sz="8" w:space="0" w:color="002060"/>
            </w:tcBorders>
            <w:vAlign w:val="center"/>
            <w:hideMark/>
          </w:tcPr>
          <w:p w14:paraId="62BC6849"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70F9A52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169</w:t>
            </w:r>
          </w:p>
        </w:tc>
        <w:tc>
          <w:tcPr>
            <w:tcW w:w="596" w:type="dxa"/>
            <w:tcBorders>
              <w:top w:val="nil"/>
              <w:left w:val="nil"/>
              <w:bottom w:val="nil"/>
              <w:right w:val="nil"/>
            </w:tcBorders>
            <w:shd w:val="clear" w:color="auto" w:fill="auto"/>
            <w:noWrap/>
            <w:vAlign w:val="center"/>
            <w:hideMark/>
          </w:tcPr>
          <w:p w14:paraId="344224A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2.29</w:t>
            </w:r>
          </w:p>
        </w:tc>
        <w:tc>
          <w:tcPr>
            <w:tcW w:w="716" w:type="dxa"/>
            <w:tcBorders>
              <w:top w:val="nil"/>
              <w:left w:val="nil"/>
              <w:bottom w:val="nil"/>
              <w:right w:val="nil"/>
            </w:tcBorders>
            <w:shd w:val="clear" w:color="auto" w:fill="auto"/>
            <w:noWrap/>
            <w:vAlign w:val="center"/>
            <w:hideMark/>
          </w:tcPr>
          <w:p w14:paraId="688435B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0.89</w:t>
            </w:r>
          </w:p>
        </w:tc>
        <w:tc>
          <w:tcPr>
            <w:tcW w:w="556" w:type="dxa"/>
            <w:tcBorders>
              <w:top w:val="nil"/>
              <w:left w:val="nil"/>
              <w:bottom w:val="nil"/>
              <w:right w:val="nil"/>
            </w:tcBorders>
            <w:shd w:val="clear" w:color="auto" w:fill="auto"/>
            <w:noWrap/>
            <w:vAlign w:val="center"/>
            <w:hideMark/>
          </w:tcPr>
          <w:p w14:paraId="330E7A2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0.1</w:t>
            </w:r>
          </w:p>
        </w:tc>
        <w:tc>
          <w:tcPr>
            <w:tcW w:w="596" w:type="dxa"/>
            <w:tcBorders>
              <w:top w:val="nil"/>
              <w:left w:val="nil"/>
              <w:bottom w:val="nil"/>
              <w:right w:val="nil"/>
            </w:tcBorders>
            <w:shd w:val="clear" w:color="auto" w:fill="auto"/>
            <w:noWrap/>
            <w:vAlign w:val="center"/>
            <w:hideMark/>
          </w:tcPr>
          <w:p w14:paraId="4D71635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5.22</w:t>
            </w:r>
          </w:p>
        </w:tc>
        <w:tc>
          <w:tcPr>
            <w:tcW w:w="796" w:type="dxa"/>
            <w:tcBorders>
              <w:top w:val="nil"/>
              <w:left w:val="nil"/>
              <w:bottom w:val="nil"/>
              <w:right w:val="nil"/>
            </w:tcBorders>
            <w:shd w:val="clear" w:color="auto" w:fill="auto"/>
            <w:noWrap/>
            <w:vAlign w:val="center"/>
            <w:hideMark/>
          </w:tcPr>
          <w:p w14:paraId="11FBEDE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2.26</w:t>
            </w:r>
          </w:p>
        </w:tc>
        <w:tc>
          <w:tcPr>
            <w:tcW w:w="528" w:type="dxa"/>
            <w:tcBorders>
              <w:top w:val="nil"/>
              <w:left w:val="nil"/>
              <w:bottom w:val="nil"/>
              <w:right w:val="nil"/>
            </w:tcBorders>
            <w:shd w:val="clear" w:color="auto" w:fill="auto"/>
            <w:noWrap/>
            <w:vAlign w:val="center"/>
            <w:hideMark/>
          </w:tcPr>
          <w:p w14:paraId="08E2515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1.75</w:t>
            </w:r>
          </w:p>
        </w:tc>
        <w:tc>
          <w:tcPr>
            <w:tcW w:w="540" w:type="dxa"/>
            <w:tcBorders>
              <w:top w:val="nil"/>
              <w:left w:val="nil"/>
              <w:bottom w:val="nil"/>
              <w:right w:val="single" w:sz="8" w:space="0" w:color="002060"/>
            </w:tcBorders>
            <w:shd w:val="clear" w:color="auto" w:fill="auto"/>
            <w:noWrap/>
            <w:vAlign w:val="center"/>
            <w:hideMark/>
          </w:tcPr>
          <w:p w14:paraId="6D58618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2.72</w:t>
            </w:r>
          </w:p>
        </w:tc>
      </w:tr>
      <w:tr w:rsidR="00AE564D" w:rsidRPr="00397875" w14:paraId="6EAF2A08" w14:textId="77777777" w:rsidTr="00397875">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056693ED"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4B45B0DB"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4B9E9F8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Med Fresh</w:t>
            </w:r>
          </w:p>
        </w:tc>
        <w:tc>
          <w:tcPr>
            <w:tcW w:w="536" w:type="dxa"/>
            <w:tcBorders>
              <w:top w:val="nil"/>
              <w:left w:val="nil"/>
              <w:bottom w:val="nil"/>
              <w:right w:val="nil"/>
            </w:tcBorders>
            <w:shd w:val="clear" w:color="auto" w:fill="auto"/>
            <w:noWrap/>
            <w:vAlign w:val="center"/>
            <w:hideMark/>
          </w:tcPr>
          <w:p w14:paraId="1F5A829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85</w:t>
            </w:r>
          </w:p>
        </w:tc>
        <w:tc>
          <w:tcPr>
            <w:tcW w:w="656" w:type="dxa"/>
            <w:tcBorders>
              <w:top w:val="nil"/>
              <w:left w:val="nil"/>
              <w:bottom w:val="nil"/>
              <w:right w:val="nil"/>
            </w:tcBorders>
            <w:shd w:val="clear" w:color="auto" w:fill="auto"/>
            <w:noWrap/>
            <w:vAlign w:val="center"/>
            <w:hideMark/>
          </w:tcPr>
          <w:p w14:paraId="6E519DF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1.14</w:t>
            </w:r>
          </w:p>
        </w:tc>
        <w:tc>
          <w:tcPr>
            <w:tcW w:w="776" w:type="dxa"/>
            <w:tcBorders>
              <w:top w:val="nil"/>
              <w:left w:val="nil"/>
              <w:bottom w:val="nil"/>
              <w:right w:val="nil"/>
            </w:tcBorders>
            <w:shd w:val="clear" w:color="auto" w:fill="auto"/>
            <w:noWrap/>
            <w:vAlign w:val="center"/>
            <w:hideMark/>
          </w:tcPr>
          <w:p w14:paraId="4C252FB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0.79</w:t>
            </w:r>
          </w:p>
        </w:tc>
        <w:tc>
          <w:tcPr>
            <w:tcW w:w="596" w:type="dxa"/>
            <w:tcBorders>
              <w:top w:val="nil"/>
              <w:left w:val="nil"/>
              <w:bottom w:val="nil"/>
              <w:right w:val="nil"/>
            </w:tcBorders>
            <w:shd w:val="clear" w:color="auto" w:fill="auto"/>
            <w:noWrap/>
            <w:vAlign w:val="center"/>
            <w:hideMark/>
          </w:tcPr>
          <w:p w14:paraId="49A57C5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0.21</w:t>
            </w:r>
          </w:p>
        </w:tc>
        <w:tc>
          <w:tcPr>
            <w:tcW w:w="636" w:type="dxa"/>
            <w:tcBorders>
              <w:top w:val="nil"/>
              <w:left w:val="nil"/>
              <w:bottom w:val="nil"/>
              <w:right w:val="nil"/>
            </w:tcBorders>
            <w:shd w:val="clear" w:color="auto" w:fill="auto"/>
            <w:noWrap/>
            <w:vAlign w:val="center"/>
            <w:hideMark/>
          </w:tcPr>
          <w:p w14:paraId="6C9FFA2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5.75</w:t>
            </w:r>
          </w:p>
        </w:tc>
        <w:tc>
          <w:tcPr>
            <w:tcW w:w="776" w:type="dxa"/>
            <w:tcBorders>
              <w:top w:val="nil"/>
              <w:left w:val="nil"/>
              <w:bottom w:val="nil"/>
              <w:right w:val="nil"/>
            </w:tcBorders>
            <w:shd w:val="clear" w:color="auto" w:fill="auto"/>
            <w:noWrap/>
            <w:vAlign w:val="center"/>
            <w:hideMark/>
          </w:tcPr>
          <w:p w14:paraId="504CC79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1.02</w:t>
            </w:r>
          </w:p>
        </w:tc>
        <w:tc>
          <w:tcPr>
            <w:tcW w:w="588" w:type="dxa"/>
            <w:tcBorders>
              <w:top w:val="nil"/>
              <w:left w:val="nil"/>
              <w:bottom w:val="nil"/>
              <w:right w:val="nil"/>
            </w:tcBorders>
            <w:shd w:val="clear" w:color="auto" w:fill="auto"/>
            <w:noWrap/>
            <w:vAlign w:val="center"/>
            <w:hideMark/>
          </w:tcPr>
          <w:p w14:paraId="2C91DDD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0.59</w:t>
            </w:r>
          </w:p>
        </w:tc>
        <w:tc>
          <w:tcPr>
            <w:tcW w:w="580" w:type="dxa"/>
            <w:tcBorders>
              <w:top w:val="nil"/>
              <w:left w:val="nil"/>
              <w:bottom w:val="nil"/>
              <w:right w:val="single" w:sz="8" w:space="0" w:color="002060"/>
            </w:tcBorders>
            <w:shd w:val="clear" w:color="auto" w:fill="auto"/>
            <w:noWrap/>
            <w:vAlign w:val="center"/>
            <w:hideMark/>
          </w:tcPr>
          <w:p w14:paraId="72F7A5B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1.49</w:t>
            </w:r>
          </w:p>
        </w:tc>
        <w:tc>
          <w:tcPr>
            <w:tcW w:w="880" w:type="dxa"/>
            <w:vMerge/>
            <w:tcBorders>
              <w:top w:val="single" w:sz="8" w:space="0" w:color="002060"/>
              <w:left w:val="single" w:sz="8" w:space="0" w:color="002060"/>
              <w:bottom w:val="nil"/>
              <w:right w:val="single" w:sz="8" w:space="0" w:color="002060"/>
            </w:tcBorders>
            <w:vAlign w:val="center"/>
            <w:hideMark/>
          </w:tcPr>
          <w:p w14:paraId="219C606D"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072C097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w:t>
            </w:r>
          </w:p>
        </w:tc>
        <w:tc>
          <w:tcPr>
            <w:tcW w:w="596" w:type="dxa"/>
            <w:tcBorders>
              <w:top w:val="nil"/>
              <w:left w:val="nil"/>
              <w:bottom w:val="nil"/>
              <w:right w:val="nil"/>
            </w:tcBorders>
            <w:shd w:val="clear" w:color="auto" w:fill="auto"/>
            <w:noWrap/>
            <w:vAlign w:val="center"/>
            <w:hideMark/>
          </w:tcPr>
          <w:p w14:paraId="3F7317B5" w14:textId="77777777" w:rsidR="00AE564D" w:rsidRPr="00397875" w:rsidRDefault="00AE564D" w:rsidP="00E26D3C">
            <w:pPr>
              <w:spacing w:after="0" w:line="240" w:lineRule="auto"/>
              <w:jc w:val="center"/>
              <w:rPr>
                <w:rFonts w:eastAsia="Times New Roman" w:cstheme="minorHAnsi"/>
                <w:color w:val="000000"/>
                <w:sz w:val="18"/>
                <w:szCs w:val="18"/>
                <w:lang w:eastAsia="en-AU"/>
              </w:rPr>
            </w:pPr>
          </w:p>
        </w:tc>
        <w:tc>
          <w:tcPr>
            <w:tcW w:w="716" w:type="dxa"/>
            <w:tcBorders>
              <w:top w:val="nil"/>
              <w:left w:val="nil"/>
              <w:bottom w:val="nil"/>
              <w:right w:val="nil"/>
            </w:tcBorders>
            <w:shd w:val="clear" w:color="auto" w:fill="auto"/>
            <w:noWrap/>
            <w:vAlign w:val="center"/>
            <w:hideMark/>
          </w:tcPr>
          <w:p w14:paraId="3D61448F" w14:textId="77777777" w:rsidR="00AE564D" w:rsidRPr="00397875" w:rsidRDefault="00AE564D" w:rsidP="00E26D3C">
            <w:pPr>
              <w:spacing w:after="0" w:line="240" w:lineRule="auto"/>
              <w:jc w:val="center"/>
              <w:rPr>
                <w:rFonts w:eastAsia="Times New Roman" w:cstheme="minorHAnsi"/>
                <w:sz w:val="18"/>
                <w:szCs w:val="18"/>
                <w:lang w:eastAsia="en-AU"/>
              </w:rPr>
            </w:pPr>
          </w:p>
        </w:tc>
        <w:tc>
          <w:tcPr>
            <w:tcW w:w="556" w:type="dxa"/>
            <w:tcBorders>
              <w:top w:val="nil"/>
              <w:left w:val="nil"/>
              <w:bottom w:val="nil"/>
              <w:right w:val="nil"/>
            </w:tcBorders>
            <w:shd w:val="clear" w:color="auto" w:fill="auto"/>
            <w:noWrap/>
            <w:vAlign w:val="center"/>
            <w:hideMark/>
          </w:tcPr>
          <w:p w14:paraId="578FF891" w14:textId="77777777" w:rsidR="00AE564D" w:rsidRPr="00397875" w:rsidRDefault="00AE564D" w:rsidP="00E26D3C">
            <w:pPr>
              <w:spacing w:after="0" w:line="240" w:lineRule="auto"/>
              <w:jc w:val="center"/>
              <w:rPr>
                <w:rFonts w:eastAsia="Times New Roman" w:cstheme="minorHAnsi"/>
                <w:sz w:val="18"/>
                <w:szCs w:val="18"/>
                <w:lang w:eastAsia="en-AU"/>
              </w:rPr>
            </w:pPr>
          </w:p>
        </w:tc>
        <w:tc>
          <w:tcPr>
            <w:tcW w:w="596" w:type="dxa"/>
            <w:tcBorders>
              <w:top w:val="nil"/>
              <w:left w:val="nil"/>
              <w:bottom w:val="nil"/>
              <w:right w:val="nil"/>
            </w:tcBorders>
            <w:shd w:val="clear" w:color="auto" w:fill="auto"/>
            <w:noWrap/>
            <w:vAlign w:val="center"/>
            <w:hideMark/>
          </w:tcPr>
          <w:p w14:paraId="493FAB9E" w14:textId="77777777" w:rsidR="00AE564D" w:rsidRPr="00397875" w:rsidRDefault="00AE564D" w:rsidP="00E26D3C">
            <w:pPr>
              <w:spacing w:after="0" w:line="240" w:lineRule="auto"/>
              <w:jc w:val="center"/>
              <w:rPr>
                <w:rFonts w:eastAsia="Times New Roman" w:cstheme="minorHAnsi"/>
                <w:sz w:val="18"/>
                <w:szCs w:val="18"/>
                <w:lang w:eastAsia="en-AU"/>
              </w:rPr>
            </w:pPr>
          </w:p>
        </w:tc>
        <w:tc>
          <w:tcPr>
            <w:tcW w:w="796" w:type="dxa"/>
            <w:tcBorders>
              <w:top w:val="nil"/>
              <w:left w:val="nil"/>
              <w:bottom w:val="nil"/>
              <w:right w:val="nil"/>
            </w:tcBorders>
            <w:shd w:val="clear" w:color="auto" w:fill="auto"/>
            <w:noWrap/>
            <w:vAlign w:val="center"/>
            <w:hideMark/>
          </w:tcPr>
          <w:p w14:paraId="2AA7972E" w14:textId="77777777" w:rsidR="00AE564D" w:rsidRPr="00397875" w:rsidRDefault="00AE564D" w:rsidP="00E26D3C">
            <w:pPr>
              <w:spacing w:after="0" w:line="240" w:lineRule="auto"/>
              <w:jc w:val="center"/>
              <w:rPr>
                <w:rFonts w:eastAsia="Times New Roman" w:cstheme="minorHAnsi"/>
                <w:sz w:val="18"/>
                <w:szCs w:val="18"/>
                <w:lang w:eastAsia="en-AU"/>
              </w:rPr>
            </w:pPr>
          </w:p>
        </w:tc>
        <w:tc>
          <w:tcPr>
            <w:tcW w:w="528" w:type="dxa"/>
            <w:tcBorders>
              <w:top w:val="nil"/>
              <w:left w:val="nil"/>
              <w:bottom w:val="nil"/>
              <w:right w:val="nil"/>
            </w:tcBorders>
            <w:shd w:val="clear" w:color="auto" w:fill="auto"/>
            <w:noWrap/>
            <w:vAlign w:val="center"/>
            <w:hideMark/>
          </w:tcPr>
          <w:p w14:paraId="7A5F7DD3" w14:textId="77777777" w:rsidR="00AE564D" w:rsidRPr="00397875" w:rsidRDefault="00AE564D" w:rsidP="00E26D3C">
            <w:pPr>
              <w:spacing w:after="0" w:line="240" w:lineRule="auto"/>
              <w:jc w:val="center"/>
              <w:rPr>
                <w:rFonts w:eastAsia="Times New Roman" w:cstheme="minorHAnsi"/>
                <w:sz w:val="18"/>
                <w:szCs w:val="18"/>
                <w:lang w:eastAsia="en-AU"/>
              </w:rPr>
            </w:pPr>
          </w:p>
        </w:tc>
        <w:tc>
          <w:tcPr>
            <w:tcW w:w="540" w:type="dxa"/>
            <w:tcBorders>
              <w:top w:val="nil"/>
              <w:left w:val="nil"/>
              <w:bottom w:val="nil"/>
              <w:right w:val="single" w:sz="8" w:space="0" w:color="002060"/>
            </w:tcBorders>
            <w:shd w:val="clear" w:color="auto" w:fill="auto"/>
            <w:noWrap/>
            <w:vAlign w:val="center"/>
            <w:hideMark/>
          </w:tcPr>
          <w:p w14:paraId="3C6AF7BF"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r>
      <w:tr w:rsidR="00AE564D" w:rsidRPr="00397875" w14:paraId="3CCEFF8C" w14:textId="77777777" w:rsidTr="00397875">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50EC7854"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1AD11F6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Moss Rd / Day Rd / Murchison</w:t>
            </w:r>
          </w:p>
        </w:tc>
        <w:tc>
          <w:tcPr>
            <w:tcW w:w="1008" w:type="dxa"/>
            <w:tcBorders>
              <w:top w:val="single" w:sz="8" w:space="0" w:color="002060"/>
              <w:left w:val="nil"/>
              <w:bottom w:val="nil"/>
              <w:right w:val="nil"/>
            </w:tcBorders>
            <w:shd w:val="clear" w:color="auto" w:fill="auto"/>
            <w:noWrap/>
            <w:vAlign w:val="center"/>
            <w:hideMark/>
          </w:tcPr>
          <w:p w14:paraId="63AFB4E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Very Low</w:t>
            </w:r>
          </w:p>
        </w:tc>
        <w:tc>
          <w:tcPr>
            <w:tcW w:w="536" w:type="dxa"/>
            <w:tcBorders>
              <w:top w:val="single" w:sz="8" w:space="0" w:color="002060"/>
              <w:left w:val="nil"/>
              <w:bottom w:val="nil"/>
              <w:right w:val="nil"/>
            </w:tcBorders>
            <w:shd w:val="clear" w:color="auto" w:fill="auto"/>
            <w:noWrap/>
            <w:vAlign w:val="center"/>
            <w:hideMark/>
          </w:tcPr>
          <w:p w14:paraId="66BBB1A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42</w:t>
            </w:r>
          </w:p>
        </w:tc>
        <w:tc>
          <w:tcPr>
            <w:tcW w:w="656" w:type="dxa"/>
            <w:tcBorders>
              <w:top w:val="single" w:sz="8" w:space="0" w:color="002060"/>
              <w:left w:val="nil"/>
              <w:bottom w:val="nil"/>
              <w:right w:val="nil"/>
            </w:tcBorders>
            <w:shd w:val="clear" w:color="auto" w:fill="auto"/>
            <w:noWrap/>
            <w:vAlign w:val="center"/>
            <w:hideMark/>
          </w:tcPr>
          <w:p w14:paraId="499AFBD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7.31</w:t>
            </w:r>
          </w:p>
        </w:tc>
        <w:tc>
          <w:tcPr>
            <w:tcW w:w="776" w:type="dxa"/>
            <w:tcBorders>
              <w:top w:val="single" w:sz="8" w:space="0" w:color="002060"/>
              <w:left w:val="nil"/>
              <w:bottom w:val="nil"/>
              <w:right w:val="nil"/>
            </w:tcBorders>
            <w:shd w:val="clear" w:color="auto" w:fill="auto"/>
            <w:noWrap/>
            <w:vAlign w:val="center"/>
            <w:hideMark/>
          </w:tcPr>
          <w:p w14:paraId="59BBDBA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6.51</w:t>
            </w:r>
          </w:p>
        </w:tc>
        <w:tc>
          <w:tcPr>
            <w:tcW w:w="596" w:type="dxa"/>
            <w:tcBorders>
              <w:top w:val="single" w:sz="8" w:space="0" w:color="002060"/>
              <w:left w:val="nil"/>
              <w:bottom w:val="nil"/>
              <w:right w:val="nil"/>
            </w:tcBorders>
            <w:shd w:val="clear" w:color="auto" w:fill="auto"/>
            <w:noWrap/>
            <w:vAlign w:val="center"/>
            <w:hideMark/>
          </w:tcPr>
          <w:p w14:paraId="16E6047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0.8</w:t>
            </w:r>
          </w:p>
        </w:tc>
        <w:tc>
          <w:tcPr>
            <w:tcW w:w="636" w:type="dxa"/>
            <w:tcBorders>
              <w:top w:val="single" w:sz="8" w:space="0" w:color="002060"/>
              <w:left w:val="nil"/>
              <w:bottom w:val="nil"/>
              <w:right w:val="nil"/>
            </w:tcBorders>
            <w:shd w:val="clear" w:color="auto" w:fill="auto"/>
            <w:noWrap/>
            <w:vAlign w:val="center"/>
            <w:hideMark/>
          </w:tcPr>
          <w:p w14:paraId="1144F8B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20.2</w:t>
            </w:r>
          </w:p>
        </w:tc>
        <w:tc>
          <w:tcPr>
            <w:tcW w:w="776" w:type="dxa"/>
            <w:tcBorders>
              <w:top w:val="single" w:sz="8" w:space="0" w:color="002060"/>
              <w:left w:val="nil"/>
              <w:bottom w:val="nil"/>
              <w:right w:val="nil"/>
            </w:tcBorders>
            <w:shd w:val="clear" w:color="auto" w:fill="auto"/>
            <w:noWrap/>
            <w:vAlign w:val="center"/>
            <w:hideMark/>
          </w:tcPr>
          <w:p w14:paraId="1E05FE3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4.71</w:t>
            </w:r>
          </w:p>
        </w:tc>
        <w:tc>
          <w:tcPr>
            <w:tcW w:w="588" w:type="dxa"/>
            <w:tcBorders>
              <w:top w:val="single" w:sz="8" w:space="0" w:color="002060"/>
              <w:left w:val="nil"/>
              <w:bottom w:val="nil"/>
              <w:right w:val="nil"/>
            </w:tcBorders>
            <w:shd w:val="clear" w:color="auto" w:fill="auto"/>
            <w:noWrap/>
            <w:vAlign w:val="center"/>
            <w:hideMark/>
          </w:tcPr>
          <w:p w14:paraId="66F5476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1.50</w:t>
            </w:r>
          </w:p>
        </w:tc>
        <w:tc>
          <w:tcPr>
            <w:tcW w:w="580" w:type="dxa"/>
            <w:tcBorders>
              <w:top w:val="single" w:sz="8" w:space="0" w:color="002060"/>
              <w:left w:val="nil"/>
              <w:bottom w:val="nil"/>
              <w:right w:val="single" w:sz="8" w:space="0" w:color="002060"/>
            </w:tcBorders>
            <w:shd w:val="clear" w:color="auto" w:fill="auto"/>
            <w:noWrap/>
            <w:vAlign w:val="center"/>
            <w:hideMark/>
          </w:tcPr>
          <w:p w14:paraId="6AC0738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12.84</w:t>
            </w:r>
          </w:p>
        </w:tc>
        <w:tc>
          <w:tcPr>
            <w:tcW w:w="880" w:type="dxa"/>
            <w:vMerge/>
            <w:tcBorders>
              <w:top w:val="single" w:sz="8" w:space="0" w:color="002060"/>
              <w:left w:val="single" w:sz="8" w:space="0" w:color="002060"/>
              <w:bottom w:val="nil"/>
              <w:right w:val="single" w:sz="8" w:space="0" w:color="002060"/>
            </w:tcBorders>
            <w:vAlign w:val="center"/>
            <w:hideMark/>
          </w:tcPr>
          <w:p w14:paraId="741D2F0D"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single" w:sz="8" w:space="0" w:color="002060"/>
              <w:left w:val="nil"/>
              <w:bottom w:val="nil"/>
              <w:right w:val="nil"/>
            </w:tcBorders>
            <w:shd w:val="clear" w:color="auto" w:fill="auto"/>
            <w:noWrap/>
            <w:vAlign w:val="center"/>
            <w:hideMark/>
          </w:tcPr>
          <w:p w14:paraId="1EA2EF3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30</w:t>
            </w:r>
          </w:p>
        </w:tc>
        <w:tc>
          <w:tcPr>
            <w:tcW w:w="596" w:type="dxa"/>
            <w:tcBorders>
              <w:top w:val="single" w:sz="8" w:space="0" w:color="002060"/>
              <w:left w:val="nil"/>
              <w:bottom w:val="nil"/>
              <w:right w:val="nil"/>
            </w:tcBorders>
            <w:shd w:val="clear" w:color="auto" w:fill="auto"/>
            <w:noWrap/>
            <w:vAlign w:val="center"/>
            <w:hideMark/>
          </w:tcPr>
          <w:p w14:paraId="6BC02DF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6.42</w:t>
            </w:r>
          </w:p>
        </w:tc>
        <w:tc>
          <w:tcPr>
            <w:tcW w:w="716" w:type="dxa"/>
            <w:tcBorders>
              <w:top w:val="single" w:sz="8" w:space="0" w:color="002060"/>
              <w:left w:val="nil"/>
              <w:bottom w:val="nil"/>
              <w:right w:val="nil"/>
            </w:tcBorders>
            <w:shd w:val="clear" w:color="auto" w:fill="auto"/>
            <w:noWrap/>
            <w:vAlign w:val="center"/>
            <w:hideMark/>
          </w:tcPr>
          <w:p w14:paraId="46AFD81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5.54</w:t>
            </w:r>
          </w:p>
        </w:tc>
        <w:tc>
          <w:tcPr>
            <w:tcW w:w="556" w:type="dxa"/>
            <w:tcBorders>
              <w:top w:val="single" w:sz="8" w:space="0" w:color="002060"/>
              <w:left w:val="nil"/>
              <w:bottom w:val="nil"/>
              <w:right w:val="nil"/>
            </w:tcBorders>
            <w:shd w:val="clear" w:color="auto" w:fill="auto"/>
            <w:noWrap/>
            <w:vAlign w:val="center"/>
            <w:hideMark/>
          </w:tcPr>
          <w:p w14:paraId="630193F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1.4</w:t>
            </w:r>
          </w:p>
        </w:tc>
        <w:tc>
          <w:tcPr>
            <w:tcW w:w="596" w:type="dxa"/>
            <w:tcBorders>
              <w:top w:val="single" w:sz="8" w:space="0" w:color="002060"/>
              <w:left w:val="nil"/>
              <w:bottom w:val="nil"/>
              <w:right w:val="nil"/>
            </w:tcBorders>
            <w:shd w:val="clear" w:color="auto" w:fill="auto"/>
            <w:noWrap/>
            <w:vAlign w:val="center"/>
            <w:hideMark/>
          </w:tcPr>
          <w:p w14:paraId="4E95571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21.0</w:t>
            </w:r>
          </w:p>
        </w:tc>
        <w:tc>
          <w:tcPr>
            <w:tcW w:w="796" w:type="dxa"/>
            <w:tcBorders>
              <w:top w:val="single" w:sz="8" w:space="0" w:color="002060"/>
              <w:left w:val="nil"/>
              <w:bottom w:val="nil"/>
              <w:right w:val="nil"/>
            </w:tcBorders>
            <w:shd w:val="clear" w:color="auto" w:fill="auto"/>
            <w:noWrap/>
            <w:vAlign w:val="center"/>
            <w:hideMark/>
          </w:tcPr>
          <w:p w14:paraId="523C208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3.80</w:t>
            </w:r>
          </w:p>
        </w:tc>
        <w:tc>
          <w:tcPr>
            <w:tcW w:w="528" w:type="dxa"/>
            <w:tcBorders>
              <w:top w:val="single" w:sz="8" w:space="0" w:color="002060"/>
              <w:left w:val="nil"/>
              <w:bottom w:val="nil"/>
              <w:right w:val="nil"/>
            </w:tcBorders>
            <w:shd w:val="clear" w:color="auto" w:fill="auto"/>
            <w:noWrap/>
            <w:vAlign w:val="center"/>
            <w:hideMark/>
          </w:tcPr>
          <w:p w14:paraId="67B95DF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2.34</w:t>
            </w:r>
          </w:p>
        </w:tc>
        <w:tc>
          <w:tcPr>
            <w:tcW w:w="540" w:type="dxa"/>
            <w:tcBorders>
              <w:top w:val="single" w:sz="8" w:space="0" w:color="002060"/>
              <w:left w:val="nil"/>
              <w:bottom w:val="nil"/>
              <w:right w:val="single" w:sz="8" w:space="0" w:color="002060"/>
            </w:tcBorders>
            <w:shd w:val="clear" w:color="auto" w:fill="auto"/>
            <w:noWrap/>
            <w:vAlign w:val="center"/>
            <w:hideMark/>
          </w:tcPr>
          <w:p w14:paraId="4D57CFE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8.6</w:t>
            </w:r>
          </w:p>
        </w:tc>
      </w:tr>
      <w:tr w:rsidR="00AE564D" w:rsidRPr="00397875" w14:paraId="601D574D" w14:textId="77777777" w:rsidTr="00397875">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6C2E6DA8"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4C31B107"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2961421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13306EE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33</w:t>
            </w:r>
          </w:p>
        </w:tc>
        <w:tc>
          <w:tcPr>
            <w:tcW w:w="656" w:type="dxa"/>
            <w:tcBorders>
              <w:top w:val="nil"/>
              <w:left w:val="nil"/>
              <w:bottom w:val="nil"/>
              <w:right w:val="nil"/>
            </w:tcBorders>
            <w:shd w:val="clear" w:color="auto" w:fill="auto"/>
            <w:noWrap/>
            <w:vAlign w:val="center"/>
            <w:hideMark/>
          </w:tcPr>
          <w:p w14:paraId="441C516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6.96</w:t>
            </w:r>
          </w:p>
        </w:tc>
        <w:tc>
          <w:tcPr>
            <w:tcW w:w="776" w:type="dxa"/>
            <w:tcBorders>
              <w:top w:val="nil"/>
              <w:left w:val="nil"/>
              <w:bottom w:val="nil"/>
              <w:right w:val="nil"/>
            </w:tcBorders>
            <w:shd w:val="clear" w:color="auto" w:fill="auto"/>
            <w:noWrap/>
            <w:vAlign w:val="center"/>
            <w:hideMark/>
          </w:tcPr>
          <w:p w14:paraId="0D6B344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5.34</w:t>
            </w:r>
          </w:p>
        </w:tc>
        <w:tc>
          <w:tcPr>
            <w:tcW w:w="596" w:type="dxa"/>
            <w:tcBorders>
              <w:top w:val="nil"/>
              <w:left w:val="nil"/>
              <w:bottom w:val="nil"/>
              <w:right w:val="nil"/>
            </w:tcBorders>
            <w:shd w:val="clear" w:color="auto" w:fill="auto"/>
            <w:noWrap/>
            <w:vAlign w:val="center"/>
            <w:hideMark/>
          </w:tcPr>
          <w:p w14:paraId="64C0940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1.1</w:t>
            </w:r>
          </w:p>
        </w:tc>
        <w:tc>
          <w:tcPr>
            <w:tcW w:w="636" w:type="dxa"/>
            <w:tcBorders>
              <w:top w:val="nil"/>
              <w:left w:val="nil"/>
              <w:bottom w:val="nil"/>
              <w:right w:val="nil"/>
            </w:tcBorders>
            <w:shd w:val="clear" w:color="auto" w:fill="auto"/>
            <w:noWrap/>
            <w:vAlign w:val="center"/>
            <w:hideMark/>
          </w:tcPr>
          <w:p w14:paraId="4AFBB86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24.3</w:t>
            </w:r>
          </w:p>
        </w:tc>
        <w:tc>
          <w:tcPr>
            <w:tcW w:w="776" w:type="dxa"/>
            <w:tcBorders>
              <w:top w:val="nil"/>
              <w:left w:val="nil"/>
              <w:bottom w:val="nil"/>
              <w:right w:val="nil"/>
            </w:tcBorders>
            <w:shd w:val="clear" w:color="auto" w:fill="auto"/>
            <w:noWrap/>
            <w:vAlign w:val="center"/>
            <w:hideMark/>
          </w:tcPr>
          <w:p w14:paraId="35DDCB1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5.49</w:t>
            </w:r>
          </w:p>
        </w:tc>
        <w:tc>
          <w:tcPr>
            <w:tcW w:w="588" w:type="dxa"/>
            <w:tcBorders>
              <w:top w:val="nil"/>
              <w:left w:val="nil"/>
              <w:bottom w:val="nil"/>
              <w:right w:val="nil"/>
            </w:tcBorders>
            <w:shd w:val="clear" w:color="auto" w:fill="auto"/>
            <w:noWrap/>
            <w:vAlign w:val="center"/>
            <w:hideMark/>
          </w:tcPr>
          <w:p w14:paraId="18C5076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2.95</w:t>
            </w:r>
          </w:p>
        </w:tc>
        <w:tc>
          <w:tcPr>
            <w:tcW w:w="580" w:type="dxa"/>
            <w:tcBorders>
              <w:top w:val="nil"/>
              <w:left w:val="nil"/>
              <w:bottom w:val="nil"/>
              <w:right w:val="single" w:sz="8" w:space="0" w:color="002060"/>
            </w:tcBorders>
            <w:shd w:val="clear" w:color="auto" w:fill="auto"/>
            <w:noWrap/>
            <w:vAlign w:val="center"/>
            <w:hideMark/>
          </w:tcPr>
          <w:p w14:paraId="59B8B56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10.38</w:t>
            </w:r>
          </w:p>
        </w:tc>
        <w:tc>
          <w:tcPr>
            <w:tcW w:w="880" w:type="dxa"/>
            <w:vMerge/>
            <w:tcBorders>
              <w:top w:val="single" w:sz="8" w:space="0" w:color="002060"/>
              <w:left w:val="single" w:sz="8" w:space="0" w:color="002060"/>
              <w:bottom w:val="nil"/>
              <w:right w:val="single" w:sz="8" w:space="0" w:color="002060"/>
            </w:tcBorders>
            <w:vAlign w:val="center"/>
            <w:hideMark/>
          </w:tcPr>
          <w:p w14:paraId="1E1528B6"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2CC7893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164</w:t>
            </w:r>
          </w:p>
        </w:tc>
        <w:tc>
          <w:tcPr>
            <w:tcW w:w="596" w:type="dxa"/>
            <w:tcBorders>
              <w:top w:val="nil"/>
              <w:left w:val="nil"/>
              <w:bottom w:val="nil"/>
              <w:right w:val="nil"/>
            </w:tcBorders>
            <w:shd w:val="clear" w:color="auto" w:fill="auto"/>
            <w:noWrap/>
            <w:vAlign w:val="center"/>
            <w:hideMark/>
          </w:tcPr>
          <w:p w14:paraId="7DE8A8B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6.61</w:t>
            </w:r>
          </w:p>
        </w:tc>
        <w:tc>
          <w:tcPr>
            <w:tcW w:w="716" w:type="dxa"/>
            <w:tcBorders>
              <w:top w:val="nil"/>
              <w:left w:val="nil"/>
              <w:bottom w:val="nil"/>
              <w:right w:val="nil"/>
            </w:tcBorders>
            <w:shd w:val="clear" w:color="auto" w:fill="auto"/>
            <w:noWrap/>
            <w:vAlign w:val="center"/>
            <w:hideMark/>
          </w:tcPr>
          <w:p w14:paraId="619CB61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7.19</w:t>
            </w:r>
          </w:p>
        </w:tc>
        <w:tc>
          <w:tcPr>
            <w:tcW w:w="556" w:type="dxa"/>
            <w:tcBorders>
              <w:top w:val="nil"/>
              <w:left w:val="nil"/>
              <w:bottom w:val="nil"/>
              <w:right w:val="nil"/>
            </w:tcBorders>
            <w:shd w:val="clear" w:color="auto" w:fill="auto"/>
            <w:noWrap/>
            <w:vAlign w:val="center"/>
            <w:hideMark/>
          </w:tcPr>
          <w:p w14:paraId="5401785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0.7</w:t>
            </w:r>
          </w:p>
        </w:tc>
        <w:tc>
          <w:tcPr>
            <w:tcW w:w="596" w:type="dxa"/>
            <w:tcBorders>
              <w:top w:val="nil"/>
              <w:left w:val="nil"/>
              <w:bottom w:val="nil"/>
              <w:right w:val="nil"/>
            </w:tcBorders>
            <w:shd w:val="clear" w:color="auto" w:fill="auto"/>
            <w:noWrap/>
            <w:vAlign w:val="center"/>
            <w:hideMark/>
          </w:tcPr>
          <w:p w14:paraId="5771F34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40.7</w:t>
            </w:r>
          </w:p>
        </w:tc>
        <w:tc>
          <w:tcPr>
            <w:tcW w:w="796" w:type="dxa"/>
            <w:tcBorders>
              <w:top w:val="nil"/>
              <w:left w:val="nil"/>
              <w:bottom w:val="nil"/>
              <w:right w:val="nil"/>
            </w:tcBorders>
            <w:shd w:val="clear" w:color="auto" w:fill="auto"/>
            <w:noWrap/>
            <w:vAlign w:val="center"/>
            <w:hideMark/>
          </w:tcPr>
          <w:p w14:paraId="498FA11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4.22</w:t>
            </w:r>
          </w:p>
        </w:tc>
        <w:tc>
          <w:tcPr>
            <w:tcW w:w="528" w:type="dxa"/>
            <w:tcBorders>
              <w:top w:val="nil"/>
              <w:left w:val="nil"/>
              <w:bottom w:val="nil"/>
              <w:right w:val="nil"/>
            </w:tcBorders>
            <w:shd w:val="clear" w:color="auto" w:fill="auto"/>
            <w:noWrap/>
            <w:vAlign w:val="center"/>
            <w:hideMark/>
          </w:tcPr>
          <w:p w14:paraId="2623100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2.95</w:t>
            </w:r>
          </w:p>
        </w:tc>
        <w:tc>
          <w:tcPr>
            <w:tcW w:w="540" w:type="dxa"/>
            <w:tcBorders>
              <w:top w:val="nil"/>
              <w:left w:val="nil"/>
              <w:bottom w:val="nil"/>
              <w:right w:val="single" w:sz="8" w:space="0" w:color="002060"/>
            </w:tcBorders>
            <w:shd w:val="clear" w:color="auto" w:fill="auto"/>
            <w:noWrap/>
            <w:vAlign w:val="center"/>
            <w:hideMark/>
          </w:tcPr>
          <w:p w14:paraId="2A2B746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6.51</w:t>
            </w:r>
          </w:p>
        </w:tc>
      </w:tr>
      <w:tr w:rsidR="00AE564D" w:rsidRPr="00397875" w14:paraId="57748AAF" w14:textId="77777777" w:rsidTr="00397875">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60AB148A"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1E3FDDBB"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132A227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5279907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29</w:t>
            </w:r>
          </w:p>
        </w:tc>
        <w:tc>
          <w:tcPr>
            <w:tcW w:w="656" w:type="dxa"/>
            <w:tcBorders>
              <w:top w:val="nil"/>
              <w:left w:val="nil"/>
              <w:bottom w:val="nil"/>
              <w:right w:val="nil"/>
            </w:tcBorders>
            <w:shd w:val="clear" w:color="auto" w:fill="auto"/>
            <w:noWrap/>
            <w:vAlign w:val="center"/>
            <w:hideMark/>
          </w:tcPr>
          <w:p w14:paraId="1CA7FF8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5.32</w:t>
            </w:r>
          </w:p>
        </w:tc>
        <w:tc>
          <w:tcPr>
            <w:tcW w:w="776" w:type="dxa"/>
            <w:tcBorders>
              <w:top w:val="nil"/>
              <w:left w:val="nil"/>
              <w:bottom w:val="nil"/>
              <w:right w:val="nil"/>
            </w:tcBorders>
            <w:shd w:val="clear" w:color="auto" w:fill="auto"/>
            <w:noWrap/>
            <w:vAlign w:val="center"/>
            <w:hideMark/>
          </w:tcPr>
          <w:p w14:paraId="7402666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4.49</w:t>
            </w:r>
          </w:p>
        </w:tc>
        <w:tc>
          <w:tcPr>
            <w:tcW w:w="596" w:type="dxa"/>
            <w:tcBorders>
              <w:top w:val="nil"/>
              <w:left w:val="nil"/>
              <w:bottom w:val="nil"/>
              <w:right w:val="nil"/>
            </w:tcBorders>
            <w:shd w:val="clear" w:color="auto" w:fill="auto"/>
            <w:noWrap/>
            <w:vAlign w:val="center"/>
            <w:hideMark/>
          </w:tcPr>
          <w:p w14:paraId="1B20975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0.15</w:t>
            </w:r>
          </w:p>
        </w:tc>
        <w:tc>
          <w:tcPr>
            <w:tcW w:w="636" w:type="dxa"/>
            <w:tcBorders>
              <w:top w:val="nil"/>
              <w:left w:val="nil"/>
              <w:bottom w:val="nil"/>
              <w:right w:val="nil"/>
            </w:tcBorders>
            <w:shd w:val="clear" w:color="auto" w:fill="auto"/>
            <w:noWrap/>
            <w:vAlign w:val="center"/>
            <w:hideMark/>
          </w:tcPr>
          <w:p w14:paraId="4C5B283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13.5</w:t>
            </w:r>
          </w:p>
        </w:tc>
        <w:tc>
          <w:tcPr>
            <w:tcW w:w="776" w:type="dxa"/>
            <w:tcBorders>
              <w:top w:val="nil"/>
              <w:left w:val="nil"/>
              <w:bottom w:val="nil"/>
              <w:right w:val="nil"/>
            </w:tcBorders>
            <w:shd w:val="clear" w:color="auto" w:fill="auto"/>
            <w:noWrap/>
            <w:vAlign w:val="center"/>
            <w:hideMark/>
          </w:tcPr>
          <w:p w14:paraId="6023B67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5.03</w:t>
            </w:r>
          </w:p>
        </w:tc>
        <w:tc>
          <w:tcPr>
            <w:tcW w:w="588" w:type="dxa"/>
            <w:tcBorders>
              <w:top w:val="nil"/>
              <w:left w:val="nil"/>
              <w:bottom w:val="nil"/>
              <w:right w:val="nil"/>
            </w:tcBorders>
            <w:shd w:val="clear" w:color="auto" w:fill="auto"/>
            <w:noWrap/>
            <w:vAlign w:val="center"/>
            <w:hideMark/>
          </w:tcPr>
          <w:p w14:paraId="551C4BF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0.88</w:t>
            </w:r>
          </w:p>
        </w:tc>
        <w:tc>
          <w:tcPr>
            <w:tcW w:w="580" w:type="dxa"/>
            <w:tcBorders>
              <w:top w:val="nil"/>
              <w:left w:val="nil"/>
              <w:bottom w:val="nil"/>
              <w:right w:val="single" w:sz="8" w:space="0" w:color="002060"/>
            </w:tcBorders>
            <w:shd w:val="clear" w:color="auto" w:fill="auto"/>
            <w:noWrap/>
            <w:vAlign w:val="center"/>
            <w:hideMark/>
          </w:tcPr>
          <w:p w14:paraId="399C622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9.59</w:t>
            </w:r>
          </w:p>
        </w:tc>
        <w:tc>
          <w:tcPr>
            <w:tcW w:w="880" w:type="dxa"/>
            <w:vMerge/>
            <w:tcBorders>
              <w:top w:val="single" w:sz="8" w:space="0" w:color="002060"/>
              <w:left w:val="single" w:sz="8" w:space="0" w:color="002060"/>
              <w:bottom w:val="nil"/>
              <w:right w:val="single" w:sz="8" w:space="0" w:color="002060"/>
            </w:tcBorders>
            <w:vAlign w:val="center"/>
            <w:hideMark/>
          </w:tcPr>
          <w:p w14:paraId="3F6D8CCA"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68BF047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84</w:t>
            </w:r>
          </w:p>
        </w:tc>
        <w:tc>
          <w:tcPr>
            <w:tcW w:w="596" w:type="dxa"/>
            <w:tcBorders>
              <w:top w:val="nil"/>
              <w:left w:val="nil"/>
              <w:bottom w:val="nil"/>
              <w:right w:val="nil"/>
            </w:tcBorders>
            <w:shd w:val="clear" w:color="auto" w:fill="auto"/>
            <w:noWrap/>
            <w:vAlign w:val="center"/>
            <w:hideMark/>
          </w:tcPr>
          <w:p w14:paraId="031A1B7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4.45</w:t>
            </w:r>
          </w:p>
        </w:tc>
        <w:tc>
          <w:tcPr>
            <w:tcW w:w="716" w:type="dxa"/>
            <w:tcBorders>
              <w:top w:val="nil"/>
              <w:left w:val="nil"/>
              <w:bottom w:val="nil"/>
              <w:right w:val="nil"/>
            </w:tcBorders>
            <w:shd w:val="clear" w:color="auto" w:fill="auto"/>
            <w:noWrap/>
            <w:vAlign w:val="center"/>
            <w:hideMark/>
          </w:tcPr>
          <w:p w14:paraId="1B9CC22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4.01</w:t>
            </w:r>
          </w:p>
        </w:tc>
        <w:tc>
          <w:tcPr>
            <w:tcW w:w="556" w:type="dxa"/>
            <w:tcBorders>
              <w:top w:val="nil"/>
              <w:left w:val="nil"/>
              <w:bottom w:val="nil"/>
              <w:right w:val="nil"/>
            </w:tcBorders>
            <w:shd w:val="clear" w:color="auto" w:fill="auto"/>
            <w:noWrap/>
            <w:vAlign w:val="center"/>
            <w:hideMark/>
          </w:tcPr>
          <w:p w14:paraId="67D234A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0.2</w:t>
            </w:r>
          </w:p>
        </w:tc>
        <w:tc>
          <w:tcPr>
            <w:tcW w:w="596" w:type="dxa"/>
            <w:tcBorders>
              <w:top w:val="nil"/>
              <w:left w:val="nil"/>
              <w:bottom w:val="nil"/>
              <w:right w:val="nil"/>
            </w:tcBorders>
            <w:shd w:val="clear" w:color="auto" w:fill="auto"/>
            <w:noWrap/>
            <w:vAlign w:val="center"/>
            <w:hideMark/>
          </w:tcPr>
          <w:p w14:paraId="063AE8A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17.3</w:t>
            </w:r>
          </w:p>
        </w:tc>
        <w:tc>
          <w:tcPr>
            <w:tcW w:w="796" w:type="dxa"/>
            <w:tcBorders>
              <w:top w:val="nil"/>
              <w:left w:val="nil"/>
              <w:bottom w:val="nil"/>
              <w:right w:val="nil"/>
            </w:tcBorders>
            <w:shd w:val="clear" w:color="auto" w:fill="auto"/>
            <w:noWrap/>
            <w:vAlign w:val="center"/>
            <w:hideMark/>
          </w:tcPr>
          <w:p w14:paraId="1CFB029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2.94</w:t>
            </w:r>
          </w:p>
        </w:tc>
        <w:tc>
          <w:tcPr>
            <w:tcW w:w="528" w:type="dxa"/>
            <w:tcBorders>
              <w:top w:val="nil"/>
              <w:left w:val="nil"/>
              <w:bottom w:val="nil"/>
              <w:right w:val="nil"/>
            </w:tcBorders>
            <w:shd w:val="clear" w:color="auto" w:fill="auto"/>
            <w:noWrap/>
            <w:vAlign w:val="center"/>
            <w:hideMark/>
          </w:tcPr>
          <w:p w14:paraId="649E303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1.18</w:t>
            </w:r>
          </w:p>
        </w:tc>
        <w:tc>
          <w:tcPr>
            <w:tcW w:w="540" w:type="dxa"/>
            <w:tcBorders>
              <w:top w:val="nil"/>
              <w:left w:val="nil"/>
              <w:bottom w:val="nil"/>
              <w:right w:val="single" w:sz="8" w:space="0" w:color="002060"/>
            </w:tcBorders>
            <w:shd w:val="clear" w:color="auto" w:fill="auto"/>
            <w:noWrap/>
            <w:vAlign w:val="center"/>
            <w:hideMark/>
          </w:tcPr>
          <w:p w14:paraId="23ADA3E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7.38</w:t>
            </w:r>
          </w:p>
        </w:tc>
      </w:tr>
      <w:tr w:rsidR="00AE564D" w:rsidRPr="00397875" w14:paraId="31CB2889" w14:textId="77777777" w:rsidTr="00397875">
        <w:trPr>
          <w:trHeight w:val="255"/>
          <w:jc w:val="center"/>
        </w:trPr>
        <w:tc>
          <w:tcPr>
            <w:tcW w:w="700" w:type="dxa"/>
            <w:vMerge/>
            <w:tcBorders>
              <w:top w:val="single" w:sz="8" w:space="0" w:color="002060"/>
              <w:left w:val="single" w:sz="8" w:space="0" w:color="002060"/>
              <w:bottom w:val="nil"/>
              <w:right w:val="single" w:sz="8" w:space="0" w:color="002060"/>
            </w:tcBorders>
            <w:vAlign w:val="center"/>
            <w:hideMark/>
          </w:tcPr>
          <w:p w14:paraId="2CF95243"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73D5A363"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single" w:sz="8" w:space="0" w:color="002060"/>
              <w:right w:val="nil"/>
            </w:tcBorders>
            <w:shd w:val="clear" w:color="auto" w:fill="auto"/>
            <w:noWrap/>
            <w:vAlign w:val="center"/>
            <w:hideMark/>
          </w:tcPr>
          <w:p w14:paraId="65E9FF0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Med Fresh</w:t>
            </w:r>
          </w:p>
        </w:tc>
        <w:tc>
          <w:tcPr>
            <w:tcW w:w="536" w:type="dxa"/>
            <w:tcBorders>
              <w:top w:val="nil"/>
              <w:left w:val="nil"/>
              <w:bottom w:val="single" w:sz="8" w:space="0" w:color="002060"/>
              <w:right w:val="nil"/>
            </w:tcBorders>
            <w:shd w:val="clear" w:color="auto" w:fill="auto"/>
            <w:noWrap/>
            <w:vAlign w:val="center"/>
            <w:hideMark/>
          </w:tcPr>
          <w:p w14:paraId="5CE8B4E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22</w:t>
            </w:r>
          </w:p>
        </w:tc>
        <w:tc>
          <w:tcPr>
            <w:tcW w:w="656" w:type="dxa"/>
            <w:tcBorders>
              <w:top w:val="nil"/>
              <w:left w:val="nil"/>
              <w:bottom w:val="single" w:sz="8" w:space="0" w:color="002060"/>
              <w:right w:val="nil"/>
            </w:tcBorders>
            <w:shd w:val="clear" w:color="auto" w:fill="auto"/>
            <w:noWrap/>
            <w:vAlign w:val="center"/>
            <w:hideMark/>
          </w:tcPr>
          <w:p w14:paraId="6670350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11.0</w:t>
            </w:r>
          </w:p>
        </w:tc>
        <w:tc>
          <w:tcPr>
            <w:tcW w:w="776" w:type="dxa"/>
            <w:tcBorders>
              <w:top w:val="nil"/>
              <w:left w:val="nil"/>
              <w:bottom w:val="single" w:sz="8" w:space="0" w:color="002060"/>
              <w:right w:val="nil"/>
            </w:tcBorders>
            <w:shd w:val="clear" w:color="auto" w:fill="auto"/>
            <w:noWrap/>
            <w:vAlign w:val="center"/>
            <w:hideMark/>
          </w:tcPr>
          <w:p w14:paraId="79AFB2E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5.45</w:t>
            </w:r>
          </w:p>
        </w:tc>
        <w:tc>
          <w:tcPr>
            <w:tcW w:w="596" w:type="dxa"/>
            <w:tcBorders>
              <w:top w:val="nil"/>
              <w:left w:val="nil"/>
              <w:bottom w:val="single" w:sz="8" w:space="0" w:color="002060"/>
              <w:right w:val="nil"/>
            </w:tcBorders>
            <w:shd w:val="clear" w:color="auto" w:fill="auto"/>
            <w:noWrap/>
            <w:vAlign w:val="center"/>
            <w:hideMark/>
          </w:tcPr>
          <w:p w14:paraId="646EFB7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1.01</w:t>
            </w:r>
          </w:p>
        </w:tc>
        <w:tc>
          <w:tcPr>
            <w:tcW w:w="636" w:type="dxa"/>
            <w:tcBorders>
              <w:top w:val="nil"/>
              <w:left w:val="nil"/>
              <w:bottom w:val="single" w:sz="8" w:space="0" w:color="002060"/>
              <w:right w:val="nil"/>
            </w:tcBorders>
            <w:shd w:val="clear" w:color="auto" w:fill="auto"/>
            <w:noWrap/>
            <w:vAlign w:val="center"/>
            <w:hideMark/>
          </w:tcPr>
          <w:p w14:paraId="10B2033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22.2</w:t>
            </w:r>
          </w:p>
        </w:tc>
        <w:tc>
          <w:tcPr>
            <w:tcW w:w="776" w:type="dxa"/>
            <w:tcBorders>
              <w:top w:val="nil"/>
              <w:left w:val="nil"/>
              <w:bottom w:val="single" w:sz="8" w:space="0" w:color="002060"/>
              <w:right w:val="nil"/>
            </w:tcBorders>
            <w:shd w:val="clear" w:color="auto" w:fill="auto"/>
            <w:noWrap/>
            <w:vAlign w:val="center"/>
            <w:hideMark/>
          </w:tcPr>
          <w:p w14:paraId="1832EA1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10.4</w:t>
            </w:r>
          </w:p>
        </w:tc>
        <w:tc>
          <w:tcPr>
            <w:tcW w:w="588" w:type="dxa"/>
            <w:tcBorders>
              <w:top w:val="nil"/>
              <w:left w:val="nil"/>
              <w:bottom w:val="single" w:sz="8" w:space="0" w:color="002060"/>
              <w:right w:val="nil"/>
            </w:tcBorders>
            <w:shd w:val="clear" w:color="auto" w:fill="auto"/>
            <w:noWrap/>
            <w:vAlign w:val="center"/>
            <w:hideMark/>
          </w:tcPr>
          <w:p w14:paraId="744A5CC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8.47</w:t>
            </w:r>
          </w:p>
        </w:tc>
        <w:tc>
          <w:tcPr>
            <w:tcW w:w="580" w:type="dxa"/>
            <w:tcBorders>
              <w:top w:val="nil"/>
              <w:left w:val="nil"/>
              <w:bottom w:val="single" w:sz="8" w:space="0" w:color="002060"/>
              <w:right w:val="single" w:sz="8" w:space="0" w:color="002060"/>
            </w:tcBorders>
            <w:shd w:val="clear" w:color="auto" w:fill="auto"/>
            <w:noWrap/>
            <w:vAlign w:val="center"/>
            <w:hideMark/>
          </w:tcPr>
          <w:p w14:paraId="63D6068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14.37</w:t>
            </w:r>
          </w:p>
        </w:tc>
        <w:tc>
          <w:tcPr>
            <w:tcW w:w="880" w:type="dxa"/>
            <w:vMerge/>
            <w:tcBorders>
              <w:top w:val="single" w:sz="8" w:space="0" w:color="002060"/>
              <w:left w:val="single" w:sz="8" w:space="0" w:color="002060"/>
              <w:bottom w:val="nil"/>
              <w:right w:val="single" w:sz="8" w:space="0" w:color="002060"/>
            </w:tcBorders>
            <w:vAlign w:val="center"/>
            <w:hideMark/>
          </w:tcPr>
          <w:p w14:paraId="24C5206B"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single" w:sz="8" w:space="0" w:color="002060"/>
              <w:right w:val="nil"/>
            </w:tcBorders>
            <w:shd w:val="clear" w:color="auto" w:fill="auto"/>
            <w:noWrap/>
            <w:vAlign w:val="center"/>
            <w:hideMark/>
          </w:tcPr>
          <w:p w14:paraId="3979654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9</w:t>
            </w:r>
          </w:p>
        </w:tc>
        <w:tc>
          <w:tcPr>
            <w:tcW w:w="596" w:type="dxa"/>
            <w:tcBorders>
              <w:top w:val="nil"/>
              <w:left w:val="nil"/>
              <w:bottom w:val="single" w:sz="8" w:space="0" w:color="002060"/>
              <w:right w:val="nil"/>
            </w:tcBorders>
            <w:shd w:val="clear" w:color="auto" w:fill="auto"/>
            <w:noWrap/>
            <w:vAlign w:val="center"/>
            <w:hideMark/>
          </w:tcPr>
          <w:p w14:paraId="012EA49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1.05</w:t>
            </w:r>
          </w:p>
        </w:tc>
        <w:tc>
          <w:tcPr>
            <w:tcW w:w="716" w:type="dxa"/>
            <w:tcBorders>
              <w:top w:val="nil"/>
              <w:left w:val="nil"/>
              <w:bottom w:val="single" w:sz="8" w:space="0" w:color="002060"/>
              <w:right w:val="nil"/>
            </w:tcBorders>
            <w:shd w:val="clear" w:color="auto" w:fill="auto"/>
            <w:noWrap/>
            <w:vAlign w:val="center"/>
            <w:hideMark/>
          </w:tcPr>
          <w:p w14:paraId="756DFCB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0.81</w:t>
            </w:r>
          </w:p>
        </w:tc>
        <w:tc>
          <w:tcPr>
            <w:tcW w:w="556" w:type="dxa"/>
            <w:tcBorders>
              <w:top w:val="nil"/>
              <w:left w:val="nil"/>
              <w:bottom w:val="single" w:sz="8" w:space="0" w:color="002060"/>
              <w:right w:val="nil"/>
            </w:tcBorders>
            <w:shd w:val="clear" w:color="auto" w:fill="auto"/>
            <w:noWrap/>
            <w:vAlign w:val="center"/>
            <w:hideMark/>
          </w:tcPr>
          <w:p w14:paraId="1785D97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0.21</w:t>
            </w:r>
          </w:p>
        </w:tc>
        <w:tc>
          <w:tcPr>
            <w:tcW w:w="596" w:type="dxa"/>
            <w:tcBorders>
              <w:top w:val="nil"/>
              <w:left w:val="nil"/>
              <w:bottom w:val="single" w:sz="8" w:space="0" w:color="002060"/>
              <w:right w:val="nil"/>
            </w:tcBorders>
            <w:shd w:val="clear" w:color="auto" w:fill="auto"/>
            <w:noWrap/>
            <w:vAlign w:val="center"/>
            <w:hideMark/>
          </w:tcPr>
          <w:p w14:paraId="04F4AAE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2.88</w:t>
            </w:r>
          </w:p>
        </w:tc>
        <w:tc>
          <w:tcPr>
            <w:tcW w:w="796" w:type="dxa"/>
            <w:tcBorders>
              <w:top w:val="nil"/>
              <w:left w:val="nil"/>
              <w:bottom w:val="single" w:sz="8" w:space="0" w:color="002060"/>
              <w:right w:val="nil"/>
            </w:tcBorders>
            <w:shd w:val="clear" w:color="auto" w:fill="auto"/>
            <w:noWrap/>
            <w:vAlign w:val="center"/>
            <w:hideMark/>
          </w:tcPr>
          <w:p w14:paraId="394C753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0.82</w:t>
            </w:r>
          </w:p>
        </w:tc>
        <w:tc>
          <w:tcPr>
            <w:tcW w:w="528" w:type="dxa"/>
            <w:tcBorders>
              <w:top w:val="nil"/>
              <w:left w:val="nil"/>
              <w:bottom w:val="single" w:sz="8" w:space="0" w:color="002060"/>
              <w:right w:val="nil"/>
            </w:tcBorders>
            <w:shd w:val="clear" w:color="auto" w:fill="auto"/>
            <w:noWrap/>
            <w:vAlign w:val="center"/>
            <w:hideMark/>
          </w:tcPr>
          <w:p w14:paraId="4539CC5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0.51</w:t>
            </w:r>
          </w:p>
        </w:tc>
        <w:tc>
          <w:tcPr>
            <w:tcW w:w="540" w:type="dxa"/>
            <w:tcBorders>
              <w:top w:val="nil"/>
              <w:left w:val="nil"/>
              <w:bottom w:val="single" w:sz="8" w:space="0" w:color="002060"/>
              <w:right w:val="single" w:sz="8" w:space="0" w:color="002060"/>
            </w:tcBorders>
            <w:shd w:val="clear" w:color="auto" w:fill="auto"/>
            <w:noWrap/>
            <w:vAlign w:val="center"/>
            <w:hideMark/>
          </w:tcPr>
          <w:p w14:paraId="556228F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1.45</w:t>
            </w:r>
          </w:p>
        </w:tc>
      </w:tr>
      <w:tr w:rsidR="00AE564D" w:rsidRPr="00397875" w14:paraId="1DB12B5F" w14:textId="77777777" w:rsidTr="00397875">
        <w:trPr>
          <w:trHeight w:val="255"/>
          <w:jc w:val="center"/>
        </w:trPr>
        <w:tc>
          <w:tcPr>
            <w:tcW w:w="700" w:type="dxa"/>
            <w:vMerge w:val="restart"/>
            <w:tcBorders>
              <w:top w:val="single" w:sz="8" w:space="0" w:color="FFFFFF"/>
              <w:left w:val="single" w:sz="8" w:space="0" w:color="002060"/>
              <w:bottom w:val="single" w:sz="8" w:space="0" w:color="002060"/>
              <w:right w:val="single" w:sz="8" w:space="0" w:color="002060"/>
            </w:tcBorders>
            <w:shd w:val="clear" w:color="000000" w:fill="002060"/>
            <w:noWrap/>
            <w:vAlign w:val="center"/>
            <w:hideMark/>
          </w:tcPr>
          <w:p w14:paraId="59DED334"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Autumn</w:t>
            </w: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54595E0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Arcadia Downs / Darcy's Track</w:t>
            </w:r>
          </w:p>
        </w:tc>
        <w:tc>
          <w:tcPr>
            <w:tcW w:w="1008" w:type="dxa"/>
            <w:tcBorders>
              <w:top w:val="nil"/>
              <w:left w:val="nil"/>
              <w:bottom w:val="nil"/>
              <w:right w:val="nil"/>
            </w:tcBorders>
            <w:shd w:val="clear" w:color="auto" w:fill="auto"/>
            <w:noWrap/>
            <w:vAlign w:val="center"/>
            <w:hideMark/>
          </w:tcPr>
          <w:p w14:paraId="0378770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Very Low</w:t>
            </w:r>
          </w:p>
        </w:tc>
        <w:tc>
          <w:tcPr>
            <w:tcW w:w="536" w:type="dxa"/>
            <w:tcBorders>
              <w:top w:val="nil"/>
              <w:left w:val="nil"/>
              <w:bottom w:val="nil"/>
              <w:right w:val="nil"/>
            </w:tcBorders>
            <w:shd w:val="clear" w:color="auto" w:fill="auto"/>
            <w:noWrap/>
            <w:vAlign w:val="center"/>
            <w:hideMark/>
          </w:tcPr>
          <w:p w14:paraId="3F7BFF0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w:t>
            </w:r>
          </w:p>
        </w:tc>
        <w:tc>
          <w:tcPr>
            <w:tcW w:w="656" w:type="dxa"/>
            <w:tcBorders>
              <w:top w:val="nil"/>
              <w:left w:val="nil"/>
              <w:bottom w:val="nil"/>
              <w:right w:val="nil"/>
            </w:tcBorders>
            <w:shd w:val="clear" w:color="auto" w:fill="auto"/>
            <w:noWrap/>
            <w:vAlign w:val="center"/>
            <w:hideMark/>
          </w:tcPr>
          <w:p w14:paraId="12F33FBB"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c>
          <w:tcPr>
            <w:tcW w:w="776" w:type="dxa"/>
            <w:tcBorders>
              <w:top w:val="nil"/>
              <w:left w:val="nil"/>
              <w:bottom w:val="nil"/>
              <w:right w:val="nil"/>
            </w:tcBorders>
            <w:shd w:val="clear" w:color="auto" w:fill="auto"/>
            <w:noWrap/>
            <w:vAlign w:val="center"/>
            <w:hideMark/>
          </w:tcPr>
          <w:p w14:paraId="18E0A567"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c>
          <w:tcPr>
            <w:tcW w:w="596" w:type="dxa"/>
            <w:tcBorders>
              <w:top w:val="nil"/>
              <w:left w:val="nil"/>
              <w:bottom w:val="nil"/>
              <w:right w:val="nil"/>
            </w:tcBorders>
            <w:shd w:val="clear" w:color="auto" w:fill="auto"/>
            <w:noWrap/>
            <w:vAlign w:val="center"/>
            <w:hideMark/>
          </w:tcPr>
          <w:p w14:paraId="7D362A4B"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c>
          <w:tcPr>
            <w:tcW w:w="636" w:type="dxa"/>
            <w:tcBorders>
              <w:top w:val="nil"/>
              <w:left w:val="nil"/>
              <w:bottom w:val="nil"/>
              <w:right w:val="nil"/>
            </w:tcBorders>
            <w:shd w:val="clear" w:color="auto" w:fill="auto"/>
            <w:noWrap/>
            <w:vAlign w:val="center"/>
            <w:hideMark/>
          </w:tcPr>
          <w:p w14:paraId="22018332"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c>
          <w:tcPr>
            <w:tcW w:w="776" w:type="dxa"/>
            <w:tcBorders>
              <w:top w:val="nil"/>
              <w:left w:val="nil"/>
              <w:bottom w:val="nil"/>
              <w:right w:val="nil"/>
            </w:tcBorders>
            <w:shd w:val="clear" w:color="auto" w:fill="auto"/>
            <w:noWrap/>
            <w:vAlign w:val="center"/>
            <w:hideMark/>
          </w:tcPr>
          <w:p w14:paraId="2F12EA0F"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c>
          <w:tcPr>
            <w:tcW w:w="588" w:type="dxa"/>
            <w:tcBorders>
              <w:top w:val="nil"/>
              <w:left w:val="nil"/>
              <w:bottom w:val="nil"/>
              <w:right w:val="nil"/>
            </w:tcBorders>
            <w:shd w:val="clear" w:color="auto" w:fill="auto"/>
            <w:noWrap/>
            <w:vAlign w:val="center"/>
            <w:hideMark/>
          </w:tcPr>
          <w:p w14:paraId="03AA1393"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c>
          <w:tcPr>
            <w:tcW w:w="580" w:type="dxa"/>
            <w:tcBorders>
              <w:top w:val="nil"/>
              <w:left w:val="nil"/>
              <w:bottom w:val="nil"/>
              <w:right w:val="single" w:sz="8" w:space="0" w:color="002060"/>
            </w:tcBorders>
            <w:shd w:val="clear" w:color="auto" w:fill="auto"/>
            <w:noWrap/>
            <w:vAlign w:val="center"/>
            <w:hideMark/>
          </w:tcPr>
          <w:p w14:paraId="2EBDA4E0"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c>
          <w:tcPr>
            <w:tcW w:w="880" w:type="dxa"/>
            <w:vMerge w:val="restart"/>
            <w:tcBorders>
              <w:top w:val="single" w:sz="8" w:space="0" w:color="FFFFFF"/>
              <w:left w:val="single" w:sz="8" w:space="0" w:color="002060"/>
              <w:bottom w:val="single" w:sz="8" w:space="0" w:color="002060"/>
              <w:right w:val="single" w:sz="8" w:space="0" w:color="002060"/>
            </w:tcBorders>
            <w:shd w:val="clear" w:color="000000" w:fill="002060"/>
            <w:noWrap/>
            <w:vAlign w:val="center"/>
            <w:hideMark/>
          </w:tcPr>
          <w:p w14:paraId="3C6B013D" w14:textId="77777777" w:rsidR="00AE564D" w:rsidRPr="00397875" w:rsidRDefault="00AE564D" w:rsidP="00E26D3C">
            <w:pPr>
              <w:spacing w:after="0" w:line="240" w:lineRule="auto"/>
              <w:jc w:val="center"/>
              <w:rPr>
                <w:rFonts w:eastAsia="Times New Roman" w:cstheme="minorHAnsi"/>
                <w:color w:val="FFFFFF"/>
                <w:sz w:val="18"/>
                <w:szCs w:val="18"/>
                <w:lang w:eastAsia="en-AU"/>
              </w:rPr>
            </w:pPr>
            <w:r w:rsidRPr="00397875">
              <w:rPr>
                <w:rFonts w:eastAsia="Times New Roman" w:cstheme="minorHAnsi"/>
                <w:color w:val="FFFFFF"/>
                <w:sz w:val="18"/>
                <w:szCs w:val="18"/>
                <w:lang w:eastAsia="en-AU"/>
              </w:rPr>
              <w:t>Winter</w:t>
            </w:r>
          </w:p>
        </w:tc>
        <w:tc>
          <w:tcPr>
            <w:tcW w:w="528" w:type="dxa"/>
            <w:tcBorders>
              <w:top w:val="nil"/>
              <w:left w:val="nil"/>
              <w:bottom w:val="nil"/>
              <w:right w:val="nil"/>
            </w:tcBorders>
            <w:shd w:val="clear" w:color="auto" w:fill="auto"/>
            <w:noWrap/>
            <w:vAlign w:val="center"/>
            <w:hideMark/>
          </w:tcPr>
          <w:p w14:paraId="701B4F2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w:t>
            </w:r>
          </w:p>
        </w:tc>
        <w:tc>
          <w:tcPr>
            <w:tcW w:w="596" w:type="dxa"/>
            <w:tcBorders>
              <w:top w:val="nil"/>
              <w:left w:val="nil"/>
              <w:bottom w:val="nil"/>
              <w:right w:val="nil"/>
            </w:tcBorders>
            <w:shd w:val="clear" w:color="auto" w:fill="auto"/>
            <w:noWrap/>
            <w:vAlign w:val="center"/>
            <w:hideMark/>
          </w:tcPr>
          <w:p w14:paraId="62B8B51B"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c>
          <w:tcPr>
            <w:tcW w:w="716" w:type="dxa"/>
            <w:tcBorders>
              <w:top w:val="nil"/>
              <w:left w:val="nil"/>
              <w:bottom w:val="nil"/>
              <w:right w:val="nil"/>
            </w:tcBorders>
            <w:shd w:val="clear" w:color="auto" w:fill="auto"/>
            <w:noWrap/>
            <w:vAlign w:val="center"/>
            <w:hideMark/>
          </w:tcPr>
          <w:p w14:paraId="6308A526"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c>
          <w:tcPr>
            <w:tcW w:w="556" w:type="dxa"/>
            <w:tcBorders>
              <w:top w:val="nil"/>
              <w:left w:val="nil"/>
              <w:bottom w:val="nil"/>
              <w:right w:val="nil"/>
            </w:tcBorders>
            <w:shd w:val="clear" w:color="auto" w:fill="auto"/>
            <w:noWrap/>
            <w:vAlign w:val="center"/>
            <w:hideMark/>
          </w:tcPr>
          <w:p w14:paraId="5DB48290"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c>
          <w:tcPr>
            <w:tcW w:w="596" w:type="dxa"/>
            <w:tcBorders>
              <w:top w:val="nil"/>
              <w:left w:val="nil"/>
              <w:bottom w:val="nil"/>
              <w:right w:val="nil"/>
            </w:tcBorders>
            <w:shd w:val="clear" w:color="auto" w:fill="auto"/>
            <w:noWrap/>
            <w:vAlign w:val="center"/>
            <w:hideMark/>
          </w:tcPr>
          <w:p w14:paraId="7101AD65"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c>
          <w:tcPr>
            <w:tcW w:w="796" w:type="dxa"/>
            <w:tcBorders>
              <w:top w:val="nil"/>
              <w:left w:val="nil"/>
              <w:bottom w:val="nil"/>
              <w:right w:val="nil"/>
            </w:tcBorders>
            <w:shd w:val="clear" w:color="auto" w:fill="auto"/>
            <w:noWrap/>
            <w:vAlign w:val="center"/>
            <w:hideMark/>
          </w:tcPr>
          <w:p w14:paraId="6865E8C9"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c>
          <w:tcPr>
            <w:tcW w:w="528" w:type="dxa"/>
            <w:tcBorders>
              <w:top w:val="nil"/>
              <w:left w:val="nil"/>
              <w:bottom w:val="nil"/>
              <w:right w:val="nil"/>
            </w:tcBorders>
            <w:shd w:val="clear" w:color="auto" w:fill="auto"/>
            <w:noWrap/>
            <w:vAlign w:val="center"/>
            <w:hideMark/>
          </w:tcPr>
          <w:p w14:paraId="28A052D8"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c>
          <w:tcPr>
            <w:tcW w:w="540" w:type="dxa"/>
            <w:tcBorders>
              <w:top w:val="nil"/>
              <w:left w:val="nil"/>
              <w:bottom w:val="nil"/>
              <w:right w:val="single" w:sz="8" w:space="0" w:color="002060"/>
            </w:tcBorders>
            <w:shd w:val="clear" w:color="auto" w:fill="auto"/>
            <w:noWrap/>
            <w:vAlign w:val="center"/>
            <w:hideMark/>
          </w:tcPr>
          <w:p w14:paraId="2996EA8F" w14:textId="77777777" w:rsidR="00AE564D" w:rsidRPr="00397875" w:rsidRDefault="00AE564D" w:rsidP="00E26D3C">
            <w:pPr>
              <w:spacing w:after="0" w:line="240" w:lineRule="auto"/>
              <w:jc w:val="center"/>
              <w:rPr>
                <w:rFonts w:eastAsia="Times New Roman" w:cstheme="minorHAnsi"/>
                <w:color w:val="FF0000"/>
                <w:sz w:val="18"/>
                <w:szCs w:val="18"/>
                <w:lang w:eastAsia="en-AU"/>
              </w:rPr>
            </w:pPr>
            <w:r w:rsidRPr="00397875">
              <w:rPr>
                <w:rFonts w:eastAsia="Times New Roman" w:cstheme="minorHAnsi"/>
                <w:color w:val="FF0000"/>
                <w:sz w:val="18"/>
                <w:szCs w:val="18"/>
                <w:lang w:eastAsia="en-AU"/>
              </w:rPr>
              <w:t> </w:t>
            </w:r>
          </w:p>
        </w:tc>
      </w:tr>
      <w:tr w:rsidR="00AE564D" w:rsidRPr="00397875" w14:paraId="6CA1283D" w14:textId="77777777" w:rsidTr="00397875">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30D99090"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258BAEDE"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7AC04A3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3DEC42C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69</w:t>
            </w:r>
          </w:p>
        </w:tc>
        <w:tc>
          <w:tcPr>
            <w:tcW w:w="656" w:type="dxa"/>
            <w:tcBorders>
              <w:top w:val="nil"/>
              <w:left w:val="nil"/>
              <w:bottom w:val="nil"/>
              <w:right w:val="nil"/>
            </w:tcBorders>
            <w:shd w:val="clear" w:color="auto" w:fill="auto"/>
            <w:noWrap/>
            <w:vAlign w:val="center"/>
            <w:hideMark/>
          </w:tcPr>
          <w:p w14:paraId="2BCB811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2.06</w:t>
            </w:r>
          </w:p>
        </w:tc>
        <w:tc>
          <w:tcPr>
            <w:tcW w:w="776" w:type="dxa"/>
            <w:tcBorders>
              <w:top w:val="nil"/>
              <w:left w:val="nil"/>
              <w:bottom w:val="nil"/>
              <w:right w:val="nil"/>
            </w:tcBorders>
            <w:shd w:val="clear" w:color="auto" w:fill="auto"/>
            <w:noWrap/>
            <w:vAlign w:val="center"/>
            <w:hideMark/>
          </w:tcPr>
          <w:p w14:paraId="39237E2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2.14</w:t>
            </w:r>
          </w:p>
        </w:tc>
        <w:tc>
          <w:tcPr>
            <w:tcW w:w="596" w:type="dxa"/>
            <w:tcBorders>
              <w:top w:val="nil"/>
              <w:left w:val="nil"/>
              <w:bottom w:val="nil"/>
              <w:right w:val="nil"/>
            </w:tcBorders>
            <w:shd w:val="clear" w:color="auto" w:fill="auto"/>
            <w:noWrap/>
            <w:vAlign w:val="center"/>
            <w:hideMark/>
          </w:tcPr>
          <w:p w14:paraId="21AABC1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0.34</w:t>
            </w:r>
          </w:p>
        </w:tc>
        <w:tc>
          <w:tcPr>
            <w:tcW w:w="636" w:type="dxa"/>
            <w:tcBorders>
              <w:top w:val="nil"/>
              <w:left w:val="nil"/>
              <w:bottom w:val="nil"/>
              <w:right w:val="nil"/>
            </w:tcBorders>
            <w:shd w:val="clear" w:color="auto" w:fill="auto"/>
            <w:noWrap/>
            <w:vAlign w:val="center"/>
            <w:hideMark/>
          </w:tcPr>
          <w:p w14:paraId="2DFE7AC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12.8</w:t>
            </w:r>
          </w:p>
        </w:tc>
        <w:tc>
          <w:tcPr>
            <w:tcW w:w="776" w:type="dxa"/>
            <w:tcBorders>
              <w:top w:val="nil"/>
              <w:left w:val="nil"/>
              <w:bottom w:val="nil"/>
              <w:right w:val="nil"/>
            </w:tcBorders>
            <w:shd w:val="clear" w:color="auto" w:fill="auto"/>
            <w:noWrap/>
            <w:vAlign w:val="center"/>
            <w:hideMark/>
          </w:tcPr>
          <w:p w14:paraId="16B7DAA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1.33</w:t>
            </w:r>
          </w:p>
        </w:tc>
        <w:tc>
          <w:tcPr>
            <w:tcW w:w="588" w:type="dxa"/>
            <w:tcBorders>
              <w:top w:val="nil"/>
              <w:left w:val="nil"/>
              <w:bottom w:val="nil"/>
              <w:right w:val="nil"/>
            </w:tcBorders>
            <w:shd w:val="clear" w:color="auto" w:fill="auto"/>
            <w:noWrap/>
            <w:vAlign w:val="center"/>
            <w:hideMark/>
          </w:tcPr>
          <w:p w14:paraId="264C671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1.01</w:t>
            </w:r>
          </w:p>
        </w:tc>
        <w:tc>
          <w:tcPr>
            <w:tcW w:w="580" w:type="dxa"/>
            <w:tcBorders>
              <w:top w:val="nil"/>
              <w:left w:val="nil"/>
              <w:bottom w:val="nil"/>
              <w:right w:val="single" w:sz="8" w:space="0" w:color="002060"/>
            </w:tcBorders>
            <w:shd w:val="clear" w:color="auto" w:fill="auto"/>
            <w:noWrap/>
            <w:vAlign w:val="center"/>
            <w:hideMark/>
          </w:tcPr>
          <w:p w14:paraId="5C1C24E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2.23</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3EC00D81"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68D2DD0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13</w:t>
            </w:r>
          </w:p>
        </w:tc>
        <w:tc>
          <w:tcPr>
            <w:tcW w:w="596" w:type="dxa"/>
            <w:tcBorders>
              <w:top w:val="nil"/>
              <w:left w:val="nil"/>
              <w:bottom w:val="nil"/>
              <w:right w:val="nil"/>
            </w:tcBorders>
            <w:shd w:val="clear" w:color="auto" w:fill="auto"/>
            <w:noWrap/>
            <w:vAlign w:val="center"/>
            <w:hideMark/>
          </w:tcPr>
          <w:p w14:paraId="7C77886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2.47</w:t>
            </w:r>
          </w:p>
        </w:tc>
        <w:tc>
          <w:tcPr>
            <w:tcW w:w="716" w:type="dxa"/>
            <w:tcBorders>
              <w:top w:val="nil"/>
              <w:left w:val="nil"/>
              <w:bottom w:val="nil"/>
              <w:right w:val="nil"/>
            </w:tcBorders>
            <w:shd w:val="clear" w:color="auto" w:fill="auto"/>
            <w:noWrap/>
            <w:vAlign w:val="center"/>
            <w:hideMark/>
          </w:tcPr>
          <w:p w14:paraId="10B9A0B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1.48</w:t>
            </w:r>
          </w:p>
        </w:tc>
        <w:tc>
          <w:tcPr>
            <w:tcW w:w="556" w:type="dxa"/>
            <w:tcBorders>
              <w:top w:val="nil"/>
              <w:left w:val="nil"/>
              <w:bottom w:val="nil"/>
              <w:right w:val="nil"/>
            </w:tcBorders>
            <w:shd w:val="clear" w:color="auto" w:fill="auto"/>
            <w:noWrap/>
            <w:vAlign w:val="center"/>
            <w:hideMark/>
          </w:tcPr>
          <w:p w14:paraId="3C57E56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0.5</w:t>
            </w:r>
          </w:p>
        </w:tc>
        <w:tc>
          <w:tcPr>
            <w:tcW w:w="596" w:type="dxa"/>
            <w:tcBorders>
              <w:top w:val="nil"/>
              <w:left w:val="nil"/>
              <w:bottom w:val="nil"/>
              <w:right w:val="nil"/>
            </w:tcBorders>
            <w:shd w:val="clear" w:color="auto" w:fill="auto"/>
            <w:noWrap/>
            <w:vAlign w:val="center"/>
            <w:hideMark/>
          </w:tcPr>
          <w:p w14:paraId="13084E2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5.06</w:t>
            </w:r>
          </w:p>
        </w:tc>
        <w:tc>
          <w:tcPr>
            <w:tcW w:w="796" w:type="dxa"/>
            <w:tcBorders>
              <w:top w:val="nil"/>
              <w:left w:val="nil"/>
              <w:bottom w:val="nil"/>
              <w:right w:val="nil"/>
            </w:tcBorders>
            <w:shd w:val="clear" w:color="auto" w:fill="auto"/>
            <w:noWrap/>
            <w:vAlign w:val="center"/>
            <w:hideMark/>
          </w:tcPr>
          <w:p w14:paraId="40A9F3D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2.48</w:t>
            </w:r>
          </w:p>
        </w:tc>
        <w:tc>
          <w:tcPr>
            <w:tcW w:w="528" w:type="dxa"/>
            <w:tcBorders>
              <w:top w:val="nil"/>
              <w:left w:val="nil"/>
              <w:bottom w:val="nil"/>
              <w:right w:val="nil"/>
            </w:tcBorders>
            <w:shd w:val="clear" w:color="auto" w:fill="auto"/>
            <w:noWrap/>
            <w:vAlign w:val="center"/>
            <w:hideMark/>
          </w:tcPr>
          <w:p w14:paraId="52FBA31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1.22</w:t>
            </w:r>
          </w:p>
        </w:tc>
        <w:tc>
          <w:tcPr>
            <w:tcW w:w="540" w:type="dxa"/>
            <w:tcBorders>
              <w:top w:val="nil"/>
              <w:left w:val="nil"/>
              <w:bottom w:val="nil"/>
              <w:right w:val="single" w:sz="8" w:space="0" w:color="002060"/>
            </w:tcBorders>
            <w:shd w:val="clear" w:color="auto" w:fill="auto"/>
            <w:noWrap/>
            <w:vAlign w:val="center"/>
            <w:hideMark/>
          </w:tcPr>
          <w:p w14:paraId="1AACA77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3.37</w:t>
            </w:r>
          </w:p>
        </w:tc>
      </w:tr>
      <w:tr w:rsidR="00AE564D" w:rsidRPr="00397875" w14:paraId="7C7CDBE8" w14:textId="77777777" w:rsidTr="00397875">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7D91AC36"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58887DCA"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074E971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6D05EAC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14</w:t>
            </w:r>
          </w:p>
        </w:tc>
        <w:tc>
          <w:tcPr>
            <w:tcW w:w="656" w:type="dxa"/>
            <w:tcBorders>
              <w:top w:val="nil"/>
              <w:left w:val="nil"/>
              <w:bottom w:val="nil"/>
              <w:right w:val="nil"/>
            </w:tcBorders>
            <w:shd w:val="clear" w:color="auto" w:fill="auto"/>
            <w:noWrap/>
            <w:vAlign w:val="center"/>
            <w:hideMark/>
          </w:tcPr>
          <w:p w14:paraId="170C7CF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1.32</w:t>
            </w:r>
          </w:p>
        </w:tc>
        <w:tc>
          <w:tcPr>
            <w:tcW w:w="776" w:type="dxa"/>
            <w:tcBorders>
              <w:top w:val="nil"/>
              <w:left w:val="nil"/>
              <w:bottom w:val="nil"/>
              <w:right w:val="nil"/>
            </w:tcBorders>
            <w:shd w:val="clear" w:color="auto" w:fill="auto"/>
            <w:noWrap/>
            <w:vAlign w:val="center"/>
            <w:hideMark/>
          </w:tcPr>
          <w:p w14:paraId="552374E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1.37</w:t>
            </w:r>
          </w:p>
        </w:tc>
        <w:tc>
          <w:tcPr>
            <w:tcW w:w="596" w:type="dxa"/>
            <w:tcBorders>
              <w:top w:val="nil"/>
              <w:left w:val="nil"/>
              <w:bottom w:val="nil"/>
              <w:right w:val="nil"/>
            </w:tcBorders>
            <w:shd w:val="clear" w:color="auto" w:fill="auto"/>
            <w:noWrap/>
            <w:vAlign w:val="center"/>
            <w:hideMark/>
          </w:tcPr>
          <w:p w14:paraId="4C49E72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0.47</w:t>
            </w:r>
          </w:p>
        </w:tc>
        <w:tc>
          <w:tcPr>
            <w:tcW w:w="636" w:type="dxa"/>
            <w:tcBorders>
              <w:top w:val="nil"/>
              <w:left w:val="nil"/>
              <w:bottom w:val="nil"/>
              <w:right w:val="nil"/>
            </w:tcBorders>
            <w:shd w:val="clear" w:color="auto" w:fill="auto"/>
            <w:noWrap/>
            <w:vAlign w:val="center"/>
            <w:hideMark/>
          </w:tcPr>
          <w:p w14:paraId="4A36172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5.82</w:t>
            </w:r>
          </w:p>
        </w:tc>
        <w:tc>
          <w:tcPr>
            <w:tcW w:w="776" w:type="dxa"/>
            <w:tcBorders>
              <w:top w:val="nil"/>
              <w:left w:val="nil"/>
              <w:bottom w:val="nil"/>
              <w:right w:val="nil"/>
            </w:tcBorders>
            <w:shd w:val="clear" w:color="auto" w:fill="auto"/>
            <w:noWrap/>
            <w:vAlign w:val="center"/>
            <w:hideMark/>
          </w:tcPr>
          <w:p w14:paraId="1822949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0.87</w:t>
            </w:r>
          </w:p>
        </w:tc>
        <w:tc>
          <w:tcPr>
            <w:tcW w:w="588" w:type="dxa"/>
            <w:tcBorders>
              <w:top w:val="nil"/>
              <w:left w:val="nil"/>
              <w:bottom w:val="nil"/>
              <w:right w:val="nil"/>
            </w:tcBorders>
            <w:shd w:val="clear" w:color="auto" w:fill="auto"/>
            <w:noWrap/>
            <w:vAlign w:val="center"/>
            <w:hideMark/>
          </w:tcPr>
          <w:p w14:paraId="01AB873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0.59</w:t>
            </w:r>
          </w:p>
        </w:tc>
        <w:tc>
          <w:tcPr>
            <w:tcW w:w="580" w:type="dxa"/>
            <w:tcBorders>
              <w:top w:val="nil"/>
              <w:left w:val="nil"/>
              <w:bottom w:val="nil"/>
              <w:right w:val="single" w:sz="8" w:space="0" w:color="002060"/>
            </w:tcBorders>
            <w:shd w:val="clear" w:color="auto" w:fill="auto"/>
            <w:noWrap/>
            <w:vAlign w:val="center"/>
            <w:hideMark/>
          </w:tcPr>
          <w:p w14:paraId="2C6F872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1.50</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4DA096CC"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24C5E05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w:t>
            </w:r>
          </w:p>
        </w:tc>
        <w:tc>
          <w:tcPr>
            <w:tcW w:w="596" w:type="dxa"/>
            <w:tcBorders>
              <w:top w:val="nil"/>
              <w:left w:val="nil"/>
              <w:bottom w:val="nil"/>
              <w:right w:val="nil"/>
            </w:tcBorders>
            <w:shd w:val="clear" w:color="auto" w:fill="auto"/>
            <w:noWrap/>
            <w:vAlign w:val="center"/>
            <w:hideMark/>
          </w:tcPr>
          <w:p w14:paraId="563CF18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2.29</w:t>
            </w:r>
          </w:p>
        </w:tc>
        <w:tc>
          <w:tcPr>
            <w:tcW w:w="716" w:type="dxa"/>
            <w:tcBorders>
              <w:top w:val="nil"/>
              <w:left w:val="nil"/>
              <w:bottom w:val="nil"/>
              <w:right w:val="nil"/>
            </w:tcBorders>
            <w:shd w:val="clear" w:color="auto" w:fill="auto"/>
            <w:noWrap/>
            <w:vAlign w:val="center"/>
            <w:hideMark/>
          </w:tcPr>
          <w:p w14:paraId="7B09B1A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1.05</w:t>
            </w:r>
          </w:p>
        </w:tc>
        <w:tc>
          <w:tcPr>
            <w:tcW w:w="556" w:type="dxa"/>
            <w:tcBorders>
              <w:top w:val="nil"/>
              <w:left w:val="nil"/>
              <w:bottom w:val="nil"/>
              <w:right w:val="nil"/>
            </w:tcBorders>
            <w:shd w:val="clear" w:color="auto" w:fill="auto"/>
            <w:noWrap/>
            <w:vAlign w:val="center"/>
            <w:hideMark/>
          </w:tcPr>
          <w:p w14:paraId="3DF18B6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0.7</w:t>
            </w:r>
          </w:p>
        </w:tc>
        <w:tc>
          <w:tcPr>
            <w:tcW w:w="596" w:type="dxa"/>
            <w:tcBorders>
              <w:top w:val="nil"/>
              <w:left w:val="nil"/>
              <w:bottom w:val="nil"/>
              <w:right w:val="nil"/>
            </w:tcBorders>
            <w:shd w:val="clear" w:color="auto" w:fill="auto"/>
            <w:noWrap/>
            <w:vAlign w:val="center"/>
            <w:hideMark/>
          </w:tcPr>
          <w:p w14:paraId="767D63D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4.45</w:t>
            </w:r>
          </w:p>
        </w:tc>
        <w:tc>
          <w:tcPr>
            <w:tcW w:w="796" w:type="dxa"/>
            <w:tcBorders>
              <w:top w:val="nil"/>
              <w:left w:val="nil"/>
              <w:bottom w:val="nil"/>
              <w:right w:val="nil"/>
            </w:tcBorders>
            <w:shd w:val="clear" w:color="auto" w:fill="auto"/>
            <w:noWrap/>
            <w:vAlign w:val="center"/>
            <w:hideMark/>
          </w:tcPr>
          <w:p w14:paraId="436C8AF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2.00</w:t>
            </w:r>
          </w:p>
        </w:tc>
        <w:tc>
          <w:tcPr>
            <w:tcW w:w="528" w:type="dxa"/>
            <w:tcBorders>
              <w:top w:val="nil"/>
              <w:left w:val="nil"/>
              <w:bottom w:val="nil"/>
              <w:right w:val="nil"/>
            </w:tcBorders>
            <w:shd w:val="clear" w:color="auto" w:fill="auto"/>
            <w:noWrap/>
            <w:vAlign w:val="center"/>
            <w:hideMark/>
          </w:tcPr>
          <w:p w14:paraId="361B3D5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1.64</w:t>
            </w:r>
          </w:p>
        </w:tc>
        <w:tc>
          <w:tcPr>
            <w:tcW w:w="540" w:type="dxa"/>
            <w:tcBorders>
              <w:top w:val="nil"/>
              <w:left w:val="nil"/>
              <w:bottom w:val="nil"/>
              <w:right w:val="single" w:sz="8" w:space="0" w:color="002060"/>
            </w:tcBorders>
            <w:shd w:val="clear" w:color="auto" w:fill="auto"/>
            <w:noWrap/>
            <w:vAlign w:val="center"/>
            <w:hideMark/>
          </w:tcPr>
          <w:p w14:paraId="4E0DA4E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2.80</w:t>
            </w:r>
          </w:p>
        </w:tc>
      </w:tr>
      <w:tr w:rsidR="00AE564D" w:rsidRPr="00397875" w14:paraId="1B30AFD6" w14:textId="77777777" w:rsidTr="00397875">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5D0D3BE1"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5FBF1674"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40CD59A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Med Fresh</w:t>
            </w:r>
          </w:p>
        </w:tc>
        <w:tc>
          <w:tcPr>
            <w:tcW w:w="536" w:type="dxa"/>
            <w:tcBorders>
              <w:top w:val="nil"/>
              <w:left w:val="nil"/>
              <w:bottom w:val="nil"/>
              <w:right w:val="nil"/>
            </w:tcBorders>
            <w:shd w:val="clear" w:color="auto" w:fill="auto"/>
            <w:noWrap/>
            <w:vAlign w:val="center"/>
            <w:hideMark/>
          </w:tcPr>
          <w:p w14:paraId="20F60D2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18</w:t>
            </w:r>
          </w:p>
        </w:tc>
        <w:tc>
          <w:tcPr>
            <w:tcW w:w="656" w:type="dxa"/>
            <w:tcBorders>
              <w:top w:val="nil"/>
              <w:left w:val="nil"/>
              <w:bottom w:val="nil"/>
              <w:right w:val="nil"/>
            </w:tcBorders>
            <w:shd w:val="clear" w:color="auto" w:fill="auto"/>
            <w:noWrap/>
            <w:vAlign w:val="center"/>
            <w:hideMark/>
          </w:tcPr>
          <w:p w14:paraId="1A6359B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1.13</w:t>
            </w:r>
          </w:p>
        </w:tc>
        <w:tc>
          <w:tcPr>
            <w:tcW w:w="776" w:type="dxa"/>
            <w:tcBorders>
              <w:top w:val="nil"/>
              <w:left w:val="nil"/>
              <w:bottom w:val="nil"/>
              <w:right w:val="nil"/>
            </w:tcBorders>
            <w:shd w:val="clear" w:color="auto" w:fill="auto"/>
            <w:noWrap/>
            <w:vAlign w:val="center"/>
            <w:hideMark/>
          </w:tcPr>
          <w:p w14:paraId="7074FB4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0.61</w:t>
            </w:r>
          </w:p>
        </w:tc>
        <w:tc>
          <w:tcPr>
            <w:tcW w:w="596" w:type="dxa"/>
            <w:tcBorders>
              <w:top w:val="nil"/>
              <w:left w:val="nil"/>
              <w:bottom w:val="nil"/>
              <w:right w:val="nil"/>
            </w:tcBorders>
            <w:shd w:val="clear" w:color="auto" w:fill="auto"/>
            <w:noWrap/>
            <w:vAlign w:val="center"/>
            <w:hideMark/>
          </w:tcPr>
          <w:p w14:paraId="52D87EB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0.28</w:t>
            </w:r>
          </w:p>
        </w:tc>
        <w:tc>
          <w:tcPr>
            <w:tcW w:w="636" w:type="dxa"/>
            <w:tcBorders>
              <w:top w:val="nil"/>
              <w:left w:val="nil"/>
              <w:bottom w:val="nil"/>
              <w:right w:val="nil"/>
            </w:tcBorders>
            <w:shd w:val="clear" w:color="auto" w:fill="auto"/>
            <w:noWrap/>
            <w:vAlign w:val="center"/>
            <w:hideMark/>
          </w:tcPr>
          <w:p w14:paraId="568183F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2.40</w:t>
            </w:r>
          </w:p>
        </w:tc>
        <w:tc>
          <w:tcPr>
            <w:tcW w:w="776" w:type="dxa"/>
            <w:tcBorders>
              <w:top w:val="nil"/>
              <w:left w:val="nil"/>
              <w:bottom w:val="nil"/>
              <w:right w:val="nil"/>
            </w:tcBorders>
            <w:shd w:val="clear" w:color="auto" w:fill="auto"/>
            <w:noWrap/>
            <w:vAlign w:val="center"/>
            <w:hideMark/>
          </w:tcPr>
          <w:p w14:paraId="41AFE2D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1.03</w:t>
            </w:r>
          </w:p>
        </w:tc>
        <w:tc>
          <w:tcPr>
            <w:tcW w:w="588" w:type="dxa"/>
            <w:tcBorders>
              <w:top w:val="nil"/>
              <w:left w:val="nil"/>
              <w:bottom w:val="nil"/>
              <w:right w:val="nil"/>
            </w:tcBorders>
            <w:shd w:val="clear" w:color="auto" w:fill="auto"/>
            <w:noWrap/>
            <w:vAlign w:val="center"/>
            <w:hideMark/>
          </w:tcPr>
          <w:p w14:paraId="139DF24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0.65</w:t>
            </w:r>
          </w:p>
        </w:tc>
        <w:tc>
          <w:tcPr>
            <w:tcW w:w="580" w:type="dxa"/>
            <w:tcBorders>
              <w:top w:val="nil"/>
              <w:left w:val="nil"/>
              <w:bottom w:val="nil"/>
              <w:right w:val="single" w:sz="8" w:space="0" w:color="002060"/>
            </w:tcBorders>
            <w:shd w:val="clear" w:color="auto" w:fill="auto"/>
            <w:noWrap/>
            <w:vAlign w:val="center"/>
            <w:hideMark/>
          </w:tcPr>
          <w:p w14:paraId="2D63582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1.70</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573A3812"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6F85EB3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8</w:t>
            </w:r>
          </w:p>
        </w:tc>
        <w:tc>
          <w:tcPr>
            <w:tcW w:w="596" w:type="dxa"/>
            <w:tcBorders>
              <w:top w:val="nil"/>
              <w:left w:val="nil"/>
              <w:bottom w:val="nil"/>
              <w:right w:val="nil"/>
            </w:tcBorders>
            <w:shd w:val="clear" w:color="auto" w:fill="auto"/>
            <w:noWrap/>
            <w:vAlign w:val="center"/>
            <w:hideMark/>
          </w:tcPr>
          <w:p w14:paraId="7F9CC32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1.68</w:t>
            </w:r>
          </w:p>
        </w:tc>
        <w:tc>
          <w:tcPr>
            <w:tcW w:w="716" w:type="dxa"/>
            <w:tcBorders>
              <w:top w:val="nil"/>
              <w:left w:val="nil"/>
              <w:bottom w:val="nil"/>
              <w:right w:val="nil"/>
            </w:tcBorders>
            <w:shd w:val="clear" w:color="auto" w:fill="auto"/>
            <w:noWrap/>
            <w:vAlign w:val="center"/>
            <w:hideMark/>
          </w:tcPr>
          <w:p w14:paraId="3BF71E2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1.15</w:t>
            </w:r>
          </w:p>
        </w:tc>
        <w:tc>
          <w:tcPr>
            <w:tcW w:w="556" w:type="dxa"/>
            <w:tcBorders>
              <w:top w:val="nil"/>
              <w:left w:val="nil"/>
              <w:bottom w:val="nil"/>
              <w:right w:val="nil"/>
            </w:tcBorders>
            <w:shd w:val="clear" w:color="auto" w:fill="auto"/>
            <w:noWrap/>
            <w:vAlign w:val="center"/>
            <w:hideMark/>
          </w:tcPr>
          <w:p w14:paraId="124CDBE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0.79</w:t>
            </w:r>
          </w:p>
        </w:tc>
        <w:tc>
          <w:tcPr>
            <w:tcW w:w="596" w:type="dxa"/>
            <w:tcBorders>
              <w:top w:val="nil"/>
              <w:left w:val="nil"/>
              <w:bottom w:val="nil"/>
              <w:right w:val="nil"/>
            </w:tcBorders>
            <w:shd w:val="clear" w:color="auto" w:fill="auto"/>
            <w:noWrap/>
            <w:vAlign w:val="center"/>
            <w:hideMark/>
          </w:tcPr>
          <w:p w14:paraId="299CA13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4.04</w:t>
            </w:r>
          </w:p>
        </w:tc>
        <w:tc>
          <w:tcPr>
            <w:tcW w:w="796" w:type="dxa"/>
            <w:tcBorders>
              <w:top w:val="nil"/>
              <w:left w:val="nil"/>
              <w:bottom w:val="nil"/>
              <w:right w:val="nil"/>
            </w:tcBorders>
            <w:shd w:val="clear" w:color="auto" w:fill="auto"/>
            <w:noWrap/>
            <w:vAlign w:val="center"/>
            <w:hideMark/>
          </w:tcPr>
          <w:p w14:paraId="78E2216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1.29</w:t>
            </w:r>
          </w:p>
        </w:tc>
        <w:tc>
          <w:tcPr>
            <w:tcW w:w="528" w:type="dxa"/>
            <w:tcBorders>
              <w:top w:val="nil"/>
              <w:left w:val="nil"/>
              <w:bottom w:val="nil"/>
              <w:right w:val="nil"/>
            </w:tcBorders>
            <w:shd w:val="clear" w:color="auto" w:fill="auto"/>
            <w:noWrap/>
            <w:vAlign w:val="center"/>
            <w:hideMark/>
          </w:tcPr>
          <w:p w14:paraId="16279B5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0.82</w:t>
            </w:r>
          </w:p>
        </w:tc>
        <w:tc>
          <w:tcPr>
            <w:tcW w:w="540" w:type="dxa"/>
            <w:tcBorders>
              <w:top w:val="nil"/>
              <w:left w:val="nil"/>
              <w:bottom w:val="nil"/>
              <w:right w:val="single" w:sz="8" w:space="0" w:color="002060"/>
            </w:tcBorders>
            <w:shd w:val="clear" w:color="auto" w:fill="auto"/>
            <w:noWrap/>
            <w:vAlign w:val="center"/>
            <w:hideMark/>
          </w:tcPr>
          <w:p w14:paraId="087F6AC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2.41</w:t>
            </w:r>
          </w:p>
        </w:tc>
      </w:tr>
      <w:tr w:rsidR="00AE564D" w:rsidRPr="00397875" w14:paraId="142B03CB" w14:textId="77777777" w:rsidTr="00397875">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35D66029"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7C33E04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McCoy's Bridge</w:t>
            </w:r>
          </w:p>
        </w:tc>
        <w:tc>
          <w:tcPr>
            <w:tcW w:w="1008" w:type="dxa"/>
            <w:tcBorders>
              <w:top w:val="single" w:sz="8" w:space="0" w:color="002060"/>
              <w:left w:val="nil"/>
              <w:bottom w:val="nil"/>
              <w:right w:val="nil"/>
            </w:tcBorders>
            <w:shd w:val="clear" w:color="auto" w:fill="auto"/>
            <w:noWrap/>
            <w:vAlign w:val="center"/>
            <w:hideMark/>
          </w:tcPr>
          <w:p w14:paraId="6D31014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Very Low</w:t>
            </w:r>
          </w:p>
        </w:tc>
        <w:tc>
          <w:tcPr>
            <w:tcW w:w="536" w:type="dxa"/>
            <w:tcBorders>
              <w:top w:val="single" w:sz="8" w:space="0" w:color="002060"/>
              <w:left w:val="nil"/>
              <w:bottom w:val="nil"/>
              <w:right w:val="nil"/>
            </w:tcBorders>
            <w:shd w:val="clear" w:color="auto" w:fill="auto"/>
            <w:noWrap/>
            <w:vAlign w:val="center"/>
            <w:hideMark/>
          </w:tcPr>
          <w:p w14:paraId="0C09EA4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100</w:t>
            </w:r>
          </w:p>
        </w:tc>
        <w:tc>
          <w:tcPr>
            <w:tcW w:w="656" w:type="dxa"/>
            <w:tcBorders>
              <w:top w:val="single" w:sz="8" w:space="0" w:color="002060"/>
              <w:left w:val="nil"/>
              <w:bottom w:val="nil"/>
              <w:right w:val="nil"/>
            </w:tcBorders>
            <w:shd w:val="clear" w:color="auto" w:fill="auto"/>
            <w:noWrap/>
            <w:vAlign w:val="center"/>
            <w:hideMark/>
          </w:tcPr>
          <w:p w14:paraId="736CE97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2.93</w:t>
            </w:r>
          </w:p>
        </w:tc>
        <w:tc>
          <w:tcPr>
            <w:tcW w:w="776" w:type="dxa"/>
            <w:tcBorders>
              <w:top w:val="single" w:sz="8" w:space="0" w:color="002060"/>
              <w:left w:val="nil"/>
              <w:bottom w:val="nil"/>
              <w:right w:val="nil"/>
            </w:tcBorders>
            <w:shd w:val="clear" w:color="auto" w:fill="auto"/>
            <w:noWrap/>
            <w:vAlign w:val="center"/>
            <w:hideMark/>
          </w:tcPr>
          <w:p w14:paraId="3445BEB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1.33</w:t>
            </w:r>
          </w:p>
        </w:tc>
        <w:tc>
          <w:tcPr>
            <w:tcW w:w="596" w:type="dxa"/>
            <w:tcBorders>
              <w:top w:val="single" w:sz="8" w:space="0" w:color="002060"/>
              <w:left w:val="nil"/>
              <w:bottom w:val="nil"/>
              <w:right w:val="nil"/>
            </w:tcBorders>
            <w:shd w:val="clear" w:color="auto" w:fill="auto"/>
            <w:noWrap/>
            <w:vAlign w:val="center"/>
            <w:hideMark/>
          </w:tcPr>
          <w:p w14:paraId="72B1705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0.9</w:t>
            </w:r>
          </w:p>
        </w:tc>
        <w:tc>
          <w:tcPr>
            <w:tcW w:w="636" w:type="dxa"/>
            <w:tcBorders>
              <w:top w:val="single" w:sz="8" w:space="0" w:color="002060"/>
              <w:left w:val="nil"/>
              <w:bottom w:val="nil"/>
              <w:right w:val="nil"/>
            </w:tcBorders>
            <w:shd w:val="clear" w:color="auto" w:fill="auto"/>
            <w:noWrap/>
            <w:vAlign w:val="center"/>
            <w:hideMark/>
          </w:tcPr>
          <w:p w14:paraId="1C2F332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6.69</w:t>
            </w:r>
          </w:p>
        </w:tc>
        <w:tc>
          <w:tcPr>
            <w:tcW w:w="776" w:type="dxa"/>
            <w:tcBorders>
              <w:top w:val="single" w:sz="8" w:space="0" w:color="002060"/>
              <w:left w:val="nil"/>
              <w:bottom w:val="nil"/>
              <w:right w:val="nil"/>
            </w:tcBorders>
            <w:shd w:val="clear" w:color="auto" w:fill="auto"/>
            <w:noWrap/>
            <w:vAlign w:val="center"/>
            <w:hideMark/>
          </w:tcPr>
          <w:p w14:paraId="59CA946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2.85</w:t>
            </w:r>
          </w:p>
        </w:tc>
        <w:tc>
          <w:tcPr>
            <w:tcW w:w="588" w:type="dxa"/>
            <w:tcBorders>
              <w:top w:val="single" w:sz="8" w:space="0" w:color="002060"/>
              <w:left w:val="nil"/>
              <w:bottom w:val="nil"/>
              <w:right w:val="nil"/>
            </w:tcBorders>
            <w:shd w:val="clear" w:color="auto" w:fill="auto"/>
            <w:noWrap/>
            <w:vAlign w:val="center"/>
            <w:hideMark/>
          </w:tcPr>
          <w:p w14:paraId="4BACB59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1.76</w:t>
            </w:r>
          </w:p>
        </w:tc>
        <w:tc>
          <w:tcPr>
            <w:tcW w:w="580" w:type="dxa"/>
            <w:tcBorders>
              <w:top w:val="single" w:sz="8" w:space="0" w:color="002060"/>
              <w:left w:val="nil"/>
              <w:bottom w:val="nil"/>
              <w:right w:val="single" w:sz="8" w:space="0" w:color="002060"/>
            </w:tcBorders>
            <w:shd w:val="clear" w:color="auto" w:fill="auto"/>
            <w:noWrap/>
            <w:vAlign w:val="center"/>
            <w:hideMark/>
          </w:tcPr>
          <w:p w14:paraId="3BC06C0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3.87</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5FFE2003"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single" w:sz="8" w:space="0" w:color="002060"/>
              <w:left w:val="nil"/>
              <w:bottom w:val="nil"/>
              <w:right w:val="nil"/>
            </w:tcBorders>
            <w:shd w:val="clear" w:color="auto" w:fill="auto"/>
            <w:noWrap/>
            <w:vAlign w:val="center"/>
            <w:hideMark/>
          </w:tcPr>
          <w:p w14:paraId="331F058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w:t>
            </w:r>
          </w:p>
        </w:tc>
        <w:tc>
          <w:tcPr>
            <w:tcW w:w="596" w:type="dxa"/>
            <w:tcBorders>
              <w:top w:val="single" w:sz="8" w:space="0" w:color="002060"/>
              <w:left w:val="nil"/>
              <w:bottom w:val="nil"/>
              <w:right w:val="nil"/>
            </w:tcBorders>
            <w:shd w:val="clear" w:color="auto" w:fill="auto"/>
            <w:noWrap/>
            <w:vAlign w:val="center"/>
            <w:hideMark/>
          </w:tcPr>
          <w:p w14:paraId="48230DB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5.05</w:t>
            </w:r>
          </w:p>
        </w:tc>
        <w:tc>
          <w:tcPr>
            <w:tcW w:w="716" w:type="dxa"/>
            <w:tcBorders>
              <w:top w:val="single" w:sz="8" w:space="0" w:color="002060"/>
              <w:left w:val="nil"/>
              <w:bottom w:val="nil"/>
              <w:right w:val="nil"/>
            </w:tcBorders>
            <w:shd w:val="clear" w:color="auto" w:fill="auto"/>
            <w:noWrap/>
            <w:vAlign w:val="center"/>
            <w:hideMark/>
          </w:tcPr>
          <w:p w14:paraId="03D1F5E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4.02</w:t>
            </w:r>
          </w:p>
        </w:tc>
        <w:tc>
          <w:tcPr>
            <w:tcW w:w="556" w:type="dxa"/>
            <w:tcBorders>
              <w:top w:val="single" w:sz="8" w:space="0" w:color="002060"/>
              <w:left w:val="nil"/>
              <w:bottom w:val="nil"/>
              <w:right w:val="nil"/>
            </w:tcBorders>
            <w:shd w:val="clear" w:color="auto" w:fill="auto"/>
            <w:noWrap/>
            <w:vAlign w:val="center"/>
            <w:hideMark/>
          </w:tcPr>
          <w:p w14:paraId="28D28EC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w:t>
            </w:r>
          </w:p>
        </w:tc>
        <w:tc>
          <w:tcPr>
            <w:tcW w:w="596" w:type="dxa"/>
            <w:tcBorders>
              <w:top w:val="single" w:sz="8" w:space="0" w:color="002060"/>
              <w:left w:val="nil"/>
              <w:bottom w:val="nil"/>
              <w:right w:val="nil"/>
            </w:tcBorders>
            <w:shd w:val="clear" w:color="auto" w:fill="auto"/>
            <w:noWrap/>
            <w:vAlign w:val="center"/>
            <w:hideMark/>
          </w:tcPr>
          <w:p w14:paraId="30BB700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11.2</w:t>
            </w:r>
          </w:p>
        </w:tc>
        <w:tc>
          <w:tcPr>
            <w:tcW w:w="796" w:type="dxa"/>
            <w:tcBorders>
              <w:top w:val="single" w:sz="8" w:space="0" w:color="002060"/>
              <w:left w:val="nil"/>
              <w:bottom w:val="nil"/>
              <w:right w:val="nil"/>
            </w:tcBorders>
            <w:shd w:val="clear" w:color="auto" w:fill="auto"/>
            <w:noWrap/>
            <w:vAlign w:val="center"/>
            <w:hideMark/>
          </w:tcPr>
          <w:p w14:paraId="21C5CEA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3.54</w:t>
            </w:r>
          </w:p>
        </w:tc>
        <w:tc>
          <w:tcPr>
            <w:tcW w:w="528" w:type="dxa"/>
            <w:tcBorders>
              <w:top w:val="single" w:sz="8" w:space="0" w:color="002060"/>
              <w:left w:val="nil"/>
              <w:bottom w:val="nil"/>
              <w:right w:val="nil"/>
            </w:tcBorders>
            <w:shd w:val="clear" w:color="auto" w:fill="auto"/>
            <w:noWrap/>
            <w:vAlign w:val="center"/>
            <w:hideMark/>
          </w:tcPr>
          <w:p w14:paraId="3C95BE2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1.65</w:t>
            </w:r>
          </w:p>
        </w:tc>
        <w:tc>
          <w:tcPr>
            <w:tcW w:w="540" w:type="dxa"/>
            <w:tcBorders>
              <w:top w:val="single" w:sz="8" w:space="0" w:color="002060"/>
              <w:left w:val="nil"/>
              <w:bottom w:val="nil"/>
              <w:right w:val="single" w:sz="8" w:space="0" w:color="002060"/>
            </w:tcBorders>
            <w:shd w:val="clear" w:color="auto" w:fill="auto"/>
            <w:noWrap/>
            <w:vAlign w:val="center"/>
            <w:hideMark/>
          </w:tcPr>
          <w:p w14:paraId="57AC9DB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9.76</w:t>
            </w:r>
          </w:p>
        </w:tc>
      </w:tr>
      <w:tr w:rsidR="00AE564D" w:rsidRPr="00397875" w14:paraId="64437DB4" w14:textId="77777777" w:rsidTr="00397875">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513D50D2"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38526C78"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4D180BD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2E8A0AB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188</w:t>
            </w:r>
          </w:p>
        </w:tc>
        <w:tc>
          <w:tcPr>
            <w:tcW w:w="656" w:type="dxa"/>
            <w:tcBorders>
              <w:top w:val="nil"/>
              <w:left w:val="nil"/>
              <w:bottom w:val="nil"/>
              <w:right w:val="nil"/>
            </w:tcBorders>
            <w:shd w:val="clear" w:color="auto" w:fill="auto"/>
            <w:noWrap/>
            <w:vAlign w:val="center"/>
            <w:hideMark/>
          </w:tcPr>
          <w:p w14:paraId="00C92A3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2.80</w:t>
            </w:r>
          </w:p>
        </w:tc>
        <w:tc>
          <w:tcPr>
            <w:tcW w:w="776" w:type="dxa"/>
            <w:tcBorders>
              <w:top w:val="nil"/>
              <w:left w:val="nil"/>
              <w:bottom w:val="nil"/>
              <w:right w:val="nil"/>
            </w:tcBorders>
            <w:shd w:val="clear" w:color="auto" w:fill="auto"/>
            <w:noWrap/>
            <w:vAlign w:val="center"/>
            <w:hideMark/>
          </w:tcPr>
          <w:p w14:paraId="4065CB9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1.61</w:t>
            </w:r>
          </w:p>
        </w:tc>
        <w:tc>
          <w:tcPr>
            <w:tcW w:w="596" w:type="dxa"/>
            <w:tcBorders>
              <w:top w:val="nil"/>
              <w:left w:val="nil"/>
              <w:bottom w:val="nil"/>
              <w:right w:val="nil"/>
            </w:tcBorders>
            <w:shd w:val="clear" w:color="auto" w:fill="auto"/>
            <w:noWrap/>
            <w:vAlign w:val="center"/>
            <w:hideMark/>
          </w:tcPr>
          <w:p w14:paraId="1C3F1AA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0.34</w:t>
            </w:r>
          </w:p>
        </w:tc>
        <w:tc>
          <w:tcPr>
            <w:tcW w:w="636" w:type="dxa"/>
            <w:tcBorders>
              <w:top w:val="nil"/>
              <w:left w:val="nil"/>
              <w:bottom w:val="nil"/>
              <w:right w:val="nil"/>
            </w:tcBorders>
            <w:shd w:val="clear" w:color="auto" w:fill="auto"/>
            <w:noWrap/>
            <w:vAlign w:val="center"/>
            <w:hideMark/>
          </w:tcPr>
          <w:p w14:paraId="3BEE0E3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11.2</w:t>
            </w:r>
          </w:p>
        </w:tc>
        <w:tc>
          <w:tcPr>
            <w:tcW w:w="776" w:type="dxa"/>
            <w:tcBorders>
              <w:top w:val="nil"/>
              <w:left w:val="nil"/>
              <w:bottom w:val="nil"/>
              <w:right w:val="nil"/>
            </w:tcBorders>
            <w:shd w:val="clear" w:color="auto" w:fill="auto"/>
            <w:noWrap/>
            <w:vAlign w:val="center"/>
            <w:hideMark/>
          </w:tcPr>
          <w:p w14:paraId="36A56CB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2.46</w:t>
            </w:r>
          </w:p>
        </w:tc>
        <w:tc>
          <w:tcPr>
            <w:tcW w:w="588" w:type="dxa"/>
            <w:tcBorders>
              <w:top w:val="nil"/>
              <w:left w:val="nil"/>
              <w:bottom w:val="nil"/>
              <w:right w:val="nil"/>
            </w:tcBorders>
            <w:shd w:val="clear" w:color="auto" w:fill="auto"/>
            <w:noWrap/>
            <w:vAlign w:val="center"/>
            <w:hideMark/>
          </w:tcPr>
          <w:p w14:paraId="03487C8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1.79</w:t>
            </w:r>
          </w:p>
        </w:tc>
        <w:tc>
          <w:tcPr>
            <w:tcW w:w="580" w:type="dxa"/>
            <w:tcBorders>
              <w:top w:val="nil"/>
              <w:left w:val="nil"/>
              <w:bottom w:val="nil"/>
              <w:right w:val="single" w:sz="8" w:space="0" w:color="002060"/>
            </w:tcBorders>
            <w:shd w:val="clear" w:color="auto" w:fill="auto"/>
            <w:noWrap/>
            <w:vAlign w:val="center"/>
            <w:hideMark/>
          </w:tcPr>
          <w:p w14:paraId="0EDEFF6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3.37</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1BF98FAE"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5009CE9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100</w:t>
            </w:r>
          </w:p>
        </w:tc>
        <w:tc>
          <w:tcPr>
            <w:tcW w:w="596" w:type="dxa"/>
            <w:tcBorders>
              <w:top w:val="nil"/>
              <w:left w:val="nil"/>
              <w:bottom w:val="nil"/>
              <w:right w:val="nil"/>
            </w:tcBorders>
            <w:shd w:val="clear" w:color="auto" w:fill="auto"/>
            <w:noWrap/>
            <w:vAlign w:val="center"/>
            <w:hideMark/>
          </w:tcPr>
          <w:p w14:paraId="2347628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3.39</w:t>
            </w:r>
          </w:p>
        </w:tc>
        <w:tc>
          <w:tcPr>
            <w:tcW w:w="716" w:type="dxa"/>
            <w:tcBorders>
              <w:top w:val="nil"/>
              <w:left w:val="nil"/>
              <w:bottom w:val="nil"/>
              <w:right w:val="nil"/>
            </w:tcBorders>
            <w:shd w:val="clear" w:color="auto" w:fill="auto"/>
            <w:noWrap/>
            <w:vAlign w:val="center"/>
            <w:hideMark/>
          </w:tcPr>
          <w:p w14:paraId="049BAF8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2.30</w:t>
            </w:r>
          </w:p>
        </w:tc>
        <w:tc>
          <w:tcPr>
            <w:tcW w:w="556" w:type="dxa"/>
            <w:tcBorders>
              <w:top w:val="nil"/>
              <w:left w:val="nil"/>
              <w:bottom w:val="nil"/>
              <w:right w:val="nil"/>
            </w:tcBorders>
            <w:shd w:val="clear" w:color="auto" w:fill="auto"/>
            <w:noWrap/>
            <w:vAlign w:val="center"/>
            <w:hideMark/>
          </w:tcPr>
          <w:p w14:paraId="63AAC49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0.2</w:t>
            </w:r>
          </w:p>
        </w:tc>
        <w:tc>
          <w:tcPr>
            <w:tcW w:w="596" w:type="dxa"/>
            <w:tcBorders>
              <w:top w:val="nil"/>
              <w:left w:val="nil"/>
              <w:bottom w:val="nil"/>
              <w:right w:val="nil"/>
            </w:tcBorders>
            <w:shd w:val="clear" w:color="auto" w:fill="auto"/>
            <w:noWrap/>
            <w:vAlign w:val="center"/>
            <w:hideMark/>
          </w:tcPr>
          <w:p w14:paraId="29456F5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10.8</w:t>
            </w:r>
          </w:p>
        </w:tc>
        <w:tc>
          <w:tcPr>
            <w:tcW w:w="796" w:type="dxa"/>
            <w:tcBorders>
              <w:top w:val="nil"/>
              <w:left w:val="nil"/>
              <w:bottom w:val="nil"/>
              <w:right w:val="nil"/>
            </w:tcBorders>
            <w:shd w:val="clear" w:color="auto" w:fill="auto"/>
            <w:noWrap/>
            <w:vAlign w:val="center"/>
            <w:hideMark/>
          </w:tcPr>
          <w:p w14:paraId="67CD07D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2.32</w:t>
            </w:r>
          </w:p>
        </w:tc>
        <w:tc>
          <w:tcPr>
            <w:tcW w:w="528" w:type="dxa"/>
            <w:tcBorders>
              <w:top w:val="nil"/>
              <w:left w:val="nil"/>
              <w:bottom w:val="nil"/>
              <w:right w:val="nil"/>
            </w:tcBorders>
            <w:shd w:val="clear" w:color="auto" w:fill="auto"/>
            <w:noWrap/>
            <w:vAlign w:val="center"/>
            <w:hideMark/>
          </w:tcPr>
          <w:p w14:paraId="3FB2958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1.78</w:t>
            </w:r>
          </w:p>
        </w:tc>
        <w:tc>
          <w:tcPr>
            <w:tcW w:w="540" w:type="dxa"/>
            <w:tcBorders>
              <w:top w:val="nil"/>
              <w:left w:val="nil"/>
              <w:bottom w:val="nil"/>
              <w:right w:val="single" w:sz="8" w:space="0" w:color="002060"/>
            </w:tcBorders>
            <w:shd w:val="clear" w:color="auto" w:fill="auto"/>
            <w:noWrap/>
            <w:vAlign w:val="center"/>
            <w:hideMark/>
          </w:tcPr>
          <w:p w14:paraId="411F2E6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5.07</w:t>
            </w:r>
          </w:p>
        </w:tc>
      </w:tr>
      <w:tr w:rsidR="00AE564D" w:rsidRPr="00397875" w14:paraId="487B8F7F" w14:textId="77777777" w:rsidTr="00397875">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0C3A5842"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355884BD"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1FE9194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4C7CAC9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121</w:t>
            </w:r>
          </w:p>
        </w:tc>
        <w:tc>
          <w:tcPr>
            <w:tcW w:w="656" w:type="dxa"/>
            <w:tcBorders>
              <w:top w:val="nil"/>
              <w:left w:val="nil"/>
              <w:bottom w:val="nil"/>
              <w:right w:val="nil"/>
            </w:tcBorders>
            <w:shd w:val="clear" w:color="auto" w:fill="auto"/>
            <w:noWrap/>
            <w:vAlign w:val="center"/>
            <w:hideMark/>
          </w:tcPr>
          <w:p w14:paraId="65F5DBD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1.69</w:t>
            </w:r>
          </w:p>
        </w:tc>
        <w:tc>
          <w:tcPr>
            <w:tcW w:w="776" w:type="dxa"/>
            <w:tcBorders>
              <w:top w:val="nil"/>
              <w:left w:val="nil"/>
              <w:bottom w:val="nil"/>
              <w:right w:val="nil"/>
            </w:tcBorders>
            <w:shd w:val="clear" w:color="auto" w:fill="auto"/>
            <w:noWrap/>
            <w:vAlign w:val="center"/>
            <w:hideMark/>
          </w:tcPr>
          <w:p w14:paraId="2400CAA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0.56</w:t>
            </w:r>
          </w:p>
        </w:tc>
        <w:tc>
          <w:tcPr>
            <w:tcW w:w="596" w:type="dxa"/>
            <w:tcBorders>
              <w:top w:val="nil"/>
              <w:left w:val="nil"/>
              <w:bottom w:val="nil"/>
              <w:right w:val="nil"/>
            </w:tcBorders>
            <w:shd w:val="clear" w:color="auto" w:fill="auto"/>
            <w:noWrap/>
            <w:vAlign w:val="center"/>
            <w:hideMark/>
          </w:tcPr>
          <w:p w14:paraId="4D6A93C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0.32</w:t>
            </w:r>
          </w:p>
        </w:tc>
        <w:tc>
          <w:tcPr>
            <w:tcW w:w="636" w:type="dxa"/>
            <w:tcBorders>
              <w:top w:val="nil"/>
              <w:left w:val="nil"/>
              <w:bottom w:val="nil"/>
              <w:right w:val="nil"/>
            </w:tcBorders>
            <w:shd w:val="clear" w:color="auto" w:fill="auto"/>
            <w:noWrap/>
            <w:vAlign w:val="center"/>
            <w:hideMark/>
          </w:tcPr>
          <w:p w14:paraId="0CB3F47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3.00</w:t>
            </w:r>
          </w:p>
        </w:tc>
        <w:tc>
          <w:tcPr>
            <w:tcW w:w="776" w:type="dxa"/>
            <w:tcBorders>
              <w:top w:val="nil"/>
              <w:left w:val="nil"/>
              <w:bottom w:val="nil"/>
              <w:right w:val="nil"/>
            </w:tcBorders>
            <w:shd w:val="clear" w:color="auto" w:fill="auto"/>
            <w:noWrap/>
            <w:vAlign w:val="center"/>
            <w:hideMark/>
          </w:tcPr>
          <w:p w14:paraId="6EB725E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1.64</w:t>
            </w:r>
          </w:p>
        </w:tc>
        <w:tc>
          <w:tcPr>
            <w:tcW w:w="588" w:type="dxa"/>
            <w:tcBorders>
              <w:top w:val="nil"/>
              <w:left w:val="nil"/>
              <w:bottom w:val="nil"/>
              <w:right w:val="nil"/>
            </w:tcBorders>
            <w:shd w:val="clear" w:color="auto" w:fill="auto"/>
            <w:noWrap/>
            <w:vAlign w:val="center"/>
            <w:hideMark/>
          </w:tcPr>
          <w:p w14:paraId="03367F4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1.24</w:t>
            </w:r>
          </w:p>
        </w:tc>
        <w:tc>
          <w:tcPr>
            <w:tcW w:w="580" w:type="dxa"/>
            <w:tcBorders>
              <w:top w:val="nil"/>
              <w:left w:val="nil"/>
              <w:bottom w:val="nil"/>
              <w:right w:val="single" w:sz="8" w:space="0" w:color="002060"/>
            </w:tcBorders>
            <w:shd w:val="clear" w:color="auto" w:fill="auto"/>
            <w:noWrap/>
            <w:vAlign w:val="center"/>
            <w:hideMark/>
          </w:tcPr>
          <w:p w14:paraId="5CBE085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2.16</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0152858B"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55D9D5C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8</w:t>
            </w:r>
          </w:p>
        </w:tc>
        <w:tc>
          <w:tcPr>
            <w:tcW w:w="596" w:type="dxa"/>
            <w:tcBorders>
              <w:top w:val="nil"/>
              <w:left w:val="nil"/>
              <w:bottom w:val="nil"/>
              <w:right w:val="nil"/>
            </w:tcBorders>
            <w:shd w:val="clear" w:color="auto" w:fill="auto"/>
            <w:noWrap/>
            <w:vAlign w:val="center"/>
            <w:hideMark/>
          </w:tcPr>
          <w:p w14:paraId="20E9FFB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2.49</w:t>
            </w:r>
          </w:p>
        </w:tc>
        <w:tc>
          <w:tcPr>
            <w:tcW w:w="716" w:type="dxa"/>
            <w:tcBorders>
              <w:top w:val="nil"/>
              <w:left w:val="nil"/>
              <w:bottom w:val="nil"/>
              <w:right w:val="nil"/>
            </w:tcBorders>
            <w:shd w:val="clear" w:color="auto" w:fill="auto"/>
            <w:noWrap/>
            <w:vAlign w:val="center"/>
            <w:hideMark/>
          </w:tcPr>
          <w:p w14:paraId="4C02FF8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1.83</w:t>
            </w:r>
          </w:p>
        </w:tc>
        <w:tc>
          <w:tcPr>
            <w:tcW w:w="556" w:type="dxa"/>
            <w:tcBorders>
              <w:top w:val="nil"/>
              <w:left w:val="nil"/>
              <w:bottom w:val="nil"/>
              <w:right w:val="nil"/>
            </w:tcBorders>
            <w:shd w:val="clear" w:color="auto" w:fill="auto"/>
            <w:noWrap/>
            <w:vAlign w:val="center"/>
            <w:hideMark/>
          </w:tcPr>
          <w:p w14:paraId="2A1253F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0.6</w:t>
            </w:r>
          </w:p>
        </w:tc>
        <w:tc>
          <w:tcPr>
            <w:tcW w:w="596" w:type="dxa"/>
            <w:tcBorders>
              <w:top w:val="nil"/>
              <w:left w:val="nil"/>
              <w:bottom w:val="nil"/>
              <w:right w:val="nil"/>
            </w:tcBorders>
            <w:shd w:val="clear" w:color="auto" w:fill="auto"/>
            <w:noWrap/>
            <w:vAlign w:val="center"/>
            <w:hideMark/>
          </w:tcPr>
          <w:p w14:paraId="1C2BBD6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6.46</w:t>
            </w:r>
          </w:p>
        </w:tc>
        <w:tc>
          <w:tcPr>
            <w:tcW w:w="796" w:type="dxa"/>
            <w:tcBorders>
              <w:top w:val="nil"/>
              <w:left w:val="nil"/>
              <w:bottom w:val="nil"/>
              <w:right w:val="nil"/>
            </w:tcBorders>
            <w:shd w:val="clear" w:color="auto" w:fill="auto"/>
            <w:noWrap/>
            <w:vAlign w:val="center"/>
            <w:hideMark/>
          </w:tcPr>
          <w:p w14:paraId="550D619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1.89</w:t>
            </w:r>
          </w:p>
        </w:tc>
        <w:tc>
          <w:tcPr>
            <w:tcW w:w="528" w:type="dxa"/>
            <w:tcBorders>
              <w:top w:val="nil"/>
              <w:left w:val="nil"/>
              <w:bottom w:val="nil"/>
              <w:right w:val="nil"/>
            </w:tcBorders>
            <w:shd w:val="clear" w:color="auto" w:fill="auto"/>
            <w:noWrap/>
            <w:vAlign w:val="center"/>
            <w:hideMark/>
          </w:tcPr>
          <w:p w14:paraId="7D64F96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1.44</w:t>
            </w:r>
          </w:p>
        </w:tc>
        <w:tc>
          <w:tcPr>
            <w:tcW w:w="540" w:type="dxa"/>
            <w:tcBorders>
              <w:top w:val="nil"/>
              <w:left w:val="nil"/>
              <w:bottom w:val="nil"/>
              <w:right w:val="single" w:sz="8" w:space="0" w:color="002060"/>
            </w:tcBorders>
            <w:shd w:val="clear" w:color="auto" w:fill="auto"/>
            <w:noWrap/>
            <w:vAlign w:val="center"/>
            <w:hideMark/>
          </w:tcPr>
          <w:p w14:paraId="25BFC1D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3.33</w:t>
            </w:r>
          </w:p>
        </w:tc>
      </w:tr>
      <w:tr w:rsidR="00AE564D" w:rsidRPr="00397875" w14:paraId="0F4D42A0" w14:textId="77777777" w:rsidTr="00397875">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473CDECB"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053BDB8E"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646286D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Med Fresh</w:t>
            </w:r>
          </w:p>
        </w:tc>
        <w:tc>
          <w:tcPr>
            <w:tcW w:w="536" w:type="dxa"/>
            <w:tcBorders>
              <w:top w:val="nil"/>
              <w:left w:val="nil"/>
              <w:bottom w:val="nil"/>
              <w:right w:val="nil"/>
            </w:tcBorders>
            <w:shd w:val="clear" w:color="auto" w:fill="auto"/>
            <w:noWrap/>
            <w:vAlign w:val="center"/>
            <w:hideMark/>
          </w:tcPr>
          <w:p w14:paraId="32DBBF0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29</w:t>
            </w:r>
          </w:p>
        </w:tc>
        <w:tc>
          <w:tcPr>
            <w:tcW w:w="656" w:type="dxa"/>
            <w:tcBorders>
              <w:top w:val="nil"/>
              <w:left w:val="nil"/>
              <w:bottom w:val="nil"/>
              <w:right w:val="nil"/>
            </w:tcBorders>
            <w:shd w:val="clear" w:color="auto" w:fill="auto"/>
            <w:noWrap/>
            <w:vAlign w:val="center"/>
            <w:hideMark/>
          </w:tcPr>
          <w:p w14:paraId="333CFA2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1.41</w:t>
            </w:r>
          </w:p>
        </w:tc>
        <w:tc>
          <w:tcPr>
            <w:tcW w:w="776" w:type="dxa"/>
            <w:tcBorders>
              <w:top w:val="nil"/>
              <w:left w:val="nil"/>
              <w:bottom w:val="nil"/>
              <w:right w:val="nil"/>
            </w:tcBorders>
            <w:shd w:val="clear" w:color="auto" w:fill="auto"/>
            <w:noWrap/>
            <w:vAlign w:val="center"/>
            <w:hideMark/>
          </w:tcPr>
          <w:p w14:paraId="4554F53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0.51</w:t>
            </w:r>
          </w:p>
        </w:tc>
        <w:tc>
          <w:tcPr>
            <w:tcW w:w="596" w:type="dxa"/>
            <w:tcBorders>
              <w:top w:val="nil"/>
              <w:left w:val="nil"/>
              <w:bottom w:val="nil"/>
              <w:right w:val="nil"/>
            </w:tcBorders>
            <w:shd w:val="clear" w:color="auto" w:fill="auto"/>
            <w:noWrap/>
            <w:vAlign w:val="center"/>
            <w:hideMark/>
          </w:tcPr>
          <w:p w14:paraId="674F48E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0.51</w:t>
            </w:r>
          </w:p>
        </w:tc>
        <w:tc>
          <w:tcPr>
            <w:tcW w:w="636" w:type="dxa"/>
            <w:tcBorders>
              <w:top w:val="nil"/>
              <w:left w:val="nil"/>
              <w:bottom w:val="nil"/>
              <w:right w:val="nil"/>
            </w:tcBorders>
            <w:shd w:val="clear" w:color="auto" w:fill="auto"/>
            <w:noWrap/>
            <w:vAlign w:val="center"/>
            <w:hideMark/>
          </w:tcPr>
          <w:p w14:paraId="67AC48D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2.31</w:t>
            </w:r>
          </w:p>
        </w:tc>
        <w:tc>
          <w:tcPr>
            <w:tcW w:w="776" w:type="dxa"/>
            <w:tcBorders>
              <w:top w:val="nil"/>
              <w:left w:val="nil"/>
              <w:bottom w:val="nil"/>
              <w:right w:val="nil"/>
            </w:tcBorders>
            <w:shd w:val="clear" w:color="auto" w:fill="auto"/>
            <w:noWrap/>
            <w:vAlign w:val="center"/>
            <w:hideMark/>
          </w:tcPr>
          <w:p w14:paraId="57733D2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1.58</w:t>
            </w:r>
          </w:p>
        </w:tc>
        <w:tc>
          <w:tcPr>
            <w:tcW w:w="588" w:type="dxa"/>
            <w:tcBorders>
              <w:top w:val="nil"/>
              <w:left w:val="nil"/>
              <w:bottom w:val="nil"/>
              <w:right w:val="nil"/>
            </w:tcBorders>
            <w:shd w:val="clear" w:color="auto" w:fill="auto"/>
            <w:noWrap/>
            <w:vAlign w:val="center"/>
            <w:hideMark/>
          </w:tcPr>
          <w:p w14:paraId="7AFE650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0.85</w:t>
            </w:r>
          </w:p>
        </w:tc>
        <w:tc>
          <w:tcPr>
            <w:tcW w:w="580" w:type="dxa"/>
            <w:tcBorders>
              <w:top w:val="nil"/>
              <w:left w:val="nil"/>
              <w:bottom w:val="nil"/>
              <w:right w:val="single" w:sz="8" w:space="0" w:color="002060"/>
            </w:tcBorders>
            <w:shd w:val="clear" w:color="auto" w:fill="auto"/>
            <w:noWrap/>
            <w:vAlign w:val="center"/>
            <w:hideMark/>
          </w:tcPr>
          <w:p w14:paraId="0C767F2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1.79</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38F9E60C"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65FB282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w:t>
            </w:r>
          </w:p>
        </w:tc>
        <w:tc>
          <w:tcPr>
            <w:tcW w:w="596" w:type="dxa"/>
            <w:tcBorders>
              <w:top w:val="nil"/>
              <w:left w:val="nil"/>
              <w:bottom w:val="nil"/>
              <w:right w:val="nil"/>
            </w:tcBorders>
            <w:shd w:val="clear" w:color="auto" w:fill="auto"/>
            <w:noWrap/>
            <w:vAlign w:val="center"/>
            <w:hideMark/>
          </w:tcPr>
          <w:p w14:paraId="6F3F8F0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1.90</w:t>
            </w:r>
          </w:p>
        </w:tc>
        <w:tc>
          <w:tcPr>
            <w:tcW w:w="716" w:type="dxa"/>
            <w:tcBorders>
              <w:top w:val="nil"/>
              <w:left w:val="nil"/>
              <w:bottom w:val="nil"/>
              <w:right w:val="nil"/>
            </w:tcBorders>
            <w:shd w:val="clear" w:color="auto" w:fill="auto"/>
            <w:noWrap/>
            <w:vAlign w:val="center"/>
            <w:hideMark/>
          </w:tcPr>
          <w:p w14:paraId="745E978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1.02</w:t>
            </w:r>
          </w:p>
        </w:tc>
        <w:tc>
          <w:tcPr>
            <w:tcW w:w="556" w:type="dxa"/>
            <w:tcBorders>
              <w:top w:val="nil"/>
              <w:left w:val="nil"/>
              <w:bottom w:val="nil"/>
              <w:right w:val="nil"/>
            </w:tcBorders>
            <w:shd w:val="clear" w:color="auto" w:fill="auto"/>
            <w:noWrap/>
            <w:vAlign w:val="center"/>
            <w:hideMark/>
          </w:tcPr>
          <w:p w14:paraId="6BE7A7F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0.76</w:t>
            </w:r>
          </w:p>
        </w:tc>
        <w:tc>
          <w:tcPr>
            <w:tcW w:w="596" w:type="dxa"/>
            <w:tcBorders>
              <w:top w:val="nil"/>
              <w:left w:val="nil"/>
              <w:bottom w:val="nil"/>
              <w:right w:val="nil"/>
            </w:tcBorders>
            <w:shd w:val="clear" w:color="auto" w:fill="auto"/>
            <w:noWrap/>
            <w:vAlign w:val="center"/>
            <w:hideMark/>
          </w:tcPr>
          <w:p w14:paraId="3122FF0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3.35</w:t>
            </w:r>
          </w:p>
        </w:tc>
        <w:tc>
          <w:tcPr>
            <w:tcW w:w="796" w:type="dxa"/>
            <w:tcBorders>
              <w:top w:val="nil"/>
              <w:left w:val="nil"/>
              <w:bottom w:val="nil"/>
              <w:right w:val="nil"/>
            </w:tcBorders>
            <w:shd w:val="clear" w:color="auto" w:fill="auto"/>
            <w:noWrap/>
            <w:vAlign w:val="center"/>
            <w:hideMark/>
          </w:tcPr>
          <w:p w14:paraId="269D883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1.97</w:t>
            </w:r>
          </w:p>
        </w:tc>
        <w:tc>
          <w:tcPr>
            <w:tcW w:w="528" w:type="dxa"/>
            <w:tcBorders>
              <w:top w:val="nil"/>
              <w:left w:val="nil"/>
              <w:bottom w:val="nil"/>
              <w:right w:val="nil"/>
            </w:tcBorders>
            <w:shd w:val="clear" w:color="auto" w:fill="auto"/>
            <w:noWrap/>
            <w:vAlign w:val="center"/>
            <w:hideMark/>
          </w:tcPr>
          <w:p w14:paraId="0480022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0.94</w:t>
            </w:r>
          </w:p>
        </w:tc>
        <w:tc>
          <w:tcPr>
            <w:tcW w:w="540" w:type="dxa"/>
            <w:tcBorders>
              <w:top w:val="nil"/>
              <w:left w:val="nil"/>
              <w:bottom w:val="nil"/>
              <w:right w:val="single" w:sz="8" w:space="0" w:color="002060"/>
            </w:tcBorders>
            <w:shd w:val="clear" w:color="auto" w:fill="auto"/>
            <w:noWrap/>
            <w:vAlign w:val="center"/>
            <w:hideMark/>
          </w:tcPr>
          <w:p w14:paraId="3DDE2C1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2.82</w:t>
            </w:r>
          </w:p>
        </w:tc>
      </w:tr>
      <w:tr w:rsidR="00AE564D" w:rsidRPr="00397875" w14:paraId="3705FED4" w14:textId="77777777" w:rsidTr="00397875">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22019B51"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32B025D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Moss Rd / Day Rd / Murchison</w:t>
            </w:r>
          </w:p>
        </w:tc>
        <w:tc>
          <w:tcPr>
            <w:tcW w:w="1008" w:type="dxa"/>
            <w:tcBorders>
              <w:top w:val="single" w:sz="8" w:space="0" w:color="002060"/>
              <w:left w:val="nil"/>
              <w:bottom w:val="nil"/>
              <w:right w:val="nil"/>
            </w:tcBorders>
            <w:shd w:val="clear" w:color="auto" w:fill="auto"/>
            <w:noWrap/>
            <w:vAlign w:val="center"/>
            <w:hideMark/>
          </w:tcPr>
          <w:p w14:paraId="2AA800B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Very Low</w:t>
            </w:r>
          </w:p>
        </w:tc>
        <w:tc>
          <w:tcPr>
            <w:tcW w:w="536" w:type="dxa"/>
            <w:tcBorders>
              <w:top w:val="single" w:sz="8" w:space="0" w:color="002060"/>
              <w:left w:val="nil"/>
              <w:bottom w:val="nil"/>
              <w:right w:val="nil"/>
            </w:tcBorders>
            <w:shd w:val="clear" w:color="auto" w:fill="auto"/>
            <w:noWrap/>
            <w:vAlign w:val="center"/>
            <w:hideMark/>
          </w:tcPr>
          <w:p w14:paraId="0A30705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w:t>
            </w:r>
          </w:p>
        </w:tc>
        <w:tc>
          <w:tcPr>
            <w:tcW w:w="656" w:type="dxa"/>
            <w:tcBorders>
              <w:top w:val="single" w:sz="8" w:space="0" w:color="002060"/>
              <w:left w:val="nil"/>
              <w:bottom w:val="nil"/>
              <w:right w:val="nil"/>
            </w:tcBorders>
            <w:shd w:val="clear" w:color="auto" w:fill="auto"/>
            <w:noWrap/>
            <w:vAlign w:val="center"/>
            <w:hideMark/>
          </w:tcPr>
          <w:p w14:paraId="7F5320E8"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9.01</w:t>
            </w:r>
          </w:p>
        </w:tc>
        <w:tc>
          <w:tcPr>
            <w:tcW w:w="776" w:type="dxa"/>
            <w:tcBorders>
              <w:top w:val="single" w:sz="8" w:space="0" w:color="002060"/>
              <w:left w:val="nil"/>
              <w:bottom w:val="nil"/>
              <w:right w:val="nil"/>
            </w:tcBorders>
            <w:shd w:val="clear" w:color="auto" w:fill="auto"/>
            <w:noWrap/>
            <w:vAlign w:val="center"/>
            <w:hideMark/>
          </w:tcPr>
          <w:p w14:paraId="332259E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7.02</w:t>
            </w:r>
          </w:p>
        </w:tc>
        <w:tc>
          <w:tcPr>
            <w:tcW w:w="596" w:type="dxa"/>
            <w:tcBorders>
              <w:top w:val="single" w:sz="8" w:space="0" w:color="002060"/>
              <w:left w:val="nil"/>
              <w:bottom w:val="nil"/>
              <w:right w:val="nil"/>
            </w:tcBorders>
            <w:shd w:val="clear" w:color="auto" w:fill="auto"/>
            <w:noWrap/>
            <w:vAlign w:val="center"/>
            <w:hideMark/>
          </w:tcPr>
          <w:p w14:paraId="47E06D1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2.8</w:t>
            </w:r>
          </w:p>
        </w:tc>
        <w:tc>
          <w:tcPr>
            <w:tcW w:w="636" w:type="dxa"/>
            <w:tcBorders>
              <w:top w:val="single" w:sz="8" w:space="0" w:color="002060"/>
              <w:left w:val="nil"/>
              <w:bottom w:val="nil"/>
              <w:right w:val="nil"/>
            </w:tcBorders>
            <w:shd w:val="clear" w:color="auto" w:fill="auto"/>
            <w:noWrap/>
            <w:vAlign w:val="center"/>
            <w:hideMark/>
          </w:tcPr>
          <w:p w14:paraId="07C66B6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25.0</w:t>
            </w:r>
          </w:p>
        </w:tc>
        <w:tc>
          <w:tcPr>
            <w:tcW w:w="776" w:type="dxa"/>
            <w:tcBorders>
              <w:top w:val="single" w:sz="8" w:space="0" w:color="002060"/>
              <w:left w:val="nil"/>
              <w:bottom w:val="nil"/>
              <w:right w:val="nil"/>
            </w:tcBorders>
            <w:shd w:val="clear" w:color="auto" w:fill="auto"/>
            <w:noWrap/>
            <w:vAlign w:val="center"/>
            <w:hideMark/>
          </w:tcPr>
          <w:p w14:paraId="6212B93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6.40</w:t>
            </w:r>
          </w:p>
        </w:tc>
        <w:tc>
          <w:tcPr>
            <w:tcW w:w="588" w:type="dxa"/>
            <w:tcBorders>
              <w:top w:val="single" w:sz="8" w:space="0" w:color="002060"/>
              <w:left w:val="nil"/>
              <w:bottom w:val="nil"/>
              <w:right w:val="nil"/>
            </w:tcBorders>
            <w:shd w:val="clear" w:color="auto" w:fill="auto"/>
            <w:noWrap/>
            <w:vAlign w:val="center"/>
            <w:hideMark/>
          </w:tcPr>
          <w:p w14:paraId="03583D5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4.35</w:t>
            </w:r>
          </w:p>
        </w:tc>
        <w:tc>
          <w:tcPr>
            <w:tcW w:w="580" w:type="dxa"/>
            <w:tcBorders>
              <w:top w:val="single" w:sz="8" w:space="0" w:color="002060"/>
              <w:left w:val="nil"/>
              <w:bottom w:val="nil"/>
              <w:right w:val="single" w:sz="8" w:space="0" w:color="002060"/>
            </w:tcBorders>
            <w:shd w:val="clear" w:color="auto" w:fill="auto"/>
            <w:noWrap/>
            <w:vAlign w:val="center"/>
            <w:hideMark/>
          </w:tcPr>
          <w:p w14:paraId="6B34E0B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10.67</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669E4863"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single" w:sz="8" w:space="0" w:color="002060"/>
              <w:left w:val="nil"/>
              <w:bottom w:val="nil"/>
              <w:right w:val="nil"/>
            </w:tcBorders>
            <w:shd w:val="clear" w:color="auto" w:fill="auto"/>
            <w:noWrap/>
            <w:vAlign w:val="center"/>
            <w:hideMark/>
          </w:tcPr>
          <w:p w14:paraId="614BF1E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w:t>
            </w:r>
          </w:p>
        </w:tc>
        <w:tc>
          <w:tcPr>
            <w:tcW w:w="596" w:type="dxa"/>
            <w:tcBorders>
              <w:top w:val="single" w:sz="8" w:space="0" w:color="002060"/>
              <w:left w:val="nil"/>
              <w:bottom w:val="nil"/>
              <w:right w:val="nil"/>
            </w:tcBorders>
            <w:shd w:val="clear" w:color="auto" w:fill="auto"/>
            <w:noWrap/>
            <w:vAlign w:val="center"/>
            <w:hideMark/>
          </w:tcPr>
          <w:p w14:paraId="398B1E8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5.62</w:t>
            </w:r>
          </w:p>
        </w:tc>
        <w:tc>
          <w:tcPr>
            <w:tcW w:w="716" w:type="dxa"/>
            <w:tcBorders>
              <w:top w:val="single" w:sz="8" w:space="0" w:color="002060"/>
              <w:left w:val="nil"/>
              <w:bottom w:val="nil"/>
              <w:right w:val="nil"/>
            </w:tcBorders>
            <w:shd w:val="clear" w:color="auto" w:fill="auto"/>
            <w:noWrap/>
            <w:vAlign w:val="center"/>
            <w:hideMark/>
          </w:tcPr>
          <w:p w14:paraId="291E059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2.44</w:t>
            </w:r>
          </w:p>
        </w:tc>
        <w:tc>
          <w:tcPr>
            <w:tcW w:w="556" w:type="dxa"/>
            <w:tcBorders>
              <w:top w:val="single" w:sz="8" w:space="0" w:color="002060"/>
              <w:left w:val="nil"/>
              <w:bottom w:val="nil"/>
              <w:right w:val="nil"/>
            </w:tcBorders>
            <w:shd w:val="clear" w:color="auto" w:fill="auto"/>
            <w:noWrap/>
            <w:vAlign w:val="center"/>
            <w:hideMark/>
          </w:tcPr>
          <w:p w14:paraId="7FC8692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2.8</w:t>
            </w:r>
          </w:p>
        </w:tc>
        <w:tc>
          <w:tcPr>
            <w:tcW w:w="596" w:type="dxa"/>
            <w:tcBorders>
              <w:top w:val="single" w:sz="8" w:space="0" w:color="002060"/>
              <w:left w:val="nil"/>
              <w:bottom w:val="nil"/>
              <w:right w:val="nil"/>
            </w:tcBorders>
            <w:shd w:val="clear" w:color="auto" w:fill="auto"/>
            <w:noWrap/>
            <w:vAlign w:val="center"/>
            <w:hideMark/>
          </w:tcPr>
          <w:p w14:paraId="4678244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9.2</w:t>
            </w:r>
          </w:p>
        </w:tc>
        <w:tc>
          <w:tcPr>
            <w:tcW w:w="796" w:type="dxa"/>
            <w:tcBorders>
              <w:top w:val="single" w:sz="8" w:space="0" w:color="002060"/>
              <w:left w:val="nil"/>
              <w:bottom w:val="nil"/>
              <w:right w:val="nil"/>
            </w:tcBorders>
            <w:shd w:val="clear" w:color="auto" w:fill="auto"/>
            <w:noWrap/>
            <w:vAlign w:val="center"/>
            <w:hideMark/>
          </w:tcPr>
          <w:p w14:paraId="0A14FA3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5.30</w:t>
            </w:r>
          </w:p>
        </w:tc>
        <w:tc>
          <w:tcPr>
            <w:tcW w:w="528" w:type="dxa"/>
            <w:tcBorders>
              <w:top w:val="single" w:sz="8" w:space="0" w:color="002060"/>
              <w:left w:val="nil"/>
              <w:bottom w:val="nil"/>
              <w:right w:val="nil"/>
            </w:tcBorders>
            <w:shd w:val="clear" w:color="auto" w:fill="auto"/>
            <w:noWrap/>
            <w:vAlign w:val="center"/>
            <w:hideMark/>
          </w:tcPr>
          <w:p w14:paraId="61D090F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3.66</w:t>
            </w:r>
          </w:p>
        </w:tc>
        <w:tc>
          <w:tcPr>
            <w:tcW w:w="540" w:type="dxa"/>
            <w:tcBorders>
              <w:top w:val="single" w:sz="8" w:space="0" w:color="002060"/>
              <w:left w:val="nil"/>
              <w:bottom w:val="nil"/>
              <w:right w:val="single" w:sz="8" w:space="0" w:color="002060"/>
            </w:tcBorders>
            <w:shd w:val="clear" w:color="auto" w:fill="auto"/>
            <w:noWrap/>
            <w:vAlign w:val="center"/>
            <w:hideMark/>
          </w:tcPr>
          <w:p w14:paraId="1956EE7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7.7</w:t>
            </w:r>
          </w:p>
        </w:tc>
      </w:tr>
      <w:tr w:rsidR="00AE564D" w:rsidRPr="00397875" w14:paraId="2692D389" w14:textId="77777777" w:rsidTr="00397875">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7C0DD112"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391A9960"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4C7AB8D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1B11D61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53</w:t>
            </w:r>
          </w:p>
        </w:tc>
        <w:tc>
          <w:tcPr>
            <w:tcW w:w="656" w:type="dxa"/>
            <w:tcBorders>
              <w:top w:val="nil"/>
              <w:left w:val="nil"/>
              <w:bottom w:val="nil"/>
              <w:right w:val="nil"/>
            </w:tcBorders>
            <w:shd w:val="clear" w:color="auto" w:fill="auto"/>
            <w:noWrap/>
            <w:vAlign w:val="center"/>
            <w:hideMark/>
          </w:tcPr>
          <w:p w14:paraId="164EFCD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4.85</w:t>
            </w:r>
          </w:p>
        </w:tc>
        <w:tc>
          <w:tcPr>
            <w:tcW w:w="776" w:type="dxa"/>
            <w:tcBorders>
              <w:top w:val="nil"/>
              <w:left w:val="nil"/>
              <w:bottom w:val="nil"/>
              <w:right w:val="nil"/>
            </w:tcBorders>
            <w:shd w:val="clear" w:color="auto" w:fill="auto"/>
            <w:noWrap/>
            <w:vAlign w:val="center"/>
            <w:hideMark/>
          </w:tcPr>
          <w:p w14:paraId="6F4748D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6.47</w:t>
            </w:r>
          </w:p>
        </w:tc>
        <w:tc>
          <w:tcPr>
            <w:tcW w:w="596" w:type="dxa"/>
            <w:tcBorders>
              <w:top w:val="nil"/>
              <w:left w:val="nil"/>
              <w:bottom w:val="nil"/>
              <w:right w:val="nil"/>
            </w:tcBorders>
            <w:shd w:val="clear" w:color="auto" w:fill="auto"/>
            <w:noWrap/>
            <w:vAlign w:val="center"/>
            <w:hideMark/>
          </w:tcPr>
          <w:p w14:paraId="1CC2D79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0.57</w:t>
            </w:r>
          </w:p>
        </w:tc>
        <w:tc>
          <w:tcPr>
            <w:tcW w:w="636" w:type="dxa"/>
            <w:tcBorders>
              <w:top w:val="nil"/>
              <w:left w:val="nil"/>
              <w:bottom w:val="nil"/>
              <w:right w:val="nil"/>
            </w:tcBorders>
            <w:shd w:val="clear" w:color="auto" w:fill="auto"/>
            <w:noWrap/>
            <w:vAlign w:val="center"/>
            <w:hideMark/>
          </w:tcPr>
          <w:p w14:paraId="79D5BA8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38.9</w:t>
            </w:r>
          </w:p>
        </w:tc>
        <w:tc>
          <w:tcPr>
            <w:tcW w:w="776" w:type="dxa"/>
            <w:tcBorders>
              <w:top w:val="nil"/>
              <w:left w:val="nil"/>
              <w:bottom w:val="nil"/>
              <w:right w:val="nil"/>
            </w:tcBorders>
            <w:shd w:val="clear" w:color="auto" w:fill="auto"/>
            <w:noWrap/>
            <w:vAlign w:val="center"/>
            <w:hideMark/>
          </w:tcPr>
          <w:p w14:paraId="1762DFB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2.34</w:t>
            </w:r>
          </w:p>
        </w:tc>
        <w:tc>
          <w:tcPr>
            <w:tcW w:w="588" w:type="dxa"/>
            <w:tcBorders>
              <w:top w:val="nil"/>
              <w:left w:val="nil"/>
              <w:bottom w:val="nil"/>
              <w:right w:val="nil"/>
            </w:tcBorders>
            <w:shd w:val="clear" w:color="auto" w:fill="auto"/>
            <w:noWrap/>
            <w:vAlign w:val="center"/>
            <w:hideMark/>
          </w:tcPr>
          <w:p w14:paraId="472D01F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1.60</w:t>
            </w:r>
          </w:p>
        </w:tc>
        <w:tc>
          <w:tcPr>
            <w:tcW w:w="580" w:type="dxa"/>
            <w:tcBorders>
              <w:top w:val="nil"/>
              <w:left w:val="nil"/>
              <w:bottom w:val="nil"/>
              <w:right w:val="single" w:sz="8" w:space="0" w:color="002060"/>
            </w:tcBorders>
            <w:shd w:val="clear" w:color="auto" w:fill="auto"/>
            <w:noWrap/>
            <w:vAlign w:val="center"/>
            <w:hideMark/>
          </w:tcPr>
          <w:p w14:paraId="24B21B9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5.26</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5FD8E058"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1E23792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15</w:t>
            </w:r>
          </w:p>
        </w:tc>
        <w:tc>
          <w:tcPr>
            <w:tcW w:w="596" w:type="dxa"/>
            <w:tcBorders>
              <w:top w:val="nil"/>
              <w:left w:val="nil"/>
              <w:bottom w:val="nil"/>
              <w:right w:val="nil"/>
            </w:tcBorders>
            <w:shd w:val="clear" w:color="auto" w:fill="auto"/>
            <w:noWrap/>
            <w:vAlign w:val="center"/>
            <w:hideMark/>
          </w:tcPr>
          <w:p w14:paraId="51EC415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1.74</w:t>
            </w:r>
          </w:p>
        </w:tc>
        <w:tc>
          <w:tcPr>
            <w:tcW w:w="716" w:type="dxa"/>
            <w:tcBorders>
              <w:top w:val="nil"/>
              <w:left w:val="nil"/>
              <w:bottom w:val="nil"/>
              <w:right w:val="nil"/>
            </w:tcBorders>
            <w:shd w:val="clear" w:color="auto" w:fill="auto"/>
            <w:noWrap/>
            <w:vAlign w:val="center"/>
            <w:hideMark/>
          </w:tcPr>
          <w:p w14:paraId="6F943EF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1.26</w:t>
            </w:r>
          </w:p>
        </w:tc>
        <w:tc>
          <w:tcPr>
            <w:tcW w:w="556" w:type="dxa"/>
            <w:tcBorders>
              <w:top w:val="nil"/>
              <w:left w:val="nil"/>
              <w:bottom w:val="nil"/>
              <w:right w:val="nil"/>
            </w:tcBorders>
            <w:shd w:val="clear" w:color="auto" w:fill="auto"/>
            <w:noWrap/>
            <w:vAlign w:val="center"/>
            <w:hideMark/>
          </w:tcPr>
          <w:p w14:paraId="25413E36"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0.7</w:t>
            </w:r>
          </w:p>
        </w:tc>
        <w:tc>
          <w:tcPr>
            <w:tcW w:w="596" w:type="dxa"/>
            <w:tcBorders>
              <w:top w:val="nil"/>
              <w:left w:val="nil"/>
              <w:bottom w:val="nil"/>
              <w:right w:val="nil"/>
            </w:tcBorders>
            <w:shd w:val="clear" w:color="auto" w:fill="auto"/>
            <w:noWrap/>
            <w:vAlign w:val="center"/>
            <w:hideMark/>
          </w:tcPr>
          <w:p w14:paraId="52FC706A"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4.6</w:t>
            </w:r>
          </w:p>
        </w:tc>
        <w:tc>
          <w:tcPr>
            <w:tcW w:w="796" w:type="dxa"/>
            <w:tcBorders>
              <w:top w:val="nil"/>
              <w:left w:val="nil"/>
              <w:bottom w:val="nil"/>
              <w:right w:val="nil"/>
            </w:tcBorders>
            <w:shd w:val="clear" w:color="auto" w:fill="auto"/>
            <w:noWrap/>
            <w:vAlign w:val="center"/>
            <w:hideMark/>
          </w:tcPr>
          <w:p w14:paraId="3971615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1.20</w:t>
            </w:r>
          </w:p>
        </w:tc>
        <w:tc>
          <w:tcPr>
            <w:tcW w:w="528" w:type="dxa"/>
            <w:tcBorders>
              <w:top w:val="nil"/>
              <w:left w:val="nil"/>
              <w:bottom w:val="nil"/>
              <w:right w:val="nil"/>
            </w:tcBorders>
            <w:shd w:val="clear" w:color="auto" w:fill="auto"/>
            <w:noWrap/>
            <w:vAlign w:val="center"/>
            <w:hideMark/>
          </w:tcPr>
          <w:p w14:paraId="4DAFD70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0.84</w:t>
            </w:r>
          </w:p>
        </w:tc>
        <w:tc>
          <w:tcPr>
            <w:tcW w:w="540" w:type="dxa"/>
            <w:tcBorders>
              <w:top w:val="nil"/>
              <w:left w:val="nil"/>
              <w:bottom w:val="nil"/>
              <w:right w:val="single" w:sz="8" w:space="0" w:color="002060"/>
            </w:tcBorders>
            <w:shd w:val="clear" w:color="auto" w:fill="auto"/>
            <w:noWrap/>
            <w:vAlign w:val="center"/>
            <w:hideMark/>
          </w:tcPr>
          <w:p w14:paraId="6DD885D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2.44</w:t>
            </w:r>
          </w:p>
        </w:tc>
      </w:tr>
      <w:tr w:rsidR="00AE564D" w:rsidRPr="00397875" w14:paraId="13CFEDFD" w14:textId="77777777" w:rsidTr="00397875">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69C9E730"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01B71407"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6788001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67798C3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24</w:t>
            </w:r>
          </w:p>
        </w:tc>
        <w:tc>
          <w:tcPr>
            <w:tcW w:w="656" w:type="dxa"/>
            <w:tcBorders>
              <w:top w:val="nil"/>
              <w:left w:val="nil"/>
              <w:bottom w:val="nil"/>
              <w:right w:val="nil"/>
            </w:tcBorders>
            <w:shd w:val="clear" w:color="auto" w:fill="auto"/>
            <w:noWrap/>
            <w:vAlign w:val="center"/>
            <w:hideMark/>
          </w:tcPr>
          <w:p w14:paraId="3D04FA7D"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7.02</w:t>
            </w:r>
          </w:p>
        </w:tc>
        <w:tc>
          <w:tcPr>
            <w:tcW w:w="776" w:type="dxa"/>
            <w:tcBorders>
              <w:top w:val="nil"/>
              <w:left w:val="nil"/>
              <w:bottom w:val="nil"/>
              <w:right w:val="nil"/>
            </w:tcBorders>
            <w:shd w:val="clear" w:color="auto" w:fill="auto"/>
            <w:noWrap/>
            <w:vAlign w:val="center"/>
            <w:hideMark/>
          </w:tcPr>
          <w:p w14:paraId="030A657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3.96</w:t>
            </w:r>
          </w:p>
        </w:tc>
        <w:tc>
          <w:tcPr>
            <w:tcW w:w="596" w:type="dxa"/>
            <w:tcBorders>
              <w:top w:val="nil"/>
              <w:left w:val="nil"/>
              <w:bottom w:val="nil"/>
              <w:right w:val="nil"/>
            </w:tcBorders>
            <w:shd w:val="clear" w:color="auto" w:fill="auto"/>
            <w:noWrap/>
            <w:vAlign w:val="center"/>
            <w:hideMark/>
          </w:tcPr>
          <w:p w14:paraId="40E2D70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0.34</w:t>
            </w:r>
          </w:p>
        </w:tc>
        <w:tc>
          <w:tcPr>
            <w:tcW w:w="636" w:type="dxa"/>
            <w:tcBorders>
              <w:top w:val="nil"/>
              <w:left w:val="nil"/>
              <w:bottom w:val="nil"/>
              <w:right w:val="nil"/>
            </w:tcBorders>
            <w:shd w:val="clear" w:color="auto" w:fill="auto"/>
            <w:noWrap/>
            <w:vAlign w:val="center"/>
            <w:hideMark/>
          </w:tcPr>
          <w:p w14:paraId="595FF0C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15.6</w:t>
            </w:r>
          </w:p>
        </w:tc>
        <w:tc>
          <w:tcPr>
            <w:tcW w:w="776" w:type="dxa"/>
            <w:tcBorders>
              <w:top w:val="nil"/>
              <w:left w:val="nil"/>
              <w:bottom w:val="nil"/>
              <w:right w:val="nil"/>
            </w:tcBorders>
            <w:shd w:val="clear" w:color="auto" w:fill="auto"/>
            <w:noWrap/>
            <w:vAlign w:val="center"/>
            <w:hideMark/>
          </w:tcPr>
          <w:p w14:paraId="50A3D1F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8.19</w:t>
            </w:r>
          </w:p>
        </w:tc>
        <w:tc>
          <w:tcPr>
            <w:tcW w:w="588" w:type="dxa"/>
            <w:tcBorders>
              <w:top w:val="nil"/>
              <w:left w:val="nil"/>
              <w:bottom w:val="nil"/>
              <w:right w:val="nil"/>
            </w:tcBorders>
            <w:shd w:val="clear" w:color="auto" w:fill="auto"/>
            <w:noWrap/>
            <w:vAlign w:val="center"/>
            <w:hideMark/>
          </w:tcPr>
          <w:p w14:paraId="37BBA16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4.05</w:t>
            </w:r>
          </w:p>
        </w:tc>
        <w:tc>
          <w:tcPr>
            <w:tcW w:w="580" w:type="dxa"/>
            <w:tcBorders>
              <w:top w:val="nil"/>
              <w:left w:val="nil"/>
              <w:bottom w:val="nil"/>
              <w:right w:val="single" w:sz="8" w:space="0" w:color="002060"/>
            </w:tcBorders>
            <w:shd w:val="clear" w:color="auto" w:fill="auto"/>
            <w:noWrap/>
            <w:vAlign w:val="center"/>
            <w:hideMark/>
          </w:tcPr>
          <w:p w14:paraId="342B41E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9.30</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7A8D4809"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191175C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7</w:t>
            </w:r>
          </w:p>
        </w:tc>
        <w:tc>
          <w:tcPr>
            <w:tcW w:w="596" w:type="dxa"/>
            <w:tcBorders>
              <w:top w:val="nil"/>
              <w:left w:val="nil"/>
              <w:bottom w:val="nil"/>
              <w:right w:val="nil"/>
            </w:tcBorders>
            <w:shd w:val="clear" w:color="auto" w:fill="auto"/>
            <w:noWrap/>
            <w:vAlign w:val="center"/>
            <w:hideMark/>
          </w:tcPr>
          <w:p w14:paraId="4DE064E1"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3.05</w:t>
            </w:r>
          </w:p>
        </w:tc>
        <w:tc>
          <w:tcPr>
            <w:tcW w:w="716" w:type="dxa"/>
            <w:tcBorders>
              <w:top w:val="nil"/>
              <w:left w:val="nil"/>
              <w:bottom w:val="nil"/>
              <w:right w:val="nil"/>
            </w:tcBorders>
            <w:shd w:val="clear" w:color="auto" w:fill="auto"/>
            <w:noWrap/>
            <w:vAlign w:val="center"/>
            <w:hideMark/>
          </w:tcPr>
          <w:p w14:paraId="348AE2C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2.79</w:t>
            </w:r>
          </w:p>
        </w:tc>
        <w:tc>
          <w:tcPr>
            <w:tcW w:w="556" w:type="dxa"/>
            <w:tcBorders>
              <w:top w:val="nil"/>
              <w:left w:val="nil"/>
              <w:bottom w:val="nil"/>
              <w:right w:val="nil"/>
            </w:tcBorders>
            <w:shd w:val="clear" w:color="auto" w:fill="auto"/>
            <w:noWrap/>
            <w:vAlign w:val="center"/>
            <w:hideMark/>
          </w:tcPr>
          <w:p w14:paraId="4F2BD539"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0.6</w:t>
            </w:r>
          </w:p>
        </w:tc>
        <w:tc>
          <w:tcPr>
            <w:tcW w:w="596" w:type="dxa"/>
            <w:tcBorders>
              <w:top w:val="nil"/>
              <w:left w:val="nil"/>
              <w:bottom w:val="nil"/>
              <w:right w:val="nil"/>
            </w:tcBorders>
            <w:shd w:val="clear" w:color="auto" w:fill="auto"/>
            <w:noWrap/>
            <w:vAlign w:val="center"/>
            <w:hideMark/>
          </w:tcPr>
          <w:p w14:paraId="5F9FC41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7.76</w:t>
            </w:r>
          </w:p>
        </w:tc>
        <w:tc>
          <w:tcPr>
            <w:tcW w:w="796" w:type="dxa"/>
            <w:tcBorders>
              <w:top w:val="nil"/>
              <w:left w:val="nil"/>
              <w:bottom w:val="nil"/>
              <w:right w:val="nil"/>
            </w:tcBorders>
            <w:shd w:val="clear" w:color="auto" w:fill="auto"/>
            <w:noWrap/>
            <w:vAlign w:val="center"/>
            <w:hideMark/>
          </w:tcPr>
          <w:p w14:paraId="0F33BFF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2.02</w:t>
            </w:r>
          </w:p>
        </w:tc>
        <w:tc>
          <w:tcPr>
            <w:tcW w:w="528" w:type="dxa"/>
            <w:tcBorders>
              <w:top w:val="nil"/>
              <w:left w:val="nil"/>
              <w:bottom w:val="nil"/>
              <w:right w:val="nil"/>
            </w:tcBorders>
            <w:shd w:val="clear" w:color="auto" w:fill="auto"/>
            <w:noWrap/>
            <w:vAlign w:val="center"/>
            <w:hideMark/>
          </w:tcPr>
          <w:p w14:paraId="4F5927D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1.03</w:t>
            </w:r>
          </w:p>
        </w:tc>
        <w:tc>
          <w:tcPr>
            <w:tcW w:w="540" w:type="dxa"/>
            <w:tcBorders>
              <w:top w:val="nil"/>
              <w:left w:val="nil"/>
              <w:bottom w:val="nil"/>
              <w:right w:val="single" w:sz="8" w:space="0" w:color="002060"/>
            </w:tcBorders>
            <w:shd w:val="clear" w:color="auto" w:fill="auto"/>
            <w:noWrap/>
            <w:vAlign w:val="center"/>
            <w:hideMark/>
          </w:tcPr>
          <w:p w14:paraId="2A5B837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6.20</w:t>
            </w:r>
          </w:p>
        </w:tc>
      </w:tr>
      <w:tr w:rsidR="00AE564D" w:rsidRPr="00397875" w14:paraId="409EED9B" w14:textId="77777777" w:rsidTr="00397875">
        <w:trPr>
          <w:trHeight w:val="255"/>
          <w:jc w:val="center"/>
        </w:trPr>
        <w:tc>
          <w:tcPr>
            <w:tcW w:w="700" w:type="dxa"/>
            <w:vMerge/>
            <w:tcBorders>
              <w:top w:val="single" w:sz="8" w:space="0" w:color="FFFFFF"/>
              <w:left w:val="single" w:sz="8" w:space="0" w:color="002060"/>
              <w:bottom w:val="single" w:sz="8" w:space="0" w:color="002060"/>
              <w:right w:val="single" w:sz="8" w:space="0" w:color="002060"/>
            </w:tcBorders>
            <w:vAlign w:val="center"/>
            <w:hideMark/>
          </w:tcPr>
          <w:p w14:paraId="2AE9B065"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6220CFFB" w14:textId="77777777" w:rsidR="00AE564D" w:rsidRPr="00397875"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single" w:sz="8" w:space="0" w:color="002060"/>
              <w:right w:val="nil"/>
            </w:tcBorders>
            <w:shd w:val="clear" w:color="auto" w:fill="auto"/>
            <w:noWrap/>
            <w:vAlign w:val="center"/>
            <w:hideMark/>
          </w:tcPr>
          <w:p w14:paraId="1FD7C05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Med Fresh</w:t>
            </w:r>
          </w:p>
        </w:tc>
        <w:tc>
          <w:tcPr>
            <w:tcW w:w="536" w:type="dxa"/>
            <w:tcBorders>
              <w:top w:val="nil"/>
              <w:left w:val="nil"/>
              <w:bottom w:val="single" w:sz="8" w:space="0" w:color="002060"/>
              <w:right w:val="nil"/>
            </w:tcBorders>
            <w:shd w:val="clear" w:color="auto" w:fill="auto"/>
            <w:noWrap/>
            <w:vAlign w:val="center"/>
            <w:hideMark/>
          </w:tcPr>
          <w:p w14:paraId="32FB135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15</w:t>
            </w:r>
          </w:p>
        </w:tc>
        <w:tc>
          <w:tcPr>
            <w:tcW w:w="656" w:type="dxa"/>
            <w:tcBorders>
              <w:top w:val="nil"/>
              <w:left w:val="nil"/>
              <w:bottom w:val="single" w:sz="8" w:space="0" w:color="002060"/>
              <w:right w:val="nil"/>
            </w:tcBorders>
            <w:shd w:val="clear" w:color="auto" w:fill="auto"/>
            <w:noWrap/>
            <w:vAlign w:val="center"/>
            <w:hideMark/>
          </w:tcPr>
          <w:p w14:paraId="6520BD0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3.17</w:t>
            </w:r>
          </w:p>
        </w:tc>
        <w:tc>
          <w:tcPr>
            <w:tcW w:w="776" w:type="dxa"/>
            <w:tcBorders>
              <w:top w:val="nil"/>
              <w:left w:val="nil"/>
              <w:bottom w:val="single" w:sz="8" w:space="0" w:color="002060"/>
              <w:right w:val="nil"/>
            </w:tcBorders>
            <w:shd w:val="clear" w:color="auto" w:fill="auto"/>
            <w:noWrap/>
            <w:vAlign w:val="center"/>
            <w:hideMark/>
          </w:tcPr>
          <w:p w14:paraId="33FF9A25"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1.23</w:t>
            </w:r>
          </w:p>
        </w:tc>
        <w:tc>
          <w:tcPr>
            <w:tcW w:w="596" w:type="dxa"/>
            <w:tcBorders>
              <w:top w:val="nil"/>
              <w:left w:val="nil"/>
              <w:bottom w:val="single" w:sz="8" w:space="0" w:color="002060"/>
              <w:right w:val="nil"/>
            </w:tcBorders>
            <w:shd w:val="clear" w:color="auto" w:fill="auto"/>
            <w:noWrap/>
            <w:vAlign w:val="center"/>
            <w:hideMark/>
          </w:tcPr>
          <w:p w14:paraId="6FC93B8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0.33</w:t>
            </w:r>
          </w:p>
        </w:tc>
        <w:tc>
          <w:tcPr>
            <w:tcW w:w="636" w:type="dxa"/>
            <w:tcBorders>
              <w:top w:val="nil"/>
              <w:left w:val="nil"/>
              <w:bottom w:val="single" w:sz="8" w:space="0" w:color="002060"/>
              <w:right w:val="nil"/>
            </w:tcBorders>
            <w:shd w:val="clear" w:color="auto" w:fill="auto"/>
            <w:noWrap/>
            <w:vAlign w:val="center"/>
            <w:hideMark/>
          </w:tcPr>
          <w:p w14:paraId="15FEA6A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4.67</w:t>
            </w:r>
          </w:p>
        </w:tc>
        <w:tc>
          <w:tcPr>
            <w:tcW w:w="776" w:type="dxa"/>
            <w:tcBorders>
              <w:top w:val="nil"/>
              <w:left w:val="nil"/>
              <w:bottom w:val="single" w:sz="8" w:space="0" w:color="002060"/>
              <w:right w:val="nil"/>
            </w:tcBorders>
            <w:shd w:val="clear" w:color="auto" w:fill="auto"/>
            <w:noWrap/>
            <w:vAlign w:val="center"/>
            <w:hideMark/>
          </w:tcPr>
          <w:p w14:paraId="654D30DC"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3.30</w:t>
            </w:r>
          </w:p>
        </w:tc>
        <w:tc>
          <w:tcPr>
            <w:tcW w:w="588" w:type="dxa"/>
            <w:tcBorders>
              <w:top w:val="nil"/>
              <w:left w:val="nil"/>
              <w:bottom w:val="single" w:sz="8" w:space="0" w:color="002060"/>
              <w:right w:val="nil"/>
            </w:tcBorders>
            <w:shd w:val="clear" w:color="auto" w:fill="auto"/>
            <w:noWrap/>
            <w:vAlign w:val="center"/>
            <w:hideMark/>
          </w:tcPr>
          <w:p w14:paraId="5D5844F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2.87</w:t>
            </w:r>
          </w:p>
        </w:tc>
        <w:tc>
          <w:tcPr>
            <w:tcW w:w="580" w:type="dxa"/>
            <w:tcBorders>
              <w:top w:val="nil"/>
              <w:left w:val="nil"/>
              <w:bottom w:val="single" w:sz="8" w:space="0" w:color="002060"/>
              <w:right w:val="single" w:sz="8" w:space="0" w:color="002060"/>
            </w:tcBorders>
            <w:shd w:val="clear" w:color="auto" w:fill="auto"/>
            <w:noWrap/>
            <w:vAlign w:val="center"/>
            <w:hideMark/>
          </w:tcPr>
          <w:p w14:paraId="1E5B41F4"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3.89</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2DFDEF47" w14:textId="77777777" w:rsidR="00AE564D" w:rsidRPr="00397875"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single" w:sz="8" w:space="0" w:color="002060"/>
              <w:right w:val="nil"/>
            </w:tcBorders>
            <w:shd w:val="clear" w:color="auto" w:fill="auto"/>
            <w:noWrap/>
            <w:vAlign w:val="center"/>
            <w:hideMark/>
          </w:tcPr>
          <w:p w14:paraId="01D1552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4</w:t>
            </w:r>
          </w:p>
        </w:tc>
        <w:tc>
          <w:tcPr>
            <w:tcW w:w="596" w:type="dxa"/>
            <w:tcBorders>
              <w:top w:val="nil"/>
              <w:left w:val="nil"/>
              <w:bottom w:val="single" w:sz="8" w:space="0" w:color="002060"/>
              <w:right w:val="nil"/>
            </w:tcBorders>
            <w:shd w:val="clear" w:color="auto" w:fill="auto"/>
            <w:noWrap/>
            <w:vAlign w:val="center"/>
            <w:hideMark/>
          </w:tcPr>
          <w:p w14:paraId="56BBA0C3"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 </w:t>
            </w:r>
          </w:p>
        </w:tc>
        <w:tc>
          <w:tcPr>
            <w:tcW w:w="716" w:type="dxa"/>
            <w:tcBorders>
              <w:top w:val="nil"/>
              <w:left w:val="nil"/>
              <w:bottom w:val="single" w:sz="8" w:space="0" w:color="002060"/>
              <w:right w:val="nil"/>
            </w:tcBorders>
            <w:shd w:val="clear" w:color="auto" w:fill="auto"/>
            <w:noWrap/>
            <w:vAlign w:val="center"/>
            <w:hideMark/>
          </w:tcPr>
          <w:p w14:paraId="77134782"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 </w:t>
            </w:r>
          </w:p>
        </w:tc>
        <w:tc>
          <w:tcPr>
            <w:tcW w:w="556" w:type="dxa"/>
            <w:tcBorders>
              <w:top w:val="nil"/>
              <w:left w:val="nil"/>
              <w:bottom w:val="single" w:sz="8" w:space="0" w:color="002060"/>
              <w:right w:val="nil"/>
            </w:tcBorders>
            <w:shd w:val="clear" w:color="auto" w:fill="auto"/>
            <w:noWrap/>
            <w:vAlign w:val="center"/>
            <w:hideMark/>
          </w:tcPr>
          <w:p w14:paraId="39AB41EF"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 </w:t>
            </w:r>
          </w:p>
        </w:tc>
        <w:tc>
          <w:tcPr>
            <w:tcW w:w="596" w:type="dxa"/>
            <w:tcBorders>
              <w:top w:val="nil"/>
              <w:left w:val="nil"/>
              <w:bottom w:val="single" w:sz="8" w:space="0" w:color="002060"/>
              <w:right w:val="nil"/>
            </w:tcBorders>
            <w:shd w:val="clear" w:color="auto" w:fill="auto"/>
            <w:noWrap/>
            <w:vAlign w:val="center"/>
            <w:hideMark/>
          </w:tcPr>
          <w:p w14:paraId="7A0D4377"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 </w:t>
            </w:r>
          </w:p>
        </w:tc>
        <w:tc>
          <w:tcPr>
            <w:tcW w:w="796" w:type="dxa"/>
            <w:tcBorders>
              <w:top w:val="nil"/>
              <w:left w:val="nil"/>
              <w:bottom w:val="single" w:sz="8" w:space="0" w:color="002060"/>
              <w:right w:val="nil"/>
            </w:tcBorders>
            <w:shd w:val="clear" w:color="auto" w:fill="auto"/>
            <w:noWrap/>
            <w:vAlign w:val="center"/>
            <w:hideMark/>
          </w:tcPr>
          <w:p w14:paraId="69E21DAB"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 </w:t>
            </w:r>
          </w:p>
        </w:tc>
        <w:tc>
          <w:tcPr>
            <w:tcW w:w="528" w:type="dxa"/>
            <w:tcBorders>
              <w:top w:val="nil"/>
              <w:left w:val="nil"/>
              <w:bottom w:val="single" w:sz="8" w:space="0" w:color="002060"/>
              <w:right w:val="nil"/>
            </w:tcBorders>
            <w:shd w:val="clear" w:color="auto" w:fill="auto"/>
            <w:noWrap/>
            <w:vAlign w:val="center"/>
            <w:hideMark/>
          </w:tcPr>
          <w:p w14:paraId="229929A0"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 </w:t>
            </w:r>
          </w:p>
        </w:tc>
        <w:tc>
          <w:tcPr>
            <w:tcW w:w="540" w:type="dxa"/>
            <w:tcBorders>
              <w:top w:val="nil"/>
              <w:left w:val="nil"/>
              <w:bottom w:val="single" w:sz="8" w:space="0" w:color="002060"/>
              <w:right w:val="single" w:sz="8" w:space="0" w:color="002060"/>
            </w:tcBorders>
            <w:shd w:val="clear" w:color="auto" w:fill="auto"/>
            <w:noWrap/>
            <w:vAlign w:val="center"/>
            <w:hideMark/>
          </w:tcPr>
          <w:p w14:paraId="68DEA64E" w14:textId="77777777" w:rsidR="00AE564D" w:rsidRPr="00397875" w:rsidRDefault="00AE564D" w:rsidP="00E26D3C">
            <w:pPr>
              <w:spacing w:after="0" w:line="240" w:lineRule="auto"/>
              <w:jc w:val="center"/>
              <w:rPr>
                <w:rFonts w:eastAsia="Times New Roman" w:cstheme="minorHAnsi"/>
                <w:color w:val="000000"/>
                <w:sz w:val="18"/>
                <w:szCs w:val="18"/>
                <w:lang w:eastAsia="en-AU"/>
              </w:rPr>
            </w:pPr>
            <w:r w:rsidRPr="00397875">
              <w:rPr>
                <w:rFonts w:eastAsia="Times New Roman" w:cstheme="minorHAnsi"/>
                <w:color w:val="000000"/>
                <w:sz w:val="18"/>
                <w:szCs w:val="18"/>
                <w:lang w:eastAsia="en-AU"/>
              </w:rPr>
              <w:t> </w:t>
            </w:r>
          </w:p>
        </w:tc>
      </w:tr>
    </w:tbl>
    <w:p w14:paraId="2C0E2309" w14:textId="77777777" w:rsidR="00AE564D" w:rsidRPr="00BA2632" w:rsidRDefault="00AE564D" w:rsidP="00AE564D">
      <w:pPr>
        <w:spacing w:after="0" w:line="240" w:lineRule="auto"/>
        <w:sectPr w:rsidR="00AE564D" w:rsidRPr="00BA2632" w:rsidSect="007C7C0F">
          <w:pgSz w:w="16838" w:h="11906" w:orient="landscape"/>
          <w:pgMar w:top="567" w:right="851" w:bottom="851" w:left="1134" w:header="709" w:footer="709" w:gutter="0"/>
          <w:cols w:space="720"/>
        </w:sectPr>
      </w:pPr>
    </w:p>
    <w:p w14:paraId="1DE49181" w14:textId="3F75E2C2" w:rsidR="00934E93" w:rsidRDefault="00934E93" w:rsidP="00934E93">
      <w:pPr>
        <w:rPr>
          <w:szCs w:val="24"/>
          <w:lang w:val="en-GB"/>
        </w:rPr>
      </w:pPr>
      <w:r>
        <w:lastRenderedPageBreak/>
        <w:t>The major feature of the data is that increasing flow categories generally leads to decreased rates of oxygen production or consumption per litre of water. Without specific data to quantify these observations, it is expected that much of the primary production and ecosystem respiration occurs on the sediment surface and on other hard substrates in the water columns (</w:t>
      </w:r>
      <w:proofErr w:type="gramStart"/>
      <w:r>
        <w:t>e.g.</w:t>
      </w:r>
      <w:proofErr w:type="gramEnd"/>
      <w:r>
        <w:t xml:space="preserve"> snags). Biofilms</w:t>
      </w:r>
      <w:r w:rsidRPr="00A146AA">
        <w:t xml:space="preserve">, especially in the littoral zone (shallow, near bank region), are typically very important contributors to overall primary production. A recent </w:t>
      </w:r>
      <w:proofErr w:type="spellStart"/>
      <w:proofErr w:type="gramStart"/>
      <w:r w:rsidRPr="00A146AA">
        <w:t>Masters</w:t>
      </w:r>
      <w:proofErr w:type="spellEnd"/>
      <w:proofErr w:type="gramEnd"/>
      <w:r w:rsidRPr="00A146AA">
        <w:t xml:space="preserve"> degree research project at the University of Melbourne (supervised by Angus Webb and Mike Grace) examined the contribution of water column primary production and respiration to stream metabolism at several of the sites in the Goulburn River. The findings of this project are </w:t>
      </w:r>
      <w:r w:rsidR="00914BC4" w:rsidRPr="00A146AA">
        <w:t xml:space="preserve">summarised in Section </w:t>
      </w:r>
      <w:r w:rsidR="00590768">
        <w:t>10</w:t>
      </w:r>
      <w:r w:rsidR="00A146AA" w:rsidRPr="00A146AA">
        <w:t xml:space="preserve"> and will be further integrated into the whole stream metabolism analysis in </w:t>
      </w:r>
      <w:r w:rsidRPr="00A146AA">
        <w:t>next year’s report. The importance of the littoral zone sets the Goulburn (and Lachlan and Edward/</w:t>
      </w:r>
      <w:proofErr w:type="spellStart"/>
      <w:r w:rsidRPr="00A146AA">
        <w:t>Kolety</w:t>
      </w:r>
      <w:proofErr w:type="spellEnd"/>
      <w:r w:rsidRPr="00A146AA">
        <w:t>-Wakool river systems) apart from the larger rivers (Murrumbidgee and Lower Murray) where water column primary production via phytoplankton is a more important contributor to overall GPP. These changes in oxygen concentration from GPP (&amp; ER) arising from the sediment and other hard surfaces are then mixed through the water column. The shallower the overlying water, the more influence the sediment-based changes in DO will have on this overlying water. Hence when more water is added, this sediment-based signal is distributed into more water and hence is ‘diluted’. Of course, adding</w:t>
      </w:r>
      <w:r>
        <w:t xml:space="preserve"> more water to the existing water column will also ‘dilute’ the extant phytoplankton population, thus reducing volumetric GPP rates, </w:t>
      </w:r>
      <w:proofErr w:type="gramStart"/>
      <w:r>
        <w:t>assuming that</w:t>
      </w:r>
      <w:proofErr w:type="gramEnd"/>
      <w:r>
        <w:t xml:space="preserve"> the ‘new’ water has lower phytoplankton populations. Attempting to better identify the relative contributions of benthic and water-column metabolism will be the subject of a contingency monitoring project to be undertaken over summer 2020-21.</w:t>
      </w:r>
    </w:p>
    <w:p w14:paraId="2A833679" w14:textId="2BDACAA5" w:rsidR="00AE564D" w:rsidRPr="00BA2632" w:rsidRDefault="00AE564D" w:rsidP="00AE564D">
      <w:r w:rsidRPr="00BA2632">
        <w:t>Consideration of the origins of the decrease in GPP and ER with flow is important when determining the effectiveness of environmental water additions, as at first glance it might be assumed that adding water is achieving poor ecological outcomes. However</w:t>
      </w:r>
      <w:r w:rsidRPr="00BA2632" w:rsidDel="008B71F2">
        <w:t>,</w:t>
      </w:r>
      <w:r w:rsidRPr="00A34727">
        <w:t xml:space="preserve"> </w:t>
      </w:r>
      <w:r>
        <w:t xml:space="preserve">as strongly argued later, </w:t>
      </w:r>
      <w:r w:rsidRPr="00BA2632">
        <w:t>it is the overall increase in organic carbon load that is the major consideration when the effects of watering actions are considered.</w:t>
      </w:r>
    </w:p>
    <w:p w14:paraId="06CD81F9" w14:textId="7F841F76" w:rsidR="00AE564D" w:rsidRPr="00BA2632" w:rsidRDefault="00AE564D" w:rsidP="00AE564D">
      <w:pPr>
        <w:pStyle w:val="Heading3"/>
      </w:pPr>
      <w:bookmarkStart w:id="267" w:name="_Toc84417358"/>
      <w:r w:rsidRPr="00BA2632">
        <w:t xml:space="preserve">Investigating the </w:t>
      </w:r>
      <w:r w:rsidR="00D62993">
        <w:t>b</w:t>
      </w:r>
      <w:r w:rsidRPr="00BA2632">
        <w:t xml:space="preserve">asal </w:t>
      </w:r>
      <w:r w:rsidR="00D62993">
        <w:t>d</w:t>
      </w:r>
      <w:r w:rsidRPr="00BA2632">
        <w:t xml:space="preserve">rivers for </w:t>
      </w:r>
      <w:r w:rsidR="00D62993">
        <w:t>m</w:t>
      </w:r>
      <w:r w:rsidRPr="00BA2632">
        <w:t>etabolism</w:t>
      </w:r>
      <w:bookmarkEnd w:id="267"/>
    </w:p>
    <w:bookmarkEnd w:id="248"/>
    <w:p w14:paraId="14FFE1E9" w14:textId="77777777" w:rsidR="00AE564D" w:rsidRPr="008C5AED" w:rsidRDefault="00AE564D" w:rsidP="000A4CA2">
      <w:pPr>
        <w:rPr>
          <w:rFonts w:cstheme="minorHAnsi"/>
          <w:lang w:val="en-US"/>
        </w:rPr>
      </w:pPr>
      <w:r w:rsidRPr="008C5AED">
        <w:t>Previous reports have demonstrated for several years that GPP is positively correla</w:t>
      </w:r>
      <w:r w:rsidRPr="008C5AED">
        <w:rPr>
          <w:rFonts w:cstheme="minorHAnsi"/>
        </w:rPr>
        <w:t>ted with daily light and temperature and that ER is correlated with temperature as well. Unsurprisingly daily light and average daily water temperature are correlated with each other. Solar irradiance provides both light and heat to the water surface, so days of higher and more intense sunshine result in warmer water temperatures. This finding does mean that subsequent data analysis must take this covariance into account. These dependencies are explored in the Bayesian modelling described in Section 5.5.5.</w:t>
      </w:r>
    </w:p>
    <w:p w14:paraId="378A60D1" w14:textId="5154209F" w:rsidR="00AE564D" w:rsidRPr="00605025" w:rsidRDefault="00AE564D" w:rsidP="000A4CA2">
      <w:pPr>
        <w:rPr>
          <w:rFonts w:cstheme="minorHAnsi"/>
        </w:rPr>
      </w:pPr>
      <w:r w:rsidRPr="00605025">
        <w:t xml:space="preserve">Nutrient concentrations from the five MER sites were determined from samples that were collected approximately monthly in 2019-2021. These data are presented in Table </w:t>
      </w:r>
      <w:r w:rsidRPr="00605025">
        <w:rPr>
          <w:rFonts w:cstheme="minorHAnsi"/>
          <w:noProof/>
        </w:rPr>
        <w:t>5-13, along with turbidity</w:t>
      </w:r>
      <w:r w:rsidRPr="00605025">
        <w:rPr>
          <w:rFonts w:cstheme="minorHAnsi"/>
        </w:rPr>
        <w:t xml:space="preserve">. Pooled nutrient data from all sites and across the seven years of record (2014-2021) are presented in Table 5-14. Also included in this table are data from the LTIM program plus data from 2014-19 at Murchison and McCoy’s Bridge </w:t>
      </w:r>
      <w:r w:rsidR="0018467D">
        <w:rPr>
          <w:rFonts w:cstheme="minorHAnsi"/>
          <w:noProof/>
        </w:rPr>
        <w:t>(DELWP 2015)</w:t>
      </w:r>
      <w:r w:rsidRPr="00605025">
        <w:rPr>
          <w:rFonts w:cstheme="minorHAnsi"/>
        </w:rPr>
        <w:t xml:space="preserve">. </w:t>
      </w:r>
    </w:p>
    <w:p w14:paraId="52B0FC1B" w14:textId="77777777" w:rsidR="00AE564D" w:rsidRDefault="00AE564D" w:rsidP="00AE564D">
      <w:r>
        <w:t xml:space="preserve">The key finding is </w:t>
      </w:r>
      <w:proofErr w:type="gramStart"/>
      <w:r>
        <w:t>that,</w:t>
      </w:r>
      <w:proofErr w:type="gramEnd"/>
      <w:r>
        <w:t xml:space="preserve"> consistent with the six previous years, the concentrations of bioavailable nutrients in the Goulburn River at all sites were very low. In particular, the bioavailable phosphorus concentration FRP, was consistently below 0.01 mg P/L with a few exceptions. These higher concentrations occurred in mid-autumn through to winter, possibly arising from breakdown of organic matter, plant detritus etc from the summer growth period. Similar mid-late autumn ‘peaks’ in FRP have been observed previously at McCoy’s Bridge. It is very difficult to draw any conclusions about the effects of flow events (including Commonwealth environmental water) on nutrient concentrations as monitoring does not occur over the changing hydrograph; </w:t>
      </w:r>
      <w:proofErr w:type="gramStart"/>
      <w:r>
        <w:t>instead</w:t>
      </w:r>
      <w:proofErr w:type="gramEnd"/>
      <w:r>
        <w:t xml:space="preserve"> it is performed when the DO loggers are downloaded and maintained.</w:t>
      </w:r>
    </w:p>
    <w:p w14:paraId="6CC932C1" w14:textId="3EDE7DFB" w:rsidR="00AE564D" w:rsidRPr="00377D1D" w:rsidRDefault="00AE564D" w:rsidP="00377D1D">
      <w:pPr>
        <w:spacing w:after="160" w:line="256" w:lineRule="auto"/>
        <w:rPr>
          <w:rFonts w:ascii="Arial Narrow" w:hAnsi="Arial Narrow"/>
          <w:b/>
        </w:rPr>
      </w:pPr>
      <w:r w:rsidRPr="00BA2632">
        <w:br w:type="page"/>
      </w:r>
      <w:bookmarkStart w:id="268" w:name="_MON_1598026145"/>
      <w:bookmarkStart w:id="269" w:name="_Ref52391809"/>
      <w:bookmarkEnd w:id="268"/>
    </w:p>
    <w:p w14:paraId="71C2AFD3" w14:textId="155853A0" w:rsidR="00AE564D" w:rsidRPr="00BA2632" w:rsidRDefault="00AE564D" w:rsidP="00AE564D">
      <w:pPr>
        <w:pStyle w:val="Caption"/>
        <w:keepNext/>
      </w:pPr>
      <w:bookmarkStart w:id="270" w:name="_Ref83783769"/>
      <w:bookmarkStart w:id="271" w:name="_Toc95391474"/>
      <w:r w:rsidRPr="00BA2632">
        <w:lastRenderedPageBreak/>
        <w:t xml:space="preserve">Table </w:t>
      </w:r>
      <w:r w:rsidR="00590768">
        <w:rPr>
          <w:noProof/>
        </w:rPr>
        <w:t>5</w:t>
      </w:r>
      <w:r w:rsidR="000B75AF">
        <w:noBreakHyphen/>
      </w:r>
      <w:r w:rsidR="00590768">
        <w:rPr>
          <w:noProof/>
        </w:rPr>
        <w:t>13</w:t>
      </w:r>
      <w:bookmarkEnd w:id="269"/>
      <w:bookmarkEnd w:id="270"/>
      <w:r w:rsidRPr="00BA2632">
        <w:t xml:space="preserve"> Summary of Nutrient (N, P &amp; C) concentrations of water samples collected from all five MER study sites combined over the period May 2019 to April 202</w:t>
      </w:r>
      <w:r>
        <w:t>1</w:t>
      </w:r>
      <w:r w:rsidRPr="00BA2632">
        <w:t>. For comparison, the combined LTIM data (four sites, 2014-19) and separately measured data for the Murchison and McCoy’s Bridge sites were downloaded from the (Victorian) DELWP Water Measurement Information System covering the period July 2004 to June 2019. The number of single measurements in the LTIM data set that were below the Limit of Detection (</w:t>
      </w:r>
      <w:proofErr w:type="spellStart"/>
      <w:r w:rsidRPr="00BA2632">
        <w:t>LoD</w:t>
      </w:r>
      <w:proofErr w:type="spellEnd"/>
      <w:r w:rsidRPr="00BA2632">
        <w:t>, 0.001 mg/L for dissolved nutrients, variable for Chlorophyll-a) are also noted.</w:t>
      </w:r>
      <w:bookmarkEnd w:id="271"/>
    </w:p>
    <w:tbl>
      <w:tblPr>
        <w:tblW w:w="8160" w:type="dxa"/>
        <w:jc w:val="center"/>
        <w:tblLook w:val="04A0" w:firstRow="1" w:lastRow="0" w:firstColumn="1" w:lastColumn="0" w:noHBand="0" w:noVBand="1"/>
      </w:tblPr>
      <w:tblGrid>
        <w:gridCol w:w="1720"/>
        <w:gridCol w:w="991"/>
        <w:gridCol w:w="700"/>
        <w:gridCol w:w="720"/>
        <w:gridCol w:w="680"/>
        <w:gridCol w:w="640"/>
        <w:gridCol w:w="640"/>
        <w:gridCol w:w="1480"/>
        <w:gridCol w:w="620"/>
      </w:tblGrid>
      <w:tr w:rsidR="00AE564D" w:rsidRPr="00661BC3" w14:paraId="5A6CF13A" w14:textId="77777777" w:rsidTr="00E26D3C">
        <w:trPr>
          <w:trHeight w:val="315"/>
          <w:jc w:val="center"/>
        </w:trPr>
        <w:tc>
          <w:tcPr>
            <w:tcW w:w="1720" w:type="dxa"/>
            <w:vMerge w:val="restart"/>
            <w:tcBorders>
              <w:top w:val="single" w:sz="8" w:space="0" w:color="002060"/>
              <w:left w:val="single" w:sz="8" w:space="0" w:color="002060"/>
              <w:bottom w:val="single" w:sz="8" w:space="0" w:color="FFFFFF"/>
              <w:right w:val="single" w:sz="8" w:space="0" w:color="002060"/>
            </w:tcBorders>
            <w:shd w:val="clear" w:color="000000" w:fill="002060"/>
            <w:noWrap/>
            <w:vAlign w:val="center"/>
            <w:hideMark/>
          </w:tcPr>
          <w:p w14:paraId="54E03573"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Program</w:t>
            </w:r>
          </w:p>
        </w:tc>
        <w:tc>
          <w:tcPr>
            <w:tcW w:w="960" w:type="dxa"/>
            <w:tcBorders>
              <w:top w:val="single" w:sz="8" w:space="0" w:color="002060"/>
              <w:left w:val="nil"/>
              <w:bottom w:val="single" w:sz="8" w:space="0" w:color="002060"/>
              <w:right w:val="nil"/>
            </w:tcBorders>
            <w:shd w:val="clear" w:color="000000" w:fill="002060"/>
            <w:noWrap/>
            <w:vAlign w:val="center"/>
            <w:hideMark/>
          </w:tcPr>
          <w:p w14:paraId="386F6A19"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Parameter</w:t>
            </w:r>
          </w:p>
        </w:tc>
        <w:tc>
          <w:tcPr>
            <w:tcW w:w="700" w:type="dxa"/>
            <w:tcBorders>
              <w:top w:val="single" w:sz="8" w:space="0" w:color="002060"/>
              <w:left w:val="nil"/>
              <w:bottom w:val="single" w:sz="8" w:space="0" w:color="002060"/>
              <w:right w:val="nil"/>
            </w:tcBorders>
            <w:shd w:val="clear" w:color="000000" w:fill="002060"/>
            <w:noWrap/>
            <w:vAlign w:val="center"/>
            <w:hideMark/>
          </w:tcPr>
          <w:p w14:paraId="25461B73"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NO</w:t>
            </w:r>
            <w:r w:rsidRPr="00661BC3">
              <w:rPr>
                <w:rFonts w:eastAsia="Times New Roman" w:cstheme="minorHAnsi"/>
                <w:color w:val="FFFFFF"/>
                <w:sz w:val="18"/>
                <w:szCs w:val="18"/>
                <w:vertAlign w:val="subscript"/>
                <w:lang w:eastAsia="en-AU"/>
              </w:rPr>
              <w:t>x</w:t>
            </w:r>
          </w:p>
        </w:tc>
        <w:tc>
          <w:tcPr>
            <w:tcW w:w="720" w:type="dxa"/>
            <w:tcBorders>
              <w:top w:val="single" w:sz="8" w:space="0" w:color="002060"/>
              <w:left w:val="nil"/>
              <w:bottom w:val="single" w:sz="8" w:space="0" w:color="002060"/>
              <w:right w:val="nil"/>
            </w:tcBorders>
            <w:shd w:val="clear" w:color="000000" w:fill="002060"/>
            <w:noWrap/>
            <w:vAlign w:val="center"/>
            <w:hideMark/>
          </w:tcPr>
          <w:p w14:paraId="0D97C081"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NH</w:t>
            </w:r>
            <w:r w:rsidRPr="00661BC3">
              <w:rPr>
                <w:rFonts w:eastAsia="Times New Roman" w:cstheme="minorHAnsi"/>
                <w:color w:val="FFFFFF"/>
                <w:sz w:val="18"/>
                <w:szCs w:val="18"/>
                <w:vertAlign w:val="subscript"/>
                <w:lang w:eastAsia="en-AU"/>
              </w:rPr>
              <w:t>3</w:t>
            </w:r>
          </w:p>
        </w:tc>
        <w:tc>
          <w:tcPr>
            <w:tcW w:w="680" w:type="dxa"/>
            <w:tcBorders>
              <w:top w:val="single" w:sz="8" w:space="0" w:color="002060"/>
              <w:left w:val="nil"/>
              <w:bottom w:val="single" w:sz="8" w:space="0" w:color="002060"/>
              <w:right w:val="nil"/>
            </w:tcBorders>
            <w:shd w:val="clear" w:color="000000" w:fill="002060"/>
            <w:noWrap/>
            <w:vAlign w:val="center"/>
            <w:hideMark/>
          </w:tcPr>
          <w:p w14:paraId="11C0D169"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Total N</w:t>
            </w:r>
          </w:p>
        </w:tc>
        <w:tc>
          <w:tcPr>
            <w:tcW w:w="640" w:type="dxa"/>
            <w:tcBorders>
              <w:top w:val="single" w:sz="8" w:space="0" w:color="002060"/>
              <w:left w:val="nil"/>
              <w:bottom w:val="single" w:sz="8" w:space="0" w:color="002060"/>
              <w:right w:val="nil"/>
            </w:tcBorders>
            <w:shd w:val="clear" w:color="000000" w:fill="002060"/>
            <w:noWrap/>
            <w:vAlign w:val="center"/>
            <w:hideMark/>
          </w:tcPr>
          <w:p w14:paraId="2D2E53A1"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Total P</w:t>
            </w:r>
          </w:p>
        </w:tc>
        <w:tc>
          <w:tcPr>
            <w:tcW w:w="640" w:type="dxa"/>
            <w:tcBorders>
              <w:top w:val="single" w:sz="8" w:space="0" w:color="002060"/>
              <w:left w:val="nil"/>
              <w:bottom w:val="single" w:sz="8" w:space="0" w:color="002060"/>
              <w:right w:val="nil"/>
            </w:tcBorders>
            <w:shd w:val="clear" w:color="000000" w:fill="002060"/>
            <w:noWrap/>
            <w:vAlign w:val="center"/>
            <w:hideMark/>
          </w:tcPr>
          <w:p w14:paraId="654B20F3"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FRP</w:t>
            </w:r>
          </w:p>
        </w:tc>
        <w:tc>
          <w:tcPr>
            <w:tcW w:w="1480" w:type="dxa"/>
            <w:tcBorders>
              <w:top w:val="single" w:sz="8" w:space="0" w:color="002060"/>
              <w:left w:val="nil"/>
              <w:bottom w:val="single" w:sz="8" w:space="0" w:color="002060"/>
              <w:right w:val="nil"/>
            </w:tcBorders>
            <w:shd w:val="clear" w:color="000000" w:fill="002060"/>
            <w:noWrap/>
            <w:vAlign w:val="center"/>
            <w:hideMark/>
          </w:tcPr>
          <w:p w14:paraId="0E3C05D6"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DOC (MER) / NPOC</w:t>
            </w:r>
          </w:p>
        </w:tc>
        <w:tc>
          <w:tcPr>
            <w:tcW w:w="620" w:type="dxa"/>
            <w:tcBorders>
              <w:top w:val="single" w:sz="8" w:space="0" w:color="002060"/>
              <w:left w:val="nil"/>
              <w:bottom w:val="single" w:sz="8" w:space="0" w:color="002060"/>
              <w:right w:val="single" w:sz="8" w:space="0" w:color="002060"/>
            </w:tcBorders>
            <w:shd w:val="clear" w:color="000000" w:fill="002060"/>
            <w:noWrap/>
            <w:vAlign w:val="center"/>
            <w:hideMark/>
          </w:tcPr>
          <w:p w14:paraId="2FB8AA60" w14:textId="77777777" w:rsidR="00AE564D" w:rsidRPr="00661BC3" w:rsidRDefault="00AE564D" w:rsidP="00E26D3C">
            <w:pPr>
              <w:spacing w:after="0" w:line="240" w:lineRule="auto"/>
              <w:jc w:val="center"/>
              <w:rPr>
                <w:rFonts w:eastAsia="Times New Roman" w:cstheme="minorHAnsi"/>
                <w:color w:val="FFFFFF"/>
                <w:sz w:val="18"/>
                <w:szCs w:val="18"/>
                <w:lang w:eastAsia="en-AU"/>
              </w:rPr>
            </w:pPr>
            <w:proofErr w:type="spellStart"/>
            <w:r w:rsidRPr="00661BC3">
              <w:rPr>
                <w:rFonts w:eastAsia="Times New Roman" w:cstheme="minorHAnsi"/>
                <w:color w:val="FFFFFF"/>
                <w:sz w:val="18"/>
                <w:szCs w:val="18"/>
                <w:lang w:eastAsia="en-AU"/>
              </w:rPr>
              <w:t>Chl</w:t>
            </w:r>
            <w:proofErr w:type="spellEnd"/>
            <w:r w:rsidRPr="00661BC3">
              <w:rPr>
                <w:rFonts w:eastAsia="Times New Roman" w:cstheme="minorHAnsi"/>
                <w:color w:val="FFFFFF"/>
                <w:sz w:val="18"/>
                <w:szCs w:val="18"/>
                <w:lang w:eastAsia="en-AU"/>
              </w:rPr>
              <w:t>-a</w:t>
            </w:r>
          </w:p>
        </w:tc>
      </w:tr>
      <w:tr w:rsidR="00AE564D" w:rsidRPr="00661BC3" w14:paraId="35B3FE11" w14:textId="77777777" w:rsidTr="00E26D3C">
        <w:trPr>
          <w:trHeight w:val="315"/>
          <w:jc w:val="center"/>
        </w:trPr>
        <w:tc>
          <w:tcPr>
            <w:tcW w:w="1720" w:type="dxa"/>
            <w:vMerge/>
            <w:tcBorders>
              <w:top w:val="single" w:sz="8" w:space="0" w:color="002060"/>
              <w:left w:val="single" w:sz="8" w:space="0" w:color="002060"/>
              <w:bottom w:val="single" w:sz="8" w:space="0" w:color="FFFFFF"/>
              <w:right w:val="single" w:sz="8" w:space="0" w:color="002060"/>
            </w:tcBorders>
            <w:vAlign w:val="center"/>
            <w:hideMark/>
          </w:tcPr>
          <w:p w14:paraId="206F1B6F" w14:textId="77777777" w:rsidR="00AE564D" w:rsidRPr="00661BC3" w:rsidRDefault="00AE564D" w:rsidP="00E26D3C">
            <w:pPr>
              <w:spacing w:after="0" w:line="240" w:lineRule="auto"/>
              <w:rPr>
                <w:rFonts w:eastAsia="Times New Roman" w:cstheme="minorHAnsi"/>
                <w:color w:val="FFFFFF"/>
                <w:sz w:val="18"/>
                <w:szCs w:val="18"/>
                <w:lang w:eastAsia="en-AU"/>
              </w:rPr>
            </w:pPr>
          </w:p>
        </w:tc>
        <w:tc>
          <w:tcPr>
            <w:tcW w:w="960" w:type="dxa"/>
            <w:tcBorders>
              <w:top w:val="nil"/>
              <w:left w:val="nil"/>
              <w:bottom w:val="single" w:sz="8" w:space="0" w:color="002060"/>
              <w:right w:val="nil"/>
            </w:tcBorders>
            <w:shd w:val="clear" w:color="000000" w:fill="002060"/>
            <w:noWrap/>
            <w:vAlign w:val="center"/>
            <w:hideMark/>
          </w:tcPr>
          <w:p w14:paraId="617C313D"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 </w:t>
            </w:r>
          </w:p>
        </w:tc>
        <w:tc>
          <w:tcPr>
            <w:tcW w:w="700" w:type="dxa"/>
            <w:tcBorders>
              <w:top w:val="nil"/>
              <w:left w:val="nil"/>
              <w:bottom w:val="single" w:sz="8" w:space="0" w:color="002060"/>
              <w:right w:val="nil"/>
            </w:tcBorders>
            <w:shd w:val="clear" w:color="000000" w:fill="002060"/>
            <w:noWrap/>
            <w:vAlign w:val="center"/>
            <w:hideMark/>
          </w:tcPr>
          <w:p w14:paraId="7479C8AC"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mg/L N</w:t>
            </w:r>
          </w:p>
        </w:tc>
        <w:tc>
          <w:tcPr>
            <w:tcW w:w="720" w:type="dxa"/>
            <w:tcBorders>
              <w:top w:val="nil"/>
              <w:left w:val="nil"/>
              <w:bottom w:val="single" w:sz="8" w:space="0" w:color="002060"/>
              <w:right w:val="nil"/>
            </w:tcBorders>
            <w:shd w:val="clear" w:color="000000" w:fill="002060"/>
            <w:noWrap/>
            <w:vAlign w:val="center"/>
            <w:hideMark/>
          </w:tcPr>
          <w:p w14:paraId="7F1474AD"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mg/L N</w:t>
            </w:r>
          </w:p>
        </w:tc>
        <w:tc>
          <w:tcPr>
            <w:tcW w:w="680" w:type="dxa"/>
            <w:tcBorders>
              <w:top w:val="nil"/>
              <w:left w:val="nil"/>
              <w:bottom w:val="single" w:sz="8" w:space="0" w:color="002060"/>
              <w:right w:val="nil"/>
            </w:tcBorders>
            <w:shd w:val="clear" w:color="000000" w:fill="002060"/>
            <w:noWrap/>
            <w:vAlign w:val="center"/>
            <w:hideMark/>
          </w:tcPr>
          <w:p w14:paraId="4ECD1D56"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mg/L N</w:t>
            </w:r>
          </w:p>
        </w:tc>
        <w:tc>
          <w:tcPr>
            <w:tcW w:w="640" w:type="dxa"/>
            <w:tcBorders>
              <w:top w:val="nil"/>
              <w:left w:val="nil"/>
              <w:bottom w:val="single" w:sz="8" w:space="0" w:color="002060"/>
              <w:right w:val="nil"/>
            </w:tcBorders>
            <w:shd w:val="clear" w:color="000000" w:fill="002060"/>
            <w:noWrap/>
            <w:vAlign w:val="center"/>
            <w:hideMark/>
          </w:tcPr>
          <w:p w14:paraId="2DEB5C43"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mg/L P</w:t>
            </w:r>
          </w:p>
        </w:tc>
        <w:tc>
          <w:tcPr>
            <w:tcW w:w="640" w:type="dxa"/>
            <w:tcBorders>
              <w:top w:val="nil"/>
              <w:left w:val="nil"/>
              <w:bottom w:val="single" w:sz="8" w:space="0" w:color="002060"/>
              <w:right w:val="nil"/>
            </w:tcBorders>
            <w:shd w:val="clear" w:color="000000" w:fill="002060"/>
            <w:noWrap/>
            <w:vAlign w:val="center"/>
            <w:hideMark/>
          </w:tcPr>
          <w:p w14:paraId="393F3F05"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mg/L P</w:t>
            </w:r>
          </w:p>
        </w:tc>
        <w:tc>
          <w:tcPr>
            <w:tcW w:w="1480" w:type="dxa"/>
            <w:tcBorders>
              <w:top w:val="nil"/>
              <w:left w:val="nil"/>
              <w:bottom w:val="single" w:sz="8" w:space="0" w:color="002060"/>
              <w:right w:val="nil"/>
            </w:tcBorders>
            <w:shd w:val="clear" w:color="000000" w:fill="002060"/>
            <w:noWrap/>
            <w:vAlign w:val="center"/>
            <w:hideMark/>
          </w:tcPr>
          <w:p w14:paraId="4A618400"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mg C/L</w:t>
            </w:r>
          </w:p>
        </w:tc>
        <w:tc>
          <w:tcPr>
            <w:tcW w:w="620" w:type="dxa"/>
            <w:tcBorders>
              <w:top w:val="nil"/>
              <w:left w:val="nil"/>
              <w:bottom w:val="single" w:sz="8" w:space="0" w:color="002060"/>
              <w:right w:val="single" w:sz="8" w:space="0" w:color="002060"/>
            </w:tcBorders>
            <w:shd w:val="clear" w:color="000000" w:fill="002060"/>
            <w:noWrap/>
            <w:vAlign w:val="center"/>
            <w:hideMark/>
          </w:tcPr>
          <w:p w14:paraId="1A11BE08"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ug/L</w:t>
            </w:r>
          </w:p>
        </w:tc>
      </w:tr>
      <w:tr w:rsidR="00AE564D" w:rsidRPr="00661BC3" w14:paraId="0EB205A6" w14:textId="77777777" w:rsidTr="00E26D3C">
        <w:trPr>
          <w:trHeight w:val="300"/>
          <w:jc w:val="center"/>
        </w:trPr>
        <w:tc>
          <w:tcPr>
            <w:tcW w:w="1720" w:type="dxa"/>
            <w:vMerge w:val="restart"/>
            <w:tcBorders>
              <w:top w:val="nil"/>
              <w:left w:val="nil"/>
              <w:bottom w:val="nil"/>
              <w:right w:val="nil"/>
            </w:tcBorders>
            <w:shd w:val="clear" w:color="000000" w:fill="002060"/>
            <w:noWrap/>
            <w:vAlign w:val="center"/>
            <w:hideMark/>
          </w:tcPr>
          <w:p w14:paraId="55269EC0" w14:textId="77777777" w:rsidR="00AE564D" w:rsidRPr="00661BC3" w:rsidRDefault="00AE564D" w:rsidP="00E26D3C">
            <w:pPr>
              <w:spacing w:after="0" w:line="240" w:lineRule="auto"/>
              <w:jc w:val="center"/>
              <w:rPr>
                <w:rFonts w:eastAsia="Times New Roman" w:cstheme="minorHAnsi"/>
                <w:b/>
                <w:bCs/>
                <w:color w:val="FFFFFF"/>
                <w:sz w:val="18"/>
                <w:szCs w:val="18"/>
                <w:lang w:eastAsia="en-AU"/>
              </w:rPr>
            </w:pPr>
            <w:r w:rsidRPr="00661BC3">
              <w:rPr>
                <w:rFonts w:eastAsia="Times New Roman" w:cstheme="minorHAnsi"/>
                <w:b/>
                <w:bCs/>
                <w:color w:val="FFFFFF"/>
                <w:sz w:val="18"/>
                <w:szCs w:val="18"/>
                <w:lang w:eastAsia="en-AU"/>
              </w:rPr>
              <w:t>MER 2019-21</w:t>
            </w:r>
          </w:p>
        </w:tc>
        <w:tc>
          <w:tcPr>
            <w:tcW w:w="960" w:type="dxa"/>
            <w:tcBorders>
              <w:top w:val="nil"/>
              <w:left w:val="single" w:sz="8" w:space="0" w:color="002060"/>
              <w:bottom w:val="nil"/>
              <w:right w:val="single" w:sz="8" w:space="0" w:color="002060"/>
            </w:tcBorders>
            <w:shd w:val="clear" w:color="auto" w:fill="auto"/>
            <w:noWrap/>
            <w:vAlign w:val="center"/>
            <w:hideMark/>
          </w:tcPr>
          <w:p w14:paraId="45A51E04"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n</w:t>
            </w:r>
          </w:p>
        </w:tc>
        <w:tc>
          <w:tcPr>
            <w:tcW w:w="700" w:type="dxa"/>
            <w:tcBorders>
              <w:top w:val="nil"/>
              <w:left w:val="nil"/>
              <w:bottom w:val="nil"/>
              <w:right w:val="nil"/>
            </w:tcBorders>
            <w:shd w:val="clear" w:color="auto" w:fill="auto"/>
            <w:noWrap/>
            <w:vAlign w:val="center"/>
            <w:hideMark/>
          </w:tcPr>
          <w:p w14:paraId="6A7D595D"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96</w:t>
            </w:r>
          </w:p>
        </w:tc>
        <w:tc>
          <w:tcPr>
            <w:tcW w:w="720" w:type="dxa"/>
            <w:tcBorders>
              <w:top w:val="nil"/>
              <w:left w:val="nil"/>
              <w:bottom w:val="nil"/>
              <w:right w:val="nil"/>
            </w:tcBorders>
            <w:shd w:val="clear" w:color="auto" w:fill="auto"/>
            <w:noWrap/>
            <w:vAlign w:val="center"/>
            <w:hideMark/>
          </w:tcPr>
          <w:p w14:paraId="65DA43C9"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72</w:t>
            </w:r>
          </w:p>
        </w:tc>
        <w:tc>
          <w:tcPr>
            <w:tcW w:w="680" w:type="dxa"/>
            <w:tcBorders>
              <w:top w:val="nil"/>
              <w:left w:val="nil"/>
              <w:bottom w:val="nil"/>
              <w:right w:val="nil"/>
            </w:tcBorders>
            <w:shd w:val="clear" w:color="auto" w:fill="auto"/>
            <w:noWrap/>
            <w:vAlign w:val="center"/>
            <w:hideMark/>
          </w:tcPr>
          <w:p w14:paraId="016771A8"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96</w:t>
            </w:r>
          </w:p>
        </w:tc>
        <w:tc>
          <w:tcPr>
            <w:tcW w:w="640" w:type="dxa"/>
            <w:tcBorders>
              <w:top w:val="nil"/>
              <w:left w:val="nil"/>
              <w:bottom w:val="nil"/>
              <w:right w:val="nil"/>
            </w:tcBorders>
            <w:shd w:val="clear" w:color="auto" w:fill="auto"/>
            <w:noWrap/>
            <w:vAlign w:val="center"/>
            <w:hideMark/>
          </w:tcPr>
          <w:p w14:paraId="787FE244"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96</w:t>
            </w:r>
          </w:p>
        </w:tc>
        <w:tc>
          <w:tcPr>
            <w:tcW w:w="640" w:type="dxa"/>
            <w:tcBorders>
              <w:top w:val="nil"/>
              <w:left w:val="nil"/>
              <w:bottom w:val="nil"/>
              <w:right w:val="nil"/>
            </w:tcBorders>
            <w:shd w:val="clear" w:color="auto" w:fill="auto"/>
            <w:noWrap/>
            <w:vAlign w:val="center"/>
            <w:hideMark/>
          </w:tcPr>
          <w:p w14:paraId="5D18394C"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96</w:t>
            </w:r>
          </w:p>
        </w:tc>
        <w:tc>
          <w:tcPr>
            <w:tcW w:w="1480" w:type="dxa"/>
            <w:tcBorders>
              <w:top w:val="nil"/>
              <w:left w:val="nil"/>
              <w:bottom w:val="nil"/>
              <w:right w:val="nil"/>
            </w:tcBorders>
            <w:shd w:val="clear" w:color="auto" w:fill="auto"/>
            <w:noWrap/>
            <w:vAlign w:val="center"/>
            <w:hideMark/>
          </w:tcPr>
          <w:p w14:paraId="055B01E3"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78</w:t>
            </w:r>
          </w:p>
        </w:tc>
        <w:tc>
          <w:tcPr>
            <w:tcW w:w="620" w:type="dxa"/>
            <w:tcBorders>
              <w:top w:val="nil"/>
              <w:left w:val="nil"/>
              <w:bottom w:val="nil"/>
              <w:right w:val="single" w:sz="8" w:space="0" w:color="002060"/>
            </w:tcBorders>
            <w:shd w:val="clear" w:color="auto" w:fill="auto"/>
            <w:noWrap/>
            <w:vAlign w:val="center"/>
            <w:hideMark/>
          </w:tcPr>
          <w:p w14:paraId="0F641CD0"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70</w:t>
            </w:r>
          </w:p>
        </w:tc>
      </w:tr>
      <w:tr w:rsidR="00AE564D" w:rsidRPr="00661BC3" w14:paraId="11A35E81" w14:textId="77777777" w:rsidTr="00E26D3C">
        <w:trPr>
          <w:trHeight w:val="300"/>
          <w:jc w:val="center"/>
        </w:trPr>
        <w:tc>
          <w:tcPr>
            <w:tcW w:w="1720" w:type="dxa"/>
            <w:vMerge/>
            <w:tcBorders>
              <w:top w:val="nil"/>
              <w:left w:val="nil"/>
              <w:bottom w:val="nil"/>
              <w:right w:val="nil"/>
            </w:tcBorders>
            <w:vAlign w:val="center"/>
            <w:hideMark/>
          </w:tcPr>
          <w:p w14:paraId="5E8F599D" w14:textId="77777777" w:rsidR="00AE564D" w:rsidRPr="00661BC3" w:rsidRDefault="00AE564D" w:rsidP="00E26D3C">
            <w:pPr>
              <w:spacing w:after="0" w:line="240" w:lineRule="auto"/>
              <w:rPr>
                <w:rFonts w:eastAsia="Times New Roman" w:cstheme="minorHAnsi"/>
                <w:b/>
                <w:bCs/>
                <w:color w:val="FFFFFF"/>
                <w:sz w:val="18"/>
                <w:szCs w:val="18"/>
                <w:lang w:eastAsia="en-AU"/>
              </w:rPr>
            </w:pPr>
          </w:p>
        </w:tc>
        <w:tc>
          <w:tcPr>
            <w:tcW w:w="960" w:type="dxa"/>
            <w:tcBorders>
              <w:top w:val="nil"/>
              <w:left w:val="single" w:sz="8" w:space="0" w:color="002060"/>
              <w:bottom w:val="nil"/>
              <w:right w:val="single" w:sz="8" w:space="0" w:color="002060"/>
            </w:tcBorders>
            <w:shd w:val="clear" w:color="auto" w:fill="auto"/>
            <w:noWrap/>
            <w:vAlign w:val="center"/>
            <w:hideMark/>
          </w:tcPr>
          <w:p w14:paraId="3C6DD199"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Median</w:t>
            </w:r>
          </w:p>
        </w:tc>
        <w:tc>
          <w:tcPr>
            <w:tcW w:w="700" w:type="dxa"/>
            <w:tcBorders>
              <w:top w:val="nil"/>
              <w:left w:val="nil"/>
              <w:bottom w:val="nil"/>
              <w:right w:val="nil"/>
            </w:tcBorders>
            <w:shd w:val="clear" w:color="auto" w:fill="auto"/>
            <w:noWrap/>
            <w:vAlign w:val="center"/>
            <w:hideMark/>
          </w:tcPr>
          <w:p w14:paraId="5C0EB432"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0.100</w:t>
            </w:r>
          </w:p>
        </w:tc>
        <w:tc>
          <w:tcPr>
            <w:tcW w:w="720" w:type="dxa"/>
            <w:tcBorders>
              <w:top w:val="nil"/>
              <w:left w:val="nil"/>
              <w:bottom w:val="nil"/>
              <w:right w:val="nil"/>
            </w:tcBorders>
            <w:shd w:val="clear" w:color="auto" w:fill="auto"/>
            <w:noWrap/>
            <w:vAlign w:val="center"/>
            <w:hideMark/>
          </w:tcPr>
          <w:p w14:paraId="3B23C54B"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0.008</w:t>
            </w:r>
          </w:p>
        </w:tc>
        <w:tc>
          <w:tcPr>
            <w:tcW w:w="680" w:type="dxa"/>
            <w:tcBorders>
              <w:top w:val="nil"/>
              <w:left w:val="nil"/>
              <w:bottom w:val="nil"/>
              <w:right w:val="nil"/>
            </w:tcBorders>
            <w:shd w:val="clear" w:color="auto" w:fill="auto"/>
            <w:noWrap/>
            <w:vAlign w:val="center"/>
            <w:hideMark/>
          </w:tcPr>
          <w:p w14:paraId="6654B3FF"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0.451</w:t>
            </w:r>
          </w:p>
        </w:tc>
        <w:tc>
          <w:tcPr>
            <w:tcW w:w="640" w:type="dxa"/>
            <w:tcBorders>
              <w:top w:val="nil"/>
              <w:left w:val="nil"/>
              <w:bottom w:val="nil"/>
              <w:right w:val="nil"/>
            </w:tcBorders>
            <w:shd w:val="clear" w:color="auto" w:fill="auto"/>
            <w:noWrap/>
            <w:vAlign w:val="center"/>
            <w:hideMark/>
          </w:tcPr>
          <w:p w14:paraId="5A8A311A"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0.039</w:t>
            </w:r>
          </w:p>
        </w:tc>
        <w:tc>
          <w:tcPr>
            <w:tcW w:w="640" w:type="dxa"/>
            <w:tcBorders>
              <w:top w:val="nil"/>
              <w:left w:val="nil"/>
              <w:bottom w:val="nil"/>
              <w:right w:val="nil"/>
            </w:tcBorders>
            <w:shd w:val="clear" w:color="auto" w:fill="auto"/>
            <w:noWrap/>
            <w:vAlign w:val="center"/>
            <w:hideMark/>
          </w:tcPr>
          <w:p w14:paraId="028A88C4"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0.003</w:t>
            </w:r>
          </w:p>
        </w:tc>
        <w:tc>
          <w:tcPr>
            <w:tcW w:w="1480" w:type="dxa"/>
            <w:tcBorders>
              <w:top w:val="nil"/>
              <w:left w:val="nil"/>
              <w:bottom w:val="nil"/>
              <w:right w:val="nil"/>
            </w:tcBorders>
            <w:shd w:val="clear" w:color="auto" w:fill="auto"/>
            <w:noWrap/>
            <w:vAlign w:val="center"/>
            <w:hideMark/>
          </w:tcPr>
          <w:p w14:paraId="17AD8446"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3.2</w:t>
            </w:r>
          </w:p>
        </w:tc>
        <w:tc>
          <w:tcPr>
            <w:tcW w:w="620" w:type="dxa"/>
            <w:tcBorders>
              <w:top w:val="nil"/>
              <w:left w:val="nil"/>
              <w:bottom w:val="nil"/>
              <w:right w:val="single" w:sz="8" w:space="0" w:color="002060"/>
            </w:tcBorders>
            <w:shd w:val="clear" w:color="auto" w:fill="auto"/>
            <w:noWrap/>
            <w:vAlign w:val="center"/>
            <w:hideMark/>
          </w:tcPr>
          <w:p w14:paraId="76B82654"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8.6</w:t>
            </w:r>
          </w:p>
        </w:tc>
      </w:tr>
      <w:tr w:rsidR="00AE564D" w:rsidRPr="00661BC3" w14:paraId="50DC66CB" w14:textId="77777777" w:rsidTr="00E26D3C">
        <w:trPr>
          <w:trHeight w:val="300"/>
          <w:jc w:val="center"/>
        </w:trPr>
        <w:tc>
          <w:tcPr>
            <w:tcW w:w="1720" w:type="dxa"/>
            <w:vMerge/>
            <w:tcBorders>
              <w:top w:val="nil"/>
              <w:left w:val="nil"/>
              <w:bottom w:val="nil"/>
              <w:right w:val="nil"/>
            </w:tcBorders>
            <w:vAlign w:val="center"/>
            <w:hideMark/>
          </w:tcPr>
          <w:p w14:paraId="436D2340" w14:textId="77777777" w:rsidR="00AE564D" w:rsidRPr="00661BC3" w:rsidRDefault="00AE564D" w:rsidP="00E26D3C">
            <w:pPr>
              <w:spacing w:after="0" w:line="240" w:lineRule="auto"/>
              <w:rPr>
                <w:rFonts w:eastAsia="Times New Roman" w:cstheme="minorHAnsi"/>
                <w:b/>
                <w:bCs/>
                <w:color w:val="FFFFFF"/>
                <w:sz w:val="18"/>
                <w:szCs w:val="18"/>
                <w:lang w:eastAsia="en-AU"/>
              </w:rPr>
            </w:pPr>
          </w:p>
        </w:tc>
        <w:tc>
          <w:tcPr>
            <w:tcW w:w="960" w:type="dxa"/>
            <w:tcBorders>
              <w:top w:val="nil"/>
              <w:left w:val="single" w:sz="8" w:space="0" w:color="002060"/>
              <w:bottom w:val="nil"/>
              <w:right w:val="single" w:sz="8" w:space="0" w:color="002060"/>
            </w:tcBorders>
            <w:shd w:val="clear" w:color="auto" w:fill="auto"/>
            <w:noWrap/>
            <w:vAlign w:val="center"/>
            <w:hideMark/>
          </w:tcPr>
          <w:p w14:paraId="4CEE246B"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Mean</w:t>
            </w:r>
          </w:p>
        </w:tc>
        <w:tc>
          <w:tcPr>
            <w:tcW w:w="700" w:type="dxa"/>
            <w:tcBorders>
              <w:top w:val="nil"/>
              <w:left w:val="nil"/>
              <w:bottom w:val="nil"/>
              <w:right w:val="nil"/>
            </w:tcBorders>
            <w:shd w:val="clear" w:color="auto" w:fill="auto"/>
            <w:noWrap/>
            <w:vAlign w:val="center"/>
            <w:hideMark/>
          </w:tcPr>
          <w:p w14:paraId="66F7F25D"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0.168</w:t>
            </w:r>
          </w:p>
        </w:tc>
        <w:tc>
          <w:tcPr>
            <w:tcW w:w="720" w:type="dxa"/>
            <w:tcBorders>
              <w:top w:val="nil"/>
              <w:left w:val="nil"/>
              <w:bottom w:val="nil"/>
              <w:right w:val="nil"/>
            </w:tcBorders>
            <w:shd w:val="clear" w:color="auto" w:fill="auto"/>
            <w:noWrap/>
            <w:vAlign w:val="center"/>
            <w:hideMark/>
          </w:tcPr>
          <w:p w14:paraId="5119BD4A"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0.018</w:t>
            </w:r>
          </w:p>
        </w:tc>
        <w:tc>
          <w:tcPr>
            <w:tcW w:w="680" w:type="dxa"/>
            <w:tcBorders>
              <w:top w:val="nil"/>
              <w:left w:val="nil"/>
              <w:bottom w:val="nil"/>
              <w:right w:val="nil"/>
            </w:tcBorders>
            <w:shd w:val="clear" w:color="auto" w:fill="auto"/>
            <w:noWrap/>
            <w:vAlign w:val="center"/>
            <w:hideMark/>
          </w:tcPr>
          <w:p w14:paraId="637FA21D"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0.603</w:t>
            </w:r>
          </w:p>
        </w:tc>
        <w:tc>
          <w:tcPr>
            <w:tcW w:w="640" w:type="dxa"/>
            <w:tcBorders>
              <w:top w:val="nil"/>
              <w:left w:val="nil"/>
              <w:bottom w:val="nil"/>
              <w:right w:val="nil"/>
            </w:tcBorders>
            <w:shd w:val="clear" w:color="auto" w:fill="auto"/>
            <w:noWrap/>
            <w:vAlign w:val="center"/>
            <w:hideMark/>
          </w:tcPr>
          <w:p w14:paraId="327B1165"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0.049</w:t>
            </w:r>
          </w:p>
        </w:tc>
        <w:tc>
          <w:tcPr>
            <w:tcW w:w="640" w:type="dxa"/>
            <w:tcBorders>
              <w:top w:val="nil"/>
              <w:left w:val="nil"/>
              <w:bottom w:val="nil"/>
              <w:right w:val="nil"/>
            </w:tcBorders>
            <w:shd w:val="clear" w:color="auto" w:fill="auto"/>
            <w:noWrap/>
            <w:vAlign w:val="center"/>
            <w:hideMark/>
          </w:tcPr>
          <w:p w14:paraId="365727E2"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0.007</w:t>
            </w:r>
          </w:p>
        </w:tc>
        <w:tc>
          <w:tcPr>
            <w:tcW w:w="1480" w:type="dxa"/>
            <w:tcBorders>
              <w:top w:val="nil"/>
              <w:left w:val="nil"/>
              <w:bottom w:val="nil"/>
              <w:right w:val="nil"/>
            </w:tcBorders>
            <w:shd w:val="clear" w:color="auto" w:fill="auto"/>
            <w:noWrap/>
            <w:vAlign w:val="center"/>
            <w:hideMark/>
          </w:tcPr>
          <w:p w14:paraId="48A1DAEC"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4.2</w:t>
            </w:r>
          </w:p>
        </w:tc>
        <w:tc>
          <w:tcPr>
            <w:tcW w:w="620" w:type="dxa"/>
            <w:tcBorders>
              <w:top w:val="nil"/>
              <w:left w:val="nil"/>
              <w:bottom w:val="nil"/>
              <w:right w:val="single" w:sz="8" w:space="0" w:color="002060"/>
            </w:tcBorders>
            <w:shd w:val="clear" w:color="auto" w:fill="auto"/>
            <w:noWrap/>
            <w:vAlign w:val="center"/>
            <w:hideMark/>
          </w:tcPr>
          <w:p w14:paraId="04587711"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9.2</w:t>
            </w:r>
          </w:p>
        </w:tc>
      </w:tr>
      <w:tr w:rsidR="00AE564D" w:rsidRPr="00661BC3" w14:paraId="6F7EFBC7" w14:textId="77777777" w:rsidTr="00E26D3C">
        <w:trPr>
          <w:trHeight w:val="315"/>
          <w:jc w:val="center"/>
        </w:trPr>
        <w:tc>
          <w:tcPr>
            <w:tcW w:w="1720" w:type="dxa"/>
            <w:vMerge/>
            <w:tcBorders>
              <w:top w:val="nil"/>
              <w:left w:val="nil"/>
              <w:bottom w:val="nil"/>
              <w:right w:val="nil"/>
            </w:tcBorders>
            <w:vAlign w:val="center"/>
            <w:hideMark/>
          </w:tcPr>
          <w:p w14:paraId="32606C9D" w14:textId="77777777" w:rsidR="00AE564D" w:rsidRPr="00661BC3" w:rsidRDefault="00AE564D" w:rsidP="00E26D3C">
            <w:pPr>
              <w:spacing w:after="0" w:line="240" w:lineRule="auto"/>
              <w:rPr>
                <w:rFonts w:eastAsia="Times New Roman" w:cstheme="minorHAnsi"/>
                <w:b/>
                <w:bCs/>
                <w:color w:val="FFFFFF"/>
                <w:sz w:val="18"/>
                <w:szCs w:val="18"/>
                <w:lang w:eastAsia="en-AU"/>
              </w:rPr>
            </w:pPr>
          </w:p>
        </w:tc>
        <w:tc>
          <w:tcPr>
            <w:tcW w:w="960" w:type="dxa"/>
            <w:tcBorders>
              <w:top w:val="nil"/>
              <w:left w:val="single" w:sz="8" w:space="0" w:color="002060"/>
              <w:bottom w:val="single" w:sz="8" w:space="0" w:color="002060"/>
              <w:right w:val="single" w:sz="8" w:space="0" w:color="002060"/>
            </w:tcBorders>
            <w:shd w:val="clear" w:color="auto" w:fill="auto"/>
            <w:noWrap/>
            <w:vAlign w:val="center"/>
            <w:hideMark/>
          </w:tcPr>
          <w:p w14:paraId="383387F8"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Std Dev</w:t>
            </w:r>
          </w:p>
        </w:tc>
        <w:tc>
          <w:tcPr>
            <w:tcW w:w="700" w:type="dxa"/>
            <w:tcBorders>
              <w:top w:val="nil"/>
              <w:left w:val="nil"/>
              <w:bottom w:val="single" w:sz="8" w:space="0" w:color="002060"/>
              <w:right w:val="nil"/>
            </w:tcBorders>
            <w:shd w:val="clear" w:color="auto" w:fill="auto"/>
            <w:noWrap/>
            <w:vAlign w:val="center"/>
            <w:hideMark/>
          </w:tcPr>
          <w:p w14:paraId="2BF41321"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0.177</w:t>
            </w:r>
          </w:p>
        </w:tc>
        <w:tc>
          <w:tcPr>
            <w:tcW w:w="720" w:type="dxa"/>
            <w:tcBorders>
              <w:top w:val="nil"/>
              <w:left w:val="nil"/>
              <w:bottom w:val="single" w:sz="8" w:space="0" w:color="002060"/>
              <w:right w:val="nil"/>
            </w:tcBorders>
            <w:shd w:val="clear" w:color="auto" w:fill="auto"/>
            <w:noWrap/>
            <w:vAlign w:val="center"/>
            <w:hideMark/>
          </w:tcPr>
          <w:p w14:paraId="4D8EB141"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0.022</w:t>
            </w:r>
          </w:p>
        </w:tc>
        <w:tc>
          <w:tcPr>
            <w:tcW w:w="680" w:type="dxa"/>
            <w:tcBorders>
              <w:top w:val="nil"/>
              <w:left w:val="nil"/>
              <w:bottom w:val="single" w:sz="8" w:space="0" w:color="002060"/>
              <w:right w:val="nil"/>
            </w:tcBorders>
            <w:shd w:val="clear" w:color="auto" w:fill="auto"/>
            <w:noWrap/>
            <w:vAlign w:val="center"/>
            <w:hideMark/>
          </w:tcPr>
          <w:p w14:paraId="7632E366"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0.384</w:t>
            </w:r>
          </w:p>
        </w:tc>
        <w:tc>
          <w:tcPr>
            <w:tcW w:w="640" w:type="dxa"/>
            <w:tcBorders>
              <w:top w:val="nil"/>
              <w:left w:val="nil"/>
              <w:bottom w:val="single" w:sz="8" w:space="0" w:color="002060"/>
              <w:right w:val="nil"/>
            </w:tcBorders>
            <w:shd w:val="clear" w:color="auto" w:fill="auto"/>
            <w:noWrap/>
            <w:vAlign w:val="center"/>
            <w:hideMark/>
          </w:tcPr>
          <w:p w14:paraId="194AC9A0"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0.039</w:t>
            </w:r>
          </w:p>
        </w:tc>
        <w:tc>
          <w:tcPr>
            <w:tcW w:w="640" w:type="dxa"/>
            <w:tcBorders>
              <w:top w:val="nil"/>
              <w:left w:val="nil"/>
              <w:bottom w:val="single" w:sz="8" w:space="0" w:color="002060"/>
              <w:right w:val="nil"/>
            </w:tcBorders>
            <w:shd w:val="clear" w:color="auto" w:fill="auto"/>
            <w:noWrap/>
            <w:vAlign w:val="center"/>
            <w:hideMark/>
          </w:tcPr>
          <w:p w14:paraId="6525C57B"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0.011</w:t>
            </w:r>
          </w:p>
        </w:tc>
        <w:tc>
          <w:tcPr>
            <w:tcW w:w="1480" w:type="dxa"/>
            <w:tcBorders>
              <w:top w:val="nil"/>
              <w:left w:val="nil"/>
              <w:bottom w:val="single" w:sz="8" w:space="0" w:color="002060"/>
              <w:right w:val="nil"/>
            </w:tcBorders>
            <w:shd w:val="clear" w:color="auto" w:fill="auto"/>
            <w:noWrap/>
            <w:vAlign w:val="center"/>
            <w:hideMark/>
          </w:tcPr>
          <w:p w14:paraId="7515EF06"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2.5</w:t>
            </w:r>
          </w:p>
        </w:tc>
        <w:tc>
          <w:tcPr>
            <w:tcW w:w="620" w:type="dxa"/>
            <w:tcBorders>
              <w:top w:val="nil"/>
              <w:left w:val="nil"/>
              <w:bottom w:val="single" w:sz="8" w:space="0" w:color="002060"/>
              <w:right w:val="single" w:sz="8" w:space="0" w:color="002060"/>
            </w:tcBorders>
            <w:shd w:val="clear" w:color="auto" w:fill="auto"/>
            <w:noWrap/>
            <w:vAlign w:val="center"/>
            <w:hideMark/>
          </w:tcPr>
          <w:p w14:paraId="657FB63C"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6.4</w:t>
            </w:r>
          </w:p>
        </w:tc>
      </w:tr>
      <w:tr w:rsidR="00AE564D" w:rsidRPr="00661BC3" w14:paraId="5229F31E" w14:textId="77777777" w:rsidTr="00E26D3C">
        <w:trPr>
          <w:trHeight w:val="300"/>
          <w:jc w:val="center"/>
        </w:trPr>
        <w:tc>
          <w:tcPr>
            <w:tcW w:w="1720" w:type="dxa"/>
            <w:vMerge w:val="restart"/>
            <w:tcBorders>
              <w:top w:val="single" w:sz="8" w:space="0" w:color="FFFFFF"/>
              <w:left w:val="single" w:sz="8" w:space="0" w:color="002060"/>
              <w:bottom w:val="single" w:sz="8" w:space="0" w:color="FFFFFF"/>
              <w:right w:val="single" w:sz="8" w:space="0" w:color="002060"/>
            </w:tcBorders>
            <w:shd w:val="clear" w:color="000000" w:fill="002060"/>
            <w:noWrap/>
            <w:vAlign w:val="center"/>
            <w:hideMark/>
          </w:tcPr>
          <w:p w14:paraId="758DF547"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LTIM 2014-19</w:t>
            </w:r>
          </w:p>
        </w:tc>
        <w:tc>
          <w:tcPr>
            <w:tcW w:w="960" w:type="dxa"/>
            <w:tcBorders>
              <w:top w:val="nil"/>
              <w:left w:val="nil"/>
              <w:bottom w:val="nil"/>
              <w:right w:val="single" w:sz="8" w:space="0" w:color="002060"/>
            </w:tcBorders>
            <w:shd w:val="clear" w:color="auto" w:fill="auto"/>
            <w:noWrap/>
            <w:vAlign w:val="center"/>
            <w:hideMark/>
          </w:tcPr>
          <w:p w14:paraId="6207ABE3"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n</w:t>
            </w:r>
          </w:p>
        </w:tc>
        <w:tc>
          <w:tcPr>
            <w:tcW w:w="700" w:type="dxa"/>
            <w:tcBorders>
              <w:top w:val="nil"/>
              <w:left w:val="nil"/>
              <w:bottom w:val="nil"/>
              <w:right w:val="nil"/>
            </w:tcBorders>
            <w:shd w:val="clear" w:color="auto" w:fill="auto"/>
            <w:noWrap/>
            <w:vAlign w:val="center"/>
            <w:hideMark/>
          </w:tcPr>
          <w:p w14:paraId="5B5A107C"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123</w:t>
            </w:r>
          </w:p>
        </w:tc>
        <w:tc>
          <w:tcPr>
            <w:tcW w:w="720" w:type="dxa"/>
            <w:tcBorders>
              <w:top w:val="nil"/>
              <w:left w:val="nil"/>
              <w:bottom w:val="nil"/>
              <w:right w:val="nil"/>
            </w:tcBorders>
            <w:shd w:val="clear" w:color="auto" w:fill="auto"/>
            <w:noWrap/>
            <w:vAlign w:val="center"/>
            <w:hideMark/>
          </w:tcPr>
          <w:p w14:paraId="293749E7"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123</w:t>
            </w:r>
          </w:p>
        </w:tc>
        <w:tc>
          <w:tcPr>
            <w:tcW w:w="680" w:type="dxa"/>
            <w:tcBorders>
              <w:top w:val="nil"/>
              <w:left w:val="nil"/>
              <w:bottom w:val="nil"/>
              <w:right w:val="nil"/>
            </w:tcBorders>
            <w:shd w:val="clear" w:color="auto" w:fill="auto"/>
            <w:noWrap/>
            <w:vAlign w:val="center"/>
            <w:hideMark/>
          </w:tcPr>
          <w:p w14:paraId="491AE920"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123</w:t>
            </w:r>
          </w:p>
        </w:tc>
        <w:tc>
          <w:tcPr>
            <w:tcW w:w="640" w:type="dxa"/>
            <w:tcBorders>
              <w:top w:val="nil"/>
              <w:left w:val="nil"/>
              <w:bottom w:val="nil"/>
              <w:right w:val="nil"/>
            </w:tcBorders>
            <w:shd w:val="clear" w:color="auto" w:fill="auto"/>
            <w:noWrap/>
            <w:vAlign w:val="center"/>
            <w:hideMark/>
          </w:tcPr>
          <w:p w14:paraId="286E5209"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123</w:t>
            </w:r>
          </w:p>
        </w:tc>
        <w:tc>
          <w:tcPr>
            <w:tcW w:w="640" w:type="dxa"/>
            <w:tcBorders>
              <w:top w:val="nil"/>
              <w:left w:val="nil"/>
              <w:bottom w:val="nil"/>
              <w:right w:val="nil"/>
            </w:tcBorders>
            <w:shd w:val="clear" w:color="auto" w:fill="auto"/>
            <w:noWrap/>
            <w:vAlign w:val="center"/>
            <w:hideMark/>
          </w:tcPr>
          <w:p w14:paraId="2B4DDBD8"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123</w:t>
            </w:r>
          </w:p>
        </w:tc>
        <w:tc>
          <w:tcPr>
            <w:tcW w:w="1480" w:type="dxa"/>
            <w:tcBorders>
              <w:top w:val="nil"/>
              <w:left w:val="nil"/>
              <w:bottom w:val="nil"/>
              <w:right w:val="nil"/>
            </w:tcBorders>
            <w:shd w:val="clear" w:color="auto" w:fill="auto"/>
            <w:noWrap/>
            <w:vAlign w:val="center"/>
            <w:hideMark/>
          </w:tcPr>
          <w:p w14:paraId="64F7A643"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123</w:t>
            </w:r>
          </w:p>
        </w:tc>
        <w:tc>
          <w:tcPr>
            <w:tcW w:w="620" w:type="dxa"/>
            <w:tcBorders>
              <w:top w:val="nil"/>
              <w:left w:val="nil"/>
              <w:bottom w:val="nil"/>
              <w:right w:val="single" w:sz="8" w:space="0" w:color="002060"/>
            </w:tcBorders>
            <w:shd w:val="clear" w:color="auto" w:fill="auto"/>
            <w:noWrap/>
            <w:vAlign w:val="center"/>
            <w:hideMark/>
          </w:tcPr>
          <w:p w14:paraId="0BB24C68"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96</w:t>
            </w:r>
          </w:p>
        </w:tc>
      </w:tr>
      <w:tr w:rsidR="00AE564D" w:rsidRPr="00661BC3" w14:paraId="75BB4B0A" w14:textId="77777777" w:rsidTr="00E26D3C">
        <w:trPr>
          <w:trHeight w:val="300"/>
          <w:jc w:val="center"/>
        </w:trPr>
        <w:tc>
          <w:tcPr>
            <w:tcW w:w="1720" w:type="dxa"/>
            <w:vMerge/>
            <w:tcBorders>
              <w:top w:val="single" w:sz="8" w:space="0" w:color="FFFFFF"/>
              <w:left w:val="single" w:sz="8" w:space="0" w:color="002060"/>
              <w:bottom w:val="single" w:sz="8" w:space="0" w:color="FFFFFF"/>
              <w:right w:val="single" w:sz="8" w:space="0" w:color="002060"/>
            </w:tcBorders>
            <w:vAlign w:val="center"/>
            <w:hideMark/>
          </w:tcPr>
          <w:p w14:paraId="2E60AEB9" w14:textId="77777777" w:rsidR="00AE564D" w:rsidRPr="00661BC3" w:rsidRDefault="00AE564D" w:rsidP="00E26D3C">
            <w:pPr>
              <w:spacing w:after="0" w:line="240" w:lineRule="auto"/>
              <w:rPr>
                <w:rFonts w:eastAsia="Times New Roman" w:cstheme="minorHAnsi"/>
                <w:color w:val="FFFFFF"/>
                <w:sz w:val="18"/>
                <w:szCs w:val="18"/>
                <w:lang w:eastAsia="en-AU"/>
              </w:rPr>
            </w:pPr>
          </w:p>
        </w:tc>
        <w:tc>
          <w:tcPr>
            <w:tcW w:w="960" w:type="dxa"/>
            <w:tcBorders>
              <w:top w:val="nil"/>
              <w:left w:val="nil"/>
              <w:bottom w:val="nil"/>
              <w:right w:val="single" w:sz="8" w:space="0" w:color="002060"/>
            </w:tcBorders>
            <w:shd w:val="clear" w:color="auto" w:fill="auto"/>
            <w:noWrap/>
            <w:vAlign w:val="center"/>
            <w:hideMark/>
          </w:tcPr>
          <w:p w14:paraId="4E1BCD77"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 xml:space="preserve">n &lt; </w:t>
            </w:r>
            <w:proofErr w:type="spellStart"/>
            <w:r w:rsidRPr="00661BC3">
              <w:rPr>
                <w:rFonts w:eastAsia="Times New Roman" w:cstheme="minorHAnsi"/>
                <w:color w:val="000000"/>
                <w:sz w:val="18"/>
                <w:szCs w:val="18"/>
                <w:lang w:eastAsia="en-AU"/>
              </w:rPr>
              <w:t>LoD</w:t>
            </w:r>
            <w:proofErr w:type="spellEnd"/>
          </w:p>
        </w:tc>
        <w:tc>
          <w:tcPr>
            <w:tcW w:w="700" w:type="dxa"/>
            <w:tcBorders>
              <w:top w:val="nil"/>
              <w:left w:val="nil"/>
              <w:bottom w:val="nil"/>
              <w:right w:val="nil"/>
            </w:tcBorders>
            <w:shd w:val="clear" w:color="auto" w:fill="auto"/>
            <w:noWrap/>
            <w:vAlign w:val="center"/>
            <w:hideMark/>
          </w:tcPr>
          <w:p w14:paraId="1BA63B67"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34</w:t>
            </w:r>
          </w:p>
        </w:tc>
        <w:tc>
          <w:tcPr>
            <w:tcW w:w="720" w:type="dxa"/>
            <w:tcBorders>
              <w:top w:val="nil"/>
              <w:left w:val="nil"/>
              <w:bottom w:val="nil"/>
              <w:right w:val="nil"/>
            </w:tcBorders>
            <w:shd w:val="clear" w:color="auto" w:fill="auto"/>
            <w:noWrap/>
            <w:vAlign w:val="center"/>
            <w:hideMark/>
          </w:tcPr>
          <w:p w14:paraId="5341AAD8"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13</w:t>
            </w:r>
          </w:p>
        </w:tc>
        <w:tc>
          <w:tcPr>
            <w:tcW w:w="680" w:type="dxa"/>
            <w:tcBorders>
              <w:top w:val="nil"/>
              <w:left w:val="nil"/>
              <w:bottom w:val="nil"/>
              <w:right w:val="nil"/>
            </w:tcBorders>
            <w:shd w:val="clear" w:color="auto" w:fill="auto"/>
            <w:noWrap/>
            <w:vAlign w:val="center"/>
            <w:hideMark/>
          </w:tcPr>
          <w:p w14:paraId="194404CD"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w:t>
            </w:r>
          </w:p>
        </w:tc>
        <w:tc>
          <w:tcPr>
            <w:tcW w:w="640" w:type="dxa"/>
            <w:tcBorders>
              <w:top w:val="nil"/>
              <w:left w:val="nil"/>
              <w:bottom w:val="nil"/>
              <w:right w:val="nil"/>
            </w:tcBorders>
            <w:shd w:val="clear" w:color="auto" w:fill="auto"/>
            <w:noWrap/>
            <w:vAlign w:val="center"/>
            <w:hideMark/>
          </w:tcPr>
          <w:p w14:paraId="6178E844"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w:t>
            </w:r>
          </w:p>
        </w:tc>
        <w:tc>
          <w:tcPr>
            <w:tcW w:w="640" w:type="dxa"/>
            <w:tcBorders>
              <w:top w:val="nil"/>
              <w:left w:val="nil"/>
              <w:bottom w:val="nil"/>
              <w:right w:val="nil"/>
            </w:tcBorders>
            <w:shd w:val="clear" w:color="auto" w:fill="auto"/>
            <w:noWrap/>
            <w:vAlign w:val="center"/>
            <w:hideMark/>
          </w:tcPr>
          <w:p w14:paraId="76735097"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w:t>
            </w:r>
          </w:p>
        </w:tc>
        <w:tc>
          <w:tcPr>
            <w:tcW w:w="1480" w:type="dxa"/>
            <w:tcBorders>
              <w:top w:val="nil"/>
              <w:left w:val="nil"/>
              <w:bottom w:val="nil"/>
              <w:right w:val="nil"/>
            </w:tcBorders>
            <w:shd w:val="clear" w:color="auto" w:fill="auto"/>
            <w:noWrap/>
            <w:vAlign w:val="center"/>
            <w:hideMark/>
          </w:tcPr>
          <w:p w14:paraId="40E7B388"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w:t>
            </w:r>
          </w:p>
        </w:tc>
        <w:tc>
          <w:tcPr>
            <w:tcW w:w="620" w:type="dxa"/>
            <w:tcBorders>
              <w:top w:val="nil"/>
              <w:left w:val="nil"/>
              <w:bottom w:val="nil"/>
              <w:right w:val="single" w:sz="8" w:space="0" w:color="002060"/>
            </w:tcBorders>
            <w:shd w:val="clear" w:color="auto" w:fill="auto"/>
            <w:noWrap/>
            <w:vAlign w:val="center"/>
            <w:hideMark/>
          </w:tcPr>
          <w:p w14:paraId="13DF39DB"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54</w:t>
            </w:r>
          </w:p>
        </w:tc>
      </w:tr>
      <w:tr w:rsidR="00AE564D" w:rsidRPr="00661BC3" w14:paraId="2B032476" w14:textId="77777777" w:rsidTr="00E26D3C">
        <w:trPr>
          <w:trHeight w:val="300"/>
          <w:jc w:val="center"/>
        </w:trPr>
        <w:tc>
          <w:tcPr>
            <w:tcW w:w="1720" w:type="dxa"/>
            <w:vMerge/>
            <w:tcBorders>
              <w:top w:val="single" w:sz="8" w:space="0" w:color="FFFFFF"/>
              <w:left w:val="single" w:sz="8" w:space="0" w:color="002060"/>
              <w:bottom w:val="single" w:sz="8" w:space="0" w:color="FFFFFF"/>
              <w:right w:val="single" w:sz="8" w:space="0" w:color="002060"/>
            </w:tcBorders>
            <w:vAlign w:val="center"/>
            <w:hideMark/>
          </w:tcPr>
          <w:p w14:paraId="2D3ABF96" w14:textId="77777777" w:rsidR="00AE564D" w:rsidRPr="00661BC3" w:rsidRDefault="00AE564D" w:rsidP="00E26D3C">
            <w:pPr>
              <w:spacing w:after="0" w:line="240" w:lineRule="auto"/>
              <w:rPr>
                <w:rFonts w:eastAsia="Times New Roman" w:cstheme="minorHAnsi"/>
                <w:color w:val="FFFFFF"/>
                <w:sz w:val="18"/>
                <w:szCs w:val="18"/>
                <w:lang w:eastAsia="en-AU"/>
              </w:rPr>
            </w:pPr>
          </w:p>
        </w:tc>
        <w:tc>
          <w:tcPr>
            <w:tcW w:w="960" w:type="dxa"/>
            <w:tcBorders>
              <w:top w:val="nil"/>
              <w:left w:val="nil"/>
              <w:bottom w:val="nil"/>
              <w:right w:val="single" w:sz="8" w:space="0" w:color="002060"/>
            </w:tcBorders>
            <w:shd w:val="clear" w:color="auto" w:fill="auto"/>
            <w:noWrap/>
            <w:vAlign w:val="center"/>
            <w:hideMark/>
          </w:tcPr>
          <w:p w14:paraId="41D4A832"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Median</w:t>
            </w:r>
          </w:p>
        </w:tc>
        <w:tc>
          <w:tcPr>
            <w:tcW w:w="700" w:type="dxa"/>
            <w:tcBorders>
              <w:top w:val="nil"/>
              <w:left w:val="nil"/>
              <w:bottom w:val="nil"/>
              <w:right w:val="nil"/>
            </w:tcBorders>
            <w:shd w:val="clear" w:color="auto" w:fill="auto"/>
            <w:noWrap/>
            <w:vAlign w:val="center"/>
            <w:hideMark/>
          </w:tcPr>
          <w:p w14:paraId="164563AD"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0.029</w:t>
            </w:r>
          </w:p>
        </w:tc>
        <w:tc>
          <w:tcPr>
            <w:tcW w:w="720" w:type="dxa"/>
            <w:tcBorders>
              <w:top w:val="nil"/>
              <w:left w:val="nil"/>
              <w:bottom w:val="nil"/>
              <w:right w:val="nil"/>
            </w:tcBorders>
            <w:shd w:val="clear" w:color="auto" w:fill="auto"/>
            <w:noWrap/>
            <w:vAlign w:val="center"/>
            <w:hideMark/>
          </w:tcPr>
          <w:p w14:paraId="7F0DB1B2"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0.004</w:t>
            </w:r>
          </w:p>
        </w:tc>
        <w:tc>
          <w:tcPr>
            <w:tcW w:w="680" w:type="dxa"/>
            <w:tcBorders>
              <w:top w:val="nil"/>
              <w:left w:val="nil"/>
              <w:bottom w:val="nil"/>
              <w:right w:val="nil"/>
            </w:tcBorders>
            <w:shd w:val="clear" w:color="auto" w:fill="auto"/>
            <w:noWrap/>
            <w:vAlign w:val="center"/>
            <w:hideMark/>
          </w:tcPr>
          <w:p w14:paraId="4B66EF4D"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0.33</w:t>
            </w:r>
          </w:p>
        </w:tc>
        <w:tc>
          <w:tcPr>
            <w:tcW w:w="640" w:type="dxa"/>
            <w:tcBorders>
              <w:top w:val="nil"/>
              <w:left w:val="nil"/>
              <w:bottom w:val="nil"/>
              <w:right w:val="nil"/>
            </w:tcBorders>
            <w:shd w:val="clear" w:color="auto" w:fill="auto"/>
            <w:noWrap/>
            <w:vAlign w:val="center"/>
            <w:hideMark/>
          </w:tcPr>
          <w:p w14:paraId="46F73DB4"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0.030</w:t>
            </w:r>
          </w:p>
        </w:tc>
        <w:tc>
          <w:tcPr>
            <w:tcW w:w="640" w:type="dxa"/>
            <w:tcBorders>
              <w:top w:val="nil"/>
              <w:left w:val="nil"/>
              <w:bottom w:val="nil"/>
              <w:right w:val="nil"/>
            </w:tcBorders>
            <w:shd w:val="clear" w:color="auto" w:fill="auto"/>
            <w:noWrap/>
            <w:vAlign w:val="center"/>
            <w:hideMark/>
          </w:tcPr>
          <w:p w14:paraId="16070F57"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0.003</w:t>
            </w:r>
          </w:p>
        </w:tc>
        <w:tc>
          <w:tcPr>
            <w:tcW w:w="1480" w:type="dxa"/>
            <w:tcBorders>
              <w:top w:val="nil"/>
              <w:left w:val="nil"/>
              <w:bottom w:val="nil"/>
              <w:right w:val="nil"/>
            </w:tcBorders>
            <w:shd w:val="clear" w:color="auto" w:fill="auto"/>
            <w:noWrap/>
            <w:vAlign w:val="center"/>
            <w:hideMark/>
          </w:tcPr>
          <w:p w14:paraId="27E43421"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4.2</w:t>
            </w:r>
          </w:p>
        </w:tc>
        <w:tc>
          <w:tcPr>
            <w:tcW w:w="620" w:type="dxa"/>
            <w:tcBorders>
              <w:top w:val="nil"/>
              <w:left w:val="nil"/>
              <w:bottom w:val="nil"/>
              <w:right w:val="single" w:sz="8" w:space="0" w:color="002060"/>
            </w:tcBorders>
            <w:shd w:val="clear" w:color="auto" w:fill="auto"/>
            <w:noWrap/>
            <w:vAlign w:val="center"/>
            <w:hideMark/>
          </w:tcPr>
          <w:p w14:paraId="78B0A050"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8.5</w:t>
            </w:r>
          </w:p>
        </w:tc>
      </w:tr>
      <w:tr w:rsidR="00AE564D" w:rsidRPr="00661BC3" w14:paraId="4443D07C" w14:textId="77777777" w:rsidTr="00E26D3C">
        <w:trPr>
          <w:trHeight w:val="300"/>
          <w:jc w:val="center"/>
        </w:trPr>
        <w:tc>
          <w:tcPr>
            <w:tcW w:w="1720" w:type="dxa"/>
            <w:vMerge/>
            <w:tcBorders>
              <w:top w:val="single" w:sz="8" w:space="0" w:color="FFFFFF"/>
              <w:left w:val="single" w:sz="8" w:space="0" w:color="002060"/>
              <w:bottom w:val="single" w:sz="8" w:space="0" w:color="FFFFFF"/>
              <w:right w:val="single" w:sz="8" w:space="0" w:color="002060"/>
            </w:tcBorders>
            <w:vAlign w:val="center"/>
            <w:hideMark/>
          </w:tcPr>
          <w:p w14:paraId="329A7F09" w14:textId="77777777" w:rsidR="00AE564D" w:rsidRPr="00661BC3" w:rsidRDefault="00AE564D" w:rsidP="00E26D3C">
            <w:pPr>
              <w:spacing w:after="0" w:line="240" w:lineRule="auto"/>
              <w:rPr>
                <w:rFonts w:eastAsia="Times New Roman" w:cstheme="minorHAnsi"/>
                <w:color w:val="FFFFFF"/>
                <w:sz w:val="18"/>
                <w:szCs w:val="18"/>
                <w:lang w:eastAsia="en-AU"/>
              </w:rPr>
            </w:pPr>
          </w:p>
        </w:tc>
        <w:tc>
          <w:tcPr>
            <w:tcW w:w="960" w:type="dxa"/>
            <w:tcBorders>
              <w:top w:val="nil"/>
              <w:left w:val="nil"/>
              <w:bottom w:val="nil"/>
              <w:right w:val="single" w:sz="8" w:space="0" w:color="002060"/>
            </w:tcBorders>
            <w:shd w:val="clear" w:color="auto" w:fill="auto"/>
            <w:noWrap/>
            <w:vAlign w:val="center"/>
            <w:hideMark/>
          </w:tcPr>
          <w:p w14:paraId="6C0850A3"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Mean</w:t>
            </w:r>
          </w:p>
        </w:tc>
        <w:tc>
          <w:tcPr>
            <w:tcW w:w="700" w:type="dxa"/>
            <w:tcBorders>
              <w:top w:val="nil"/>
              <w:left w:val="nil"/>
              <w:bottom w:val="nil"/>
              <w:right w:val="nil"/>
            </w:tcBorders>
            <w:shd w:val="clear" w:color="auto" w:fill="auto"/>
            <w:noWrap/>
            <w:vAlign w:val="center"/>
            <w:hideMark/>
          </w:tcPr>
          <w:p w14:paraId="160A6B4A"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0.055</w:t>
            </w:r>
          </w:p>
        </w:tc>
        <w:tc>
          <w:tcPr>
            <w:tcW w:w="720" w:type="dxa"/>
            <w:tcBorders>
              <w:top w:val="nil"/>
              <w:left w:val="nil"/>
              <w:bottom w:val="nil"/>
              <w:right w:val="nil"/>
            </w:tcBorders>
            <w:shd w:val="clear" w:color="auto" w:fill="auto"/>
            <w:noWrap/>
            <w:vAlign w:val="center"/>
            <w:hideMark/>
          </w:tcPr>
          <w:p w14:paraId="28C2A2EB"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0.006</w:t>
            </w:r>
          </w:p>
        </w:tc>
        <w:tc>
          <w:tcPr>
            <w:tcW w:w="680" w:type="dxa"/>
            <w:tcBorders>
              <w:top w:val="nil"/>
              <w:left w:val="nil"/>
              <w:bottom w:val="nil"/>
              <w:right w:val="nil"/>
            </w:tcBorders>
            <w:shd w:val="clear" w:color="auto" w:fill="auto"/>
            <w:noWrap/>
            <w:vAlign w:val="center"/>
            <w:hideMark/>
          </w:tcPr>
          <w:p w14:paraId="4DF0CB37"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0.37</w:t>
            </w:r>
          </w:p>
        </w:tc>
        <w:tc>
          <w:tcPr>
            <w:tcW w:w="640" w:type="dxa"/>
            <w:tcBorders>
              <w:top w:val="nil"/>
              <w:left w:val="nil"/>
              <w:bottom w:val="nil"/>
              <w:right w:val="nil"/>
            </w:tcBorders>
            <w:shd w:val="clear" w:color="auto" w:fill="auto"/>
            <w:noWrap/>
            <w:vAlign w:val="center"/>
            <w:hideMark/>
          </w:tcPr>
          <w:p w14:paraId="29B0DF83"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0.035</w:t>
            </w:r>
          </w:p>
        </w:tc>
        <w:tc>
          <w:tcPr>
            <w:tcW w:w="640" w:type="dxa"/>
            <w:tcBorders>
              <w:top w:val="nil"/>
              <w:left w:val="nil"/>
              <w:bottom w:val="nil"/>
              <w:right w:val="nil"/>
            </w:tcBorders>
            <w:shd w:val="clear" w:color="auto" w:fill="auto"/>
            <w:noWrap/>
            <w:vAlign w:val="center"/>
            <w:hideMark/>
          </w:tcPr>
          <w:p w14:paraId="017B78F7"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0.004</w:t>
            </w:r>
          </w:p>
        </w:tc>
        <w:tc>
          <w:tcPr>
            <w:tcW w:w="1480" w:type="dxa"/>
            <w:tcBorders>
              <w:top w:val="nil"/>
              <w:left w:val="nil"/>
              <w:bottom w:val="nil"/>
              <w:right w:val="nil"/>
            </w:tcBorders>
            <w:shd w:val="clear" w:color="auto" w:fill="auto"/>
            <w:noWrap/>
            <w:vAlign w:val="center"/>
            <w:hideMark/>
          </w:tcPr>
          <w:p w14:paraId="78DC3D12"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5.5</w:t>
            </w:r>
          </w:p>
        </w:tc>
        <w:tc>
          <w:tcPr>
            <w:tcW w:w="620" w:type="dxa"/>
            <w:tcBorders>
              <w:top w:val="nil"/>
              <w:left w:val="nil"/>
              <w:bottom w:val="nil"/>
              <w:right w:val="single" w:sz="8" w:space="0" w:color="002060"/>
            </w:tcBorders>
            <w:shd w:val="clear" w:color="auto" w:fill="auto"/>
            <w:noWrap/>
            <w:vAlign w:val="center"/>
            <w:hideMark/>
          </w:tcPr>
          <w:p w14:paraId="341FD53A"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9.6</w:t>
            </w:r>
          </w:p>
        </w:tc>
      </w:tr>
      <w:tr w:rsidR="00AE564D" w:rsidRPr="00661BC3" w14:paraId="3EC213F9" w14:textId="77777777" w:rsidTr="00E26D3C">
        <w:trPr>
          <w:trHeight w:val="315"/>
          <w:jc w:val="center"/>
        </w:trPr>
        <w:tc>
          <w:tcPr>
            <w:tcW w:w="1720" w:type="dxa"/>
            <w:vMerge/>
            <w:tcBorders>
              <w:top w:val="single" w:sz="8" w:space="0" w:color="FFFFFF"/>
              <w:left w:val="single" w:sz="8" w:space="0" w:color="002060"/>
              <w:bottom w:val="single" w:sz="8" w:space="0" w:color="FFFFFF"/>
              <w:right w:val="single" w:sz="8" w:space="0" w:color="002060"/>
            </w:tcBorders>
            <w:vAlign w:val="center"/>
            <w:hideMark/>
          </w:tcPr>
          <w:p w14:paraId="78A20AA6" w14:textId="77777777" w:rsidR="00AE564D" w:rsidRPr="00661BC3" w:rsidRDefault="00AE564D" w:rsidP="00E26D3C">
            <w:pPr>
              <w:spacing w:after="0" w:line="240" w:lineRule="auto"/>
              <w:rPr>
                <w:rFonts w:eastAsia="Times New Roman" w:cstheme="minorHAnsi"/>
                <w:color w:val="FFFFFF"/>
                <w:sz w:val="18"/>
                <w:szCs w:val="18"/>
                <w:lang w:eastAsia="en-AU"/>
              </w:rPr>
            </w:pPr>
          </w:p>
        </w:tc>
        <w:tc>
          <w:tcPr>
            <w:tcW w:w="960" w:type="dxa"/>
            <w:tcBorders>
              <w:top w:val="nil"/>
              <w:left w:val="nil"/>
              <w:bottom w:val="single" w:sz="8" w:space="0" w:color="002060"/>
              <w:right w:val="single" w:sz="8" w:space="0" w:color="002060"/>
            </w:tcBorders>
            <w:shd w:val="clear" w:color="auto" w:fill="auto"/>
            <w:noWrap/>
            <w:vAlign w:val="center"/>
            <w:hideMark/>
          </w:tcPr>
          <w:p w14:paraId="7B7F67D4"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Std Dev</w:t>
            </w:r>
          </w:p>
        </w:tc>
        <w:tc>
          <w:tcPr>
            <w:tcW w:w="700" w:type="dxa"/>
            <w:tcBorders>
              <w:top w:val="nil"/>
              <w:left w:val="nil"/>
              <w:bottom w:val="single" w:sz="8" w:space="0" w:color="002060"/>
              <w:right w:val="nil"/>
            </w:tcBorders>
            <w:shd w:val="clear" w:color="auto" w:fill="auto"/>
            <w:noWrap/>
            <w:vAlign w:val="center"/>
            <w:hideMark/>
          </w:tcPr>
          <w:p w14:paraId="61BF3503"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0.070</w:t>
            </w:r>
          </w:p>
        </w:tc>
        <w:tc>
          <w:tcPr>
            <w:tcW w:w="720" w:type="dxa"/>
            <w:tcBorders>
              <w:top w:val="nil"/>
              <w:left w:val="nil"/>
              <w:bottom w:val="single" w:sz="8" w:space="0" w:color="002060"/>
              <w:right w:val="nil"/>
            </w:tcBorders>
            <w:shd w:val="clear" w:color="auto" w:fill="auto"/>
            <w:noWrap/>
            <w:vAlign w:val="center"/>
            <w:hideMark/>
          </w:tcPr>
          <w:p w14:paraId="7F619DCF"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0.009</w:t>
            </w:r>
          </w:p>
        </w:tc>
        <w:tc>
          <w:tcPr>
            <w:tcW w:w="680" w:type="dxa"/>
            <w:tcBorders>
              <w:top w:val="nil"/>
              <w:left w:val="nil"/>
              <w:bottom w:val="single" w:sz="8" w:space="0" w:color="002060"/>
              <w:right w:val="nil"/>
            </w:tcBorders>
            <w:shd w:val="clear" w:color="auto" w:fill="auto"/>
            <w:noWrap/>
            <w:vAlign w:val="center"/>
            <w:hideMark/>
          </w:tcPr>
          <w:p w14:paraId="5EF019B7"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0.18</w:t>
            </w:r>
          </w:p>
        </w:tc>
        <w:tc>
          <w:tcPr>
            <w:tcW w:w="640" w:type="dxa"/>
            <w:tcBorders>
              <w:top w:val="nil"/>
              <w:left w:val="nil"/>
              <w:bottom w:val="single" w:sz="8" w:space="0" w:color="002060"/>
              <w:right w:val="nil"/>
            </w:tcBorders>
            <w:shd w:val="clear" w:color="auto" w:fill="auto"/>
            <w:noWrap/>
            <w:vAlign w:val="center"/>
            <w:hideMark/>
          </w:tcPr>
          <w:p w14:paraId="3C1763B6"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0.019</w:t>
            </w:r>
          </w:p>
        </w:tc>
        <w:tc>
          <w:tcPr>
            <w:tcW w:w="640" w:type="dxa"/>
            <w:tcBorders>
              <w:top w:val="nil"/>
              <w:left w:val="nil"/>
              <w:bottom w:val="single" w:sz="8" w:space="0" w:color="002060"/>
              <w:right w:val="nil"/>
            </w:tcBorders>
            <w:shd w:val="clear" w:color="auto" w:fill="auto"/>
            <w:noWrap/>
            <w:vAlign w:val="center"/>
            <w:hideMark/>
          </w:tcPr>
          <w:p w14:paraId="68591BF9"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0.004</w:t>
            </w:r>
          </w:p>
        </w:tc>
        <w:tc>
          <w:tcPr>
            <w:tcW w:w="1480" w:type="dxa"/>
            <w:tcBorders>
              <w:top w:val="nil"/>
              <w:left w:val="nil"/>
              <w:bottom w:val="single" w:sz="8" w:space="0" w:color="002060"/>
              <w:right w:val="nil"/>
            </w:tcBorders>
            <w:shd w:val="clear" w:color="auto" w:fill="auto"/>
            <w:noWrap/>
            <w:vAlign w:val="center"/>
            <w:hideMark/>
          </w:tcPr>
          <w:p w14:paraId="3D931E03"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4.1</w:t>
            </w:r>
          </w:p>
        </w:tc>
        <w:tc>
          <w:tcPr>
            <w:tcW w:w="620" w:type="dxa"/>
            <w:tcBorders>
              <w:top w:val="nil"/>
              <w:left w:val="nil"/>
              <w:bottom w:val="single" w:sz="8" w:space="0" w:color="002060"/>
              <w:right w:val="single" w:sz="8" w:space="0" w:color="002060"/>
            </w:tcBorders>
            <w:shd w:val="clear" w:color="auto" w:fill="auto"/>
            <w:noWrap/>
            <w:vAlign w:val="center"/>
            <w:hideMark/>
          </w:tcPr>
          <w:p w14:paraId="4FF32AE9"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4.5</w:t>
            </w:r>
          </w:p>
        </w:tc>
      </w:tr>
      <w:tr w:rsidR="00AE564D" w:rsidRPr="00661BC3" w14:paraId="541A3CCE" w14:textId="77777777" w:rsidTr="00E26D3C">
        <w:trPr>
          <w:trHeight w:val="300"/>
          <w:jc w:val="center"/>
        </w:trPr>
        <w:tc>
          <w:tcPr>
            <w:tcW w:w="1720" w:type="dxa"/>
            <w:tcBorders>
              <w:top w:val="nil"/>
              <w:left w:val="single" w:sz="8" w:space="0" w:color="002060"/>
              <w:bottom w:val="nil"/>
              <w:right w:val="single" w:sz="8" w:space="0" w:color="002060"/>
            </w:tcBorders>
            <w:shd w:val="clear" w:color="000000" w:fill="002060"/>
            <w:noWrap/>
            <w:vAlign w:val="center"/>
            <w:hideMark/>
          </w:tcPr>
          <w:p w14:paraId="3684FD71"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DELWP</w:t>
            </w:r>
          </w:p>
        </w:tc>
        <w:tc>
          <w:tcPr>
            <w:tcW w:w="960" w:type="dxa"/>
            <w:tcBorders>
              <w:top w:val="nil"/>
              <w:left w:val="nil"/>
              <w:bottom w:val="nil"/>
              <w:right w:val="single" w:sz="8" w:space="0" w:color="002060"/>
            </w:tcBorders>
            <w:shd w:val="clear" w:color="auto" w:fill="auto"/>
            <w:noWrap/>
            <w:vAlign w:val="center"/>
            <w:hideMark/>
          </w:tcPr>
          <w:p w14:paraId="26FBA48E"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n</w:t>
            </w:r>
          </w:p>
        </w:tc>
        <w:tc>
          <w:tcPr>
            <w:tcW w:w="700" w:type="dxa"/>
            <w:tcBorders>
              <w:top w:val="nil"/>
              <w:left w:val="nil"/>
              <w:bottom w:val="nil"/>
              <w:right w:val="nil"/>
            </w:tcBorders>
            <w:shd w:val="clear" w:color="auto" w:fill="auto"/>
            <w:noWrap/>
            <w:vAlign w:val="center"/>
            <w:hideMark/>
          </w:tcPr>
          <w:p w14:paraId="1EE4A086"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733</w:t>
            </w:r>
          </w:p>
        </w:tc>
        <w:tc>
          <w:tcPr>
            <w:tcW w:w="720" w:type="dxa"/>
            <w:tcBorders>
              <w:top w:val="nil"/>
              <w:left w:val="nil"/>
              <w:bottom w:val="nil"/>
              <w:right w:val="nil"/>
            </w:tcBorders>
            <w:shd w:val="clear" w:color="auto" w:fill="auto"/>
            <w:noWrap/>
            <w:vAlign w:val="center"/>
            <w:hideMark/>
          </w:tcPr>
          <w:p w14:paraId="43EEEC5A"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 </w:t>
            </w:r>
          </w:p>
        </w:tc>
        <w:tc>
          <w:tcPr>
            <w:tcW w:w="680" w:type="dxa"/>
            <w:tcBorders>
              <w:top w:val="nil"/>
              <w:left w:val="nil"/>
              <w:bottom w:val="nil"/>
              <w:right w:val="nil"/>
            </w:tcBorders>
            <w:shd w:val="clear" w:color="auto" w:fill="auto"/>
            <w:noWrap/>
            <w:vAlign w:val="center"/>
            <w:hideMark/>
          </w:tcPr>
          <w:p w14:paraId="3FEE10F6"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 </w:t>
            </w:r>
          </w:p>
        </w:tc>
        <w:tc>
          <w:tcPr>
            <w:tcW w:w="640" w:type="dxa"/>
            <w:tcBorders>
              <w:top w:val="nil"/>
              <w:left w:val="nil"/>
              <w:bottom w:val="nil"/>
              <w:right w:val="nil"/>
            </w:tcBorders>
            <w:shd w:val="clear" w:color="auto" w:fill="auto"/>
            <w:noWrap/>
            <w:vAlign w:val="center"/>
            <w:hideMark/>
          </w:tcPr>
          <w:p w14:paraId="2B0D8629"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733</w:t>
            </w:r>
          </w:p>
        </w:tc>
        <w:tc>
          <w:tcPr>
            <w:tcW w:w="640" w:type="dxa"/>
            <w:tcBorders>
              <w:top w:val="nil"/>
              <w:left w:val="nil"/>
              <w:bottom w:val="nil"/>
              <w:right w:val="nil"/>
            </w:tcBorders>
            <w:shd w:val="clear" w:color="auto" w:fill="auto"/>
            <w:noWrap/>
            <w:vAlign w:val="center"/>
            <w:hideMark/>
          </w:tcPr>
          <w:p w14:paraId="40E08FBD"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732</w:t>
            </w:r>
          </w:p>
        </w:tc>
        <w:tc>
          <w:tcPr>
            <w:tcW w:w="1480" w:type="dxa"/>
            <w:tcBorders>
              <w:top w:val="nil"/>
              <w:left w:val="nil"/>
              <w:bottom w:val="nil"/>
              <w:right w:val="nil"/>
            </w:tcBorders>
            <w:shd w:val="clear" w:color="auto" w:fill="auto"/>
            <w:noWrap/>
            <w:vAlign w:val="center"/>
            <w:hideMark/>
          </w:tcPr>
          <w:p w14:paraId="01F70C06"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509</w:t>
            </w:r>
          </w:p>
        </w:tc>
        <w:tc>
          <w:tcPr>
            <w:tcW w:w="620" w:type="dxa"/>
            <w:tcBorders>
              <w:top w:val="nil"/>
              <w:left w:val="nil"/>
              <w:bottom w:val="nil"/>
              <w:right w:val="single" w:sz="8" w:space="0" w:color="002060"/>
            </w:tcBorders>
            <w:shd w:val="clear" w:color="auto" w:fill="auto"/>
            <w:noWrap/>
            <w:vAlign w:val="center"/>
            <w:hideMark/>
          </w:tcPr>
          <w:p w14:paraId="7D94E4CB"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 </w:t>
            </w:r>
          </w:p>
        </w:tc>
      </w:tr>
      <w:tr w:rsidR="00AE564D" w:rsidRPr="00661BC3" w14:paraId="0C2DA192" w14:textId="77777777" w:rsidTr="00E26D3C">
        <w:trPr>
          <w:trHeight w:val="300"/>
          <w:jc w:val="center"/>
        </w:trPr>
        <w:tc>
          <w:tcPr>
            <w:tcW w:w="1720" w:type="dxa"/>
            <w:tcBorders>
              <w:top w:val="nil"/>
              <w:left w:val="single" w:sz="8" w:space="0" w:color="002060"/>
              <w:bottom w:val="nil"/>
              <w:right w:val="single" w:sz="8" w:space="0" w:color="002060"/>
            </w:tcBorders>
            <w:shd w:val="clear" w:color="000000" w:fill="002060"/>
            <w:noWrap/>
            <w:vAlign w:val="center"/>
            <w:hideMark/>
          </w:tcPr>
          <w:p w14:paraId="0D9B7B63"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July 2004 - June 2019</w:t>
            </w:r>
          </w:p>
        </w:tc>
        <w:tc>
          <w:tcPr>
            <w:tcW w:w="960" w:type="dxa"/>
            <w:tcBorders>
              <w:top w:val="nil"/>
              <w:left w:val="nil"/>
              <w:bottom w:val="nil"/>
              <w:right w:val="single" w:sz="8" w:space="0" w:color="002060"/>
            </w:tcBorders>
            <w:shd w:val="clear" w:color="auto" w:fill="auto"/>
            <w:noWrap/>
            <w:vAlign w:val="center"/>
            <w:hideMark/>
          </w:tcPr>
          <w:p w14:paraId="20D9428F"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Median</w:t>
            </w:r>
          </w:p>
        </w:tc>
        <w:tc>
          <w:tcPr>
            <w:tcW w:w="700" w:type="dxa"/>
            <w:tcBorders>
              <w:top w:val="nil"/>
              <w:left w:val="nil"/>
              <w:bottom w:val="nil"/>
              <w:right w:val="nil"/>
            </w:tcBorders>
            <w:shd w:val="clear" w:color="auto" w:fill="auto"/>
            <w:noWrap/>
            <w:vAlign w:val="center"/>
            <w:hideMark/>
          </w:tcPr>
          <w:p w14:paraId="49DB2743"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0.077</w:t>
            </w:r>
          </w:p>
        </w:tc>
        <w:tc>
          <w:tcPr>
            <w:tcW w:w="720" w:type="dxa"/>
            <w:tcBorders>
              <w:top w:val="nil"/>
              <w:left w:val="nil"/>
              <w:bottom w:val="nil"/>
              <w:right w:val="nil"/>
            </w:tcBorders>
            <w:shd w:val="clear" w:color="auto" w:fill="auto"/>
            <w:noWrap/>
            <w:vAlign w:val="center"/>
            <w:hideMark/>
          </w:tcPr>
          <w:p w14:paraId="777E21D5" w14:textId="77777777" w:rsidR="00AE564D" w:rsidRPr="00661BC3" w:rsidRDefault="00AE564D" w:rsidP="00E26D3C">
            <w:pPr>
              <w:spacing w:after="0" w:line="240" w:lineRule="auto"/>
              <w:jc w:val="center"/>
              <w:rPr>
                <w:rFonts w:eastAsia="Times New Roman" w:cstheme="minorHAnsi"/>
                <w:color w:val="000000"/>
                <w:sz w:val="18"/>
                <w:szCs w:val="18"/>
                <w:lang w:eastAsia="en-AU"/>
              </w:rPr>
            </w:pPr>
          </w:p>
        </w:tc>
        <w:tc>
          <w:tcPr>
            <w:tcW w:w="680" w:type="dxa"/>
            <w:tcBorders>
              <w:top w:val="nil"/>
              <w:left w:val="nil"/>
              <w:bottom w:val="nil"/>
              <w:right w:val="nil"/>
            </w:tcBorders>
            <w:shd w:val="clear" w:color="auto" w:fill="auto"/>
            <w:noWrap/>
            <w:vAlign w:val="center"/>
            <w:hideMark/>
          </w:tcPr>
          <w:p w14:paraId="3CE4E92E" w14:textId="77777777" w:rsidR="00AE564D" w:rsidRPr="00661BC3" w:rsidRDefault="00AE564D" w:rsidP="00E26D3C">
            <w:pPr>
              <w:spacing w:after="0" w:line="240" w:lineRule="auto"/>
              <w:jc w:val="center"/>
              <w:rPr>
                <w:rFonts w:eastAsia="Times New Roman" w:cstheme="minorHAnsi"/>
                <w:sz w:val="18"/>
                <w:szCs w:val="18"/>
                <w:lang w:eastAsia="en-AU"/>
              </w:rPr>
            </w:pPr>
          </w:p>
        </w:tc>
        <w:tc>
          <w:tcPr>
            <w:tcW w:w="640" w:type="dxa"/>
            <w:tcBorders>
              <w:top w:val="nil"/>
              <w:left w:val="nil"/>
              <w:bottom w:val="nil"/>
              <w:right w:val="nil"/>
            </w:tcBorders>
            <w:shd w:val="clear" w:color="auto" w:fill="auto"/>
            <w:noWrap/>
            <w:vAlign w:val="center"/>
            <w:hideMark/>
          </w:tcPr>
          <w:p w14:paraId="34D26CD8"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0.049</w:t>
            </w:r>
          </w:p>
        </w:tc>
        <w:tc>
          <w:tcPr>
            <w:tcW w:w="640" w:type="dxa"/>
            <w:tcBorders>
              <w:top w:val="nil"/>
              <w:left w:val="nil"/>
              <w:bottom w:val="nil"/>
              <w:right w:val="nil"/>
            </w:tcBorders>
            <w:shd w:val="clear" w:color="auto" w:fill="auto"/>
            <w:noWrap/>
            <w:vAlign w:val="center"/>
            <w:hideMark/>
          </w:tcPr>
          <w:p w14:paraId="07A659DD"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0.003</w:t>
            </w:r>
          </w:p>
        </w:tc>
        <w:tc>
          <w:tcPr>
            <w:tcW w:w="1480" w:type="dxa"/>
            <w:tcBorders>
              <w:top w:val="nil"/>
              <w:left w:val="nil"/>
              <w:bottom w:val="nil"/>
              <w:right w:val="nil"/>
            </w:tcBorders>
            <w:shd w:val="clear" w:color="auto" w:fill="auto"/>
            <w:noWrap/>
            <w:vAlign w:val="center"/>
            <w:hideMark/>
          </w:tcPr>
          <w:p w14:paraId="13D21A07"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5.0</w:t>
            </w:r>
          </w:p>
        </w:tc>
        <w:tc>
          <w:tcPr>
            <w:tcW w:w="620" w:type="dxa"/>
            <w:tcBorders>
              <w:top w:val="nil"/>
              <w:left w:val="nil"/>
              <w:bottom w:val="nil"/>
              <w:right w:val="single" w:sz="8" w:space="0" w:color="002060"/>
            </w:tcBorders>
            <w:shd w:val="clear" w:color="auto" w:fill="auto"/>
            <w:noWrap/>
            <w:vAlign w:val="center"/>
            <w:hideMark/>
          </w:tcPr>
          <w:p w14:paraId="7E3D2E7E"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 </w:t>
            </w:r>
          </w:p>
        </w:tc>
      </w:tr>
      <w:tr w:rsidR="00AE564D" w:rsidRPr="00661BC3" w14:paraId="4DA8DBA9" w14:textId="77777777" w:rsidTr="00E26D3C">
        <w:trPr>
          <w:trHeight w:val="300"/>
          <w:jc w:val="center"/>
        </w:trPr>
        <w:tc>
          <w:tcPr>
            <w:tcW w:w="1720" w:type="dxa"/>
            <w:tcBorders>
              <w:top w:val="nil"/>
              <w:left w:val="single" w:sz="8" w:space="0" w:color="002060"/>
              <w:bottom w:val="nil"/>
              <w:right w:val="single" w:sz="8" w:space="0" w:color="002060"/>
            </w:tcBorders>
            <w:shd w:val="clear" w:color="000000" w:fill="002060"/>
            <w:noWrap/>
            <w:vAlign w:val="center"/>
            <w:hideMark/>
          </w:tcPr>
          <w:p w14:paraId="4D9C1303"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McCoy's Bridge</w:t>
            </w:r>
          </w:p>
        </w:tc>
        <w:tc>
          <w:tcPr>
            <w:tcW w:w="960" w:type="dxa"/>
            <w:tcBorders>
              <w:top w:val="nil"/>
              <w:left w:val="nil"/>
              <w:bottom w:val="nil"/>
              <w:right w:val="single" w:sz="8" w:space="0" w:color="002060"/>
            </w:tcBorders>
            <w:shd w:val="clear" w:color="auto" w:fill="auto"/>
            <w:noWrap/>
            <w:vAlign w:val="center"/>
            <w:hideMark/>
          </w:tcPr>
          <w:p w14:paraId="77924409"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Mean</w:t>
            </w:r>
          </w:p>
        </w:tc>
        <w:tc>
          <w:tcPr>
            <w:tcW w:w="700" w:type="dxa"/>
            <w:tcBorders>
              <w:top w:val="nil"/>
              <w:left w:val="nil"/>
              <w:bottom w:val="nil"/>
              <w:right w:val="nil"/>
            </w:tcBorders>
            <w:shd w:val="clear" w:color="auto" w:fill="auto"/>
            <w:noWrap/>
            <w:vAlign w:val="center"/>
            <w:hideMark/>
          </w:tcPr>
          <w:p w14:paraId="41490754"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0.144</w:t>
            </w:r>
          </w:p>
        </w:tc>
        <w:tc>
          <w:tcPr>
            <w:tcW w:w="720" w:type="dxa"/>
            <w:tcBorders>
              <w:top w:val="nil"/>
              <w:left w:val="nil"/>
              <w:bottom w:val="nil"/>
              <w:right w:val="nil"/>
            </w:tcBorders>
            <w:shd w:val="clear" w:color="auto" w:fill="auto"/>
            <w:noWrap/>
            <w:vAlign w:val="center"/>
            <w:hideMark/>
          </w:tcPr>
          <w:p w14:paraId="29AAF74F" w14:textId="77777777" w:rsidR="00AE564D" w:rsidRPr="00661BC3" w:rsidRDefault="00AE564D" w:rsidP="00E26D3C">
            <w:pPr>
              <w:spacing w:after="0" w:line="240" w:lineRule="auto"/>
              <w:jc w:val="center"/>
              <w:rPr>
                <w:rFonts w:eastAsia="Times New Roman" w:cstheme="minorHAnsi"/>
                <w:color w:val="000000"/>
                <w:sz w:val="18"/>
                <w:szCs w:val="18"/>
                <w:lang w:eastAsia="en-AU"/>
              </w:rPr>
            </w:pPr>
          </w:p>
        </w:tc>
        <w:tc>
          <w:tcPr>
            <w:tcW w:w="680" w:type="dxa"/>
            <w:tcBorders>
              <w:top w:val="nil"/>
              <w:left w:val="nil"/>
              <w:bottom w:val="nil"/>
              <w:right w:val="nil"/>
            </w:tcBorders>
            <w:shd w:val="clear" w:color="auto" w:fill="auto"/>
            <w:noWrap/>
            <w:vAlign w:val="center"/>
            <w:hideMark/>
          </w:tcPr>
          <w:p w14:paraId="1EDE6AB7" w14:textId="77777777" w:rsidR="00AE564D" w:rsidRPr="00661BC3" w:rsidRDefault="00AE564D" w:rsidP="00E26D3C">
            <w:pPr>
              <w:spacing w:after="0" w:line="240" w:lineRule="auto"/>
              <w:jc w:val="center"/>
              <w:rPr>
                <w:rFonts w:eastAsia="Times New Roman" w:cstheme="minorHAnsi"/>
                <w:sz w:val="18"/>
                <w:szCs w:val="18"/>
                <w:lang w:eastAsia="en-AU"/>
              </w:rPr>
            </w:pPr>
          </w:p>
        </w:tc>
        <w:tc>
          <w:tcPr>
            <w:tcW w:w="640" w:type="dxa"/>
            <w:tcBorders>
              <w:top w:val="nil"/>
              <w:left w:val="nil"/>
              <w:bottom w:val="nil"/>
              <w:right w:val="nil"/>
            </w:tcBorders>
            <w:shd w:val="clear" w:color="auto" w:fill="auto"/>
            <w:noWrap/>
            <w:vAlign w:val="center"/>
            <w:hideMark/>
          </w:tcPr>
          <w:p w14:paraId="55B0C03A"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0.057</w:t>
            </w:r>
          </w:p>
        </w:tc>
        <w:tc>
          <w:tcPr>
            <w:tcW w:w="640" w:type="dxa"/>
            <w:tcBorders>
              <w:top w:val="nil"/>
              <w:left w:val="nil"/>
              <w:bottom w:val="nil"/>
              <w:right w:val="nil"/>
            </w:tcBorders>
            <w:shd w:val="clear" w:color="auto" w:fill="auto"/>
            <w:noWrap/>
            <w:vAlign w:val="center"/>
            <w:hideMark/>
          </w:tcPr>
          <w:p w14:paraId="78CB516D"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0.007</w:t>
            </w:r>
          </w:p>
        </w:tc>
        <w:tc>
          <w:tcPr>
            <w:tcW w:w="1480" w:type="dxa"/>
            <w:tcBorders>
              <w:top w:val="nil"/>
              <w:left w:val="nil"/>
              <w:bottom w:val="nil"/>
              <w:right w:val="nil"/>
            </w:tcBorders>
            <w:shd w:val="clear" w:color="auto" w:fill="auto"/>
            <w:noWrap/>
            <w:vAlign w:val="center"/>
            <w:hideMark/>
          </w:tcPr>
          <w:p w14:paraId="2AFFB311"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6.7</w:t>
            </w:r>
          </w:p>
        </w:tc>
        <w:tc>
          <w:tcPr>
            <w:tcW w:w="620" w:type="dxa"/>
            <w:tcBorders>
              <w:top w:val="nil"/>
              <w:left w:val="nil"/>
              <w:bottom w:val="nil"/>
              <w:right w:val="single" w:sz="8" w:space="0" w:color="002060"/>
            </w:tcBorders>
            <w:shd w:val="clear" w:color="auto" w:fill="auto"/>
            <w:noWrap/>
            <w:vAlign w:val="center"/>
            <w:hideMark/>
          </w:tcPr>
          <w:p w14:paraId="2E855F61"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 </w:t>
            </w:r>
          </w:p>
        </w:tc>
      </w:tr>
      <w:tr w:rsidR="00AE564D" w:rsidRPr="00661BC3" w14:paraId="2EE5F1AB" w14:textId="77777777" w:rsidTr="00E26D3C">
        <w:trPr>
          <w:trHeight w:val="315"/>
          <w:jc w:val="center"/>
        </w:trPr>
        <w:tc>
          <w:tcPr>
            <w:tcW w:w="1720" w:type="dxa"/>
            <w:tcBorders>
              <w:top w:val="nil"/>
              <w:left w:val="single" w:sz="8" w:space="0" w:color="002060"/>
              <w:bottom w:val="single" w:sz="8" w:space="0" w:color="002060"/>
              <w:right w:val="single" w:sz="8" w:space="0" w:color="002060"/>
            </w:tcBorders>
            <w:shd w:val="clear" w:color="000000" w:fill="002060"/>
            <w:noWrap/>
            <w:vAlign w:val="center"/>
            <w:hideMark/>
          </w:tcPr>
          <w:p w14:paraId="61FFD0E9" w14:textId="77777777" w:rsidR="00AE564D" w:rsidRPr="00661BC3" w:rsidRDefault="00AE564D" w:rsidP="00E26D3C">
            <w:pPr>
              <w:spacing w:after="0" w:line="240" w:lineRule="auto"/>
              <w:jc w:val="center"/>
              <w:rPr>
                <w:rFonts w:eastAsia="Times New Roman" w:cstheme="minorHAnsi"/>
                <w:color w:val="FFFFFF"/>
                <w:sz w:val="18"/>
                <w:szCs w:val="18"/>
                <w:lang w:eastAsia="en-AU"/>
              </w:rPr>
            </w:pPr>
            <w:r w:rsidRPr="00661BC3">
              <w:rPr>
                <w:rFonts w:eastAsia="Times New Roman" w:cstheme="minorHAnsi"/>
                <w:color w:val="FFFFFF"/>
                <w:sz w:val="18"/>
                <w:szCs w:val="18"/>
                <w:lang w:eastAsia="en-AU"/>
              </w:rPr>
              <w:t>Murchison</w:t>
            </w:r>
          </w:p>
        </w:tc>
        <w:tc>
          <w:tcPr>
            <w:tcW w:w="960" w:type="dxa"/>
            <w:tcBorders>
              <w:top w:val="nil"/>
              <w:left w:val="nil"/>
              <w:bottom w:val="single" w:sz="8" w:space="0" w:color="002060"/>
              <w:right w:val="single" w:sz="8" w:space="0" w:color="002060"/>
            </w:tcBorders>
            <w:shd w:val="clear" w:color="auto" w:fill="auto"/>
            <w:noWrap/>
            <w:vAlign w:val="center"/>
            <w:hideMark/>
          </w:tcPr>
          <w:p w14:paraId="2DFE77C7"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Std Dev</w:t>
            </w:r>
          </w:p>
        </w:tc>
        <w:tc>
          <w:tcPr>
            <w:tcW w:w="700" w:type="dxa"/>
            <w:tcBorders>
              <w:top w:val="nil"/>
              <w:left w:val="nil"/>
              <w:bottom w:val="single" w:sz="8" w:space="0" w:color="002060"/>
              <w:right w:val="nil"/>
            </w:tcBorders>
            <w:shd w:val="clear" w:color="auto" w:fill="auto"/>
            <w:noWrap/>
            <w:vAlign w:val="center"/>
            <w:hideMark/>
          </w:tcPr>
          <w:p w14:paraId="1645CDCF"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0.167</w:t>
            </w:r>
          </w:p>
        </w:tc>
        <w:tc>
          <w:tcPr>
            <w:tcW w:w="720" w:type="dxa"/>
            <w:tcBorders>
              <w:top w:val="nil"/>
              <w:left w:val="nil"/>
              <w:bottom w:val="single" w:sz="8" w:space="0" w:color="002060"/>
              <w:right w:val="nil"/>
            </w:tcBorders>
            <w:shd w:val="clear" w:color="auto" w:fill="auto"/>
            <w:noWrap/>
            <w:vAlign w:val="center"/>
            <w:hideMark/>
          </w:tcPr>
          <w:p w14:paraId="0EF540BD"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 </w:t>
            </w:r>
          </w:p>
        </w:tc>
        <w:tc>
          <w:tcPr>
            <w:tcW w:w="680" w:type="dxa"/>
            <w:tcBorders>
              <w:top w:val="nil"/>
              <w:left w:val="nil"/>
              <w:bottom w:val="single" w:sz="8" w:space="0" w:color="002060"/>
              <w:right w:val="nil"/>
            </w:tcBorders>
            <w:shd w:val="clear" w:color="auto" w:fill="auto"/>
            <w:noWrap/>
            <w:vAlign w:val="center"/>
            <w:hideMark/>
          </w:tcPr>
          <w:p w14:paraId="71C15186"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 </w:t>
            </w:r>
          </w:p>
        </w:tc>
        <w:tc>
          <w:tcPr>
            <w:tcW w:w="640" w:type="dxa"/>
            <w:tcBorders>
              <w:top w:val="nil"/>
              <w:left w:val="nil"/>
              <w:bottom w:val="single" w:sz="8" w:space="0" w:color="002060"/>
              <w:right w:val="nil"/>
            </w:tcBorders>
            <w:shd w:val="clear" w:color="auto" w:fill="auto"/>
            <w:noWrap/>
            <w:vAlign w:val="center"/>
            <w:hideMark/>
          </w:tcPr>
          <w:p w14:paraId="20616ABB"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0.049</w:t>
            </w:r>
          </w:p>
        </w:tc>
        <w:tc>
          <w:tcPr>
            <w:tcW w:w="640" w:type="dxa"/>
            <w:tcBorders>
              <w:top w:val="nil"/>
              <w:left w:val="nil"/>
              <w:bottom w:val="single" w:sz="8" w:space="0" w:color="002060"/>
              <w:right w:val="nil"/>
            </w:tcBorders>
            <w:shd w:val="clear" w:color="auto" w:fill="auto"/>
            <w:noWrap/>
            <w:vAlign w:val="center"/>
            <w:hideMark/>
          </w:tcPr>
          <w:p w14:paraId="544854E2"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0.016</w:t>
            </w:r>
          </w:p>
        </w:tc>
        <w:tc>
          <w:tcPr>
            <w:tcW w:w="1480" w:type="dxa"/>
            <w:tcBorders>
              <w:top w:val="nil"/>
              <w:left w:val="nil"/>
              <w:bottom w:val="single" w:sz="8" w:space="0" w:color="002060"/>
              <w:right w:val="nil"/>
            </w:tcBorders>
            <w:shd w:val="clear" w:color="auto" w:fill="auto"/>
            <w:noWrap/>
            <w:vAlign w:val="center"/>
            <w:hideMark/>
          </w:tcPr>
          <w:p w14:paraId="75ED50D8"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4.2</w:t>
            </w:r>
          </w:p>
        </w:tc>
        <w:tc>
          <w:tcPr>
            <w:tcW w:w="620" w:type="dxa"/>
            <w:tcBorders>
              <w:top w:val="nil"/>
              <w:left w:val="nil"/>
              <w:bottom w:val="single" w:sz="8" w:space="0" w:color="002060"/>
              <w:right w:val="single" w:sz="8" w:space="0" w:color="002060"/>
            </w:tcBorders>
            <w:shd w:val="clear" w:color="auto" w:fill="auto"/>
            <w:noWrap/>
            <w:vAlign w:val="center"/>
            <w:hideMark/>
          </w:tcPr>
          <w:p w14:paraId="2C435A24" w14:textId="77777777" w:rsidR="00AE564D" w:rsidRPr="00661BC3" w:rsidRDefault="00AE564D" w:rsidP="00E26D3C">
            <w:pPr>
              <w:spacing w:after="0" w:line="240" w:lineRule="auto"/>
              <w:jc w:val="center"/>
              <w:rPr>
                <w:rFonts w:eastAsia="Times New Roman" w:cstheme="minorHAnsi"/>
                <w:color w:val="000000"/>
                <w:sz w:val="18"/>
                <w:szCs w:val="18"/>
                <w:lang w:eastAsia="en-AU"/>
              </w:rPr>
            </w:pPr>
            <w:r w:rsidRPr="00661BC3">
              <w:rPr>
                <w:rFonts w:eastAsia="Times New Roman" w:cstheme="minorHAnsi"/>
                <w:color w:val="000000"/>
                <w:sz w:val="18"/>
                <w:szCs w:val="18"/>
                <w:lang w:eastAsia="en-AU"/>
              </w:rPr>
              <w:t> </w:t>
            </w:r>
          </w:p>
        </w:tc>
      </w:tr>
    </w:tbl>
    <w:p w14:paraId="4674F7C0" w14:textId="77777777" w:rsidR="00AE564D" w:rsidRPr="00BA2632" w:rsidRDefault="00AE564D" w:rsidP="00AE564D">
      <w:pPr>
        <w:jc w:val="center"/>
      </w:pPr>
    </w:p>
    <w:p w14:paraId="1051574C" w14:textId="6A15DDC6" w:rsidR="00AE564D" w:rsidRPr="00742C07" w:rsidRDefault="00AE564D" w:rsidP="0098204D">
      <w:r w:rsidRPr="00742C07">
        <w:t xml:space="preserve">One interesting aspect of the data in </w:t>
      </w:r>
      <w:r w:rsidR="0007637D">
        <w:t xml:space="preserve">Appendix D, </w:t>
      </w:r>
      <w:r w:rsidRPr="00742C07">
        <w:t>which is not evident in the summary of the pooled data (</w:t>
      </w:r>
      <w:r w:rsidR="00590768" w:rsidRPr="00BA2632">
        <w:t xml:space="preserve">Table </w:t>
      </w:r>
      <w:r w:rsidR="00590768">
        <w:t>5</w:t>
      </w:r>
      <w:r w:rsidR="00590768">
        <w:noBreakHyphen/>
        <w:t>13</w:t>
      </w:r>
      <w:r w:rsidRPr="00742C07">
        <w:t>), is the seasonal variation in NO</w:t>
      </w:r>
      <w:r w:rsidRPr="00B547D0">
        <w:t>x</w:t>
      </w:r>
      <w:r w:rsidRPr="00742C07">
        <w:t xml:space="preserve"> (nitrate + nitrite concentrations). This is clearly seen in</w:t>
      </w:r>
      <w:r w:rsidR="00B547D0">
        <w:t xml:space="preserve"> </w:t>
      </w:r>
      <w:r w:rsidR="00590768">
        <w:t>Figure 5</w:t>
      </w:r>
      <w:r w:rsidR="00590768">
        <w:noBreakHyphen/>
        <w:t>9</w:t>
      </w:r>
      <w:r w:rsidRPr="00742C07">
        <w:t xml:space="preserve">, which combines both years of data using a day-month x-axis. </w:t>
      </w:r>
    </w:p>
    <w:p w14:paraId="4FADBA27" w14:textId="77777777" w:rsidR="00607EBB" w:rsidRDefault="00AE564D" w:rsidP="00607EBB">
      <w:pPr>
        <w:pStyle w:val="Para0"/>
        <w:keepNext/>
        <w:jc w:val="center"/>
      </w:pPr>
      <w:r w:rsidRPr="00EE6368">
        <w:rPr>
          <w:noProof/>
          <w:lang w:val="en-GB"/>
        </w:rPr>
        <w:drawing>
          <wp:inline distT="0" distB="0" distL="0" distR="0" wp14:anchorId="08053E4E" wp14:editId="6109E78E">
            <wp:extent cx="4689652" cy="280416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691095" cy="2805023"/>
                    </a:xfrm>
                    <a:prstGeom prst="rect">
                      <a:avLst/>
                    </a:prstGeom>
                    <a:noFill/>
                    <a:ln>
                      <a:noFill/>
                    </a:ln>
                  </pic:spPr>
                </pic:pic>
              </a:graphicData>
            </a:graphic>
          </wp:inline>
        </w:drawing>
      </w:r>
    </w:p>
    <w:p w14:paraId="1B8EAA38" w14:textId="26BF595F" w:rsidR="00AE564D" w:rsidRDefault="00607EBB" w:rsidP="00607EBB">
      <w:pPr>
        <w:pStyle w:val="Caption"/>
        <w:rPr>
          <w:bCs/>
        </w:rPr>
      </w:pPr>
      <w:bookmarkStart w:id="272" w:name="_Ref83783837"/>
      <w:bookmarkStart w:id="273" w:name="_Toc83907753"/>
      <w:bookmarkStart w:id="274" w:name="_Toc84475654"/>
      <w:r>
        <w:t xml:space="preserve">Figure </w:t>
      </w:r>
      <w:r w:rsidR="00590768">
        <w:rPr>
          <w:noProof/>
        </w:rPr>
        <w:t>5</w:t>
      </w:r>
      <w:r w:rsidR="00B85158">
        <w:noBreakHyphen/>
      </w:r>
      <w:r w:rsidR="00590768">
        <w:rPr>
          <w:noProof/>
        </w:rPr>
        <w:t>9</w:t>
      </w:r>
      <w:bookmarkEnd w:id="272"/>
      <w:r>
        <w:t xml:space="preserve"> </w:t>
      </w:r>
      <w:r w:rsidRPr="00AB29D4">
        <w:t>Variation in NOx concentrations in the Goulburn River, May 2019 – Apr 2021. Data combined from all 5 sites and taken from Table 5-13.</w:t>
      </w:r>
      <w:bookmarkEnd w:id="273"/>
      <w:bookmarkEnd w:id="274"/>
    </w:p>
    <w:p w14:paraId="50ED00BD" w14:textId="5366E58B" w:rsidR="00AE564D" w:rsidRDefault="00AE564D" w:rsidP="00AE564D">
      <w:pPr>
        <w:rPr>
          <w:bCs/>
          <w:szCs w:val="20"/>
        </w:rPr>
      </w:pPr>
      <w:r w:rsidRPr="00CB3154">
        <w:rPr>
          <w:bCs/>
          <w:szCs w:val="20"/>
        </w:rPr>
        <w:t xml:space="preserve">The key aspect of </w:t>
      </w:r>
      <w:r w:rsidR="00590768" w:rsidRPr="00590768">
        <w:rPr>
          <w:bCs/>
          <w:szCs w:val="20"/>
        </w:rPr>
        <w:t>Figure 5</w:t>
      </w:r>
      <w:r w:rsidR="00590768" w:rsidRPr="00590768">
        <w:rPr>
          <w:bCs/>
          <w:szCs w:val="20"/>
        </w:rPr>
        <w:noBreakHyphen/>
        <w:t>9</w:t>
      </w:r>
      <w:r w:rsidR="00CB3154" w:rsidRPr="00CB3154">
        <w:rPr>
          <w:bCs/>
          <w:szCs w:val="20"/>
        </w:rPr>
        <w:t xml:space="preserve"> </w:t>
      </w:r>
      <w:r w:rsidRPr="00CB3154">
        <w:rPr>
          <w:bCs/>
          <w:szCs w:val="20"/>
        </w:rPr>
        <w:t xml:space="preserve">is the major drawdown of NOx concentrations during the warmer months (November – February). This is consistent with the period of more intense gross primary productivity, when the autotrophs require a source of bioavailable N. </w:t>
      </w:r>
      <w:r w:rsidRPr="00536061">
        <w:rPr>
          <w:bCs/>
          <w:szCs w:val="20"/>
        </w:rPr>
        <w:t>As can also be seen from</w:t>
      </w:r>
      <w:r w:rsidR="00590768">
        <w:rPr>
          <w:bCs/>
          <w:szCs w:val="20"/>
        </w:rPr>
        <w:t xml:space="preserve"> Appendix D</w:t>
      </w:r>
      <w:r w:rsidRPr="00536061">
        <w:rPr>
          <w:bCs/>
          <w:szCs w:val="20"/>
        </w:rPr>
        <w:t xml:space="preserve">, the ammonia concentrations are extremely low (&lt; 0.005 mg N/L) during this ‘growing’ time as well, before increasing in March and April due to lower growth rates plus decay of detrital </w:t>
      </w:r>
      <w:r w:rsidRPr="00536061">
        <w:rPr>
          <w:bCs/>
          <w:szCs w:val="20"/>
        </w:rPr>
        <w:lastRenderedPageBreak/>
        <w:t xml:space="preserve">material. In addition to bioavailable N, the autotrophs require a source of bioavailable phosphorus, which is measured here as Filterable Reactive Phosphorus (FRP). Throughout the late spring-early autumn period FRP </w:t>
      </w:r>
      <w:r w:rsidRPr="00207A1E">
        <w:rPr>
          <w:bCs/>
          <w:szCs w:val="20"/>
        </w:rPr>
        <w:t>concentrations were relatively constant at 0.003 mg P/L. These findings support the earlier conclusions from the LTIM project that primary production is constrained in the Goulburn River by bioavailable nutrient concentrations. There is no upstream-downstream trend in FRP; it is low throughout Zones 1 and 2, indicating that there is no significant continual input of this nutrient into the river. Any such inputs must be relatively transient as they are not evident in the monthly data. As noted elsewhere, it would be extremely insightful to follow nutrient concentrations across a flow event hydrograph, especially during the warmer months, but this is beyond the scope and budget of this project.</w:t>
      </w:r>
    </w:p>
    <w:p w14:paraId="2F4236EA" w14:textId="0B6294AC" w:rsidR="00AE564D" w:rsidRPr="00CB3154" w:rsidRDefault="00AE564D" w:rsidP="007623EC">
      <w:pPr>
        <w:rPr>
          <w:bCs/>
          <w:szCs w:val="20"/>
        </w:rPr>
      </w:pPr>
      <w:r w:rsidRPr="00CB3154">
        <w:t>In addition to nutrients, there is sufficient data on turbidity and electrical conductivity to compare the results during the first two years of the MER project with longer ter</w:t>
      </w:r>
      <w:r w:rsidRPr="00CB3154">
        <w:rPr>
          <w:bCs/>
          <w:szCs w:val="20"/>
        </w:rPr>
        <w:t xml:space="preserve">m data sets collected at Murchison, </w:t>
      </w:r>
      <w:proofErr w:type="gramStart"/>
      <w:r w:rsidRPr="00CB3154">
        <w:rPr>
          <w:bCs/>
          <w:szCs w:val="20"/>
        </w:rPr>
        <w:t>Shepparton</w:t>
      </w:r>
      <w:proofErr w:type="gramEnd"/>
      <w:r w:rsidRPr="00CB3154">
        <w:rPr>
          <w:bCs/>
          <w:szCs w:val="20"/>
        </w:rPr>
        <w:t xml:space="preserve"> and McCoy’s Bridge (</w:t>
      </w:r>
      <w:r w:rsidR="00590768" w:rsidRPr="00590768">
        <w:rPr>
          <w:bCs/>
          <w:szCs w:val="20"/>
        </w:rPr>
        <w:t>Table 5</w:t>
      </w:r>
      <w:r w:rsidR="00590768" w:rsidRPr="00590768">
        <w:rPr>
          <w:bCs/>
          <w:szCs w:val="20"/>
        </w:rPr>
        <w:noBreakHyphen/>
        <w:t>14</w:t>
      </w:r>
      <w:r w:rsidRPr="00CB3154">
        <w:rPr>
          <w:bCs/>
          <w:szCs w:val="20"/>
        </w:rPr>
        <w:t xml:space="preserve">). </w:t>
      </w:r>
    </w:p>
    <w:p w14:paraId="0AC3EB3A" w14:textId="747D9CB7" w:rsidR="005C48CF" w:rsidRDefault="005C48CF" w:rsidP="005C48CF">
      <w:pPr>
        <w:pStyle w:val="Caption"/>
        <w:keepNext/>
      </w:pPr>
      <w:bookmarkStart w:id="275" w:name="_Ref83783978"/>
      <w:bookmarkStart w:id="276" w:name="_Toc95391475"/>
      <w:r>
        <w:t xml:space="preserve">Table </w:t>
      </w:r>
      <w:r w:rsidR="00590768">
        <w:rPr>
          <w:noProof/>
        </w:rPr>
        <w:t>5</w:t>
      </w:r>
      <w:r w:rsidR="000B75AF">
        <w:noBreakHyphen/>
      </w:r>
      <w:r w:rsidR="00590768">
        <w:rPr>
          <w:noProof/>
        </w:rPr>
        <w:t>14</w:t>
      </w:r>
      <w:bookmarkEnd w:id="275"/>
      <w:r>
        <w:t xml:space="preserve"> </w:t>
      </w:r>
      <w:r w:rsidRPr="00CA344F">
        <w:t>Summary of Turbidity and Electrical Conductivity pooled data from the 5 MER sites (2019-2021) and DELWP WMIS data covering the period 1990-2020.</w:t>
      </w:r>
      <w:bookmarkEnd w:id="276"/>
    </w:p>
    <w:tbl>
      <w:tblPr>
        <w:tblW w:w="8726" w:type="dxa"/>
        <w:jc w:val="center"/>
        <w:tblLook w:val="04A0" w:firstRow="1" w:lastRow="0" w:firstColumn="1" w:lastColumn="0" w:noHBand="0" w:noVBand="1"/>
      </w:tblPr>
      <w:tblGrid>
        <w:gridCol w:w="875"/>
        <w:gridCol w:w="1240"/>
        <w:gridCol w:w="760"/>
        <w:gridCol w:w="760"/>
        <w:gridCol w:w="936"/>
        <w:gridCol w:w="760"/>
        <w:gridCol w:w="760"/>
        <w:gridCol w:w="777"/>
        <w:gridCol w:w="960"/>
        <w:gridCol w:w="960"/>
      </w:tblGrid>
      <w:tr w:rsidR="00AE564D" w:rsidRPr="00487D78" w14:paraId="180F7BD9" w14:textId="77777777" w:rsidTr="00487D78">
        <w:trPr>
          <w:trHeight w:val="315"/>
          <w:jc w:val="center"/>
        </w:trPr>
        <w:tc>
          <w:tcPr>
            <w:tcW w:w="830" w:type="dxa"/>
            <w:tcBorders>
              <w:top w:val="single" w:sz="8" w:space="0" w:color="002060"/>
              <w:left w:val="single" w:sz="8" w:space="0" w:color="002060"/>
              <w:bottom w:val="nil"/>
              <w:right w:val="single" w:sz="8" w:space="0" w:color="002060"/>
            </w:tcBorders>
            <w:shd w:val="clear" w:color="000000" w:fill="002060"/>
            <w:noWrap/>
            <w:vAlign w:val="center"/>
            <w:hideMark/>
          </w:tcPr>
          <w:p w14:paraId="6D2BA648" w14:textId="77777777" w:rsidR="00AE564D" w:rsidRPr="00487D78" w:rsidRDefault="00AE564D" w:rsidP="00E26D3C">
            <w:pPr>
              <w:spacing w:after="0" w:line="240" w:lineRule="auto"/>
              <w:jc w:val="center"/>
              <w:rPr>
                <w:rFonts w:eastAsia="Times New Roman" w:cstheme="minorHAnsi"/>
                <w:color w:val="FFFFFF"/>
                <w:sz w:val="18"/>
                <w:szCs w:val="18"/>
                <w:lang w:eastAsia="en-AU"/>
              </w:rPr>
            </w:pPr>
            <w:r w:rsidRPr="00487D78">
              <w:rPr>
                <w:rFonts w:eastAsia="Times New Roman" w:cstheme="minorHAnsi"/>
                <w:color w:val="FFFFFF"/>
                <w:sz w:val="18"/>
                <w:szCs w:val="18"/>
                <w:lang w:eastAsia="en-AU"/>
              </w:rPr>
              <w:t> </w:t>
            </w:r>
          </w:p>
        </w:tc>
        <w:tc>
          <w:tcPr>
            <w:tcW w:w="1240" w:type="dxa"/>
            <w:tcBorders>
              <w:top w:val="single" w:sz="8" w:space="0" w:color="002060"/>
              <w:left w:val="nil"/>
              <w:bottom w:val="single" w:sz="8" w:space="0" w:color="002060"/>
              <w:right w:val="nil"/>
            </w:tcBorders>
            <w:shd w:val="clear" w:color="000000" w:fill="002060"/>
            <w:noWrap/>
            <w:vAlign w:val="center"/>
            <w:hideMark/>
          </w:tcPr>
          <w:p w14:paraId="3E97137D" w14:textId="77777777" w:rsidR="00AE564D" w:rsidRPr="00487D78" w:rsidRDefault="00AE564D" w:rsidP="00E26D3C">
            <w:pPr>
              <w:spacing w:after="0" w:line="240" w:lineRule="auto"/>
              <w:jc w:val="center"/>
              <w:rPr>
                <w:rFonts w:eastAsia="Times New Roman" w:cstheme="minorHAnsi"/>
                <w:color w:val="FFFFFF"/>
                <w:sz w:val="18"/>
                <w:szCs w:val="18"/>
                <w:lang w:eastAsia="en-AU"/>
              </w:rPr>
            </w:pPr>
            <w:r w:rsidRPr="00487D78">
              <w:rPr>
                <w:rFonts w:eastAsia="Times New Roman" w:cstheme="minorHAnsi"/>
                <w:color w:val="FFFFFF"/>
                <w:sz w:val="18"/>
                <w:szCs w:val="18"/>
                <w:lang w:eastAsia="en-AU"/>
              </w:rPr>
              <w:t>Site</w:t>
            </w:r>
          </w:p>
        </w:tc>
        <w:tc>
          <w:tcPr>
            <w:tcW w:w="760" w:type="dxa"/>
            <w:tcBorders>
              <w:top w:val="single" w:sz="8" w:space="0" w:color="002060"/>
              <w:left w:val="nil"/>
              <w:bottom w:val="single" w:sz="8" w:space="0" w:color="002060"/>
              <w:right w:val="nil"/>
            </w:tcBorders>
            <w:shd w:val="clear" w:color="000000" w:fill="002060"/>
            <w:noWrap/>
            <w:vAlign w:val="center"/>
            <w:hideMark/>
          </w:tcPr>
          <w:p w14:paraId="44D37BA6" w14:textId="77777777" w:rsidR="00AE564D" w:rsidRPr="00487D78" w:rsidRDefault="00AE564D" w:rsidP="00E26D3C">
            <w:pPr>
              <w:spacing w:after="0" w:line="240" w:lineRule="auto"/>
              <w:jc w:val="center"/>
              <w:rPr>
                <w:rFonts w:eastAsia="Times New Roman" w:cstheme="minorHAnsi"/>
                <w:color w:val="FFFFFF"/>
                <w:sz w:val="18"/>
                <w:szCs w:val="18"/>
                <w:lang w:eastAsia="en-AU"/>
              </w:rPr>
            </w:pPr>
            <w:r w:rsidRPr="00487D78">
              <w:rPr>
                <w:rFonts w:eastAsia="Times New Roman" w:cstheme="minorHAnsi"/>
                <w:color w:val="FFFFFF"/>
                <w:sz w:val="18"/>
                <w:szCs w:val="18"/>
                <w:lang w:eastAsia="en-AU"/>
              </w:rPr>
              <w:t>n</w:t>
            </w:r>
          </w:p>
        </w:tc>
        <w:tc>
          <w:tcPr>
            <w:tcW w:w="760" w:type="dxa"/>
            <w:tcBorders>
              <w:top w:val="single" w:sz="8" w:space="0" w:color="002060"/>
              <w:left w:val="nil"/>
              <w:bottom w:val="single" w:sz="8" w:space="0" w:color="002060"/>
              <w:right w:val="nil"/>
            </w:tcBorders>
            <w:shd w:val="clear" w:color="000000" w:fill="002060"/>
            <w:noWrap/>
            <w:vAlign w:val="center"/>
            <w:hideMark/>
          </w:tcPr>
          <w:p w14:paraId="003B75F6" w14:textId="77777777" w:rsidR="00AE564D" w:rsidRPr="00487D78" w:rsidRDefault="00AE564D" w:rsidP="00E26D3C">
            <w:pPr>
              <w:spacing w:after="0" w:line="240" w:lineRule="auto"/>
              <w:jc w:val="center"/>
              <w:rPr>
                <w:rFonts w:eastAsia="Times New Roman" w:cstheme="minorHAnsi"/>
                <w:color w:val="FFFFFF"/>
                <w:sz w:val="18"/>
                <w:szCs w:val="18"/>
                <w:lang w:eastAsia="en-AU"/>
              </w:rPr>
            </w:pPr>
            <w:r w:rsidRPr="00487D78">
              <w:rPr>
                <w:rFonts w:eastAsia="Times New Roman" w:cstheme="minorHAnsi"/>
                <w:color w:val="FFFFFF"/>
                <w:sz w:val="18"/>
                <w:szCs w:val="18"/>
                <w:lang w:eastAsia="en-AU"/>
              </w:rPr>
              <w:t>Mean</w:t>
            </w:r>
          </w:p>
        </w:tc>
        <w:tc>
          <w:tcPr>
            <w:tcW w:w="936" w:type="dxa"/>
            <w:tcBorders>
              <w:top w:val="single" w:sz="8" w:space="0" w:color="002060"/>
              <w:left w:val="nil"/>
              <w:bottom w:val="single" w:sz="8" w:space="0" w:color="002060"/>
              <w:right w:val="nil"/>
            </w:tcBorders>
            <w:shd w:val="clear" w:color="000000" w:fill="002060"/>
            <w:noWrap/>
            <w:vAlign w:val="center"/>
            <w:hideMark/>
          </w:tcPr>
          <w:p w14:paraId="04290C01" w14:textId="77777777" w:rsidR="00AE564D" w:rsidRPr="00487D78" w:rsidRDefault="00AE564D" w:rsidP="00E26D3C">
            <w:pPr>
              <w:spacing w:after="0" w:line="240" w:lineRule="auto"/>
              <w:jc w:val="center"/>
              <w:rPr>
                <w:rFonts w:eastAsia="Times New Roman" w:cstheme="minorHAnsi"/>
                <w:color w:val="FFFFFF"/>
                <w:sz w:val="18"/>
                <w:szCs w:val="18"/>
                <w:lang w:eastAsia="en-AU"/>
              </w:rPr>
            </w:pPr>
            <w:r w:rsidRPr="00487D78">
              <w:rPr>
                <w:rFonts w:eastAsia="Times New Roman" w:cstheme="minorHAnsi"/>
                <w:color w:val="FFFFFF"/>
                <w:sz w:val="18"/>
                <w:szCs w:val="18"/>
                <w:lang w:eastAsia="en-AU"/>
              </w:rPr>
              <w:t>Std Dev</w:t>
            </w:r>
          </w:p>
        </w:tc>
        <w:tc>
          <w:tcPr>
            <w:tcW w:w="760" w:type="dxa"/>
            <w:tcBorders>
              <w:top w:val="single" w:sz="8" w:space="0" w:color="002060"/>
              <w:left w:val="nil"/>
              <w:bottom w:val="single" w:sz="8" w:space="0" w:color="002060"/>
              <w:right w:val="nil"/>
            </w:tcBorders>
            <w:shd w:val="clear" w:color="000000" w:fill="002060"/>
            <w:noWrap/>
            <w:vAlign w:val="center"/>
            <w:hideMark/>
          </w:tcPr>
          <w:p w14:paraId="35BE273B" w14:textId="77777777" w:rsidR="00AE564D" w:rsidRPr="00487D78" w:rsidRDefault="00AE564D" w:rsidP="00E26D3C">
            <w:pPr>
              <w:spacing w:after="0" w:line="240" w:lineRule="auto"/>
              <w:jc w:val="center"/>
              <w:rPr>
                <w:rFonts w:eastAsia="Times New Roman" w:cstheme="minorHAnsi"/>
                <w:color w:val="FFFFFF"/>
                <w:sz w:val="18"/>
                <w:szCs w:val="18"/>
                <w:lang w:eastAsia="en-AU"/>
              </w:rPr>
            </w:pPr>
            <w:r w:rsidRPr="00487D78">
              <w:rPr>
                <w:rFonts w:eastAsia="Times New Roman" w:cstheme="minorHAnsi"/>
                <w:color w:val="FFFFFF"/>
                <w:sz w:val="18"/>
                <w:szCs w:val="18"/>
                <w:lang w:eastAsia="en-AU"/>
              </w:rPr>
              <w:t>Min</w:t>
            </w:r>
          </w:p>
        </w:tc>
        <w:tc>
          <w:tcPr>
            <w:tcW w:w="760" w:type="dxa"/>
            <w:tcBorders>
              <w:top w:val="single" w:sz="8" w:space="0" w:color="002060"/>
              <w:left w:val="nil"/>
              <w:bottom w:val="single" w:sz="8" w:space="0" w:color="002060"/>
              <w:right w:val="nil"/>
            </w:tcBorders>
            <w:shd w:val="clear" w:color="000000" w:fill="002060"/>
            <w:noWrap/>
            <w:vAlign w:val="center"/>
            <w:hideMark/>
          </w:tcPr>
          <w:p w14:paraId="5AF3D25E" w14:textId="77777777" w:rsidR="00AE564D" w:rsidRPr="00487D78" w:rsidRDefault="00AE564D" w:rsidP="00E26D3C">
            <w:pPr>
              <w:spacing w:after="0" w:line="240" w:lineRule="auto"/>
              <w:jc w:val="center"/>
              <w:rPr>
                <w:rFonts w:eastAsia="Times New Roman" w:cstheme="minorHAnsi"/>
                <w:color w:val="FFFFFF"/>
                <w:sz w:val="18"/>
                <w:szCs w:val="18"/>
                <w:lang w:eastAsia="en-AU"/>
              </w:rPr>
            </w:pPr>
            <w:r w:rsidRPr="00487D78">
              <w:rPr>
                <w:rFonts w:eastAsia="Times New Roman" w:cstheme="minorHAnsi"/>
                <w:color w:val="FFFFFF"/>
                <w:sz w:val="18"/>
                <w:szCs w:val="18"/>
                <w:lang w:eastAsia="en-AU"/>
              </w:rPr>
              <w:t>Max</w:t>
            </w:r>
          </w:p>
        </w:tc>
        <w:tc>
          <w:tcPr>
            <w:tcW w:w="760" w:type="dxa"/>
            <w:tcBorders>
              <w:top w:val="single" w:sz="8" w:space="0" w:color="002060"/>
              <w:left w:val="nil"/>
              <w:bottom w:val="single" w:sz="8" w:space="0" w:color="002060"/>
              <w:right w:val="nil"/>
            </w:tcBorders>
            <w:shd w:val="clear" w:color="000000" w:fill="002060"/>
            <w:noWrap/>
            <w:vAlign w:val="center"/>
            <w:hideMark/>
          </w:tcPr>
          <w:p w14:paraId="56DA423A" w14:textId="77777777" w:rsidR="00AE564D" w:rsidRPr="00487D78" w:rsidRDefault="00AE564D" w:rsidP="00E26D3C">
            <w:pPr>
              <w:spacing w:after="0" w:line="240" w:lineRule="auto"/>
              <w:jc w:val="center"/>
              <w:rPr>
                <w:rFonts w:eastAsia="Times New Roman" w:cstheme="minorHAnsi"/>
                <w:color w:val="FFFFFF"/>
                <w:sz w:val="18"/>
                <w:szCs w:val="18"/>
                <w:lang w:eastAsia="en-AU"/>
              </w:rPr>
            </w:pPr>
            <w:r w:rsidRPr="00487D78">
              <w:rPr>
                <w:rFonts w:eastAsia="Times New Roman" w:cstheme="minorHAnsi"/>
                <w:color w:val="FFFFFF"/>
                <w:sz w:val="18"/>
                <w:szCs w:val="18"/>
                <w:lang w:eastAsia="en-AU"/>
              </w:rPr>
              <w:t xml:space="preserve">Median </w:t>
            </w:r>
          </w:p>
        </w:tc>
        <w:tc>
          <w:tcPr>
            <w:tcW w:w="960" w:type="dxa"/>
            <w:tcBorders>
              <w:top w:val="single" w:sz="8" w:space="0" w:color="002060"/>
              <w:left w:val="nil"/>
              <w:bottom w:val="single" w:sz="8" w:space="0" w:color="002060"/>
              <w:right w:val="nil"/>
            </w:tcBorders>
            <w:shd w:val="clear" w:color="000000" w:fill="002060"/>
            <w:noWrap/>
            <w:vAlign w:val="center"/>
            <w:hideMark/>
          </w:tcPr>
          <w:p w14:paraId="0E2BA25C" w14:textId="77777777" w:rsidR="00AE564D" w:rsidRPr="00487D78" w:rsidRDefault="00AE564D" w:rsidP="00E26D3C">
            <w:pPr>
              <w:spacing w:after="0" w:line="240" w:lineRule="auto"/>
              <w:jc w:val="center"/>
              <w:rPr>
                <w:rFonts w:eastAsia="Times New Roman" w:cstheme="minorHAnsi"/>
                <w:color w:val="FFFFFF"/>
                <w:sz w:val="18"/>
                <w:szCs w:val="18"/>
                <w:lang w:eastAsia="en-AU"/>
              </w:rPr>
            </w:pPr>
            <w:r w:rsidRPr="00487D78">
              <w:rPr>
                <w:rFonts w:eastAsia="Times New Roman" w:cstheme="minorHAnsi"/>
                <w:color w:val="FFFFFF"/>
                <w:sz w:val="18"/>
                <w:szCs w:val="18"/>
                <w:lang w:eastAsia="en-AU"/>
              </w:rPr>
              <w:t>25%</w:t>
            </w:r>
          </w:p>
        </w:tc>
        <w:tc>
          <w:tcPr>
            <w:tcW w:w="960" w:type="dxa"/>
            <w:tcBorders>
              <w:top w:val="single" w:sz="8" w:space="0" w:color="002060"/>
              <w:left w:val="nil"/>
              <w:bottom w:val="single" w:sz="8" w:space="0" w:color="002060"/>
              <w:right w:val="single" w:sz="8" w:space="0" w:color="002060"/>
            </w:tcBorders>
            <w:shd w:val="clear" w:color="000000" w:fill="002060"/>
            <w:noWrap/>
            <w:vAlign w:val="center"/>
            <w:hideMark/>
          </w:tcPr>
          <w:p w14:paraId="3B005D7E" w14:textId="77777777" w:rsidR="00AE564D" w:rsidRPr="00487D78" w:rsidRDefault="00AE564D" w:rsidP="00E26D3C">
            <w:pPr>
              <w:spacing w:after="0" w:line="240" w:lineRule="auto"/>
              <w:jc w:val="center"/>
              <w:rPr>
                <w:rFonts w:eastAsia="Times New Roman" w:cstheme="minorHAnsi"/>
                <w:color w:val="FFFFFF"/>
                <w:sz w:val="18"/>
                <w:szCs w:val="18"/>
                <w:lang w:eastAsia="en-AU"/>
              </w:rPr>
            </w:pPr>
            <w:r w:rsidRPr="00487D78">
              <w:rPr>
                <w:rFonts w:eastAsia="Times New Roman" w:cstheme="minorHAnsi"/>
                <w:color w:val="FFFFFF"/>
                <w:sz w:val="18"/>
                <w:szCs w:val="18"/>
                <w:lang w:eastAsia="en-AU"/>
              </w:rPr>
              <w:t>75%</w:t>
            </w:r>
          </w:p>
        </w:tc>
      </w:tr>
      <w:tr w:rsidR="00AE564D" w:rsidRPr="00487D78" w14:paraId="7A2D6AEB" w14:textId="77777777" w:rsidTr="00487D78">
        <w:trPr>
          <w:trHeight w:val="300"/>
          <w:jc w:val="center"/>
        </w:trPr>
        <w:tc>
          <w:tcPr>
            <w:tcW w:w="830" w:type="dxa"/>
            <w:vMerge w:val="restart"/>
            <w:tcBorders>
              <w:top w:val="single" w:sz="8" w:space="0" w:color="002060"/>
              <w:left w:val="single" w:sz="8" w:space="0" w:color="002060"/>
              <w:bottom w:val="single" w:sz="8" w:space="0" w:color="FFFFFF"/>
              <w:right w:val="single" w:sz="8" w:space="0" w:color="002060"/>
            </w:tcBorders>
            <w:shd w:val="clear" w:color="000000" w:fill="002060"/>
            <w:vAlign w:val="center"/>
            <w:hideMark/>
          </w:tcPr>
          <w:p w14:paraId="250EFBD7" w14:textId="77777777" w:rsidR="00AE564D" w:rsidRPr="00487D78" w:rsidRDefault="00AE564D" w:rsidP="00E26D3C">
            <w:pPr>
              <w:spacing w:after="0" w:line="240" w:lineRule="auto"/>
              <w:jc w:val="center"/>
              <w:rPr>
                <w:rFonts w:eastAsia="Times New Roman" w:cstheme="minorHAnsi"/>
                <w:color w:val="FFFFFF"/>
                <w:sz w:val="18"/>
                <w:szCs w:val="18"/>
                <w:lang w:eastAsia="en-AU"/>
              </w:rPr>
            </w:pPr>
            <w:r w:rsidRPr="00487D78">
              <w:rPr>
                <w:rFonts w:eastAsia="Times New Roman" w:cstheme="minorHAnsi"/>
                <w:color w:val="FFFFFF"/>
                <w:sz w:val="18"/>
                <w:szCs w:val="18"/>
                <w:lang w:eastAsia="en-AU"/>
              </w:rPr>
              <w:t>Turbidity (NTU)</w:t>
            </w:r>
          </w:p>
        </w:tc>
        <w:tc>
          <w:tcPr>
            <w:tcW w:w="1240" w:type="dxa"/>
            <w:tcBorders>
              <w:top w:val="nil"/>
              <w:left w:val="nil"/>
              <w:bottom w:val="nil"/>
              <w:right w:val="nil"/>
            </w:tcBorders>
            <w:shd w:val="clear" w:color="auto" w:fill="auto"/>
            <w:noWrap/>
            <w:vAlign w:val="center"/>
            <w:hideMark/>
          </w:tcPr>
          <w:p w14:paraId="4AE02FEF" w14:textId="77777777" w:rsidR="00AE564D" w:rsidRPr="00487D78" w:rsidRDefault="00AE564D" w:rsidP="00E26D3C">
            <w:pPr>
              <w:spacing w:after="0" w:line="240" w:lineRule="auto"/>
              <w:jc w:val="center"/>
              <w:rPr>
                <w:rFonts w:eastAsia="Times New Roman" w:cstheme="minorHAnsi"/>
                <w:b/>
                <w:bCs/>
                <w:color w:val="000000"/>
                <w:sz w:val="18"/>
                <w:szCs w:val="18"/>
                <w:lang w:eastAsia="en-AU"/>
              </w:rPr>
            </w:pPr>
            <w:r w:rsidRPr="00487D78">
              <w:rPr>
                <w:rFonts w:eastAsia="Times New Roman" w:cstheme="minorHAnsi"/>
                <w:b/>
                <w:bCs/>
                <w:color w:val="000000"/>
                <w:sz w:val="18"/>
                <w:szCs w:val="18"/>
                <w:lang w:eastAsia="en-AU"/>
              </w:rPr>
              <w:t>MER</w:t>
            </w:r>
          </w:p>
        </w:tc>
        <w:tc>
          <w:tcPr>
            <w:tcW w:w="760" w:type="dxa"/>
            <w:tcBorders>
              <w:top w:val="nil"/>
              <w:left w:val="nil"/>
              <w:bottom w:val="nil"/>
              <w:right w:val="nil"/>
            </w:tcBorders>
            <w:shd w:val="clear" w:color="auto" w:fill="auto"/>
            <w:noWrap/>
            <w:vAlign w:val="center"/>
            <w:hideMark/>
          </w:tcPr>
          <w:p w14:paraId="159BD2F2"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96</w:t>
            </w:r>
          </w:p>
        </w:tc>
        <w:tc>
          <w:tcPr>
            <w:tcW w:w="760" w:type="dxa"/>
            <w:tcBorders>
              <w:top w:val="nil"/>
              <w:left w:val="nil"/>
              <w:bottom w:val="nil"/>
              <w:right w:val="nil"/>
            </w:tcBorders>
            <w:shd w:val="clear" w:color="auto" w:fill="auto"/>
            <w:noWrap/>
            <w:vAlign w:val="center"/>
            <w:hideMark/>
          </w:tcPr>
          <w:p w14:paraId="15F84FB4"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25</w:t>
            </w:r>
          </w:p>
        </w:tc>
        <w:tc>
          <w:tcPr>
            <w:tcW w:w="936" w:type="dxa"/>
            <w:tcBorders>
              <w:top w:val="nil"/>
              <w:left w:val="nil"/>
              <w:bottom w:val="nil"/>
              <w:right w:val="nil"/>
            </w:tcBorders>
            <w:shd w:val="clear" w:color="auto" w:fill="auto"/>
            <w:noWrap/>
            <w:vAlign w:val="center"/>
            <w:hideMark/>
          </w:tcPr>
          <w:p w14:paraId="7216724C"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22</w:t>
            </w:r>
          </w:p>
        </w:tc>
        <w:tc>
          <w:tcPr>
            <w:tcW w:w="760" w:type="dxa"/>
            <w:tcBorders>
              <w:top w:val="nil"/>
              <w:left w:val="nil"/>
              <w:bottom w:val="nil"/>
              <w:right w:val="nil"/>
            </w:tcBorders>
            <w:shd w:val="clear" w:color="auto" w:fill="auto"/>
            <w:noWrap/>
            <w:vAlign w:val="center"/>
            <w:hideMark/>
          </w:tcPr>
          <w:p w14:paraId="622BB981"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7</w:t>
            </w:r>
          </w:p>
        </w:tc>
        <w:tc>
          <w:tcPr>
            <w:tcW w:w="760" w:type="dxa"/>
            <w:tcBorders>
              <w:top w:val="nil"/>
              <w:left w:val="nil"/>
              <w:bottom w:val="nil"/>
              <w:right w:val="nil"/>
            </w:tcBorders>
            <w:shd w:val="clear" w:color="auto" w:fill="auto"/>
            <w:noWrap/>
            <w:vAlign w:val="center"/>
            <w:hideMark/>
          </w:tcPr>
          <w:p w14:paraId="42787948"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181</w:t>
            </w:r>
          </w:p>
        </w:tc>
        <w:tc>
          <w:tcPr>
            <w:tcW w:w="760" w:type="dxa"/>
            <w:tcBorders>
              <w:top w:val="nil"/>
              <w:left w:val="nil"/>
              <w:bottom w:val="nil"/>
              <w:right w:val="nil"/>
            </w:tcBorders>
            <w:shd w:val="clear" w:color="auto" w:fill="auto"/>
            <w:noWrap/>
            <w:vAlign w:val="center"/>
            <w:hideMark/>
          </w:tcPr>
          <w:p w14:paraId="22D19CD2"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19</w:t>
            </w:r>
          </w:p>
        </w:tc>
        <w:tc>
          <w:tcPr>
            <w:tcW w:w="960" w:type="dxa"/>
            <w:tcBorders>
              <w:top w:val="nil"/>
              <w:left w:val="nil"/>
              <w:bottom w:val="nil"/>
              <w:right w:val="nil"/>
            </w:tcBorders>
            <w:shd w:val="clear" w:color="auto" w:fill="auto"/>
            <w:noWrap/>
            <w:vAlign w:val="center"/>
            <w:hideMark/>
          </w:tcPr>
          <w:p w14:paraId="5E79D9B6"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13</w:t>
            </w:r>
          </w:p>
        </w:tc>
        <w:tc>
          <w:tcPr>
            <w:tcW w:w="960" w:type="dxa"/>
            <w:tcBorders>
              <w:top w:val="nil"/>
              <w:left w:val="nil"/>
              <w:bottom w:val="nil"/>
              <w:right w:val="single" w:sz="8" w:space="0" w:color="002060"/>
            </w:tcBorders>
            <w:shd w:val="clear" w:color="auto" w:fill="auto"/>
            <w:noWrap/>
            <w:vAlign w:val="center"/>
            <w:hideMark/>
          </w:tcPr>
          <w:p w14:paraId="03A20884"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30</w:t>
            </w:r>
          </w:p>
        </w:tc>
      </w:tr>
      <w:tr w:rsidR="00AE564D" w:rsidRPr="00487D78" w14:paraId="3B933913" w14:textId="77777777" w:rsidTr="00487D78">
        <w:trPr>
          <w:trHeight w:val="300"/>
          <w:jc w:val="center"/>
        </w:trPr>
        <w:tc>
          <w:tcPr>
            <w:tcW w:w="830" w:type="dxa"/>
            <w:vMerge/>
            <w:tcBorders>
              <w:top w:val="single" w:sz="8" w:space="0" w:color="002060"/>
              <w:left w:val="single" w:sz="8" w:space="0" w:color="002060"/>
              <w:bottom w:val="single" w:sz="8" w:space="0" w:color="FFFFFF"/>
              <w:right w:val="single" w:sz="8" w:space="0" w:color="002060"/>
            </w:tcBorders>
            <w:vAlign w:val="center"/>
            <w:hideMark/>
          </w:tcPr>
          <w:p w14:paraId="3B6BB7B3" w14:textId="77777777" w:rsidR="00AE564D" w:rsidRPr="00487D78" w:rsidRDefault="00AE564D" w:rsidP="00E26D3C">
            <w:pPr>
              <w:spacing w:after="0" w:line="240" w:lineRule="auto"/>
              <w:rPr>
                <w:rFonts w:eastAsia="Times New Roman" w:cstheme="minorHAnsi"/>
                <w:color w:val="FFFFFF"/>
                <w:sz w:val="18"/>
                <w:szCs w:val="18"/>
                <w:lang w:eastAsia="en-AU"/>
              </w:rPr>
            </w:pPr>
          </w:p>
        </w:tc>
        <w:tc>
          <w:tcPr>
            <w:tcW w:w="1240" w:type="dxa"/>
            <w:tcBorders>
              <w:top w:val="nil"/>
              <w:left w:val="nil"/>
              <w:bottom w:val="nil"/>
              <w:right w:val="nil"/>
            </w:tcBorders>
            <w:shd w:val="clear" w:color="auto" w:fill="auto"/>
            <w:noWrap/>
            <w:vAlign w:val="center"/>
            <w:hideMark/>
          </w:tcPr>
          <w:p w14:paraId="2E733175"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Murchison</w:t>
            </w:r>
          </w:p>
        </w:tc>
        <w:tc>
          <w:tcPr>
            <w:tcW w:w="760" w:type="dxa"/>
            <w:tcBorders>
              <w:top w:val="nil"/>
              <w:left w:val="nil"/>
              <w:bottom w:val="nil"/>
              <w:right w:val="nil"/>
            </w:tcBorders>
            <w:shd w:val="clear" w:color="auto" w:fill="auto"/>
            <w:noWrap/>
            <w:vAlign w:val="center"/>
            <w:hideMark/>
          </w:tcPr>
          <w:p w14:paraId="143D30C5"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372</w:t>
            </w:r>
          </w:p>
        </w:tc>
        <w:tc>
          <w:tcPr>
            <w:tcW w:w="760" w:type="dxa"/>
            <w:tcBorders>
              <w:top w:val="nil"/>
              <w:left w:val="nil"/>
              <w:bottom w:val="nil"/>
              <w:right w:val="nil"/>
            </w:tcBorders>
            <w:shd w:val="clear" w:color="auto" w:fill="auto"/>
            <w:noWrap/>
            <w:vAlign w:val="center"/>
            <w:hideMark/>
          </w:tcPr>
          <w:p w14:paraId="0A84B230"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17</w:t>
            </w:r>
          </w:p>
        </w:tc>
        <w:tc>
          <w:tcPr>
            <w:tcW w:w="936" w:type="dxa"/>
            <w:tcBorders>
              <w:top w:val="nil"/>
              <w:left w:val="nil"/>
              <w:bottom w:val="nil"/>
              <w:right w:val="nil"/>
            </w:tcBorders>
            <w:shd w:val="clear" w:color="auto" w:fill="auto"/>
            <w:noWrap/>
            <w:vAlign w:val="center"/>
            <w:hideMark/>
          </w:tcPr>
          <w:p w14:paraId="1FB48CE4"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17</w:t>
            </w:r>
          </w:p>
        </w:tc>
        <w:tc>
          <w:tcPr>
            <w:tcW w:w="760" w:type="dxa"/>
            <w:tcBorders>
              <w:top w:val="nil"/>
              <w:left w:val="nil"/>
              <w:bottom w:val="nil"/>
              <w:right w:val="nil"/>
            </w:tcBorders>
            <w:shd w:val="clear" w:color="auto" w:fill="auto"/>
            <w:noWrap/>
            <w:vAlign w:val="center"/>
            <w:hideMark/>
          </w:tcPr>
          <w:p w14:paraId="6C8DDC2B"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w:t>
            </w:r>
          </w:p>
        </w:tc>
        <w:tc>
          <w:tcPr>
            <w:tcW w:w="760" w:type="dxa"/>
            <w:tcBorders>
              <w:top w:val="nil"/>
              <w:left w:val="nil"/>
              <w:bottom w:val="nil"/>
              <w:right w:val="nil"/>
            </w:tcBorders>
            <w:shd w:val="clear" w:color="auto" w:fill="auto"/>
            <w:noWrap/>
            <w:vAlign w:val="center"/>
            <w:hideMark/>
          </w:tcPr>
          <w:p w14:paraId="1944598E"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152</w:t>
            </w:r>
          </w:p>
        </w:tc>
        <w:tc>
          <w:tcPr>
            <w:tcW w:w="760" w:type="dxa"/>
            <w:tcBorders>
              <w:top w:val="nil"/>
              <w:left w:val="nil"/>
              <w:bottom w:val="nil"/>
              <w:right w:val="nil"/>
            </w:tcBorders>
            <w:shd w:val="clear" w:color="auto" w:fill="auto"/>
            <w:noWrap/>
            <w:vAlign w:val="center"/>
            <w:hideMark/>
          </w:tcPr>
          <w:p w14:paraId="6E2C60D8"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13</w:t>
            </w:r>
          </w:p>
        </w:tc>
        <w:tc>
          <w:tcPr>
            <w:tcW w:w="960" w:type="dxa"/>
            <w:tcBorders>
              <w:top w:val="nil"/>
              <w:left w:val="nil"/>
              <w:bottom w:val="nil"/>
              <w:right w:val="nil"/>
            </w:tcBorders>
            <w:shd w:val="clear" w:color="auto" w:fill="auto"/>
            <w:noWrap/>
            <w:vAlign w:val="center"/>
            <w:hideMark/>
          </w:tcPr>
          <w:p w14:paraId="378C2A84"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9</w:t>
            </w:r>
          </w:p>
        </w:tc>
        <w:tc>
          <w:tcPr>
            <w:tcW w:w="960" w:type="dxa"/>
            <w:tcBorders>
              <w:top w:val="nil"/>
              <w:left w:val="nil"/>
              <w:bottom w:val="nil"/>
              <w:right w:val="single" w:sz="8" w:space="0" w:color="002060"/>
            </w:tcBorders>
            <w:shd w:val="clear" w:color="auto" w:fill="auto"/>
            <w:noWrap/>
            <w:vAlign w:val="center"/>
            <w:hideMark/>
          </w:tcPr>
          <w:p w14:paraId="1747E119"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19</w:t>
            </w:r>
          </w:p>
        </w:tc>
      </w:tr>
      <w:tr w:rsidR="00AE564D" w:rsidRPr="00487D78" w14:paraId="72A8774F" w14:textId="77777777" w:rsidTr="00487D78">
        <w:trPr>
          <w:trHeight w:val="300"/>
          <w:jc w:val="center"/>
        </w:trPr>
        <w:tc>
          <w:tcPr>
            <w:tcW w:w="830" w:type="dxa"/>
            <w:vMerge/>
            <w:tcBorders>
              <w:top w:val="single" w:sz="8" w:space="0" w:color="002060"/>
              <w:left w:val="single" w:sz="8" w:space="0" w:color="002060"/>
              <w:bottom w:val="single" w:sz="8" w:space="0" w:color="FFFFFF"/>
              <w:right w:val="single" w:sz="8" w:space="0" w:color="002060"/>
            </w:tcBorders>
            <w:vAlign w:val="center"/>
            <w:hideMark/>
          </w:tcPr>
          <w:p w14:paraId="1A016233" w14:textId="77777777" w:rsidR="00AE564D" w:rsidRPr="00487D78" w:rsidRDefault="00AE564D" w:rsidP="00E26D3C">
            <w:pPr>
              <w:spacing w:after="0" w:line="240" w:lineRule="auto"/>
              <w:rPr>
                <w:rFonts w:eastAsia="Times New Roman" w:cstheme="minorHAnsi"/>
                <w:color w:val="FFFFFF"/>
                <w:sz w:val="18"/>
                <w:szCs w:val="18"/>
                <w:lang w:eastAsia="en-AU"/>
              </w:rPr>
            </w:pPr>
          </w:p>
        </w:tc>
        <w:tc>
          <w:tcPr>
            <w:tcW w:w="1240" w:type="dxa"/>
            <w:tcBorders>
              <w:top w:val="nil"/>
              <w:left w:val="nil"/>
              <w:bottom w:val="nil"/>
              <w:right w:val="nil"/>
            </w:tcBorders>
            <w:shd w:val="clear" w:color="auto" w:fill="auto"/>
            <w:noWrap/>
            <w:vAlign w:val="center"/>
            <w:hideMark/>
          </w:tcPr>
          <w:p w14:paraId="4220FF44"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Shepparton</w:t>
            </w:r>
          </w:p>
        </w:tc>
        <w:tc>
          <w:tcPr>
            <w:tcW w:w="760" w:type="dxa"/>
            <w:tcBorders>
              <w:top w:val="nil"/>
              <w:left w:val="nil"/>
              <w:bottom w:val="nil"/>
              <w:right w:val="nil"/>
            </w:tcBorders>
            <w:shd w:val="clear" w:color="auto" w:fill="auto"/>
            <w:noWrap/>
            <w:vAlign w:val="center"/>
            <w:hideMark/>
          </w:tcPr>
          <w:p w14:paraId="06EDAB26"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366</w:t>
            </w:r>
          </w:p>
        </w:tc>
        <w:tc>
          <w:tcPr>
            <w:tcW w:w="760" w:type="dxa"/>
            <w:tcBorders>
              <w:top w:val="nil"/>
              <w:left w:val="nil"/>
              <w:bottom w:val="nil"/>
              <w:right w:val="nil"/>
            </w:tcBorders>
            <w:shd w:val="clear" w:color="auto" w:fill="auto"/>
            <w:noWrap/>
            <w:vAlign w:val="center"/>
            <w:hideMark/>
          </w:tcPr>
          <w:p w14:paraId="66CB834E"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32</w:t>
            </w:r>
          </w:p>
        </w:tc>
        <w:tc>
          <w:tcPr>
            <w:tcW w:w="936" w:type="dxa"/>
            <w:tcBorders>
              <w:top w:val="nil"/>
              <w:left w:val="nil"/>
              <w:bottom w:val="nil"/>
              <w:right w:val="nil"/>
            </w:tcBorders>
            <w:shd w:val="clear" w:color="auto" w:fill="auto"/>
            <w:noWrap/>
            <w:vAlign w:val="center"/>
            <w:hideMark/>
          </w:tcPr>
          <w:p w14:paraId="28793183"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20</w:t>
            </w:r>
          </w:p>
        </w:tc>
        <w:tc>
          <w:tcPr>
            <w:tcW w:w="760" w:type="dxa"/>
            <w:tcBorders>
              <w:top w:val="nil"/>
              <w:left w:val="nil"/>
              <w:bottom w:val="nil"/>
              <w:right w:val="nil"/>
            </w:tcBorders>
            <w:shd w:val="clear" w:color="auto" w:fill="auto"/>
            <w:noWrap/>
            <w:vAlign w:val="center"/>
            <w:hideMark/>
          </w:tcPr>
          <w:p w14:paraId="4C6D30D3"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4</w:t>
            </w:r>
          </w:p>
        </w:tc>
        <w:tc>
          <w:tcPr>
            <w:tcW w:w="760" w:type="dxa"/>
            <w:tcBorders>
              <w:top w:val="nil"/>
              <w:left w:val="nil"/>
              <w:bottom w:val="nil"/>
              <w:right w:val="nil"/>
            </w:tcBorders>
            <w:shd w:val="clear" w:color="auto" w:fill="auto"/>
            <w:noWrap/>
            <w:vAlign w:val="center"/>
            <w:hideMark/>
          </w:tcPr>
          <w:p w14:paraId="13F6FE60"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139</w:t>
            </w:r>
          </w:p>
        </w:tc>
        <w:tc>
          <w:tcPr>
            <w:tcW w:w="760" w:type="dxa"/>
            <w:tcBorders>
              <w:top w:val="nil"/>
              <w:left w:val="nil"/>
              <w:bottom w:val="nil"/>
              <w:right w:val="nil"/>
            </w:tcBorders>
            <w:shd w:val="clear" w:color="auto" w:fill="auto"/>
            <w:noWrap/>
            <w:vAlign w:val="center"/>
            <w:hideMark/>
          </w:tcPr>
          <w:p w14:paraId="058955B0"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26</w:t>
            </w:r>
          </w:p>
        </w:tc>
        <w:tc>
          <w:tcPr>
            <w:tcW w:w="960" w:type="dxa"/>
            <w:tcBorders>
              <w:top w:val="nil"/>
              <w:left w:val="nil"/>
              <w:bottom w:val="nil"/>
              <w:right w:val="nil"/>
            </w:tcBorders>
            <w:shd w:val="clear" w:color="auto" w:fill="auto"/>
            <w:noWrap/>
            <w:vAlign w:val="center"/>
            <w:hideMark/>
          </w:tcPr>
          <w:p w14:paraId="00A8E5E2"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18</w:t>
            </w:r>
          </w:p>
        </w:tc>
        <w:tc>
          <w:tcPr>
            <w:tcW w:w="960" w:type="dxa"/>
            <w:tcBorders>
              <w:top w:val="nil"/>
              <w:left w:val="nil"/>
              <w:bottom w:val="nil"/>
              <w:right w:val="single" w:sz="8" w:space="0" w:color="002060"/>
            </w:tcBorders>
            <w:shd w:val="clear" w:color="auto" w:fill="auto"/>
            <w:noWrap/>
            <w:vAlign w:val="center"/>
            <w:hideMark/>
          </w:tcPr>
          <w:p w14:paraId="6A87B144"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38</w:t>
            </w:r>
          </w:p>
        </w:tc>
      </w:tr>
      <w:tr w:rsidR="00AE564D" w:rsidRPr="00487D78" w14:paraId="2C00C861" w14:textId="77777777" w:rsidTr="00487D78">
        <w:trPr>
          <w:trHeight w:val="315"/>
          <w:jc w:val="center"/>
        </w:trPr>
        <w:tc>
          <w:tcPr>
            <w:tcW w:w="830" w:type="dxa"/>
            <w:vMerge/>
            <w:tcBorders>
              <w:top w:val="single" w:sz="8" w:space="0" w:color="002060"/>
              <w:left w:val="single" w:sz="8" w:space="0" w:color="002060"/>
              <w:bottom w:val="single" w:sz="8" w:space="0" w:color="FFFFFF"/>
              <w:right w:val="single" w:sz="8" w:space="0" w:color="002060"/>
            </w:tcBorders>
            <w:vAlign w:val="center"/>
            <w:hideMark/>
          </w:tcPr>
          <w:p w14:paraId="43F615CC" w14:textId="77777777" w:rsidR="00AE564D" w:rsidRPr="00487D78" w:rsidRDefault="00AE564D" w:rsidP="00E26D3C">
            <w:pPr>
              <w:spacing w:after="0" w:line="240" w:lineRule="auto"/>
              <w:rPr>
                <w:rFonts w:eastAsia="Times New Roman" w:cstheme="minorHAnsi"/>
                <w:color w:val="FFFFFF"/>
                <w:sz w:val="18"/>
                <w:szCs w:val="18"/>
                <w:lang w:eastAsia="en-AU"/>
              </w:rPr>
            </w:pPr>
          </w:p>
        </w:tc>
        <w:tc>
          <w:tcPr>
            <w:tcW w:w="1240" w:type="dxa"/>
            <w:tcBorders>
              <w:top w:val="nil"/>
              <w:left w:val="nil"/>
              <w:bottom w:val="nil"/>
              <w:right w:val="nil"/>
            </w:tcBorders>
            <w:shd w:val="clear" w:color="auto" w:fill="auto"/>
            <w:noWrap/>
            <w:vAlign w:val="center"/>
            <w:hideMark/>
          </w:tcPr>
          <w:p w14:paraId="52AF15F0"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McCoy's Bridge</w:t>
            </w:r>
          </w:p>
        </w:tc>
        <w:tc>
          <w:tcPr>
            <w:tcW w:w="760" w:type="dxa"/>
            <w:tcBorders>
              <w:top w:val="nil"/>
              <w:left w:val="nil"/>
              <w:bottom w:val="nil"/>
              <w:right w:val="nil"/>
            </w:tcBorders>
            <w:shd w:val="clear" w:color="auto" w:fill="auto"/>
            <w:noWrap/>
            <w:vAlign w:val="center"/>
            <w:hideMark/>
          </w:tcPr>
          <w:p w14:paraId="21E9886F"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1297</w:t>
            </w:r>
          </w:p>
        </w:tc>
        <w:tc>
          <w:tcPr>
            <w:tcW w:w="760" w:type="dxa"/>
            <w:tcBorders>
              <w:top w:val="nil"/>
              <w:left w:val="nil"/>
              <w:bottom w:val="nil"/>
              <w:right w:val="nil"/>
            </w:tcBorders>
            <w:shd w:val="clear" w:color="auto" w:fill="auto"/>
            <w:noWrap/>
            <w:vAlign w:val="center"/>
            <w:hideMark/>
          </w:tcPr>
          <w:p w14:paraId="1723C18D"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42</w:t>
            </w:r>
          </w:p>
        </w:tc>
        <w:tc>
          <w:tcPr>
            <w:tcW w:w="936" w:type="dxa"/>
            <w:tcBorders>
              <w:top w:val="nil"/>
              <w:left w:val="nil"/>
              <w:bottom w:val="nil"/>
              <w:right w:val="nil"/>
            </w:tcBorders>
            <w:shd w:val="clear" w:color="auto" w:fill="auto"/>
            <w:noWrap/>
            <w:vAlign w:val="center"/>
            <w:hideMark/>
          </w:tcPr>
          <w:p w14:paraId="51C4ECAD"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21</w:t>
            </w:r>
          </w:p>
        </w:tc>
        <w:tc>
          <w:tcPr>
            <w:tcW w:w="760" w:type="dxa"/>
            <w:tcBorders>
              <w:top w:val="nil"/>
              <w:left w:val="nil"/>
              <w:bottom w:val="nil"/>
              <w:right w:val="nil"/>
            </w:tcBorders>
            <w:shd w:val="clear" w:color="auto" w:fill="auto"/>
            <w:noWrap/>
            <w:vAlign w:val="center"/>
            <w:hideMark/>
          </w:tcPr>
          <w:p w14:paraId="0AB89A5E"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8</w:t>
            </w:r>
          </w:p>
        </w:tc>
        <w:tc>
          <w:tcPr>
            <w:tcW w:w="760" w:type="dxa"/>
            <w:tcBorders>
              <w:top w:val="nil"/>
              <w:left w:val="nil"/>
              <w:bottom w:val="nil"/>
              <w:right w:val="nil"/>
            </w:tcBorders>
            <w:shd w:val="clear" w:color="auto" w:fill="auto"/>
            <w:noWrap/>
            <w:vAlign w:val="center"/>
            <w:hideMark/>
          </w:tcPr>
          <w:p w14:paraId="6706C2BE"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257</w:t>
            </w:r>
          </w:p>
        </w:tc>
        <w:tc>
          <w:tcPr>
            <w:tcW w:w="760" w:type="dxa"/>
            <w:tcBorders>
              <w:top w:val="nil"/>
              <w:left w:val="nil"/>
              <w:bottom w:val="nil"/>
              <w:right w:val="nil"/>
            </w:tcBorders>
            <w:shd w:val="clear" w:color="auto" w:fill="auto"/>
            <w:noWrap/>
            <w:vAlign w:val="center"/>
            <w:hideMark/>
          </w:tcPr>
          <w:p w14:paraId="0969CE84"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38</w:t>
            </w:r>
          </w:p>
        </w:tc>
        <w:tc>
          <w:tcPr>
            <w:tcW w:w="960" w:type="dxa"/>
            <w:tcBorders>
              <w:top w:val="nil"/>
              <w:left w:val="nil"/>
              <w:bottom w:val="nil"/>
              <w:right w:val="nil"/>
            </w:tcBorders>
            <w:shd w:val="clear" w:color="auto" w:fill="auto"/>
            <w:noWrap/>
            <w:vAlign w:val="center"/>
            <w:hideMark/>
          </w:tcPr>
          <w:p w14:paraId="3B24491D"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28</w:t>
            </w:r>
          </w:p>
        </w:tc>
        <w:tc>
          <w:tcPr>
            <w:tcW w:w="960" w:type="dxa"/>
            <w:tcBorders>
              <w:top w:val="nil"/>
              <w:left w:val="nil"/>
              <w:bottom w:val="nil"/>
              <w:right w:val="single" w:sz="8" w:space="0" w:color="002060"/>
            </w:tcBorders>
            <w:shd w:val="clear" w:color="auto" w:fill="auto"/>
            <w:noWrap/>
            <w:vAlign w:val="center"/>
            <w:hideMark/>
          </w:tcPr>
          <w:p w14:paraId="7A15A8FC"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52</w:t>
            </w:r>
          </w:p>
        </w:tc>
      </w:tr>
      <w:tr w:rsidR="00AE564D" w:rsidRPr="00487D78" w14:paraId="04EFACD7" w14:textId="77777777" w:rsidTr="00487D78">
        <w:trPr>
          <w:trHeight w:val="300"/>
          <w:jc w:val="center"/>
        </w:trPr>
        <w:tc>
          <w:tcPr>
            <w:tcW w:w="830" w:type="dxa"/>
            <w:vMerge w:val="restart"/>
            <w:tcBorders>
              <w:top w:val="nil"/>
              <w:left w:val="single" w:sz="8" w:space="0" w:color="002060"/>
              <w:bottom w:val="single" w:sz="8" w:space="0" w:color="002060"/>
              <w:right w:val="single" w:sz="8" w:space="0" w:color="002060"/>
            </w:tcBorders>
            <w:shd w:val="clear" w:color="000000" w:fill="002060"/>
            <w:vAlign w:val="center"/>
            <w:hideMark/>
          </w:tcPr>
          <w:p w14:paraId="3513FC64" w14:textId="77777777" w:rsidR="00AE564D" w:rsidRPr="00487D78" w:rsidRDefault="00AE564D" w:rsidP="00E26D3C">
            <w:pPr>
              <w:spacing w:after="0" w:line="240" w:lineRule="auto"/>
              <w:jc w:val="center"/>
              <w:rPr>
                <w:rFonts w:eastAsia="Times New Roman" w:cstheme="minorHAnsi"/>
                <w:color w:val="FFFFFF"/>
                <w:sz w:val="18"/>
                <w:szCs w:val="18"/>
                <w:lang w:eastAsia="en-AU"/>
              </w:rPr>
            </w:pPr>
            <w:r w:rsidRPr="00487D78">
              <w:rPr>
                <w:rFonts w:eastAsia="Times New Roman" w:cstheme="minorHAnsi"/>
                <w:color w:val="FFFFFF"/>
                <w:sz w:val="18"/>
                <w:szCs w:val="18"/>
                <w:lang w:eastAsia="en-AU"/>
              </w:rPr>
              <w:t>EC (</w:t>
            </w:r>
            <w:proofErr w:type="spellStart"/>
            <w:r w:rsidRPr="00487D78">
              <w:rPr>
                <w:rFonts w:eastAsia="Times New Roman" w:cstheme="minorHAnsi"/>
                <w:color w:val="FFFFFF"/>
                <w:sz w:val="18"/>
                <w:szCs w:val="18"/>
                <w:lang w:eastAsia="en-AU"/>
              </w:rPr>
              <w:t>μs</w:t>
            </w:r>
            <w:proofErr w:type="spellEnd"/>
            <w:r w:rsidRPr="00487D78">
              <w:rPr>
                <w:rFonts w:eastAsia="Times New Roman" w:cstheme="minorHAnsi"/>
                <w:color w:val="FFFFFF"/>
                <w:sz w:val="18"/>
                <w:szCs w:val="18"/>
                <w:lang w:eastAsia="en-AU"/>
              </w:rPr>
              <w:t>/cm)</w:t>
            </w:r>
          </w:p>
        </w:tc>
        <w:tc>
          <w:tcPr>
            <w:tcW w:w="1240" w:type="dxa"/>
            <w:tcBorders>
              <w:top w:val="single" w:sz="8" w:space="0" w:color="002060"/>
              <w:left w:val="nil"/>
              <w:bottom w:val="nil"/>
              <w:right w:val="nil"/>
            </w:tcBorders>
            <w:shd w:val="clear" w:color="auto" w:fill="auto"/>
            <w:noWrap/>
            <w:vAlign w:val="center"/>
            <w:hideMark/>
          </w:tcPr>
          <w:p w14:paraId="5AC66949" w14:textId="77777777" w:rsidR="00AE564D" w:rsidRPr="00487D78" w:rsidRDefault="00AE564D" w:rsidP="00E26D3C">
            <w:pPr>
              <w:spacing w:after="0" w:line="240" w:lineRule="auto"/>
              <w:jc w:val="center"/>
              <w:rPr>
                <w:rFonts w:eastAsia="Times New Roman" w:cstheme="minorHAnsi"/>
                <w:b/>
                <w:bCs/>
                <w:color w:val="000000"/>
                <w:sz w:val="18"/>
                <w:szCs w:val="18"/>
                <w:lang w:eastAsia="en-AU"/>
              </w:rPr>
            </w:pPr>
            <w:r w:rsidRPr="00487D78">
              <w:rPr>
                <w:rFonts w:eastAsia="Times New Roman" w:cstheme="minorHAnsi"/>
                <w:b/>
                <w:bCs/>
                <w:color w:val="000000"/>
                <w:sz w:val="18"/>
                <w:szCs w:val="18"/>
                <w:lang w:eastAsia="en-AU"/>
              </w:rPr>
              <w:t>MER</w:t>
            </w:r>
          </w:p>
        </w:tc>
        <w:tc>
          <w:tcPr>
            <w:tcW w:w="760" w:type="dxa"/>
            <w:tcBorders>
              <w:top w:val="single" w:sz="8" w:space="0" w:color="002060"/>
              <w:left w:val="nil"/>
              <w:bottom w:val="nil"/>
              <w:right w:val="nil"/>
            </w:tcBorders>
            <w:shd w:val="clear" w:color="auto" w:fill="auto"/>
            <w:noWrap/>
            <w:vAlign w:val="center"/>
            <w:hideMark/>
          </w:tcPr>
          <w:p w14:paraId="08C1F103"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96</w:t>
            </w:r>
          </w:p>
        </w:tc>
        <w:tc>
          <w:tcPr>
            <w:tcW w:w="760" w:type="dxa"/>
            <w:tcBorders>
              <w:top w:val="single" w:sz="8" w:space="0" w:color="002060"/>
              <w:left w:val="nil"/>
              <w:bottom w:val="nil"/>
              <w:right w:val="nil"/>
            </w:tcBorders>
            <w:shd w:val="clear" w:color="auto" w:fill="auto"/>
            <w:noWrap/>
            <w:vAlign w:val="center"/>
            <w:hideMark/>
          </w:tcPr>
          <w:p w14:paraId="1347AB40"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91</w:t>
            </w:r>
          </w:p>
        </w:tc>
        <w:tc>
          <w:tcPr>
            <w:tcW w:w="936" w:type="dxa"/>
            <w:tcBorders>
              <w:top w:val="single" w:sz="8" w:space="0" w:color="002060"/>
              <w:left w:val="nil"/>
              <w:bottom w:val="nil"/>
              <w:right w:val="nil"/>
            </w:tcBorders>
            <w:shd w:val="clear" w:color="auto" w:fill="auto"/>
            <w:noWrap/>
            <w:vAlign w:val="center"/>
            <w:hideMark/>
          </w:tcPr>
          <w:p w14:paraId="3F8181B4"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35</w:t>
            </w:r>
          </w:p>
        </w:tc>
        <w:tc>
          <w:tcPr>
            <w:tcW w:w="760" w:type="dxa"/>
            <w:tcBorders>
              <w:top w:val="single" w:sz="8" w:space="0" w:color="002060"/>
              <w:left w:val="nil"/>
              <w:bottom w:val="nil"/>
              <w:right w:val="nil"/>
            </w:tcBorders>
            <w:shd w:val="clear" w:color="auto" w:fill="auto"/>
            <w:noWrap/>
            <w:vAlign w:val="center"/>
            <w:hideMark/>
          </w:tcPr>
          <w:p w14:paraId="6659ACDB"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49</w:t>
            </w:r>
          </w:p>
        </w:tc>
        <w:tc>
          <w:tcPr>
            <w:tcW w:w="760" w:type="dxa"/>
            <w:tcBorders>
              <w:top w:val="single" w:sz="8" w:space="0" w:color="002060"/>
              <w:left w:val="nil"/>
              <w:bottom w:val="nil"/>
              <w:right w:val="nil"/>
            </w:tcBorders>
            <w:shd w:val="clear" w:color="auto" w:fill="auto"/>
            <w:noWrap/>
            <w:vAlign w:val="center"/>
            <w:hideMark/>
          </w:tcPr>
          <w:p w14:paraId="19493EEE"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200</w:t>
            </w:r>
          </w:p>
        </w:tc>
        <w:tc>
          <w:tcPr>
            <w:tcW w:w="760" w:type="dxa"/>
            <w:tcBorders>
              <w:top w:val="single" w:sz="8" w:space="0" w:color="002060"/>
              <w:left w:val="nil"/>
              <w:bottom w:val="nil"/>
              <w:right w:val="nil"/>
            </w:tcBorders>
            <w:shd w:val="clear" w:color="auto" w:fill="auto"/>
            <w:noWrap/>
            <w:vAlign w:val="center"/>
            <w:hideMark/>
          </w:tcPr>
          <w:p w14:paraId="29FFDD1F"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77</w:t>
            </w:r>
          </w:p>
        </w:tc>
        <w:tc>
          <w:tcPr>
            <w:tcW w:w="960" w:type="dxa"/>
            <w:tcBorders>
              <w:top w:val="single" w:sz="8" w:space="0" w:color="002060"/>
              <w:left w:val="nil"/>
              <w:bottom w:val="nil"/>
              <w:right w:val="nil"/>
            </w:tcBorders>
            <w:shd w:val="clear" w:color="auto" w:fill="auto"/>
            <w:noWrap/>
            <w:vAlign w:val="center"/>
            <w:hideMark/>
          </w:tcPr>
          <w:p w14:paraId="57D2ABA0"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63</w:t>
            </w:r>
          </w:p>
        </w:tc>
        <w:tc>
          <w:tcPr>
            <w:tcW w:w="960" w:type="dxa"/>
            <w:tcBorders>
              <w:top w:val="single" w:sz="8" w:space="0" w:color="002060"/>
              <w:left w:val="nil"/>
              <w:bottom w:val="nil"/>
              <w:right w:val="single" w:sz="8" w:space="0" w:color="002060"/>
            </w:tcBorders>
            <w:shd w:val="clear" w:color="auto" w:fill="auto"/>
            <w:noWrap/>
            <w:vAlign w:val="center"/>
            <w:hideMark/>
          </w:tcPr>
          <w:p w14:paraId="480F1043"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cstheme="minorHAnsi"/>
                <w:color w:val="000000"/>
                <w:sz w:val="18"/>
                <w:szCs w:val="18"/>
              </w:rPr>
              <w:t>119</w:t>
            </w:r>
          </w:p>
        </w:tc>
      </w:tr>
      <w:tr w:rsidR="00AE564D" w:rsidRPr="00487D78" w14:paraId="63705980" w14:textId="77777777" w:rsidTr="00487D78">
        <w:trPr>
          <w:trHeight w:val="300"/>
          <w:jc w:val="center"/>
        </w:trPr>
        <w:tc>
          <w:tcPr>
            <w:tcW w:w="830" w:type="dxa"/>
            <w:vMerge/>
            <w:tcBorders>
              <w:top w:val="nil"/>
              <w:left w:val="single" w:sz="8" w:space="0" w:color="002060"/>
              <w:bottom w:val="single" w:sz="8" w:space="0" w:color="002060"/>
              <w:right w:val="single" w:sz="8" w:space="0" w:color="002060"/>
            </w:tcBorders>
            <w:vAlign w:val="center"/>
            <w:hideMark/>
          </w:tcPr>
          <w:p w14:paraId="79C6670E" w14:textId="77777777" w:rsidR="00AE564D" w:rsidRPr="00487D78" w:rsidRDefault="00AE564D" w:rsidP="00E26D3C">
            <w:pPr>
              <w:spacing w:after="0" w:line="240" w:lineRule="auto"/>
              <w:rPr>
                <w:rFonts w:eastAsia="Times New Roman" w:cstheme="minorHAnsi"/>
                <w:color w:val="FFFFFF"/>
                <w:sz w:val="18"/>
                <w:szCs w:val="18"/>
                <w:lang w:eastAsia="en-AU"/>
              </w:rPr>
            </w:pPr>
          </w:p>
        </w:tc>
        <w:tc>
          <w:tcPr>
            <w:tcW w:w="1240" w:type="dxa"/>
            <w:tcBorders>
              <w:top w:val="nil"/>
              <w:left w:val="nil"/>
              <w:bottom w:val="nil"/>
              <w:right w:val="nil"/>
            </w:tcBorders>
            <w:shd w:val="clear" w:color="auto" w:fill="auto"/>
            <w:noWrap/>
            <w:vAlign w:val="center"/>
            <w:hideMark/>
          </w:tcPr>
          <w:p w14:paraId="4B6C71B5"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Murchison</w:t>
            </w:r>
          </w:p>
        </w:tc>
        <w:tc>
          <w:tcPr>
            <w:tcW w:w="760" w:type="dxa"/>
            <w:tcBorders>
              <w:top w:val="nil"/>
              <w:left w:val="nil"/>
              <w:bottom w:val="nil"/>
              <w:right w:val="nil"/>
            </w:tcBorders>
            <w:shd w:val="clear" w:color="auto" w:fill="auto"/>
            <w:noWrap/>
            <w:vAlign w:val="center"/>
            <w:hideMark/>
          </w:tcPr>
          <w:p w14:paraId="1A52FCB4"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374</w:t>
            </w:r>
          </w:p>
        </w:tc>
        <w:tc>
          <w:tcPr>
            <w:tcW w:w="760" w:type="dxa"/>
            <w:tcBorders>
              <w:top w:val="nil"/>
              <w:left w:val="nil"/>
              <w:bottom w:val="nil"/>
              <w:right w:val="nil"/>
            </w:tcBorders>
            <w:shd w:val="clear" w:color="auto" w:fill="auto"/>
            <w:noWrap/>
            <w:vAlign w:val="center"/>
            <w:hideMark/>
          </w:tcPr>
          <w:p w14:paraId="7CB557F5"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116</w:t>
            </w:r>
          </w:p>
        </w:tc>
        <w:tc>
          <w:tcPr>
            <w:tcW w:w="936" w:type="dxa"/>
            <w:tcBorders>
              <w:top w:val="nil"/>
              <w:left w:val="nil"/>
              <w:bottom w:val="nil"/>
              <w:right w:val="nil"/>
            </w:tcBorders>
            <w:shd w:val="clear" w:color="auto" w:fill="auto"/>
            <w:noWrap/>
            <w:vAlign w:val="center"/>
            <w:hideMark/>
          </w:tcPr>
          <w:p w14:paraId="53FC58A6"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51</w:t>
            </w:r>
          </w:p>
        </w:tc>
        <w:tc>
          <w:tcPr>
            <w:tcW w:w="760" w:type="dxa"/>
            <w:tcBorders>
              <w:top w:val="nil"/>
              <w:left w:val="nil"/>
              <w:bottom w:val="nil"/>
              <w:right w:val="nil"/>
            </w:tcBorders>
            <w:shd w:val="clear" w:color="auto" w:fill="auto"/>
            <w:noWrap/>
            <w:vAlign w:val="center"/>
            <w:hideMark/>
          </w:tcPr>
          <w:p w14:paraId="12E1C1E2"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46</w:t>
            </w:r>
          </w:p>
        </w:tc>
        <w:tc>
          <w:tcPr>
            <w:tcW w:w="760" w:type="dxa"/>
            <w:tcBorders>
              <w:top w:val="nil"/>
              <w:left w:val="nil"/>
              <w:bottom w:val="nil"/>
              <w:right w:val="nil"/>
            </w:tcBorders>
            <w:shd w:val="clear" w:color="auto" w:fill="auto"/>
            <w:noWrap/>
            <w:vAlign w:val="center"/>
            <w:hideMark/>
          </w:tcPr>
          <w:p w14:paraId="79D7ABF4"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310</w:t>
            </w:r>
          </w:p>
        </w:tc>
        <w:tc>
          <w:tcPr>
            <w:tcW w:w="760" w:type="dxa"/>
            <w:tcBorders>
              <w:top w:val="nil"/>
              <w:left w:val="nil"/>
              <w:bottom w:val="nil"/>
              <w:right w:val="nil"/>
            </w:tcBorders>
            <w:shd w:val="clear" w:color="auto" w:fill="auto"/>
            <w:noWrap/>
            <w:vAlign w:val="center"/>
            <w:hideMark/>
          </w:tcPr>
          <w:p w14:paraId="61EC99F6"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108</w:t>
            </w:r>
          </w:p>
        </w:tc>
        <w:tc>
          <w:tcPr>
            <w:tcW w:w="960" w:type="dxa"/>
            <w:tcBorders>
              <w:top w:val="nil"/>
              <w:left w:val="nil"/>
              <w:bottom w:val="nil"/>
              <w:right w:val="nil"/>
            </w:tcBorders>
            <w:shd w:val="clear" w:color="auto" w:fill="auto"/>
            <w:noWrap/>
            <w:vAlign w:val="center"/>
            <w:hideMark/>
          </w:tcPr>
          <w:p w14:paraId="4CDB68FA"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76</w:t>
            </w:r>
          </w:p>
        </w:tc>
        <w:tc>
          <w:tcPr>
            <w:tcW w:w="960" w:type="dxa"/>
            <w:tcBorders>
              <w:top w:val="nil"/>
              <w:left w:val="nil"/>
              <w:bottom w:val="nil"/>
              <w:right w:val="single" w:sz="8" w:space="0" w:color="002060"/>
            </w:tcBorders>
            <w:shd w:val="clear" w:color="auto" w:fill="auto"/>
            <w:noWrap/>
            <w:vAlign w:val="center"/>
            <w:hideMark/>
          </w:tcPr>
          <w:p w14:paraId="18572D44"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150</w:t>
            </w:r>
          </w:p>
        </w:tc>
      </w:tr>
      <w:tr w:rsidR="00AE564D" w:rsidRPr="00487D78" w14:paraId="1AD910B1" w14:textId="77777777" w:rsidTr="00487D78">
        <w:trPr>
          <w:trHeight w:val="315"/>
          <w:jc w:val="center"/>
        </w:trPr>
        <w:tc>
          <w:tcPr>
            <w:tcW w:w="830" w:type="dxa"/>
            <w:vMerge/>
            <w:tcBorders>
              <w:top w:val="nil"/>
              <w:left w:val="single" w:sz="8" w:space="0" w:color="002060"/>
              <w:bottom w:val="single" w:sz="8" w:space="0" w:color="002060"/>
              <w:right w:val="single" w:sz="8" w:space="0" w:color="002060"/>
            </w:tcBorders>
            <w:vAlign w:val="center"/>
            <w:hideMark/>
          </w:tcPr>
          <w:p w14:paraId="68266E7F" w14:textId="77777777" w:rsidR="00AE564D" w:rsidRPr="00487D78" w:rsidRDefault="00AE564D" w:rsidP="00E26D3C">
            <w:pPr>
              <w:spacing w:after="0" w:line="240" w:lineRule="auto"/>
              <w:rPr>
                <w:rFonts w:eastAsia="Times New Roman" w:cstheme="minorHAnsi"/>
                <w:color w:val="FFFFFF"/>
                <w:sz w:val="18"/>
                <w:szCs w:val="18"/>
                <w:lang w:eastAsia="en-AU"/>
              </w:rPr>
            </w:pPr>
          </w:p>
        </w:tc>
        <w:tc>
          <w:tcPr>
            <w:tcW w:w="1240" w:type="dxa"/>
            <w:tcBorders>
              <w:top w:val="nil"/>
              <w:left w:val="nil"/>
              <w:bottom w:val="nil"/>
              <w:right w:val="nil"/>
            </w:tcBorders>
            <w:shd w:val="clear" w:color="auto" w:fill="auto"/>
            <w:noWrap/>
            <w:vAlign w:val="center"/>
            <w:hideMark/>
          </w:tcPr>
          <w:p w14:paraId="2569E6AA"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Shepparton</w:t>
            </w:r>
          </w:p>
        </w:tc>
        <w:tc>
          <w:tcPr>
            <w:tcW w:w="760" w:type="dxa"/>
            <w:tcBorders>
              <w:top w:val="nil"/>
              <w:left w:val="nil"/>
              <w:bottom w:val="nil"/>
              <w:right w:val="nil"/>
            </w:tcBorders>
            <w:shd w:val="clear" w:color="auto" w:fill="auto"/>
            <w:noWrap/>
            <w:vAlign w:val="center"/>
            <w:hideMark/>
          </w:tcPr>
          <w:p w14:paraId="6AC2CA24"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368</w:t>
            </w:r>
          </w:p>
        </w:tc>
        <w:tc>
          <w:tcPr>
            <w:tcW w:w="760" w:type="dxa"/>
            <w:tcBorders>
              <w:top w:val="nil"/>
              <w:left w:val="nil"/>
              <w:bottom w:val="nil"/>
              <w:right w:val="nil"/>
            </w:tcBorders>
            <w:shd w:val="clear" w:color="auto" w:fill="auto"/>
            <w:noWrap/>
            <w:vAlign w:val="center"/>
            <w:hideMark/>
          </w:tcPr>
          <w:p w14:paraId="4DD1C4BB"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143</w:t>
            </w:r>
          </w:p>
        </w:tc>
        <w:tc>
          <w:tcPr>
            <w:tcW w:w="936" w:type="dxa"/>
            <w:tcBorders>
              <w:top w:val="nil"/>
              <w:left w:val="nil"/>
              <w:bottom w:val="nil"/>
              <w:right w:val="nil"/>
            </w:tcBorders>
            <w:shd w:val="clear" w:color="auto" w:fill="auto"/>
            <w:noWrap/>
            <w:vAlign w:val="center"/>
            <w:hideMark/>
          </w:tcPr>
          <w:p w14:paraId="03752B3B"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56</w:t>
            </w:r>
          </w:p>
        </w:tc>
        <w:tc>
          <w:tcPr>
            <w:tcW w:w="760" w:type="dxa"/>
            <w:tcBorders>
              <w:top w:val="nil"/>
              <w:left w:val="nil"/>
              <w:bottom w:val="nil"/>
              <w:right w:val="nil"/>
            </w:tcBorders>
            <w:shd w:val="clear" w:color="auto" w:fill="auto"/>
            <w:noWrap/>
            <w:vAlign w:val="center"/>
            <w:hideMark/>
          </w:tcPr>
          <w:p w14:paraId="41081C1F"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49</w:t>
            </w:r>
          </w:p>
        </w:tc>
        <w:tc>
          <w:tcPr>
            <w:tcW w:w="760" w:type="dxa"/>
            <w:tcBorders>
              <w:top w:val="nil"/>
              <w:left w:val="nil"/>
              <w:bottom w:val="nil"/>
              <w:right w:val="nil"/>
            </w:tcBorders>
            <w:shd w:val="clear" w:color="auto" w:fill="auto"/>
            <w:noWrap/>
            <w:vAlign w:val="center"/>
            <w:hideMark/>
          </w:tcPr>
          <w:p w14:paraId="6F2BB91C"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320</w:t>
            </w:r>
          </w:p>
        </w:tc>
        <w:tc>
          <w:tcPr>
            <w:tcW w:w="760" w:type="dxa"/>
            <w:tcBorders>
              <w:top w:val="nil"/>
              <w:left w:val="nil"/>
              <w:bottom w:val="nil"/>
              <w:right w:val="nil"/>
            </w:tcBorders>
            <w:shd w:val="clear" w:color="auto" w:fill="auto"/>
            <w:noWrap/>
            <w:vAlign w:val="center"/>
            <w:hideMark/>
          </w:tcPr>
          <w:p w14:paraId="7B695DEE"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139</w:t>
            </w:r>
          </w:p>
        </w:tc>
        <w:tc>
          <w:tcPr>
            <w:tcW w:w="960" w:type="dxa"/>
            <w:tcBorders>
              <w:top w:val="nil"/>
              <w:left w:val="nil"/>
              <w:bottom w:val="nil"/>
              <w:right w:val="nil"/>
            </w:tcBorders>
            <w:shd w:val="clear" w:color="auto" w:fill="auto"/>
            <w:noWrap/>
            <w:vAlign w:val="center"/>
            <w:hideMark/>
          </w:tcPr>
          <w:p w14:paraId="14456FEB"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100</w:t>
            </w:r>
          </w:p>
        </w:tc>
        <w:tc>
          <w:tcPr>
            <w:tcW w:w="960" w:type="dxa"/>
            <w:tcBorders>
              <w:top w:val="nil"/>
              <w:left w:val="nil"/>
              <w:bottom w:val="nil"/>
              <w:right w:val="single" w:sz="8" w:space="0" w:color="002060"/>
            </w:tcBorders>
            <w:shd w:val="clear" w:color="auto" w:fill="auto"/>
            <w:noWrap/>
            <w:vAlign w:val="center"/>
            <w:hideMark/>
          </w:tcPr>
          <w:p w14:paraId="46E358F9"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180</w:t>
            </w:r>
          </w:p>
        </w:tc>
      </w:tr>
      <w:tr w:rsidR="00AE564D" w:rsidRPr="00487D78" w14:paraId="4DB746C7" w14:textId="77777777" w:rsidTr="00487D78">
        <w:trPr>
          <w:trHeight w:val="315"/>
          <w:jc w:val="center"/>
        </w:trPr>
        <w:tc>
          <w:tcPr>
            <w:tcW w:w="830" w:type="dxa"/>
            <w:vMerge/>
            <w:tcBorders>
              <w:top w:val="nil"/>
              <w:left w:val="single" w:sz="8" w:space="0" w:color="002060"/>
              <w:bottom w:val="single" w:sz="8" w:space="0" w:color="002060"/>
              <w:right w:val="single" w:sz="8" w:space="0" w:color="002060"/>
            </w:tcBorders>
            <w:vAlign w:val="center"/>
            <w:hideMark/>
          </w:tcPr>
          <w:p w14:paraId="14620DAD" w14:textId="77777777" w:rsidR="00AE564D" w:rsidRPr="00487D78" w:rsidRDefault="00AE564D" w:rsidP="00E26D3C">
            <w:pPr>
              <w:spacing w:after="0" w:line="240" w:lineRule="auto"/>
              <w:rPr>
                <w:rFonts w:eastAsia="Times New Roman" w:cstheme="minorHAnsi"/>
                <w:color w:val="FFFFFF"/>
                <w:sz w:val="18"/>
                <w:szCs w:val="18"/>
                <w:lang w:eastAsia="en-AU"/>
              </w:rPr>
            </w:pPr>
          </w:p>
        </w:tc>
        <w:tc>
          <w:tcPr>
            <w:tcW w:w="1240" w:type="dxa"/>
            <w:tcBorders>
              <w:top w:val="nil"/>
              <w:left w:val="nil"/>
              <w:bottom w:val="single" w:sz="8" w:space="0" w:color="002060"/>
              <w:right w:val="nil"/>
            </w:tcBorders>
            <w:shd w:val="clear" w:color="auto" w:fill="auto"/>
            <w:noWrap/>
            <w:vAlign w:val="center"/>
            <w:hideMark/>
          </w:tcPr>
          <w:p w14:paraId="10B3623E"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McCoy's Bridge</w:t>
            </w:r>
          </w:p>
        </w:tc>
        <w:tc>
          <w:tcPr>
            <w:tcW w:w="760" w:type="dxa"/>
            <w:tcBorders>
              <w:top w:val="nil"/>
              <w:left w:val="nil"/>
              <w:bottom w:val="single" w:sz="8" w:space="0" w:color="002060"/>
              <w:right w:val="nil"/>
            </w:tcBorders>
            <w:shd w:val="clear" w:color="auto" w:fill="auto"/>
            <w:noWrap/>
            <w:vAlign w:val="center"/>
            <w:hideMark/>
          </w:tcPr>
          <w:p w14:paraId="4CCCA76F"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1311</w:t>
            </w:r>
          </w:p>
        </w:tc>
        <w:tc>
          <w:tcPr>
            <w:tcW w:w="760" w:type="dxa"/>
            <w:tcBorders>
              <w:top w:val="nil"/>
              <w:left w:val="nil"/>
              <w:bottom w:val="single" w:sz="8" w:space="0" w:color="002060"/>
              <w:right w:val="nil"/>
            </w:tcBorders>
            <w:shd w:val="clear" w:color="auto" w:fill="auto"/>
            <w:noWrap/>
            <w:vAlign w:val="center"/>
            <w:hideMark/>
          </w:tcPr>
          <w:p w14:paraId="62402F07"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168</w:t>
            </w:r>
          </w:p>
        </w:tc>
        <w:tc>
          <w:tcPr>
            <w:tcW w:w="936" w:type="dxa"/>
            <w:tcBorders>
              <w:top w:val="nil"/>
              <w:left w:val="nil"/>
              <w:bottom w:val="single" w:sz="8" w:space="0" w:color="002060"/>
              <w:right w:val="nil"/>
            </w:tcBorders>
            <w:shd w:val="clear" w:color="auto" w:fill="auto"/>
            <w:noWrap/>
            <w:vAlign w:val="center"/>
            <w:hideMark/>
          </w:tcPr>
          <w:p w14:paraId="53591A59"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68</w:t>
            </w:r>
          </w:p>
        </w:tc>
        <w:tc>
          <w:tcPr>
            <w:tcW w:w="760" w:type="dxa"/>
            <w:tcBorders>
              <w:top w:val="nil"/>
              <w:left w:val="nil"/>
              <w:bottom w:val="single" w:sz="8" w:space="0" w:color="002060"/>
              <w:right w:val="nil"/>
            </w:tcBorders>
            <w:shd w:val="clear" w:color="auto" w:fill="auto"/>
            <w:noWrap/>
            <w:vAlign w:val="center"/>
            <w:hideMark/>
          </w:tcPr>
          <w:p w14:paraId="1C54BD5F"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53</w:t>
            </w:r>
          </w:p>
        </w:tc>
        <w:tc>
          <w:tcPr>
            <w:tcW w:w="760" w:type="dxa"/>
            <w:tcBorders>
              <w:top w:val="nil"/>
              <w:left w:val="nil"/>
              <w:bottom w:val="single" w:sz="8" w:space="0" w:color="002060"/>
              <w:right w:val="nil"/>
            </w:tcBorders>
            <w:shd w:val="clear" w:color="auto" w:fill="auto"/>
            <w:noWrap/>
            <w:vAlign w:val="center"/>
            <w:hideMark/>
          </w:tcPr>
          <w:p w14:paraId="79F1B4B5"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470</w:t>
            </w:r>
          </w:p>
        </w:tc>
        <w:tc>
          <w:tcPr>
            <w:tcW w:w="760" w:type="dxa"/>
            <w:tcBorders>
              <w:top w:val="nil"/>
              <w:left w:val="nil"/>
              <w:bottom w:val="single" w:sz="8" w:space="0" w:color="002060"/>
              <w:right w:val="nil"/>
            </w:tcBorders>
            <w:shd w:val="clear" w:color="auto" w:fill="auto"/>
            <w:noWrap/>
            <w:vAlign w:val="center"/>
            <w:hideMark/>
          </w:tcPr>
          <w:p w14:paraId="48AE83BB"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160</w:t>
            </w:r>
          </w:p>
        </w:tc>
        <w:tc>
          <w:tcPr>
            <w:tcW w:w="960" w:type="dxa"/>
            <w:tcBorders>
              <w:top w:val="nil"/>
              <w:left w:val="nil"/>
              <w:bottom w:val="single" w:sz="8" w:space="0" w:color="002060"/>
              <w:right w:val="nil"/>
            </w:tcBorders>
            <w:shd w:val="clear" w:color="auto" w:fill="auto"/>
            <w:noWrap/>
            <w:vAlign w:val="center"/>
            <w:hideMark/>
          </w:tcPr>
          <w:p w14:paraId="6A008010"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120</w:t>
            </w:r>
          </w:p>
        </w:tc>
        <w:tc>
          <w:tcPr>
            <w:tcW w:w="960" w:type="dxa"/>
            <w:tcBorders>
              <w:top w:val="nil"/>
              <w:left w:val="nil"/>
              <w:bottom w:val="single" w:sz="8" w:space="0" w:color="002060"/>
              <w:right w:val="single" w:sz="8" w:space="0" w:color="002060"/>
            </w:tcBorders>
            <w:shd w:val="clear" w:color="auto" w:fill="auto"/>
            <w:noWrap/>
            <w:vAlign w:val="center"/>
            <w:hideMark/>
          </w:tcPr>
          <w:p w14:paraId="303DCB91" w14:textId="77777777" w:rsidR="00AE564D" w:rsidRPr="00487D78" w:rsidRDefault="00AE564D" w:rsidP="00E26D3C">
            <w:pPr>
              <w:spacing w:after="0" w:line="240" w:lineRule="auto"/>
              <w:jc w:val="center"/>
              <w:rPr>
                <w:rFonts w:eastAsia="Times New Roman" w:cstheme="minorHAnsi"/>
                <w:color w:val="000000"/>
                <w:sz w:val="18"/>
                <w:szCs w:val="18"/>
                <w:lang w:eastAsia="en-AU"/>
              </w:rPr>
            </w:pPr>
            <w:r w:rsidRPr="00487D78">
              <w:rPr>
                <w:rFonts w:eastAsia="Times New Roman" w:cstheme="minorHAnsi"/>
                <w:color w:val="000000"/>
                <w:sz w:val="18"/>
                <w:szCs w:val="18"/>
                <w:lang w:eastAsia="en-AU"/>
              </w:rPr>
              <w:t>210</w:t>
            </w:r>
          </w:p>
        </w:tc>
      </w:tr>
    </w:tbl>
    <w:p w14:paraId="0B23169D" w14:textId="77777777" w:rsidR="00AE564D" w:rsidRPr="00BA2632" w:rsidRDefault="00AE564D" w:rsidP="00AE564D">
      <w:pPr>
        <w:spacing w:after="160" w:line="256" w:lineRule="auto"/>
        <w:rPr>
          <w:rFonts w:ascii="Arial" w:hAnsi="Arial"/>
          <w:b/>
          <w:bCs/>
          <w:color w:val="063061" w:themeColor="accent1" w:themeShade="BF"/>
          <w:sz w:val="24"/>
          <w:szCs w:val="24"/>
          <w:lang w:val="en-GB" w:eastAsia="en-US"/>
        </w:rPr>
      </w:pPr>
    </w:p>
    <w:p w14:paraId="5C27421A" w14:textId="0A433EE1" w:rsidR="00AE564D" w:rsidRPr="00FF10CF" w:rsidRDefault="00AE564D" w:rsidP="00AE564D">
      <w:pPr>
        <w:spacing w:after="160" w:line="259" w:lineRule="auto"/>
        <w:rPr>
          <w:bCs/>
          <w:color w:val="000000" w:themeColor="text1"/>
          <w:szCs w:val="20"/>
        </w:rPr>
      </w:pPr>
      <w:r>
        <w:rPr>
          <w:bCs/>
          <w:color w:val="000000" w:themeColor="text1"/>
          <w:szCs w:val="20"/>
        </w:rPr>
        <w:t>EC and turbidity were generally lower in 2019-21 (</w:t>
      </w:r>
      <w:r w:rsidR="00590768" w:rsidRPr="00590768">
        <w:rPr>
          <w:bCs/>
          <w:color w:val="000000" w:themeColor="text1"/>
          <w:szCs w:val="20"/>
        </w:rPr>
        <w:t>Table 5</w:t>
      </w:r>
      <w:r w:rsidR="00590768" w:rsidRPr="00590768">
        <w:rPr>
          <w:bCs/>
          <w:color w:val="000000" w:themeColor="text1"/>
          <w:szCs w:val="20"/>
        </w:rPr>
        <w:noBreakHyphen/>
        <w:t>14</w:t>
      </w:r>
      <w:r>
        <w:rPr>
          <w:bCs/>
          <w:color w:val="000000" w:themeColor="text1"/>
          <w:szCs w:val="20"/>
        </w:rPr>
        <w:t>) when compared with the long term (30 year) data sets from this region of the lower Goulburn River. While no great ecological significance is attached to the differences in electrical conductivity, it is interesting to explore the turbidity data a little further. Turbidity will affect light penetration into the water column, hence the smaller the turbidity value, the more of the water column and sediment surface receiving sufficient light to enable photosynthesis to occur. The turbidity attenuates the Photosynthetically Active Radiation (PAR) that has reached the water’s surface and then moves down through the water. It is the PAR readings from light loggers in open fields that are investigated in the subsequent Bayesian modelling of metabolic drivers, as well as being the light term in BASEv2. Ideally, subsurface light would be measured and modelled but that is a very complex task due to how quickly it is attenuated. Thus, reliable turbidity measurements assist greatly in qualitative explanations of any changes in GPP-Surface Light relationships. As noted above with NO</w:t>
      </w:r>
      <w:r w:rsidRPr="009C5525">
        <w:rPr>
          <w:bCs/>
          <w:color w:val="000000" w:themeColor="text1"/>
          <w:szCs w:val="20"/>
          <w:vertAlign w:val="subscript"/>
        </w:rPr>
        <w:t>x</w:t>
      </w:r>
      <w:r>
        <w:rPr>
          <w:bCs/>
          <w:color w:val="000000" w:themeColor="text1"/>
          <w:szCs w:val="20"/>
        </w:rPr>
        <w:t xml:space="preserve"> concentrations, annual summary statistics can sometimes hide patterns in the data; here </w:t>
      </w:r>
      <w:r w:rsidRPr="00CC48E0">
        <w:rPr>
          <w:bCs/>
          <w:color w:val="000000" w:themeColor="text1"/>
          <w:szCs w:val="20"/>
        </w:rPr>
        <w:t>in Figure 5-10</w:t>
      </w:r>
      <w:r>
        <w:rPr>
          <w:bCs/>
          <w:color w:val="000000" w:themeColor="text1"/>
          <w:szCs w:val="20"/>
        </w:rPr>
        <w:t>, turbidity over the two years of the MER program (2019-2021) is plotted against the date of sampling.</w:t>
      </w:r>
    </w:p>
    <w:p w14:paraId="691FBAB5" w14:textId="77777777" w:rsidR="00AE564D" w:rsidRPr="00BA2632" w:rsidRDefault="00AE564D" w:rsidP="00AE564D"/>
    <w:p w14:paraId="6070DA3B" w14:textId="77777777" w:rsidR="003332E0" w:rsidRDefault="00AE564D" w:rsidP="003332E0">
      <w:pPr>
        <w:keepNext/>
        <w:spacing w:after="160" w:line="256" w:lineRule="auto"/>
        <w:jc w:val="center"/>
      </w:pPr>
      <w:r w:rsidRPr="009B0E57">
        <w:rPr>
          <w:noProof/>
          <w:lang w:val="en-GB"/>
        </w:rPr>
        <w:lastRenderedPageBreak/>
        <w:drawing>
          <wp:inline distT="0" distB="0" distL="0" distR="0" wp14:anchorId="7CD1B6EC" wp14:editId="54052C45">
            <wp:extent cx="5731510" cy="5865495"/>
            <wp:effectExtent l="0" t="0" r="2540" b="190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31510" cy="5865495"/>
                    </a:xfrm>
                    <a:prstGeom prst="rect">
                      <a:avLst/>
                    </a:prstGeom>
                    <a:noFill/>
                    <a:ln>
                      <a:noFill/>
                    </a:ln>
                  </pic:spPr>
                </pic:pic>
              </a:graphicData>
            </a:graphic>
          </wp:inline>
        </w:drawing>
      </w:r>
    </w:p>
    <w:p w14:paraId="014A94BD" w14:textId="775C2194" w:rsidR="00AE564D" w:rsidRPr="00BA2632" w:rsidRDefault="003332E0" w:rsidP="003332E0">
      <w:pPr>
        <w:pStyle w:val="Caption"/>
      </w:pPr>
      <w:bookmarkStart w:id="277" w:name="_Ref83784196"/>
      <w:bookmarkStart w:id="278" w:name="_Toc83907754"/>
      <w:bookmarkStart w:id="279" w:name="_Toc84475655"/>
      <w:r>
        <w:t xml:space="preserve">Figure </w:t>
      </w:r>
      <w:r w:rsidR="00590768">
        <w:rPr>
          <w:noProof/>
        </w:rPr>
        <w:t>5</w:t>
      </w:r>
      <w:r w:rsidR="00B85158">
        <w:noBreakHyphen/>
      </w:r>
      <w:r w:rsidR="00590768">
        <w:rPr>
          <w:noProof/>
        </w:rPr>
        <w:t>10</w:t>
      </w:r>
      <w:bookmarkEnd w:id="277"/>
      <w:r>
        <w:t xml:space="preserve"> </w:t>
      </w:r>
      <w:r w:rsidRPr="005776CA">
        <w:t>Variation in Turbidity (NTU) in the Goulburn River, May 2019 – Apr 2020. Data combined from all 5 sites and taken from</w:t>
      </w:r>
      <w:r w:rsidR="00590768">
        <w:t xml:space="preserve"> Appendix D</w:t>
      </w:r>
      <w:r w:rsidRPr="005776CA">
        <w:t>. Daily Flow data over this period is from McCoy’s Bridge.</w:t>
      </w:r>
      <w:bookmarkEnd w:id="278"/>
      <w:bookmarkEnd w:id="279"/>
    </w:p>
    <w:p w14:paraId="0E61D5E2" w14:textId="6954F75C" w:rsidR="00AE564D" w:rsidRDefault="00AE564D" w:rsidP="00AE564D">
      <w:pPr>
        <w:rPr>
          <w:bCs/>
          <w:color w:val="000000" w:themeColor="text1"/>
          <w:szCs w:val="20"/>
        </w:rPr>
      </w:pPr>
      <w:r w:rsidRPr="00207A1E">
        <w:rPr>
          <w:bCs/>
          <w:color w:val="000000" w:themeColor="text1"/>
          <w:szCs w:val="20"/>
        </w:rPr>
        <w:t xml:space="preserve">It is apparent from </w:t>
      </w:r>
      <w:r w:rsidR="00590768">
        <w:t xml:space="preserve">Figure </w:t>
      </w:r>
      <w:r w:rsidR="00590768">
        <w:rPr>
          <w:noProof/>
        </w:rPr>
        <w:t>5</w:t>
      </w:r>
      <w:r w:rsidR="00590768">
        <w:noBreakHyphen/>
      </w:r>
      <w:r w:rsidR="00590768">
        <w:rPr>
          <w:noProof/>
        </w:rPr>
        <w:t>10</w:t>
      </w:r>
      <w:r w:rsidR="00871A4E">
        <w:rPr>
          <w:bCs/>
          <w:color w:val="000000" w:themeColor="text1"/>
          <w:szCs w:val="20"/>
        </w:rPr>
        <w:t xml:space="preserve"> </w:t>
      </w:r>
      <w:r w:rsidRPr="00207A1E">
        <w:rPr>
          <w:bCs/>
          <w:color w:val="000000" w:themeColor="text1"/>
          <w:szCs w:val="20"/>
        </w:rPr>
        <w:t>that there was a substantial peak in turbidity in March to May 2020 when this parameter increased substantially over the typical 10-30 NTU measured during the rest of this two-year period. It is difficult to attribute specific effects on GPP rates as rates would also be expected to fall due to the shorter number of hours and less intense sunlight during autumn compared to summertime. The origin of the turbidity increase is not definitive but is almost certainly emanating from further upstream as the turbidity at the Goulburn Weir Wall (Station 405259) jumped from 10-20 NTU to over 60-90 NTU in early March. The McCoy’s Bridge discharge has been added to this figure and this data suggests that the origin of the higher turbidity is not the April 2020 higher flow event.</w:t>
      </w:r>
    </w:p>
    <w:p w14:paraId="0E0CF0BD" w14:textId="77777777" w:rsidR="00A22253" w:rsidRDefault="00A22253">
      <w:pPr>
        <w:rPr>
          <w:rFonts w:ascii="Georgia" w:eastAsia="SimHei" w:hAnsi="Georgia" w:cs="Times New Roman"/>
          <w:color w:val="094183"/>
          <w:sz w:val="24"/>
          <w:szCs w:val="24"/>
          <w:lang w:eastAsia="en-US"/>
        </w:rPr>
      </w:pPr>
      <w:bookmarkStart w:id="280" w:name="_Ref52279412"/>
      <w:r>
        <w:br w:type="page"/>
      </w:r>
    </w:p>
    <w:p w14:paraId="67273190" w14:textId="2673BB27" w:rsidR="00AE564D" w:rsidRPr="00BA2632" w:rsidRDefault="00AE564D" w:rsidP="00AE564D">
      <w:pPr>
        <w:pStyle w:val="Heading3"/>
      </w:pPr>
      <w:bookmarkStart w:id="281" w:name="_Toc84417359"/>
      <w:bookmarkStart w:id="282" w:name="_Ref84426549"/>
      <w:bookmarkStart w:id="283" w:name="_Ref84426550"/>
      <w:bookmarkStart w:id="284" w:name="_Ref84426589"/>
      <w:r w:rsidRPr="00BA2632">
        <w:lastRenderedPageBreak/>
        <w:t xml:space="preserve">Statistical </w:t>
      </w:r>
      <w:r w:rsidR="00D62993">
        <w:t>m</w:t>
      </w:r>
      <w:r w:rsidRPr="00BA2632">
        <w:t>odelling</w:t>
      </w:r>
      <w:bookmarkEnd w:id="280"/>
      <w:bookmarkEnd w:id="281"/>
      <w:bookmarkEnd w:id="282"/>
      <w:bookmarkEnd w:id="283"/>
      <w:bookmarkEnd w:id="284"/>
    </w:p>
    <w:p w14:paraId="65A543FE" w14:textId="5FE4745C" w:rsidR="00AE564D" w:rsidRPr="00570412" w:rsidRDefault="00AE564D" w:rsidP="009A6C65">
      <w:pPr>
        <w:rPr>
          <w:rFonts w:cs="Arial"/>
          <w:szCs w:val="20"/>
        </w:rPr>
      </w:pPr>
      <w:r w:rsidRPr="00570412">
        <w:rPr>
          <w:rFonts w:cs="Arial"/>
          <w:szCs w:val="20"/>
        </w:rPr>
        <w:t xml:space="preserve">As described in </w:t>
      </w:r>
      <w:r w:rsidR="008978EC">
        <w:rPr>
          <w:rFonts w:cs="Arial"/>
          <w:szCs w:val="20"/>
        </w:rPr>
        <w:t xml:space="preserve">Section </w:t>
      </w:r>
      <w:r w:rsidR="009A7194">
        <w:rPr>
          <w:rFonts w:cs="Arial"/>
          <w:szCs w:val="20"/>
        </w:rPr>
        <w:t>5.4.4</w:t>
      </w:r>
      <w:r w:rsidRPr="005F6AA9">
        <w:rPr>
          <w:rFonts w:cs="Arial"/>
          <w:szCs w:val="20"/>
        </w:rPr>
        <w:t>,</w:t>
      </w:r>
      <w:r w:rsidRPr="00570412">
        <w:rPr>
          <w:rFonts w:cs="Arial"/>
          <w:szCs w:val="20"/>
        </w:rPr>
        <w:t xml:space="preserve"> a hierarchical Bayesian linear regression model, incorporating first-order auto-regression, examined the relationship of each metabolism endpoint (GPP and ER) against daily discharge</w:t>
      </w:r>
      <w:r>
        <w:rPr>
          <w:rFonts w:cs="Arial"/>
          <w:szCs w:val="20"/>
        </w:rPr>
        <w:t xml:space="preserve">, </w:t>
      </w:r>
      <w:proofErr w:type="gramStart"/>
      <w:r>
        <w:rPr>
          <w:rFonts w:cs="Arial"/>
          <w:szCs w:val="20"/>
        </w:rPr>
        <w:t>light</w:t>
      </w:r>
      <w:proofErr w:type="gramEnd"/>
      <w:r w:rsidRPr="00570412">
        <w:rPr>
          <w:rFonts w:cs="Arial"/>
          <w:szCs w:val="20"/>
        </w:rPr>
        <w:t xml:space="preserve"> and temperature. </w:t>
      </w:r>
      <w:r>
        <w:rPr>
          <w:rFonts w:cs="Arial"/>
          <w:szCs w:val="20"/>
        </w:rPr>
        <w:t>The p</w:t>
      </w:r>
      <w:r w:rsidRPr="00570412">
        <w:rPr>
          <w:rFonts w:cs="Arial"/>
          <w:szCs w:val="20"/>
        </w:rPr>
        <w:t xml:space="preserve">redictor variable </w:t>
      </w:r>
      <w:r>
        <w:rPr>
          <w:rFonts w:cs="Arial"/>
          <w:szCs w:val="20"/>
        </w:rPr>
        <w:t>was</w:t>
      </w:r>
      <w:r w:rsidRPr="00570412">
        <w:rPr>
          <w:rFonts w:cs="Arial"/>
          <w:szCs w:val="20"/>
        </w:rPr>
        <w:t xml:space="preserve"> daily discharge. This analysis used data from 20</w:t>
      </w:r>
      <w:r>
        <w:rPr>
          <w:rFonts w:cs="Arial"/>
          <w:szCs w:val="20"/>
        </w:rPr>
        <w:t>20</w:t>
      </w:r>
      <w:r w:rsidRPr="00570412">
        <w:rPr>
          <w:rFonts w:cs="Arial"/>
          <w:szCs w:val="20"/>
        </w:rPr>
        <w:t>-2</w:t>
      </w:r>
      <w:r>
        <w:rPr>
          <w:rFonts w:cs="Arial"/>
          <w:szCs w:val="20"/>
        </w:rPr>
        <w:t>1</w:t>
      </w:r>
      <w:r w:rsidRPr="00570412">
        <w:rPr>
          <w:rFonts w:cs="Arial"/>
          <w:szCs w:val="20"/>
        </w:rPr>
        <w:t xml:space="preserve"> (MER), and only included data that met the acceptance criteria.</w:t>
      </w:r>
    </w:p>
    <w:p w14:paraId="102E4995" w14:textId="79AD4C25" w:rsidR="00AE564D" w:rsidRPr="00A87A17" w:rsidRDefault="00AE564D" w:rsidP="009A6C65">
      <w:pPr>
        <w:keepNext/>
        <w:rPr>
          <w:rFonts w:cs="Arial"/>
          <w:szCs w:val="20"/>
        </w:rPr>
      </w:pPr>
      <w:r w:rsidRPr="00A87A17">
        <w:rPr>
          <w:rFonts w:cs="Arial"/>
          <w:szCs w:val="20"/>
        </w:rPr>
        <w:t>Results of the regression analyses</w:t>
      </w:r>
      <w:r w:rsidR="0032702C">
        <w:rPr>
          <w:rFonts w:cs="Arial"/>
          <w:szCs w:val="20"/>
        </w:rPr>
        <w:t xml:space="preserve"> (</w:t>
      </w:r>
      <w:r w:rsidR="009A7194" w:rsidRPr="009A7194">
        <w:rPr>
          <w:rFonts w:cs="Arial"/>
          <w:szCs w:val="20"/>
        </w:rPr>
        <w:t>Table 5</w:t>
      </w:r>
      <w:r w:rsidR="009A7194" w:rsidRPr="009A7194">
        <w:rPr>
          <w:rFonts w:cs="Arial"/>
          <w:szCs w:val="20"/>
        </w:rPr>
        <w:noBreakHyphen/>
        <w:t>15</w:t>
      </w:r>
      <w:r w:rsidR="0032702C">
        <w:rPr>
          <w:rFonts w:cs="Arial"/>
          <w:szCs w:val="20"/>
        </w:rPr>
        <w:t>)</w:t>
      </w:r>
      <w:r w:rsidRPr="00A87A17">
        <w:rPr>
          <w:rFonts w:cs="Arial"/>
          <w:szCs w:val="20"/>
        </w:rPr>
        <w:t xml:space="preserve"> may be summarised as:</w:t>
      </w:r>
    </w:p>
    <w:p w14:paraId="5AC99898" w14:textId="77777777" w:rsidR="00AE564D" w:rsidRPr="001C6A52" w:rsidRDefault="00AE564D" w:rsidP="009A6C65">
      <w:pPr>
        <w:rPr>
          <w:rFonts w:cstheme="minorHAnsi"/>
          <w:b/>
          <w:bCs/>
          <w:i/>
          <w:iCs/>
          <w:szCs w:val="20"/>
        </w:rPr>
      </w:pPr>
      <w:r w:rsidRPr="001C6A52">
        <w:rPr>
          <w:rFonts w:cstheme="minorHAnsi"/>
          <w:b/>
          <w:bCs/>
          <w:i/>
          <w:iCs/>
          <w:szCs w:val="20"/>
        </w:rPr>
        <w:t>GPP</w:t>
      </w:r>
    </w:p>
    <w:p w14:paraId="02EFD34B" w14:textId="77777777" w:rsidR="00AE564D" w:rsidRPr="005F6AA9" w:rsidRDefault="00AE564D" w:rsidP="00DE6E94">
      <w:pPr>
        <w:pStyle w:val="ListParagraph"/>
        <w:numPr>
          <w:ilvl w:val="0"/>
          <w:numId w:val="85"/>
        </w:numPr>
        <w:spacing w:after="200" w:line="276" w:lineRule="auto"/>
        <w:contextualSpacing/>
        <w:rPr>
          <w:rFonts w:cstheme="minorHAnsi"/>
          <w:szCs w:val="20"/>
        </w:rPr>
      </w:pPr>
      <w:r w:rsidRPr="005F6AA9">
        <w:rPr>
          <w:rFonts w:cstheme="minorHAnsi"/>
          <w:szCs w:val="20"/>
        </w:rPr>
        <w:t>Flow has a negative effect on rate of GPP at all sites when using both log-discharge and delta discharge as the flow indicator. The results with log-discharge as the flow indicator are more significant than those with delta discharge as the flow indicator.</w:t>
      </w:r>
    </w:p>
    <w:p w14:paraId="45899014" w14:textId="77777777" w:rsidR="00AE564D" w:rsidRPr="005F6AA9" w:rsidRDefault="00AE564D" w:rsidP="00DE6E94">
      <w:pPr>
        <w:pStyle w:val="ListParagraph"/>
        <w:numPr>
          <w:ilvl w:val="0"/>
          <w:numId w:val="85"/>
        </w:numPr>
        <w:spacing w:after="200" w:line="276" w:lineRule="auto"/>
        <w:contextualSpacing/>
        <w:rPr>
          <w:rFonts w:cstheme="minorHAnsi"/>
          <w:szCs w:val="20"/>
        </w:rPr>
      </w:pPr>
      <w:r w:rsidRPr="005F6AA9">
        <w:rPr>
          <w:rFonts w:cstheme="minorHAnsi"/>
          <w:szCs w:val="20"/>
        </w:rPr>
        <w:t>Both light and temperature have positive effects on GPP at all five sites, regardless of the flow indicator adopted.</w:t>
      </w:r>
    </w:p>
    <w:p w14:paraId="49693312" w14:textId="77777777" w:rsidR="00AE564D" w:rsidRPr="001C6A52" w:rsidRDefault="00AE564D" w:rsidP="009A6C65">
      <w:pPr>
        <w:rPr>
          <w:rFonts w:cstheme="minorHAnsi"/>
          <w:b/>
          <w:bCs/>
          <w:i/>
          <w:iCs/>
          <w:szCs w:val="20"/>
        </w:rPr>
      </w:pPr>
      <w:r w:rsidRPr="001C6A52">
        <w:rPr>
          <w:rFonts w:cstheme="minorHAnsi"/>
          <w:b/>
          <w:bCs/>
          <w:i/>
          <w:iCs/>
          <w:szCs w:val="20"/>
        </w:rPr>
        <w:t>ER</w:t>
      </w:r>
    </w:p>
    <w:p w14:paraId="63D92848" w14:textId="41DF71FD" w:rsidR="00AE564D" w:rsidRPr="005F6AA9" w:rsidRDefault="00AE564D" w:rsidP="00DE6E94">
      <w:pPr>
        <w:pStyle w:val="ListParagraph"/>
        <w:numPr>
          <w:ilvl w:val="0"/>
          <w:numId w:val="86"/>
        </w:numPr>
        <w:spacing w:after="200" w:line="276" w:lineRule="auto"/>
        <w:contextualSpacing/>
        <w:rPr>
          <w:rFonts w:cstheme="minorHAnsi"/>
          <w:szCs w:val="20"/>
        </w:rPr>
      </w:pPr>
      <w:r w:rsidRPr="005F6AA9">
        <w:rPr>
          <w:rFonts w:cstheme="minorHAnsi"/>
          <w:szCs w:val="20"/>
        </w:rPr>
        <w:t xml:space="preserve">When using log-discharge as the indicator, flow has a negative effect on ER at all five sites, with no positive effects observed. When using delta discharge as the indicator, flow has an on-average positive effect at Loch Garry but negative effects at </w:t>
      </w:r>
      <w:r w:rsidR="00260484">
        <w:rPr>
          <w:rFonts w:cstheme="minorHAnsi"/>
          <w:szCs w:val="20"/>
        </w:rPr>
        <w:t xml:space="preserve">the </w:t>
      </w:r>
      <w:r w:rsidRPr="005F6AA9">
        <w:rPr>
          <w:rFonts w:cstheme="minorHAnsi"/>
          <w:szCs w:val="20"/>
        </w:rPr>
        <w:t xml:space="preserve">other four sites. However, </w:t>
      </w:r>
      <w:r w:rsidR="009A6C65" w:rsidRPr="005F6AA9">
        <w:rPr>
          <w:rFonts w:cstheme="minorHAnsi"/>
          <w:szCs w:val="20"/>
        </w:rPr>
        <w:t>the</w:t>
      </w:r>
      <w:r w:rsidRPr="005F6AA9">
        <w:rPr>
          <w:rFonts w:cstheme="minorHAnsi"/>
          <w:szCs w:val="20"/>
        </w:rPr>
        <w:t xml:space="preserve"> effect of flow on ER is not as large as that on GPP, with the only significant effect being observed at Murchison.</w:t>
      </w:r>
    </w:p>
    <w:p w14:paraId="1CEB3DD5" w14:textId="77777777" w:rsidR="00AE564D" w:rsidRPr="005F6AA9" w:rsidRDefault="00AE564D" w:rsidP="00DE6E94">
      <w:pPr>
        <w:pStyle w:val="ListParagraph"/>
        <w:numPr>
          <w:ilvl w:val="0"/>
          <w:numId w:val="86"/>
        </w:numPr>
        <w:spacing w:after="200" w:line="276" w:lineRule="auto"/>
        <w:contextualSpacing/>
        <w:rPr>
          <w:rFonts w:cstheme="minorHAnsi"/>
          <w:szCs w:val="20"/>
        </w:rPr>
      </w:pPr>
      <w:r w:rsidRPr="005F6AA9">
        <w:rPr>
          <w:rFonts w:cstheme="minorHAnsi"/>
          <w:szCs w:val="20"/>
        </w:rPr>
        <w:t>Light has negative effects on ER at all five sites when using both log-discharge and delta discharge as the flow indicator, but the effects are not significant at McCoy's Bridge and Shepparton with log-discharge as the indicator, and at Murchison and Shepparton with delta discharge as the indicator.</w:t>
      </w:r>
    </w:p>
    <w:p w14:paraId="07AFC888" w14:textId="77777777" w:rsidR="00AE564D" w:rsidRPr="005F6AA9" w:rsidRDefault="00AE564D" w:rsidP="00DE6E94">
      <w:pPr>
        <w:pStyle w:val="ListParagraph"/>
        <w:numPr>
          <w:ilvl w:val="0"/>
          <w:numId w:val="86"/>
        </w:numPr>
        <w:spacing w:after="200" w:line="276" w:lineRule="auto"/>
        <w:contextualSpacing/>
        <w:rPr>
          <w:rFonts w:cstheme="minorHAnsi"/>
          <w:szCs w:val="20"/>
        </w:rPr>
      </w:pPr>
      <w:r w:rsidRPr="005F6AA9">
        <w:rPr>
          <w:rFonts w:cstheme="minorHAnsi"/>
          <w:szCs w:val="20"/>
        </w:rPr>
        <w:t>Temperature has positive effects at all five sites using both log-discharge and delta discharge as the flow indicator, but only the effects at Arcadia Downs and Murchison are significant.</w:t>
      </w:r>
    </w:p>
    <w:p w14:paraId="7DACCD10" w14:textId="77777777" w:rsidR="00AE564D" w:rsidRPr="005F6AA9" w:rsidRDefault="00AE564D" w:rsidP="009A6C65">
      <w:pPr>
        <w:rPr>
          <w:rFonts w:cstheme="minorHAnsi"/>
          <w:szCs w:val="20"/>
        </w:rPr>
      </w:pPr>
      <w:r w:rsidRPr="005F6AA9">
        <w:rPr>
          <w:rFonts w:cstheme="minorHAnsi"/>
          <w:szCs w:val="20"/>
        </w:rPr>
        <w:t>These findings are largely consistent with previous years; in addition, modelling presented in the LTIM reports showed that no improvement to any model was achieved by adding in a lag period (in days) between flow and metabolic response, hence was not undertaken this year.</w:t>
      </w:r>
    </w:p>
    <w:p w14:paraId="6943DFD6" w14:textId="77777777" w:rsidR="00AE564D" w:rsidRDefault="00AE564D" w:rsidP="009A6C65">
      <w:r w:rsidRPr="005F6AA9">
        <w:rPr>
          <w:rFonts w:cstheme="minorHAnsi"/>
        </w:rPr>
        <w:t>The finding that additional light stimulates GPP in all 5 sites is unsurprising given the essential role of sunlight in the photosynthetic process. Temperature shows a strong positive effect on GPP for 4 of the 5 sites – the result at Shepparton also indicates a positive, but not statistically significant, relationship as the lower (2.5%) credible interval is below zero.</w:t>
      </w:r>
      <w:r>
        <w:t xml:space="preserve"> </w:t>
      </w:r>
    </w:p>
    <w:p w14:paraId="6BEF0CDA" w14:textId="77777777" w:rsidR="00AE564D" w:rsidRPr="00882893" w:rsidRDefault="00AE564D" w:rsidP="00AE564D"/>
    <w:p w14:paraId="4CCCE78D" w14:textId="77777777" w:rsidR="00AE564D" w:rsidRDefault="00AE564D" w:rsidP="00AE564D">
      <w:pPr>
        <w:rPr>
          <w:b/>
          <w:iCs/>
          <w:szCs w:val="20"/>
          <w:highlight w:val="green"/>
        </w:rPr>
      </w:pPr>
      <w:bookmarkStart w:id="285" w:name="_Ref48224445"/>
      <w:r>
        <w:rPr>
          <w:highlight w:val="green"/>
        </w:rPr>
        <w:br w:type="page"/>
      </w:r>
    </w:p>
    <w:p w14:paraId="132A3F6E" w14:textId="142988FD" w:rsidR="0032702C" w:rsidRDefault="0032702C" w:rsidP="0032702C">
      <w:pPr>
        <w:pStyle w:val="Caption"/>
        <w:keepNext/>
      </w:pPr>
      <w:bookmarkStart w:id="286" w:name="_Ref83784494"/>
      <w:bookmarkStart w:id="287" w:name="_Toc95391476"/>
      <w:bookmarkEnd w:id="285"/>
      <w:r>
        <w:lastRenderedPageBreak/>
        <w:t xml:space="preserve">Table </w:t>
      </w:r>
      <w:r w:rsidR="009A7194">
        <w:rPr>
          <w:noProof/>
        </w:rPr>
        <w:t>5</w:t>
      </w:r>
      <w:r w:rsidR="000B75AF">
        <w:noBreakHyphen/>
      </w:r>
      <w:r w:rsidR="009A7194">
        <w:rPr>
          <w:noProof/>
        </w:rPr>
        <w:t>15</w:t>
      </w:r>
      <w:bookmarkEnd w:id="286"/>
      <w:r>
        <w:t xml:space="preserve"> </w:t>
      </w:r>
      <w:r w:rsidRPr="00643F43">
        <w:t xml:space="preserve">Regression coefficients from Bayesian modelling of relationships between discharge and GPP or ER based on Equation 2, directly using log(Q) as the discharge indicator for data from 2019-20. “ac” is the coefficient of the autocorrelation term. </w:t>
      </w:r>
      <w:r w:rsidRPr="0032702C">
        <w:t>Coloured rows show ‘significant’ positive (blue) or negative (red) effects. Here significance is assigned for any distribution for which the entire 95% credible interval (2.5% to 97.5%) lies either above or below zero.</w:t>
      </w:r>
      <w:bookmarkEnd w:id="287"/>
    </w:p>
    <w:tbl>
      <w:tblPr>
        <w:tblW w:w="4820" w:type="pct"/>
        <w:jc w:val="center"/>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733"/>
        <w:gridCol w:w="1445"/>
        <w:gridCol w:w="1712"/>
        <w:gridCol w:w="862"/>
        <w:gridCol w:w="1064"/>
        <w:gridCol w:w="910"/>
        <w:gridCol w:w="862"/>
        <w:gridCol w:w="1066"/>
        <w:gridCol w:w="900"/>
      </w:tblGrid>
      <w:tr w:rsidR="00AE564D" w:rsidRPr="0032702C" w14:paraId="5EBBADB4" w14:textId="77777777" w:rsidTr="0032702C">
        <w:trPr>
          <w:trHeight w:val="288"/>
          <w:jc w:val="center"/>
        </w:trPr>
        <w:tc>
          <w:tcPr>
            <w:tcW w:w="384" w:type="pct"/>
            <w:vMerge w:val="restart"/>
            <w:tcBorders>
              <w:top w:val="single" w:sz="4" w:space="0" w:color="auto"/>
              <w:left w:val="single" w:sz="4" w:space="0" w:color="auto"/>
              <w:bottom w:val="single" w:sz="4" w:space="0" w:color="auto"/>
              <w:right w:val="single" w:sz="4" w:space="0" w:color="auto"/>
            </w:tcBorders>
            <w:shd w:val="clear" w:color="auto" w:fill="063061" w:themeFill="accent1" w:themeFillShade="BF"/>
            <w:noWrap/>
            <w:vAlign w:val="center"/>
            <w:hideMark/>
          </w:tcPr>
          <w:p w14:paraId="717F9E2B" w14:textId="77777777" w:rsidR="00AE564D" w:rsidRPr="0032702C" w:rsidRDefault="00AE564D" w:rsidP="00E26D3C">
            <w:pPr>
              <w:spacing w:after="0" w:line="240" w:lineRule="auto"/>
              <w:jc w:val="center"/>
              <w:rPr>
                <w:rFonts w:eastAsia="Times New Roman" w:cstheme="minorHAnsi"/>
                <w:b/>
                <w:sz w:val="18"/>
                <w:szCs w:val="18"/>
              </w:rPr>
            </w:pPr>
          </w:p>
        </w:tc>
        <w:tc>
          <w:tcPr>
            <w:tcW w:w="756" w:type="pct"/>
            <w:vMerge w:val="restart"/>
            <w:tcBorders>
              <w:top w:val="single" w:sz="4" w:space="0" w:color="auto"/>
              <w:left w:val="single" w:sz="4" w:space="0" w:color="auto"/>
              <w:bottom w:val="single" w:sz="4" w:space="0" w:color="auto"/>
              <w:right w:val="nil"/>
            </w:tcBorders>
            <w:shd w:val="clear" w:color="auto" w:fill="063061" w:themeFill="accent1" w:themeFillShade="BF"/>
            <w:noWrap/>
            <w:vAlign w:val="center"/>
            <w:hideMark/>
          </w:tcPr>
          <w:p w14:paraId="47E3BE59" w14:textId="77777777" w:rsidR="00AE564D" w:rsidRPr="0032702C" w:rsidRDefault="00AE564D" w:rsidP="00E26D3C">
            <w:pPr>
              <w:spacing w:after="0" w:line="240" w:lineRule="auto"/>
              <w:jc w:val="center"/>
              <w:rPr>
                <w:rFonts w:eastAsia="Times New Roman" w:cstheme="minorHAnsi"/>
                <w:b/>
                <w:color w:val="FFFFFF" w:themeColor="background1"/>
                <w:sz w:val="18"/>
                <w:szCs w:val="18"/>
              </w:rPr>
            </w:pPr>
            <w:r w:rsidRPr="0032702C">
              <w:rPr>
                <w:rFonts w:eastAsia="Times New Roman" w:cstheme="minorHAnsi"/>
                <w:b/>
                <w:color w:val="FFFFFF" w:themeColor="background1"/>
                <w:sz w:val="18"/>
                <w:szCs w:val="18"/>
              </w:rPr>
              <w:t>Predictor</w:t>
            </w:r>
          </w:p>
        </w:tc>
        <w:tc>
          <w:tcPr>
            <w:tcW w:w="896" w:type="pct"/>
            <w:vMerge w:val="restart"/>
            <w:tcBorders>
              <w:top w:val="single" w:sz="4" w:space="0" w:color="auto"/>
              <w:left w:val="nil"/>
              <w:bottom w:val="single" w:sz="4" w:space="0" w:color="auto"/>
              <w:right w:val="nil"/>
            </w:tcBorders>
            <w:shd w:val="clear" w:color="auto" w:fill="063061" w:themeFill="accent1" w:themeFillShade="BF"/>
            <w:noWrap/>
            <w:vAlign w:val="center"/>
            <w:hideMark/>
          </w:tcPr>
          <w:p w14:paraId="070A3760" w14:textId="77777777" w:rsidR="00AE564D" w:rsidRPr="0032702C" w:rsidRDefault="00AE564D" w:rsidP="00E26D3C">
            <w:pPr>
              <w:spacing w:after="0" w:line="240" w:lineRule="auto"/>
              <w:jc w:val="center"/>
              <w:rPr>
                <w:rFonts w:eastAsia="Times New Roman" w:cstheme="minorHAnsi"/>
                <w:b/>
                <w:color w:val="FFFFFF" w:themeColor="background1"/>
                <w:sz w:val="18"/>
                <w:szCs w:val="18"/>
              </w:rPr>
            </w:pPr>
            <w:r w:rsidRPr="0032702C">
              <w:rPr>
                <w:rFonts w:eastAsia="Times New Roman" w:cstheme="minorHAnsi"/>
                <w:b/>
                <w:color w:val="FFFFFF" w:themeColor="background1"/>
                <w:sz w:val="18"/>
                <w:szCs w:val="18"/>
              </w:rPr>
              <w:t>Site</w:t>
            </w:r>
          </w:p>
        </w:tc>
        <w:tc>
          <w:tcPr>
            <w:tcW w:w="1484" w:type="pct"/>
            <w:gridSpan w:val="3"/>
            <w:tcBorders>
              <w:top w:val="single" w:sz="4" w:space="0" w:color="auto"/>
              <w:left w:val="nil"/>
              <w:bottom w:val="single" w:sz="4" w:space="0" w:color="auto"/>
              <w:right w:val="nil"/>
            </w:tcBorders>
            <w:shd w:val="clear" w:color="auto" w:fill="063061" w:themeFill="accent1" w:themeFillShade="BF"/>
            <w:noWrap/>
            <w:vAlign w:val="center"/>
            <w:hideMark/>
          </w:tcPr>
          <w:p w14:paraId="2DFB0597" w14:textId="77777777" w:rsidR="00AE564D" w:rsidRPr="0032702C" w:rsidRDefault="00AE564D" w:rsidP="00E26D3C">
            <w:pPr>
              <w:spacing w:after="0" w:line="240" w:lineRule="auto"/>
              <w:jc w:val="center"/>
              <w:rPr>
                <w:rFonts w:eastAsia="Times New Roman" w:cstheme="minorHAnsi"/>
                <w:b/>
                <w:color w:val="FFFFFF" w:themeColor="background1"/>
                <w:sz w:val="18"/>
                <w:szCs w:val="18"/>
              </w:rPr>
            </w:pPr>
            <w:r w:rsidRPr="0032702C">
              <w:rPr>
                <w:rFonts w:eastAsia="Times New Roman" w:cstheme="minorHAnsi"/>
                <w:b/>
                <w:color w:val="FFFFFF" w:themeColor="background1"/>
                <w:sz w:val="18"/>
                <w:szCs w:val="18"/>
              </w:rPr>
              <w:t>Discharge (log(Q))</w:t>
            </w:r>
          </w:p>
        </w:tc>
        <w:tc>
          <w:tcPr>
            <w:tcW w:w="1480" w:type="pct"/>
            <w:gridSpan w:val="3"/>
            <w:tcBorders>
              <w:top w:val="single" w:sz="4" w:space="0" w:color="auto"/>
              <w:left w:val="nil"/>
              <w:bottom w:val="single" w:sz="4" w:space="0" w:color="auto"/>
              <w:right w:val="single" w:sz="4" w:space="0" w:color="auto"/>
            </w:tcBorders>
            <w:shd w:val="clear" w:color="auto" w:fill="063061" w:themeFill="accent1" w:themeFillShade="BF"/>
            <w:noWrap/>
            <w:vAlign w:val="center"/>
            <w:hideMark/>
          </w:tcPr>
          <w:p w14:paraId="12122FAD" w14:textId="77777777" w:rsidR="00AE564D" w:rsidRPr="0032702C" w:rsidRDefault="00AE564D" w:rsidP="00E26D3C">
            <w:pPr>
              <w:spacing w:after="0" w:line="240" w:lineRule="auto"/>
              <w:jc w:val="center"/>
              <w:rPr>
                <w:rFonts w:eastAsia="Times New Roman" w:cstheme="minorHAnsi"/>
                <w:b/>
                <w:color w:val="FFFFFF" w:themeColor="background1"/>
                <w:sz w:val="18"/>
                <w:szCs w:val="18"/>
              </w:rPr>
            </w:pPr>
            <w:r w:rsidRPr="0032702C">
              <w:rPr>
                <w:rFonts w:eastAsia="Times New Roman" w:cstheme="minorHAnsi"/>
                <w:b/>
                <w:color w:val="FFFFFF" w:themeColor="background1"/>
                <w:sz w:val="18"/>
                <w:szCs w:val="18"/>
              </w:rPr>
              <w:t>Delta discharge (</w:t>
            </w:r>
            <w:proofErr w:type="spellStart"/>
            <w:r w:rsidRPr="0032702C">
              <w:rPr>
                <w:rFonts w:eastAsia="Times New Roman" w:cstheme="minorHAnsi"/>
                <w:b/>
                <w:color w:val="FFFFFF" w:themeColor="background1"/>
                <w:sz w:val="18"/>
                <w:szCs w:val="18"/>
              </w:rPr>
              <w:t>diffQ</w:t>
            </w:r>
            <w:proofErr w:type="spellEnd"/>
            <w:r w:rsidRPr="0032702C">
              <w:rPr>
                <w:rFonts w:eastAsia="Times New Roman" w:cstheme="minorHAnsi"/>
                <w:b/>
                <w:color w:val="FFFFFF" w:themeColor="background1"/>
                <w:sz w:val="18"/>
                <w:szCs w:val="18"/>
              </w:rPr>
              <w:t>)</w:t>
            </w:r>
          </w:p>
        </w:tc>
      </w:tr>
      <w:tr w:rsidR="00AE564D" w:rsidRPr="0032702C" w14:paraId="3514A46C" w14:textId="77777777" w:rsidTr="0032702C">
        <w:trPr>
          <w:trHeight w:val="28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03B286" w14:textId="77777777" w:rsidR="00AE564D" w:rsidRPr="0032702C" w:rsidRDefault="00AE564D" w:rsidP="00E26D3C">
            <w:pPr>
              <w:spacing w:after="0"/>
              <w:rPr>
                <w:rFonts w:eastAsia="Times New Roman" w:cstheme="minorHAnsi"/>
                <w:b/>
                <w:sz w:val="18"/>
                <w:szCs w:val="18"/>
              </w:rPr>
            </w:pPr>
          </w:p>
        </w:tc>
        <w:tc>
          <w:tcPr>
            <w:tcW w:w="756" w:type="pct"/>
            <w:vMerge/>
            <w:tcBorders>
              <w:top w:val="single" w:sz="4" w:space="0" w:color="auto"/>
              <w:left w:val="single" w:sz="4" w:space="0" w:color="auto"/>
              <w:bottom w:val="single" w:sz="4" w:space="0" w:color="auto"/>
              <w:right w:val="nil"/>
            </w:tcBorders>
            <w:vAlign w:val="center"/>
            <w:hideMark/>
          </w:tcPr>
          <w:p w14:paraId="65E49A3D" w14:textId="77777777" w:rsidR="00AE564D" w:rsidRPr="0032702C" w:rsidRDefault="00AE564D" w:rsidP="00E26D3C">
            <w:pPr>
              <w:spacing w:after="0"/>
              <w:rPr>
                <w:rFonts w:eastAsia="Times New Roman" w:cstheme="minorHAnsi"/>
                <w:b/>
                <w:color w:val="FFFFFF" w:themeColor="background1"/>
                <w:sz w:val="18"/>
                <w:szCs w:val="18"/>
              </w:rPr>
            </w:pPr>
          </w:p>
        </w:tc>
        <w:tc>
          <w:tcPr>
            <w:tcW w:w="896" w:type="pct"/>
            <w:vMerge/>
            <w:tcBorders>
              <w:top w:val="single" w:sz="4" w:space="0" w:color="auto"/>
              <w:left w:val="nil"/>
              <w:bottom w:val="single" w:sz="4" w:space="0" w:color="auto"/>
              <w:right w:val="nil"/>
            </w:tcBorders>
            <w:vAlign w:val="center"/>
            <w:hideMark/>
          </w:tcPr>
          <w:p w14:paraId="0DFE1504" w14:textId="77777777" w:rsidR="00AE564D" w:rsidRPr="0032702C" w:rsidRDefault="00AE564D" w:rsidP="00E26D3C">
            <w:pPr>
              <w:spacing w:after="0"/>
              <w:rPr>
                <w:rFonts w:eastAsia="Times New Roman" w:cstheme="minorHAnsi"/>
                <w:b/>
                <w:color w:val="FFFFFF" w:themeColor="background1"/>
                <w:sz w:val="18"/>
                <w:szCs w:val="18"/>
              </w:rPr>
            </w:pPr>
          </w:p>
        </w:tc>
        <w:tc>
          <w:tcPr>
            <w:tcW w:w="451" w:type="pct"/>
            <w:tcBorders>
              <w:top w:val="single" w:sz="4" w:space="0" w:color="auto"/>
              <w:left w:val="nil"/>
              <w:bottom w:val="single" w:sz="4" w:space="0" w:color="auto"/>
              <w:right w:val="nil"/>
            </w:tcBorders>
            <w:shd w:val="clear" w:color="auto" w:fill="063061" w:themeFill="accent1" w:themeFillShade="BF"/>
            <w:noWrap/>
            <w:vAlign w:val="center"/>
            <w:hideMark/>
          </w:tcPr>
          <w:p w14:paraId="677901C8" w14:textId="77777777" w:rsidR="00AE564D" w:rsidRPr="0032702C" w:rsidRDefault="00AE564D" w:rsidP="00E26D3C">
            <w:pPr>
              <w:spacing w:after="0" w:line="240" w:lineRule="auto"/>
              <w:jc w:val="right"/>
              <w:rPr>
                <w:rFonts w:eastAsia="Times New Roman" w:cstheme="minorHAnsi"/>
                <w:b/>
                <w:color w:val="FFFFFF" w:themeColor="background1"/>
                <w:sz w:val="18"/>
                <w:szCs w:val="18"/>
              </w:rPr>
            </w:pPr>
            <w:r w:rsidRPr="0032702C">
              <w:rPr>
                <w:rFonts w:eastAsia="Times New Roman" w:cstheme="minorHAnsi"/>
                <w:b/>
                <w:color w:val="FFFFFF" w:themeColor="background1"/>
                <w:sz w:val="18"/>
                <w:szCs w:val="18"/>
              </w:rPr>
              <w:t>2.5%</w:t>
            </w:r>
          </w:p>
        </w:tc>
        <w:tc>
          <w:tcPr>
            <w:tcW w:w="557" w:type="pct"/>
            <w:tcBorders>
              <w:top w:val="single" w:sz="4" w:space="0" w:color="auto"/>
              <w:left w:val="nil"/>
              <w:bottom w:val="single" w:sz="4" w:space="0" w:color="auto"/>
              <w:right w:val="nil"/>
            </w:tcBorders>
            <w:shd w:val="clear" w:color="auto" w:fill="063061" w:themeFill="accent1" w:themeFillShade="BF"/>
            <w:noWrap/>
            <w:vAlign w:val="center"/>
            <w:hideMark/>
          </w:tcPr>
          <w:p w14:paraId="284652DD" w14:textId="77777777" w:rsidR="00AE564D" w:rsidRPr="0032702C" w:rsidRDefault="00AE564D" w:rsidP="00E26D3C">
            <w:pPr>
              <w:spacing w:after="0" w:line="240" w:lineRule="auto"/>
              <w:rPr>
                <w:rFonts w:eastAsia="Times New Roman" w:cstheme="minorHAnsi"/>
                <w:b/>
                <w:color w:val="FFFFFF" w:themeColor="background1"/>
                <w:sz w:val="18"/>
                <w:szCs w:val="18"/>
              </w:rPr>
            </w:pPr>
            <w:r w:rsidRPr="0032702C">
              <w:rPr>
                <w:rFonts w:eastAsia="Times New Roman" w:cstheme="minorHAnsi"/>
                <w:b/>
                <w:color w:val="FFFFFF" w:themeColor="background1"/>
                <w:sz w:val="18"/>
                <w:szCs w:val="18"/>
              </w:rPr>
              <w:t>median</w:t>
            </w:r>
          </w:p>
        </w:tc>
        <w:tc>
          <w:tcPr>
            <w:tcW w:w="476" w:type="pct"/>
            <w:tcBorders>
              <w:top w:val="single" w:sz="4" w:space="0" w:color="auto"/>
              <w:left w:val="nil"/>
              <w:bottom w:val="single" w:sz="4" w:space="0" w:color="auto"/>
              <w:right w:val="nil"/>
            </w:tcBorders>
            <w:shd w:val="clear" w:color="auto" w:fill="063061" w:themeFill="accent1" w:themeFillShade="BF"/>
            <w:noWrap/>
            <w:vAlign w:val="center"/>
            <w:hideMark/>
          </w:tcPr>
          <w:p w14:paraId="2CE5AFC5" w14:textId="77777777" w:rsidR="00AE564D" w:rsidRPr="0032702C" w:rsidRDefault="00AE564D" w:rsidP="00E26D3C">
            <w:pPr>
              <w:spacing w:after="0" w:line="240" w:lineRule="auto"/>
              <w:jc w:val="right"/>
              <w:rPr>
                <w:rFonts w:eastAsia="Times New Roman" w:cstheme="minorHAnsi"/>
                <w:b/>
                <w:color w:val="FFFFFF" w:themeColor="background1"/>
                <w:sz w:val="18"/>
                <w:szCs w:val="18"/>
              </w:rPr>
            </w:pPr>
            <w:r w:rsidRPr="0032702C">
              <w:rPr>
                <w:rFonts w:eastAsia="Times New Roman" w:cstheme="minorHAnsi"/>
                <w:b/>
                <w:color w:val="FFFFFF" w:themeColor="background1"/>
                <w:sz w:val="18"/>
                <w:szCs w:val="18"/>
              </w:rPr>
              <w:t>97.5%</w:t>
            </w:r>
          </w:p>
        </w:tc>
        <w:tc>
          <w:tcPr>
            <w:tcW w:w="451" w:type="pct"/>
            <w:tcBorders>
              <w:top w:val="single" w:sz="4" w:space="0" w:color="auto"/>
              <w:left w:val="nil"/>
              <w:bottom w:val="single" w:sz="4" w:space="0" w:color="auto"/>
              <w:right w:val="nil"/>
            </w:tcBorders>
            <w:shd w:val="clear" w:color="auto" w:fill="063061" w:themeFill="accent1" w:themeFillShade="BF"/>
            <w:noWrap/>
            <w:vAlign w:val="center"/>
            <w:hideMark/>
          </w:tcPr>
          <w:p w14:paraId="0294D6FC" w14:textId="77777777" w:rsidR="00AE564D" w:rsidRPr="0032702C" w:rsidRDefault="00AE564D" w:rsidP="00E26D3C">
            <w:pPr>
              <w:spacing w:after="0" w:line="240" w:lineRule="auto"/>
              <w:jc w:val="right"/>
              <w:rPr>
                <w:rFonts w:eastAsia="Times New Roman" w:cstheme="minorHAnsi"/>
                <w:b/>
                <w:color w:val="FFFFFF" w:themeColor="background1"/>
                <w:sz w:val="18"/>
                <w:szCs w:val="18"/>
              </w:rPr>
            </w:pPr>
            <w:r w:rsidRPr="0032702C">
              <w:rPr>
                <w:rFonts w:eastAsia="Times New Roman" w:cstheme="minorHAnsi"/>
                <w:b/>
                <w:color w:val="FFFFFF" w:themeColor="background1"/>
                <w:sz w:val="18"/>
                <w:szCs w:val="18"/>
              </w:rPr>
              <w:t>2.5%</w:t>
            </w:r>
          </w:p>
        </w:tc>
        <w:tc>
          <w:tcPr>
            <w:tcW w:w="558" w:type="pct"/>
            <w:tcBorders>
              <w:top w:val="single" w:sz="4" w:space="0" w:color="auto"/>
              <w:left w:val="nil"/>
              <w:bottom w:val="single" w:sz="4" w:space="0" w:color="auto"/>
              <w:right w:val="nil"/>
            </w:tcBorders>
            <w:shd w:val="clear" w:color="auto" w:fill="063061" w:themeFill="accent1" w:themeFillShade="BF"/>
            <w:noWrap/>
            <w:vAlign w:val="center"/>
            <w:hideMark/>
          </w:tcPr>
          <w:p w14:paraId="230840CA" w14:textId="77777777" w:rsidR="00AE564D" w:rsidRPr="0032702C" w:rsidRDefault="00AE564D" w:rsidP="00E26D3C">
            <w:pPr>
              <w:spacing w:after="0" w:line="240" w:lineRule="auto"/>
              <w:rPr>
                <w:rFonts w:eastAsia="Times New Roman" w:cstheme="minorHAnsi"/>
                <w:b/>
                <w:color w:val="FFFFFF" w:themeColor="background1"/>
                <w:sz w:val="18"/>
                <w:szCs w:val="18"/>
              </w:rPr>
            </w:pPr>
            <w:r w:rsidRPr="0032702C">
              <w:rPr>
                <w:rFonts w:eastAsia="Times New Roman" w:cstheme="minorHAnsi"/>
                <w:b/>
                <w:color w:val="FFFFFF" w:themeColor="background1"/>
                <w:sz w:val="18"/>
                <w:szCs w:val="18"/>
              </w:rPr>
              <w:t>median</w:t>
            </w:r>
          </w:p>
        </w:tc>
        <w:tc>
          <w:tcPr>
            <w:tcW w:w="471" w:type="pct"/>
            <w:tcBorders>
              <w:top w:val="single" w:sz="4" w:space="0" w:color="auto"/>
              <w:left w:val="nil"/>
              <w:bottom w:val="single" w:sz="4" w:space="0" w:color="auto"/>
              <w:right w:val="single" w:sz="4" w:space="0" w:color="auto"/>
            </w:tcBorders>
            <w:shd w:val="clear" w:color="auto" w:fill="063061" w:themeFill="accent1" w:themeFillShade="BF"/>
            <w:noWrap/>
            <w:vAlign w:val="center"/>
            <w:hideMark/>
          </w:tcPr>
          <w:p w14:paraId="0EAA448E" w14:textId="77777777" w:rsidR="00AE564D" w:rsidRPr="0032702C" w:rsidRDefault="00AE564D" w:rsidP="00E26D3C">
            <w:pPr>
              <w:spacing w:after="0" w:line="240" w:lineRule="auto"/>
              <w:jc w:val="right"/>
              <w:rPr>
                <w:rFonts w:eastAsia="Times New Roman" w:cstheme="minorHAnsi"/>
                <w:b/>
                <w:color w:val="FFFFFF" w:themeColor="background1"/>
                <w:sz w:val="18"/>
                <w:szCs w:val="18"/>
              </w:rPr>
            </w:pPr>
            <w:r w:rsidRPr="0032702C">
              <w:rPr>
                <w:rFonts w:eastAsia="Times New Roman" w:cstheme="minorHAnsi"/>
                <w:b/>
                <w:color w:val="FFFFFF" w:themeColor="background1"/>
                <w:sz w:val="18"/>
                <w:szCs w:val="18"/>
              </w:rPr>
              <w:t>97.5%</w:t>
            </w:r>
          </w:p>
        </w:tc>
      </w:tr>
      <w:tr w:rsidR="00AE564D" w:rsidRPr="0032702C" w14:paraId="325F9674" w14:textId="77777777" w:rsidTr="0032702C">
        <w:trPr>
          <w:trHeight w:val="288"/>
          <w:jc w:val="center"/>
        </w:trPr>
        <w:tc>
          <w:tcPr>
            <w:tcW w:w="384" w:type="pct"/>
            <w:vMerge w:val="restart"/>
            <w:tcBorders>
              <w:top w:val="single" w:sz="4" w:space="0" w:color="auto"/>
              <w:left w:val="single" w:sz="4" w:space="0" w:color="auto"/>
              <w:bottom w:val="single" w:sz="4" w:space="0" w:color="auto"/>
              <w:right w:val="nil"/>
            </w:tcBorders>
            <w:shd w:val="clear" w:color="auto" w:fill="063061" w:themeFill="accent1" w:themeFillShade="BF"/>
            <w:noWrap/>
            <w:vAlign w:val="center"/>
            <w:hideMark/>
          </w:tcPr>
          <w:p w14:paraId="73F49CD9" w14:textId="77777777" w:rsidR="00AE564D" w:rsidRPr="0032702C" w:rsidRDefault="00AE564D" w:rsidP="00E26D3C">
            <w:pPr>
              <w:spacing w:after="0" w:line="240" w:lineRule="auto"/>
              <w:rPr>
                <w:rFonts w:eastAsia="Times New Roman" w:cstheme="minorHAnsi"/>
                <w:bCs/>
                <w:color w:val="FFFFFF" w:themeColor="background1"/>
                <w:sz w:val="18"/>
                <w:szCs w:val="18"/>
              </w:rPr>
            </w:pPr>
            <w:r w:rsidRPr="0032702C">
              <w:rPr>
                <w:rFonts w:eastAsia="Times New Roman" w:cstheme="minorHAnsi"/>
                <w:bCs/>
                <w:color w:val="FFFFFF" w:themeColor="background1"/>
                <w:sz w:val="18"/>
                <w:szCs w:val="18"/>
              </w:rPr>
              <w:t>GPP</w:t>
            </w:r>
          </w:p>
        </w:tc>
        <w:tc>
          <w:tcPr>
            <w:tcW w:w="756" w:type="pct"/>
            <w:vMerge w:val="restart"/>
            <w:tcBorders>
              <w:top w:val="single" w:sz="4" w:space="0" w:color="auto"/>
              <w:left w:val="nil"/>
              <w:bottom w:val="single" w:sz="4" w:space="0" w:color="auto"/>
              <w:right w:val="nil"/>
            </w:tcBorders>
            <w:noWrap/>
            <w:vAlign w:val="center"/>
            <w:hideMark/>
          </w:tcPr>
          <w:p w14:paraId="0A3213F7" w14:textId="77777777" w:rsidR="00AE564D" w:rsidRPr="0032702C" w:rsidRDefault="00AE564D" w:rsidP="00E26D3C">
            <w:pPr>
              <w:spacing w:after="0" w:line="240" w:lineRule="auto"/>
              <w:jc w:val="center"/>
              <w:rPr>
                <w:rFonts w:eastAsia="Times New Roman" w:cstheme="minorHAnsi"/>
                <w:bCs/>
                <w:color w:val="000000"/>
                <w:sz w:val="18"/>
                <w:szCs w:val="18"/>
              </w:rPr>
            </w:pPr>
            <w:r w:rsidRPr="0032702C">
              <w:rPr>
                <w:rFonts w:eastAsia="Times New Roman" w:cstheme="minorHAnsi"/>
                <w:bCs/>
                <w:color w:val="000000"/>
                <w:sz w:val="18"/>
                <w:szCs w:val="18"/>
              </w:rPr>
              <w:t>Flow</w:t>
            </w:r>
          </w:p>
        </w:tc>
        <w:tc>
          <w:tcPr>
            <w:tcW w:w="896" w:type="pct"/>
            <w:tcBorders>
              <w:top w:val="single" w:sz="4" w:space="0" w:color="auto"/>
              <w:left w:val="nil"/>
              <w:bottom w:val="single" w:sz="4" w:space="0" w:color="auto"/>
              <w:right w:val="nil"/>
            </w:tcBorders>
            <w:noWrap/>
            <w:vAlign w:val="center"/>
            <w:hideMark/>
          </w:tcPr>
          <w:p w14:paraId="3E34AA32"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Arcadia Downs</w:t>
            </w:r>
          </w:p>
        </w:tc>
        <w:tc>
          <w:tcPr>
            <w:tcW w:w="451" w:type="pct"/>
            <w:tcBorders>
              <w:top w:val="single" w:sz="4" w:space="0" w:color="auto"/>
              <w:left w:val="nil"/>
              <w:bottom w:val="single" w:sz="4" w:space="0" w:color="auto"/>
              <w:right w:val="nil"/>
            </w:tcBorders>
            <w:noWrap/>
            <w:vAlign w:val="center"/>
            <w:hideMark/>
          </w:tcPr>
          <w:p w14:paraId="0572143D"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-0.129</w:t>
            </w:r>
          </w:p>
        </w:tc>
        <w:tc>
          <w:tcPr>
            <w:tcW w:w="557" w:type="pct"/>
            <w:tcBorders>
              <w:top w:val="single" w:sz="4" w:space="0" w:color="auto"/>
              <w:left w:val="nil"/>
              <w:bottom w:val="single" w:sz="4" w:space="0" w:color="auto"/>
              <w:right w:val="nil"/>
            </w:tcBorders>
            <w:noWrap/>
            <w:vAlign w:val="center"/>
            <w:hideMark/>
          </w:tcPr>
          <w:p w14:paraId="047F13FF"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-0.071</w:t>
            </w:r>
          </w:p>
        </w:tc>
        <w:tc>
          <w:tcPr>
            <w:tcW w:w="476" w:type="pct"/>
            <w:tcBorders>
              <w:top w:val="single" w:sz="4" w:space="0" w:color="auto"/>
              <w:left w:val="nil"/>
              <w:bottom w:val="single" w:sz="4" w:space="0" w:color="auto"/>
              <w:right w:val="nil"/>
            </w:tcBorders>
            <w:noWrap/>
            <w:vAlign w:val="center"/>
            <w:hideMark/>
          </w:tcPr>
          <w:p w14:paraId="1A2EDB15"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-0.009</w:t>
            </w:r>
          </w:p>
        </w:tc>
        <w:tc>
          <w:tcPr>
            <w:tcW w:w="451" w:type="pct"/>
            <w:tcBorders>
              <w:top w:val="single" w:sz="4" w:space="0" w:color="auto"/>
              <w:left w:val="nil"/>
              <w:bottom w:val="single" w:sz="4" w:space="0" w:color="auto"/>
              <w:right w:val="nil"/>
            </w:tcBorders>
            <w:noWrap/>
            <w:vAlign w:val="center"/>
            <w:hideMark/>
          </w:tcPr>
          <w:p w14:paraId="12976602"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0000"/>
                <w:sz w:val="18"/>
                <w:szCs w:val="18"/>
              </w:rPr>
              <w:t>-0.039</w:t>
            </w:r>
          </w:p>
        </w:tc>
        <w:tc>
          <w:tcPr>
            <w:tcW w:w="558" w:type="pct"/>
            <w:tcBorders>
              <w:top w:val="single" w:sz="4" w:space="0" w:color="auto"/>
              <w:left w:val="nil"/>
              <w:bottom w:val="single" w:sz="4" w:space="0" w:color="auto"/>
              <w:right w:val="nil"/>
            </w:tcBorders>
            <w:noWrap/>
            <w:vAlign w:val="center"/>
            <w:hideMark/>
          </w:tcPr>
          <w:p w14:paraId="5531291A"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0000"/>
                <w:sz w:val="18"/>
                <w:szCs w:val="18"/>
              </w:rPr>
              <w:t>-0.003</w:t>
            </w:r>
          </w:p>
        </w:tc>
        <w:tc>
          <w:tcPr>
            <w:tcW w:w="471" w:type="pct"/>
            <w:tcBorders>
              <w:top w:val="single" w:sz="4" w:space="0" w:color="auto"/>
              <w:left w:val="nil"/>
              <w:bottom w:val="single" w:sz="4" w:space="0" w:color="auto"/>
              <w:right w:val="single" w:sz="4" w:space="0" w:color="auto"/>
            </w:tcBorders>
            <w:noWrap/>
            <w:vAlign w:val="center"/>
            <w:hideMark/>
          </w:tcPr>
          <w:p w14:paraId="5A02A422"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0000"/>
                <w:sz w:val="18"/>
                <w:szCs w:val="18"/>
              </w:rPr>
              <w:t>0.028</w:t>
            </w:r>
          </w:p>
        </w:tc>
      </w:tr>
      <w:tr w:rsidR="00AE564D" w:rsidRPr="0032702C" w14:paraId="1BE50A6D"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181B9B69"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7625D89E"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24F41E8F"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Murchison</w:t>
            </w:r>
          </w:p>
        </w:tc>
        <w:tc>
          <w:tcPr>
            <w:tcW w:w="451" w:type="pct"/>
            <w:tcBorders>
              <w:top w:val="single" w:sz="4" w:space="0" w:color="auto"/>
              <w:left w:val="nil"/>
              <w:bottom w:val="single" w:sz="4" w:space="0" w:color="auto"/>
              <w:right w:val="nil"/>
            </w:tcBorders>
            <w:noWrap/>
            <w:vAlign w:val="center"/>
            <w:hideMark/>
          </w:tcPr>
          <w:p w14:paraId="444522D9"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-0.129</w:t>
            </w:r>
          </w:p>
        </w:tc>
        <w:tc>
          <w:tcPr>
            <w:tcW w:w="557" w:type="pct"/>
            <w:tcBorders>
              <w:top w:val="single" w:sz="4" w:space="0" w:color="auto"/>
              <w:left w:val="nil"/>
              <w:bottom w:val="single" w:sz="4" w:space="0" w:color="auto"/>
              <w:right w:val="nil"/>
            </w:tcBorders>
            <w:noWrap/>
            <w:vAlign w:val="center"/>
            <w:hideMark/>
          </w:tcPr>
          <w:p w14:paraId="2B56C2F0"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-0.070</w:t>
            </w:r>
          </w:p>
        </w:tc>
        <w:tc>
          <w:tcPr>
            <w:tcW w:w="476" w:type="pct"/>
            <w:tcBorders>
              <w:top w:val="single" w:sz="4" w:space="0" w:color="auto"/>
              <w:left w:val="nil"/>
              <w:bottom w:val="single" w:sz="4" w:space="0" w:color="auto"/>
              <w:right w:val="nil"/>
            </w:tcBorders>
            <w:noWrap/>
            <w:vAlign w:val="center"/>
            <w:hideMark/>
          </w:tcPr>
          <w:p w14:paraId="3A813E70"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-0.013</w:t>
            </w:r>
          </w:p>
        </w:tc>
        <w:tc>
          <w:tcPr>
            <w:tcW w:w="451" w:type="pct"/>
            <w:tcBorders>
              <w:top w:val="single" w:sz="4" w:space="0" w:color="auto"/>
              <w:left w:val="nil"/>
              <w:bottom w:val="single" w:sz="4" w:space="0" w:color="auto"/>
              <w:right w:val="nil"/>
            </w:tcBorders>
            <w:noWrap/>
            <w:vAlign w:val="center"/>
            <w:hideMark/>
          </w:tcPr>
          <w:p w14:paraId="0B4532F2"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-0.042</w:t>
            </w:r>
          </w:p>
        </w:tc>
        <w:tc>
          <w:tcPr>
            <w:tcW w:w="558" w:type="pct"/>
            <w:tcBorders>
              <w:top w:val="single" w:sz="4" w:space="0" w:color="auto"/>
              <w:left w:val="nil"/>
              <w:bottom w:val="single" w:sz="4" w:space="0" w:color="auto"/>
              <w:right w:val="nil"/>
            </w:tcBorders>
            <w:noWrap/>
            <w:vAlign w:val="center"/>
            <w:hideMark/>
          </w:tcPr>
          <w:p w14:paraId="78C022BC"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-0.007</w:t>
            </w:r>
          </w:p>
        </w:tc>
        <w:tc>
          <w:tcPr>
            <w:tcW w:w="471" w:type="pct"/>
            <w:tcBorders>
              <w:top w:val="single" w:sz="4" w:space="0" w:color="auto"/>
              <w:left w:val="nil"/>
              <w:bottom w:val="single" w:sz="4" w:space="0" w:color="auto"/>
              <w:right w:val="single" w:sz="4" w:space="0" w:color="auto"/>
            </w:tcBorders>
            <w:noWrap/>
            <w:vAlign w:val="center"/>
            <w:hideMark/>
          </w:tcPr>
          <w:p w14:paraId="7E0188AB"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0.022</w:t>
            </w:r>
          </w:p>
        </w:tc>
      </w:tr>
      <w:tr w:rsidR="00AE564D" w:rsidRPr="0032702C" w14:paraId="683C0686"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3CCDA647"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3870D1DA"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5B2F6CCA"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Loch Garry</w:t>
            </w:r>
          </w:p>
        </w:tc>
        <w:tc>
          <w:tcPr>
            <w:tcW w:w="451" w:type="pct"/>
            <w:tcBorders>
              <w:top w:val="single" w:sz="4" w:space="0" w:color="auto"/>
              <w:left w:val="nil"/>
              <w:bottom w:val="single" w:sz="4" w:space="0" w:color="auto"/>
              <w:right w:val="nil"/>
            </w:tcBorders>
            <w:noWrap/>
            <w:vAlign w:val="center"/>
            <w:hideMark/>
          </w:tcPr>
          <w:p w14:paraId="456D5DFF"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-0.143</w:t>
            </w:r>
          </w:p>
        </w:tc>
        <w:tc>
          <w:tcPr>
            <w:tcW w:w="557" w:type="pct"/>
            <w:tcBorders>
              <w:top w:val="single" w:sz="4" w:space="0" w:color="auto"/>
              <w:left w:val="nil"/>
              <w:bottom w:val="single" w:sz="4" w:space="0" w:color="auto"/>
              <w:right w:val="nil"/>
            </w:tcBorders>
            <w:noWrap/>
            <w:vAlign w:val="center"/>
            <w:hideMark/>
          </w:tcPr>
          <w:p w14:paraId="0FBBC699"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-0.078</w:t>
            </w:r>
          </w:p>
        </w:tc>
        <w:tc>
          <w:tcPr>
            <w:tcW w:w="476" w:type="pct"/>
            <w:tcBorders>
              <w:top w:val="single" w:sz="4" w:space="0" w:color="auto"/>
              <w:left w:val="nil"/>
              <w:bottom w:val="single" w:sz="4" w:space="0" w:color="auto"/>
              <w:right w:val="nil"/>
            </w:tcBorders>
            <w:noWrap/>
            <w:vAlign w:val="center"/>
            <w:hideMark/>
          </w:tcPr>
          <w:p w14:paraId="31BE8F95"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-0.021</w:t>
            </w:r>
          </w:p>
        </w:tc>
        <w:tc>
          <w:tcPr>
            <w:tcW w:w="451" w:type="pct"/>
            <w:tcBorders>
              <w:top w:val="single" w:sz="4" w:space="0" w:color="auto"/>
              <w:left w:val="nil"/>
              <w:bottom w:val="single" w:sz="4" w:space="0" w:color="auto"/>
              <w:right w:val="nil"/>
            </w:tcBorders>
            <w:noWrap/>
            <w:vAlign w:val="center"/>
            <w:hideMark/>
          </w:tcPr>
          <w:p w14:paraId="76972336"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-0.036</w:t>
            </w:r>
          </w:p>
        </w:tc>
        <w:tc>
          <w:tcPr>
            <w:tcW w:w="558" w:type="pct"/>
            <w:tcBorders>
              <w:top w:val="single" w:sz="4" w:space="0" w:color="auto"/>
              <w:left w:val="nil"/>
              <w:bottom w:val="single" w:sz="4" w:space="0" w:color="auto"/>
              <w:right w:val="nil"/>
            </w:tcBorders>
            <w:noWrap/>
            <w:vAlign w:val="center"/>
            <w:hideMark/>
          </w:tcPr>
          <w:p w14:paraId="1F2ED7E3"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-0.002</w:t>
            </w:r>
          </w:p>
        </w:tc>
        <w:tc>
          <w:tcPr>
            <w:tcW w:w="471" w:type="pct"/>
            <w:tcBorders>
              <w:top w:val="single" w:sz="4" w:space="0" w:color="auto"/>
              <w:left w:val="nil"/>
              <w:bottom w:val="single" w:sz="4" w:space="0" w:color="auto"/>
              <w:right w:val="single" w:sz="4" w:space="0" w:color="auto"/>
            </w:tcBorders>
            <w:noWrap/>
            <w:vAlign w:val="center"/>
            <w:hideMark/>
          </w:tcPr>
          <w:p w14:paraId="631CF050"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0.030</w:t>
            </w:r>
          </w:p>
        </w:tc>
      </w:tr>
      <w:tr w:rsidR="00AE564D" w:rsidRPr="0032702C" w14:paraId="06AA3887"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61D33E3C"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000771CC"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38A54519"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McCoy's Bridge</w:t>
            </w:r>
          </w:p>
        </w:tc>
        <w:tc>
          <w:tcPr>
            <w:tcW w:w="451" w:type="pct"/>
            <w:tcBorders>
              <w:top w:val="single" w:sz="4" w:space="0" w:color="auto"/>
              <w:left w:val="nil"/>
              <w:bottom w:val="single" w:sz="4" w:space="0" w:color="auto"/>
              <w:right w:val="nil"/>
            </w:tcBorders>
            <w:noWrap/>
            <w:vAlign w:val="center"/>
            <w:hideMark/>
          </w:tcPr>
          <w:p w14:paraId="3758AD72"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-0.143</w:t>
            </w:r>
          </w:p>
        </w:tc>
        <w:tc>
          <w:tcPr>
            <w:tcW w:w="557" w:type="pct"/>
            <w:tcBorders>
              <w:top w:val="single" w:sz="4" w:space="0" w:color="auto"/>
              <w:left w:val="nil"/>
              <w:bottom w:val="single" w:sz="4" w:space="0" w:color="auto"/>
              <w:right w:val="nil"/>
            </w:tcBorders>
            <w:noWrap/>
            <w:vAlign w:val="center"/>
            <w:hideMark/>
          </w:tcPr>
          <w:p w14:paraId="6002BBF7"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-0.078</w:t>
            </w:r>
          </w:p>
        </w:tc>
        <w:tc>
          <w:tcPr>
            <w:tcW w:w="476" w:type="pct"/>
            <w:tcBorders>
              <w:top w:val="single" w:sz="4" w:space="0" w:color="auto"/>
              <w:left w:val="nil"/>
              <w:bottom w:val="single" w:sz="4" w:space="0" w:color="auto"/>
              <w:right w:val="nil"/>
            </w:tcBorders>
            <w:noWrap/>
            <w:vAlign w:val="center"/>
            <w:hideMark/>
          </w:tcPr>
          <w:p w14:paraId="63F1CC7E"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-0.014</w:t>
            </w:r>
          </w:p>
        </w:tc>
        <w:tc>
          <w:tcPr>
            <w:tcW w:w="451" w:type="pct"/>
            <w:tcBorders>
              <w:top w:val="single" w:sz="4" w:space="0" w:color="auto"/>
              <w:left w:val="nil"/>
              <w:bottom w:val="single" w:sz="4" w:space="0" w:color="auto"/>
              <w:right w:val="nil"/>
            </w:tcBorders>
            <w:noWrap/>
            <w:vAlign w:val="center"/>
            <w:hideMark/>
          </w:tcPr>
          <w:p w14:paraId="4E3EEED7"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-0.046</w:t>
            </w:r>
          </w:p>
        </w:tc>
        <w:tc>
          <w:tcPr>
            <w:tcW w:w="558" w:type="pct"/>
            <w:tcBorders>
              <w:top w:val="single" w:sz="4" w:space="0" w:color="auto"/>
              <w:left w:val="nil"/>
              <w:bottom w:val="single" w:sz="4" w:space="0" w:color="auto"/>
              <w:right w:val="nil"/>
            </w:tcBorders>
            <w:noWrap/>
            <w:vAlign w:val="center"/>
            <w:hideMark/>
          </w:tcPr>
          <w:p w14:paraId="5F5D8B9D"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-0.005</w:t>
            </w:r>
          </w:p>
        </w:tc>
        <w:tc>
          <w:tcPr>
            <w:tcW w:w="471" w:type="pct"/>
            <w:tcBorders>
              <w:top w:val="single" w:sz="4" w:space="0" w:color="auto"/>
              <w:left w:val="nil"/>
              <w:bottom w:val="single" w:sz="4" w:space="0" w:color="auto"/>
              <w:right w:val="single" w:sz="4" w:space="0" w:color="auto"/>
            </w:tcBorders>
            <w:noWrap/>
            <w:vAlign w:val="center"/>
            <w:hideMark/>
          </w:tcPr>
          <w:p w14:paraId="22C1FA40"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0.031</w:t>
            </w:r>
          </w:p>
        </w:tc>
      </w:tr>
      <w:tr w:rsidR="00AE564D" w:rsidRPr="0032702C" w14:paraId="5A0BCCA7"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4B474D43"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096BE25A"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0AD75676"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Shepparton</w:t>
            </w:r>
          </w:p>
        </w:tc>
        <w:tc>
          <w:tcPr>
            <w:tcW w:w="451" w:type="pct"/>
            <w:tcBorders>
              <w:top w:val="single" w:sz="4" w:space="0" w:color="auto"/>
              <w:left w:val="nil"/>
              <w:bottom w:val="single" w:sz="4" w:space="0" w:color="auto"/>
              <w:right w:val="nil"/>
            </w:tcBorders>
            <w:noWrap/>
            <w:vAlign w:val="center"/>
            <w:hideMark/>
          </w:tcPr>
          <w:p w14:paraId="021CB673"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-0.137</w:t>
            </w:r>
          </w:p>
        </w:tc>
        <w:tc>
          <w:tcPr>
            <w:tcW w:w="557" w:type="pct"/>
            <w:tcBorders>
              <w:top w:val="single" w:sz="4" w:space="0" w:color="auto"/>
              <w:left w:val="nil"/>
              <w:bottom w:val="single" w:sz="4" w:space="0" w:color="auto"/>
              <w:right w:val="nil"/>
            </w:tcBorders>
            <w:noWrap/>
            <w:vAlign w:val="center"/>
            <w:hideMark/>
          </w:tcPr>
          <w:p w14:paraId="22901B7E"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-0.074</w:t>
            </w:r>
          </w:p>
        </w:tc>
        <w:tc>
          <w:tcPr>
            <w:tcW w:w="476" w:type="pct"/>
            <w:tcBorders>
              <w:top w:val="single" w:sz="4" w:space="0" w:color="auto"/>
              <w:left w:val="nil"/>
              <w:bottom w:val="single" w:sz="4" w:space="0" w:color="auto"/>
              <w:right w:val="nil"/>
            </w:tcBorders>
            <w:noWrap/>
            <w:vAlign w:val="center"/>
            <w:hideMark/>
          </w:tcPr>
          <w:p w14:paraId="0D7B6FB8" w14:textId="77777777" w:rsidR="00AE564D" w:rsidRPr="0032702C" w:rsidRDefault="00AE564D" w:rsidP="00E26D3C">
            <w:pPr>
              <w:spacing w:after="0" w:line="240" w:lineRule="auto"/>
              <w:jc w:val="center"/>
              <w:rPr>
                <w:rFonts w:cstheme="minorHAnsi"/>
                <w:color w:val="FF0000"/>
                <w:sz w:val="18"/>
                <w:szCs w:val="18"/>
              </w:rPr>
            </w:pPr>
            <w:r w:rsidRPr="0032702C">
              <w:rPr>
                <w:rFonts w:cstheme="minorHAnsi"/>
                <w:color w:val="FF0000"/>
                <w:sz w:val="18"/>
                <w:szCs w:val="18"/>
              </w:rPr>
              <w:t>-0.007</w:t>
            </w:r>
          </w:p>
        </w:tc>
        <w:tc>
          <w:tcPr>
            <w:tcW w:w="451" w:type="pct"/>
            <w:tcBorders>
              <w:top w:val="single" w:sz="4" w:space="0" w:color="auto"/>
              <w:left w:val="nil"/>
              <w:bottom w:val="single" w:sz="4" w:space="0" w:color="auto"/>
              <w:right w:val="nil"/>
            </w:tcBorders>
            <w:noWrap/>
            <w:vAlign w:val="center"/>
            <w:hideMark/>
          </w:tcPr>
          <w:p w14:paraId="5379A023"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-0.047</w:t>
            </w:r>
          </w:p>
        </w:tc>
        <w:tc>
          <w:tcPr>
            <w:tcW w:w="558" w:type="pct"/>
            <w:tcBorders>
              <w:top w:val="single" w:sz="4" w:space="0" w:color="auto"/>
              <w:left w:val="nil"/>
              <w:bottom w:val="single" w:sz="4" w:space="0" w:color="auto"/>
              <w:right w:val="nil"/>
            </w:tcBorders>
            <w:noWrap/>
            <w:vAlign w:val="center"/>
            <w:hideMark/>
          </w:tcPr>
          <w:p w14:paraId="7C0144B0"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-0.004</w:t>
            </w:r>
          </w:p>
        </w:tc>
        <w:tc>
          <w:tcPr>
            <w:tcW w:w="471" w:type="pct"/>
            <w:tcBorders>
              <w:top w:val="single" w:sz="4" w:space="0" w:color="auto"/>
              <w:left w:val="nil"/>
              <w:bottom w:val="single" w:sz="4" w:space="0" w:color="auto"/>
              <w:right w:val="single" w:sz="4" w:space="0" w:color="auto"/>
            </w:tcBorders>
            <w:noWrap/>
            <w:vAlign w:val="center"/>
            <w:hideMark/>
          </w:tcPr>
          <w:p w14:paraId="57B51C4E"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0.029</w:t>
            </w:r>
          </w:p>
        </w:tc>
      </w:tr>
      <w:tr w:rsidR="00AE564D" w:rsidRPr="0032702C" w14:paraId="328E5857"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11B7073A"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val="restart"/>
            <w:tcBorders>
              <w:top w:val="single" w:sz="4" w:space="0" w:color="auto"/>
              <w:left w:val="nil"/>
              <w:bottom w:val="single" w:sz="4" w:space="0" w:color="auto"/>
              <w:right w:val="nil"/>
            </w:tcBorders>
            <w:noWrap/>
            <w:vAlign w:val="center"/>
            <w:hideMark/>
          </w:tcPr>
          <w:p w14:paraId="359CE668" w14:textId="77777777" w:rsidR="00AE564D" w:rsidRPr="0032702C" w:rsidRDefault="00AE564D" w:rsidP="00E26D3C">
            <w:pPr>
              <w:spacing w:after="0" w:line="240" w:lineRule="auto"/>
              <w:jc w:val="center"/>
              <w:rPr>
                <w:rFonts w:eastAsia="Times New Roman" w:cstheme="minorHAnsi"/>
                <w:bCs/>
                <w:color w:val="000000"/>
                <w:sz w:val="18"/>
                <w:szCs w:val="18"/>
              </w:rPr>
            </w:pPr>
            <w:r w:rsidRPr="0032702C">
              <w:rPr>
                <w:rFonts w:eastAsia="Times New Roman" w:cstheme="minorHAnsi"/>
                <w:bCs/>
                <w:color w:val="000000"/>
                <w:sz w:val="18"/>
                <w:szCs w:val="18"/>
              </w:rPr>
              <w:t>Light</w:t>
            </w:r>
          </w:p>
        </w:tc>
        <w:tc>
          <w:tcPr>
            <w:tcW w:w="896" w:type="pct"/>
            <w:tcBorders>
              <w:top w:val="single" w:sz="4" w:space="0" w:color="auto"/>
              <w:left w:val="nil"/>
              <w:bottom w:val="single" w:sz="4" w:space="0" w:color="auto"/>
              <w:right w:val="nil"/>
            </w:tcBorders>
            <w:noWrap/>
            <w:vAlign w:val="center"/>
            <w:hideMark/>
          </w:tcPr>
          <w:p w14:paraId="5F3FEF4F"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Arcadia Downs</w:t>
            </w:r>
          </w:p>
        </w:tc>
        <w:tc>
          <w:tcPr>
            <w:tcW w:w="451" w:type="pct"/>
            <w:tcBorders>
              <w:top w:val="single" w:sz="4" w:space="0" w:color="auto"/>
              <w:left w:val="nil"/>
              <w:bottom w:val="single" w:sz="4" w:space="0" w:color="auto"/>
              <w:right w:val="nil"/>
            </w:tcBorders>
            <w:noWrap/>
            <w:vAlign w:val="center"/>
            <w:hideMark/>
          </w:tcPr>
          <w:p w14:paraId="32CC8723"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0.069</w:t>
            </w:r>
          </w:p>
        </w:tc>
        <w:tc>
          <w:tcPr>
            <w:tcW w:w="557" w:type="pct"/>
            <w:tcBorders>
              <w:top w:val="single" w:sz="4" w:space="0" w:color="auto"/>
              <w:left w:val="nil"/>
              <w:bottom w:val="single" w:sz="4" w:space="0" w:color="auto"/>
              <w:right w:val="nil"/>
            </w:tcBorders>
            <w:noWrap/>
            <w:vAlign w:val="center"/>
            <w:hideMark/>
          </w:tcPr>
          <w:p w14:paraId="6B691098"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0.133</w:t>
            </w:r>
          </w:p>
        </w:tc>
        <w:tc>
          <w:tcPr>
            <w:tcW w:w="476" w:type="pct"/>
            <w:tcBorders>
              <w:top w:val="single" w:sz="4" w:space="0" w:color="auto"/>
              <w:left w:val="nil"/>
              <w:bottom w:val="single" w:sz="4" w:space="0" w:color="auto"/>
              <w:right w:val="nil"/>
            </w:tcBorders>
            <w:noWrap/>
            <w:vAlign w:val="center"/>
            <w:hideMark/>
          </w:tcPr>
          <w:p w14:paraId="38AE90FA"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0.194</w:t>
            </w:r>
          </w:p>
        </w:tc>
        <w:tc>
          <w:tcPr>
            <w:tcW w:w="451" w:type="pct"/>
            <w:tcBorders>
              <w:top w:val="single" w:sz="4" w:space="0" w:color="auto"/>
              <w:left w:val="nil"/>
              <w:bottom w:val="single" w:sz="4" w:space="0" w:color="auto"/>
              <w:right w:val="nil"/>
            </w:tcBorders>
            <w:noWrap/>
            <w:vAlign w:val="center"/>
            <w:hideMark/>
          </w:tcPr>
          <w:p w14:paraId="1BFCA71B"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0.070</w:t>
            </w:r>
          </w:p>
        </w:tc>
        <w:tc>
          <w:tcPr>
            <w:tcW w:w="558" w:type="pct"/>
            <w:tcBorders>
              <w:top w:val="single" w:sz="4" w:space="0" w:color="auto"/>
              <w:left w:val="nil"/>
              <w:bottom w:val="single" w:sz="4" w:space="0" w:color="auto"/>
              <w:right w:val="nil"/>
            </w:tcBorders>
            <w:noWrap/>
            <w:vAlign w:val="center"/>
            <w:hideMark/>
          </w:tcPr>
          <w:p w14:paraId="46A379F2"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0.135</w:t>
            </w:r>
          </w:p>
        </w:tc>
        <w:tc>
          <w:tcPr>
            <w:tcW w:w="471" w:type="pct"/>
            <w:tcBorders>
              <w:top w:val="single" w:sz="4" w:space="0" w:color="auto"/>
              <w:left w:val="nil"/>
              <w:bottom w:val="single" w:sz="4" w:space="0" w:color="auto"/>
              <w:right w:val="single" w:sz="4" w:space="0" w:color="auto"/>
            </w:tcBorders>
            <w:noWrap/>
            <w:vAlign w:val="center"/>
            <w:hideMark/>
          </w:tcPr>
          <w:p w14:paraId="088A092A"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0.195</w:t>
            </w:r>
          </w:p>
        </w:tc>
      </w:tr>
      <w:tr w:rsidR="00AE564D" w:rsidRPr="0032702C" w14:paraId="5B113AA3"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19DFD168"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3A71476B"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26CD9609"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Murchison</w:t>
            </w:r>
          </w:p>
        </w:tc>
        <w:tc>
          <w:tcPr>
            <w:tcW w:w="451" w:type="pct"/>
            <w:tcBorders>
              <w:top w:val="single" w:sz="4" w:space="0" w:color="auto"/>
              <w:left w:val="nil"/>
              <w:bottom w:val="single" w:sz="4" w:space="0" w:color="auto"/>
              <w:right w:val="nil"/>
            </w:tcBorders>
            <w:noWrap/>
            <w:vAlign w:val="center"/>
            <w:hideMark/>
          </w:tcPr>
          <w:p w14:paraId="380199A8"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0.119</w:t>
            </w:r>
          </w:p>
        </w:tc>
        <w:tc>
          <w:tcPr>
            <w:tcW w:w="557" w:type="pct"/>
            <w:tcBorders>
              <w:top w:val="single" w:sz="4" w:space="0" w:color="auto"/>
              <w:left w:val="nil"/>
              <w:bottom w:val="single" w:sz="4" w:space="0" w:color="auto"/>
              <w:right w:val="nil"/>
            </w:tcBorders>
            <w:noWrap/>
            <w:vAlign w:val="center"/>
            <w:hideMark/>
          </w:tcPr>
          <w:p w14:paraId="30709953"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0.188</w:t>
            </w:r>
          </w:p>
        </w:tc>
        <w:tc>
          <w:tcPr>
            <w:tcW w:w="476" w:type="pct"/>
            <w:tcBorders>
              <w:top w:val="single" w:sz="4" w:space="0" w:color="auto"/>
              <w:left w:val="nil"/>
              <w:bottom w:val="single" w:sz="4" w:space="0" w:color="auto"/>
              <w:right w:val="nil"/>
            </w:tcBorders>
            <w:noWrap/>
            <w:vAlign w:val="center"/>
            <w:hideMark/>
          </w:tcPr>
          <w:p w14:paraId="6AB6D014"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0.261</w:t>
            </w:r>
          </w:p>
        </w:tc>
        <w:tc>
          <w:tcPr>
            <w:tcW w:w="451" w:type="pct"/>
            <w:tcBorders>
              <w:top w:val="single" w:sz="4" w:space="0" w:color="auto"/>
              <w:left w:val="nil"/>
              <w:bottom w:val="single" w:sz="4" w:space="0" w:color="auto"/>
              <w:right w:val="nil"/>
            </w:tcBorders>
            <w:noWrap/>
            <w:vAlign w:val="center"/>
            <w:hideMark/>
          </w:tcPr>
          <w:p w14:paraId="025981AF"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0.122</w:t>
            </w:r>
          </w:p>
        </w:tc>
        <w:tc>
          <w:tcPr>
            <w:tcW w:w="558" w:type="pct"/>
            <w:tcBorders>
              <w:top w:val="single" w:sz="4" w:space="0" w:color="auto"/>
              <w:left w:val="nil"/>
              <w:bottom w:val="single" w:sz="4" w:space="0" w:color="auto"/>
              <w:right w:val="nil"/>
            </w:tcBorders>
            <w:noWrap/>
            <w:vAlign w:val="center"/>
            <w:hideMark/>
          </w:tcPr>
          <w:p w14:paraId="3ED0D810"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0.191</w:t>
            </w:r>
          </w:p>
        </w:tc>
        <w:tc>
          <w:tcPr>
            <w:tcW w:w="471" w:type="pct"/>
            <w:tcBorders>
              <w:top w:val="single" w:sz="4" w:space="0" w:color="auto"/>
              <w:left w:val="nil"/>
              <w:bottom w:val="single" w:sz="4" w:space="0" w:color="auto"/>
              <w:right w:val="single" w:sz="4" w:space="0" w:color="auto"/>
            </w:tcBorders>
            <w:noWrap/>
            <w:vAlign w:val="center"/>
            <w:hideMark/>
          </w:tcPr>
          <w:p w14:paraId="6CFDAE36"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0.271</w:t>
            </w:r>
          </w:p>
        </w:tc>
      </w:tr>
      <w:tr w:rsidR="00AE564D" w:rsidRPr="0032702C" w14:paraId="337F84E9"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3F036425"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0025AC9F"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405C06AF"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Loch Garry</w:t>
            </w:r>
          </w:p>
        </w:tc>
        <w:tc>
          <w:tcPr>
            <w:tcW w:w="451" w:type="pct"/>
            <w:tcBorders>
              <w:top w:val="single" w:sz="4" w:space="0" w:color="auto"/>
              <w:left w:val="nil"/>
              <w:bottom w:val="single" w:sz="4" w:space="0" w:color="auto"/>
              <w:right w:val="nil"/>
            </w:tcBorders>
            <w:noWrap/>
            <w:vAlign w:val="center"/>
            <w:hideMark/>
          </w:tcPr>
          <w:p w14:paraId="257946E3"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0.053</w:t>
            </w:r>
          </w:p>
        </w:tc>
        <w:tc>
          <w:tcPr>
            <w:tcW w:w="557" w:type="pct"/>
            <w:tcBorders>
              <w:top w:val="single" w:sz="4" w:space="0" w:color="auto"/>
              <w:left w:val="nil"/>
              <w:bottom w:val="single" w:sz="4" w:space="0" w:color="auto"/>
              <w:right w:val="nil"/>
            </w:tcBorders>
            <w:noWrap/>
            <w:vAlign w:val="center"/>
            <w:hideMark/>
          </w:tcPr>
          <w:p w14:paraId="38A13620"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0.124</w:t>
            </w:r>
          </w:p>
        </w:tc>
        <w:tc>
          <w:tcPr>
            <w:tcW w:w="476" w:type="pct"/>
            <w:tcBorders>
              <w:top w:val="single" w:sz="4" w:space="0" w:color="auto"/>
              <w:left w:val="nil"/>
              <w:bottom w:val="single" w:sz="4" w:space="0" w:color="auto"/>
              <w:right w:val="nil"/>
            </w:tcBorders>
            <w:noWrap/>
            <w:vAlign w:val="center"/>
            <w:hideMark/>
          </w:tcPr>
          <w:p w14:paraId="1BA6444A"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0.202</w:t>
            </w:r>
          </w:p>
        </w:tc>
        <w:tc>
          <w:tcPr>
            <w:tcW w:w="451" w:type="pct"/>
            <w:tcBorders>
              <w:top w:val="single" w:sz="4" w:space="0" w:color="auto"/>
              <w:left w:val="nil"/>
              <w:bottom w:val="single" w:sz="4" w:space="0" w:color="auto"/>
              <w:right w:val="nil"/>
            </w:tcBorders>
            <w:noWrap/>
            <w:vAlign w:val="center"/>
            <w:hideMark/>
          </w:tcPr>
          <w:p w14:paraId="54969C7B"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0.052</w:t>
            </w:r>
          </w:p>
        </w:tc>
        <w:tc>
          <w:tcPr>
            <w:tcW w:w="558" w:type="pct"/>
            <w:tcBorders>
              <w:top w:val="single" w:sz="4" w:space="0" w:color="auto"/>
              <w:left w:val="nil"/>
              <w:bottom w:val="single" w:sz="4" w:space="0" w:color="auto"/>
              <w:right w:val="nil"/>
            </w:tcBorders>
            <w:noWrap/>
            <w:vAlign w:val="center"/>
            <w:hideMark/>
          </w:tcPr>
          <w:p w14:paraId="30FDED1B"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0.122</w:t>
            </w:r>
          </w:p>
        </w:tc>
        <w:tc>
          <w:tcPr>
            <w:tcW w:w="471" w:type="pct"/>
            <w:tcBorders>
              <w:top w:val="single" w:sz="4" w:space="0" w:color="auto"/>
              <w:left w:val="nil"/>
              <w:bottom w:val="single" w:sz="4" w:space="0" w:color="auto"/>
              <w:right w:val="single" w:sz="4" w:space="0" w:color="auto"/>
            </w:tcBorders>
            <w:noWrap/>
            <w:vAlign w:val="center"/>
            <w:hideMark/>
          </w:tcPr>
          <w:p w14:paraId="187DF728"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0.185</w:t>
            </w:r>
          </w:p>
        </w:tc>
      </w:tr>
      <w:tr w:rsidR="00AE564D" w:rsidRPr="0032702C" w14:paraId="07F0F5D7"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3E1AAE25"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20979091"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7191DD52"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McCoy's Bridge</w:t>
            </w:r>
          </w:p>
        </w:tc>
        <w:tc>
          <w:tcPr>
            <w:tcW w:w="451" w:type="pct"/>
            <w:tcBorders>
              <w:top w:val="single" w:sz="4" w:space="0" w:color="auto"/>
              <w:left w:val="nil"/>
              <w:bottom w:val="single" w:sz="4" w:space="0" w:color="auto"/>
              <w:right w:val="nil"/>
            </w:tcBorders>
            <w:noWrap/>
            <w:vAlign w:val="center"/>
            <w:hideMark/>
          </w:tcPr>
          <w:p w14:paraId="03E47A0B"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0.057</w:t>
            </w:r>
          </w:p>
        </w:tc>
        <w:tc>
          <w:tcPr>
            <w:tcW w:w="557" w:type="pct"/>
            <w:tcBorders>
              <w:top w:val="single" w:sz="4" w:space="0" w:color="auto"/>
              <w:left w:val="nil"/>
              <w:bottom w:val="single" w:sz="4" w:space="0" w:color="auto"/>
              <w:right w:val="nil"/>
            </w:tcBorders>
            <w:noWrap/>
            <w:vAlign w:val="center"/>
            <w:hideMark/>
          </w:tcPr>
          <w:p w14:paraId="6F2AB728"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0.109</w:t>
            </w:r>
          </w:p>
        </w:tc>
        <w:tc>
          <w:tcPr>
            <w:tcW w:w="476" w:type="pct"/>
            <w:tcBorders>
              <w:top w:val="single" w:sz="4" w:space="0" w:color="auto"/>
              <w:left w:val="nil"/>
              <w:bottom w:val="single" w:sz="4" w:space="0" w:color="auto"/>
              <w:right w:val="nil"/>
            </w:tcBorders>
            <w:noWrap/>
            <w:vAlign w:val="center"/>
            <w:hideMark/>
          </w:tcPr>
          <w:p w14:paraId="54C17E74"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0.164</w:t>
            </w:r>
          </w:p>
        </w:tc>
        <w:tc>
          <w:tcPr>
            <w:tcW w:w="451" w:type="pct"/>
            <w:tcBorders>
              <w:top w:val="single" w:sz="4" w:space="0" w:color="auto"/>
              <w:left w:val="nil"/>
              <w:bottom w:val="single" w:sz="4" w:space="0" w:color="auto"/>
              <w:right w:val="nil"/>
            </w:tcBorders>
            <w:noWrap/>
            <w:vAlign w:val="center"/>
            <w:hideMark/>
          </w:tcPr>
          <w:p w14:paraId="1E1D0AF9"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0.053</w:t>
            </w:r>
          </w:p>
        </w:tc>
        <w:tc>
          <w:tcPr>
            <w:tcW w:w="558" w:type="pct"/>
            <w:tcBorders>
              <w:top w:val="single" w:sz="4" w:space="0" w:color="auto"/>
              <w:left w:val="nil"/>
              <w:bottom w:val="single" w:sz="4" w:space="0" w:color="auto"/>
              <w:right w:val="nil"/>
            </w:tcBorders>
            <w:noWrap/>
            <w:vAlign w:val="center"/>
            <w:hideMark/>
          </w:tcPr>
          <w:p w14:paraId="5B3ABC56"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0.106</w:t>
            </w:r>
          </w:p>
        </w:tc>
        <w:tc>
          <w:tcPr>
            <w:tcW w:w="471" w:type="pct"/>
            <w:tcBorders>
              <w:top w:val="single" w:sz="4" w:space="0" w:color="auto"/>
              <w:left w:val="nil"/>
              <w:bottom w:val="single" w:sz="4" w:space="0" w:color="auto"/>
              <w:right w:val="single" w:sz="4" w:space="0" w:color="auto"/>
            </w:tcBorders>
            <w:noWrap/>
            <w:vAlign w:val="center"/>
            <w:hideMark/>
          </w:tcPr>
          <w:p w14:paraId="77580CD3"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0.163</w:t>
            </w:r>
          </w:p>
        </w:tc>
      </w:tr>
      <w:tr w:rsidR="00AE564D" w:rsidRPr="0032702C" w14:paraId="192FC441"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4213DDE5"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0F347B27"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6B653C4A"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Shepparton</w:t>
            </w:r>
          </w:p>
        </w:tc>
        <w:tc>
          <w:tcPr>
            <w:tcW w:w="451" w:type="pct"/>
            <w:tcBorders>
              <w:top w:val="single" w:sz="4" w:space="0" w:color="auto"/>
              <w:left w:val="nil"/>
              <w:bottom w:val="single" w:sz="4" w:space="0" w:color="auto"/>
              <w:right w:val="nil"/>
            </w:tcBorders>
            <w:noWrap/>
            <w:vAlign w:val="center"/>
            <w:hideMark/>
          </w:tcPr>
          <w:p w14:paraId="25C6DAC5"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0.078</w:t>
            </w:r>
          </w:p>
        </w:tc>
        <w:tc>
          <w:tcPr>
            <w:tcW w:w="557" w:type="pct"/>
            <w:tcBorders>
              <w:top w:val="single" w:sz="4" w:space="0" w:color="auto"/>
              <w:left w:val="nil"/>
              <w:bottom w:val="single" w:sz="4" w:space="0" w:color="auto"/>
              <w:right w:val="nil"/>
            </w:tcBorders>
            <w:noWrap/>
            <w:vAlign w:val="center"/>
            <w:hideMark/>
          </w:tcPr>
          <w:p w14:paraId="58C38305"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0.159</w:t>
            </w:r>
          </w:p>
        </w:tc>
        <w:tc>
          <w:tcPr>
            <w:tcW w:w="476" w:type="pct"/>
            <w:tcBorders>
              <w:top w:val="single" w:sz="4" w:space="0" w:color="auto"/>
              <w:left w:val="nil"/>
              <w:bottom w:val="single" w:sz="4" w:space="0" w:color="auto"/>
              <w:right w:val="nil"/>
            </w:tcBorders>
            <w:noWrap/>
            <w:vAlign w:val="center"/>
            <w:hideMark/>
          </w:tcPr>
          <w:p w14:paraId="5F862D48"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0.256</w:t>
            </w:r>
          </w:p>
        </w:tc>
        <w:tc>
          <w:tcPr>
            <w:tcW w:w="451" w:type="pct"/>
            <w:tcBorders>
              <w:top w:val="single" w:sz="4" w:space="0" w:color="auto"/>
              <w:left w:val="nil"/>
              <w:bottom w:val="single" w:sz="4" w:space="0" w:color="auto"/>
              <w:right w:val="nil"/>
            </w:tcBorders>
            <w:noWrap/>
            <w:vAlign w:val="center"/>
            <w:hideMark/>
          </w:tcPr>
          <w:p w14:paraId="39841486"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0.084</w:t>
            </w:r>
          </w:p>
        </w:tc>
        <w:tc>
          <w:tcPr>
            <w:tcW w:w="558" w:type="pct"/>
            <w:tcBorders>
              <w:top w:val="single" w:sz="4" w:space="0" w:color="auto"/>
              <w:left w:val="nil"/>
              <w:bottom w:val="single" w:sz="4" w:space="0" w:color="auto"/>
              <w:right w:val="nil"/>
            </w:tcBorders>
            <w:noWrap/>
            <w:vAlign w:val="center"/>
            <w:hideMark/>
          </w:tcPr>
          <w:p w14:paraId="1B142BB4"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0.162</w:t>
            </w:r>
          </w:p>
        </w:tc>
        <w:tc>
          <w:tcPr>
            <w:tcW w:w="471" w:type="pct"/>
            <w:tcBorders>
              <w:top w:val="single" w:sz="4" w:space="0" w:color="auto"/>
              <w:left w:val="nil"/>
              <w:bottom w:val="single" w:sz="4" w:space="0" w:color="auto"/>
              <w:right w:val="single" w:sz="4" w:space="0" w:color="auto"/>
            </w:tcBorders>
            <w:noWrap/>
            <w:vAlign w:val="center"/>
            <w:hideMark/>
          </w:tcPr>
          <w:p w14:paraId="6FDD55C1"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0.298</w:t>
            </w:r>
          </w:p>
        </w:tc>
      </w:tr>
      <w:tr w:rsidR="00AE564D" w:rsidRPr="0032702C" w14:paraId="20ACEB45"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58889DE5"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val="restart"/>
            <w:tcBorders>
              <w:top w:val="single" w:sz="4" w:space="0" w:color="auto"/>
              <w:left w:val="nil"/>
              <w:bottom w:val="single" w:sz="4" w:space="0" w:color="auto"/>
              <w:right w:val="nil"/>
            </w:tcBorders>
            <w:noWrap/>
            <w:vAlign w:val="center"/>
            <w:hideMark/>
          </w:tcPr>
          <w:p w14:paraId="0C1E4172" w14:textId="77777777" w:rsidR="00AE564D" w:rsidRPr="0032702C" w:rsidRDefault="00AE564D" w:rsidP="00E26D3C">
            <w:pPr>
              <w:spacing w:after="0" w:line="240" w:lineRule="auto"/>
              <w:jc w:val="center"/>
              <w:rPr>
                <w:rFonts w:eastAsia="Times New Roman" w:cstheme="minorHAnsi"/>
                <w:bCs/>
                <w:color w:val="000000"/>
                <w:sz w:val="18"/>
                <w:szCs w:val="18"/>
              </w:rPr>
            </w:pPr>
            <w:r w:rsidRPr="0032702C">
              <w:rPr>
                <w:rFonts w:eastAsia="Times New Roman" w:cstheme="minorHAnsi"/>
                <w:bCs/>
                <w:color w:val="000000"/>
                <w:sz w:val="18"/>
                <w:szCs w:val="18"/>
              </w:rPr>
              <w:t>Temperature</w:t>
            </w:r>
          </w:p>
        </w:tc>
        <w:tc>
          <w:tcPr>
            <w:tcW w:w="896" w:type="pct"/>
            <w:tcBorders>
              <w:top w:val="single" w:sz="4" w:space="0" w:color="auto"/>
              <w:left w:val="nil"/>
              <w:bottom w:val="single" w:sz="4" w:space="0" w:color="auto"/>
              <w:right w:val="nil"/>
            </w:tcBorders>
            <w:noWrap/>
            <w:vAlign w:val="center"/>
            <w:hideMark/>
          </w:tcPr>
          <w:p w14:paraId="7FC1716D"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Arcadia Downs</w:t>
            </w:r>
          </w:p>
        </w:tc>
        <w:tc>
          <w:tcPr>
            <w:tcW w:w="451" w:type="pct"/>
            <w:tcBorders>
              <w:top w:val="single" w:sz="4" w:space="0" w:color="auto"/>
              <w:left w:val="nil"/>
              <w:bottom w:val="single" w:sz="4" w:space="0" w:color="auto"/>
              <w:right w:val="nil"/>
            </w:tcBorders>
            <w:noWrap/>
            <w:vAlign w:val="center"/>
            <w:hideMark/>
          </w:tcPr>
          <w:p w14:paraId="3B295996"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0.050</w:t>
            </w:r>
          </w:p>
        </w:tc>
        <w:tc>
          <w:tcPr>
            <w:tcW w:w="557" w:type="pct"/>
            <w:tcBorders>
              <w:top w:val="single" w:sz="4" w:space="0" w:color="auto"/>
              <w:left w:val="nil"/>
              <w:bottom w:val="single" w:sz="4" w:space="0" w:color="auto"/>
              <w:right w:val="nil"/>
            </w:tcBorders>
            <w:noWrap/>
            <w:vAlign w:val="center"/>
            <w:hideMark/>
          </w:tcPr>
          <w:p w14:paraId="3C5E940D"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0.156</w:t>
            </w:r>
          </w:p>
        </w:tc>
        <w:tc>
          <w:tcPr>
            <w:tcW w:w="476" w:type="pct"/>
            <w:tcBorders>
              <w:top w:val="single" w:sz="4" w:space="0" w:color="auto"/>
              <w:left w:val="nil"/>
              <w:bottom w:val="single" w:sz="4" w:space="0" w:color="auto"/>
              <w:right w:val="nil"/>
            </w:tcBorders>
            <w:noWrap/>
            <w:vAlign w:val="center"/>
            <w:hideMark/>
          </w:tcPr>
          <w:p w14:paraId="13629848"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0.281</w:t>
            </w:r>
          </w:p>
        </w:tc>
        <w:tc>
          <w:tcPr>
            <w:tcW w:w="451" w:type="pct"/>
            <w:tcBorders>
              <w:top w:val="single" w:sz="4" w:space="0" w:color="auto"/>
              <w:left w:val="nil"/>
              <w:bottom w:val="single" w:sz="4" w:space="0" w:color="auto"/>
              <w:right w:val="nil"/>
            </w:tcBorders>
            <w:noWrap/>
            <w:vAlign w:val="center"/>
            <w:hideMark/>
          </w:tcPr>
          <w:p w14:paraId="4878C8AA"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0.051</w:t>
            </w:r>
          </w:p>
        </w:tc>
        <w:tc>
          <w:tcPr>
            <w:tcW w:w="558" w:type="pct"/>
            <w:tcBorders>
              <w:top w:val="single" w:sz="4" w:space="0" w:color="auto"/>
              <w:left w:val="nil"/>
              <w:bottom w:val="single" w:sz="4" w:space="0" w:color="auto"/>
              <w:right w:val="nil"/>
            </w:tcBorders>
            <w:noWrap/>
            <w:vAlign w:val="center"/>
            <w:hideMark/>
          </w:tcPr>
          <w:p w14:paraId="5CB6F8AC"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0.155</w:t>
            </w:r>
          </w:p>
        </w:tc>
        <w:tc>
          <w:tcPr>
            <w:tcW w:w="471" w:type="pct"/>
            <w:tcBorders>
              <w:top w:val="single" w:sz="4" w:space="0" w:color="auto"/>
              <w:left w:val="nil"/>
              <w:bottom w:val="single" w:sz="4" w:space="0" w:color="auto"/>
              <w:right w:val="single" w:sz="4" w:space="0" w:color="auto"/>
            </w:tcBorders>
            <w:noWrap/>
            <w:vAlign w:val="center"/>
            <w:hideMark/>
          </w:tcPr>
          <w:p w14:paraId="726ED34B"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0.278</w:t>
            </w:r>
          </w:p>
        </w:tc>
      </w:tr>
      <w:tr w:rsidR="00AE564D" w:rsidRPr="0032702C" w14:paraId="5EECCD67"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24CA75D5"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061735F6"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437DE014"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Murchison</w:t>
            </w:r>
          </w:p>
        </w:tc>
        <w:tc>
          <w:tcPr>
            <w:tcW w:w="451" w:type="pct"/>
            <w:tcBorders>
              <w:top w:val="single" w:sz="4" w:space="0" w:color="auto"/>
              <w:left w:val="nil"/>
              <w:bottom w:val="single" w:sz="4" w:space="0" w:color="auto"/>
              <w:right w:val="nil"/>
            </w:tcBorders>
            <w:noWrap/>
            <w:vAlign w:val="center"/>
            <w:hideMark/>
          </w:tcPr>
          <w:p w14:paraId="4F0A4491"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0.053</w:t>
            </w:r>
          </w:p>
        </w:tc>
        <w:tc>
          <w:tcPr>
            <w:tcW w:w="557" w:type="pct"/>
            <w:tcBorders>
              <w:top w:val="single" w:sz="4" w:space="0" w:color="auto"/>
              <w:left w:val="nil"/>
              <w:bottom w:val="single" w:sz="4" w:space="0" w:color="auto"/>
              <w:right w:val="nil"/>
            </w:tcBorders>
            <w:noWrap/>
            <w:vAlign w:val="center"/>
            <w:hideMark/>
          </w:tcPr>
          <w:p w14:paraId="57F55EB1"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0.163</w:t>
            </w:r>
          </w:p>
        </w:tc>
        <w:tc>
          <w:tcPr>
            <w:tcW w:w="476" w:type="pct"/>
            <w:tcBorders>
              <w:top w:val="single" w:sz="4" w:space="0" w:color="auto"/>
              <w:left w:val="nil"/>
              <w:bottom w:val="single" w:sz="4" w:space="0" w:color="auto"/>
              <w:right w:val="nil"/>
            </w:tcBorders>
            <w:noWrap/>
            <w:vAlign w:val="center"/>
            <w:hideMark/>
          </w:tcPr>
          <w:p w14:paraId="7B3E9B57"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0.305</w:t>
            </w:r>
          </w:p>
        </w:tc>
        <w:tc>
          <w:tcPr>
            <w:tcW w:w="451" w:type="pct"/>
            <w:tcBorders>
              <w:top w:val="single" w:sz="4" w:space="0" w:color="auto"/>
              <w:left w:val="nil"/>
              <w:bottom w:val="single" w:sz="4" w:space="0" w:color="auto"/>
              <w:right w:val="nil"/>
            </w:tcBorders>
            <w:noWrap/>
            <w:vAlign w:val="center"/>
            <w:hideMark/>
          </w:tcPr>
          <w:p w14:paraId="2BDA6027"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0.049</w:t>
            </w:r>
          </w:p>
        </w:tc>
        <w:tc>
          <w:tcPr>
            <w:tcW w:w="558" w:type="pct"/>
            <w:tcBorders>
              <w:top w:val="single" w:sz="4" w:space="0" w:color="auto"/>
              <w:left w:val="nil"/>
              <w:bottom w:val="single" w:sz="4" w:space="0" w:color="auto"/>
              <w:right w:val="nil"/>
            </w:tcBorders>
            <w:noWrap/>
            <w:vAlign w:val="center"/>
            <w:hideMark/>
          </w:tcPr>
          <w:p w14:paraId="73A78245"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0.158</w:t>
            </w:r>
          </w:p>
        </w:tc>
        <w:tc>
          <w:tcPr>
            <w:tcW w:w="471" w:type="pct"/>
            <w:tcBorders>
              <w:top w:val="single" w:sz="4" w:space="0" w:color="auto"/>
              <w:left w:val="nil"/>
              <w:bottom w:val="single" w:sz="4" w:space="0" w:color="auto"/>
              <w:right w:val="single" w:sz="4" w:space="0" w:color="auto"/>
            </w:tcBorders>
            <w:noWrap/>
            <w:vAlign w:val="center"/>
            <w:hideMark/>
          </w:tcPr>
          <w:p w14:paraId="7C3D838E"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0.300</w:t>
            </w:r>
          </w:p>
        </w:tc>
      </w:tr>
      <w:tr w:rsidR="00AE564D" w:rsidRPr="0032702C" w14:paraId="699F2CC3"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3D90DB22"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793384B6"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48772065"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Loch Garry</w:t>
            </w:r>
          </w:p>
        </w:tc>
        <w:tc>
          <w:tcPr>
            <w:tcW w:w="451" w:type="pct"/>
            <w:tcBorders>
              <w:top w:val="single" w:sz="4" w:space="0" w:color="auto"/>
              <w:left w:val="nil"/>
              <w:bottom w:val="single" w:sz="4" w:space="0" w:color="auto"/>
              <w:right w:val="nil"/>
            </w:tcBorders>
            <w:noWrap/>
            <w:vAlign w:val="center"/>
            <w:hideMark/>
          </w:tcPr>
          <w:p w14:paraId="1D229A49"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0.023</w:t>
            </w:r>
          </w:p>
        </w:tc>
        <w:tc>
          <w:tcPr>
            <w:tcW w:w="557" w:type="pct"/>
            <w:tcBorders>
              <w:top w:val="single" w:sz="4" w:space="0" w:color="auto"/>
              <w:left w:val="nil"/>
              <w:bottom w:val="single" w:sz="4" w:space="0" w:color="auto"/>
              <w:right w:val="nil"/>
            </w:tcBorders>
            <w:noWrap/>
            <w:vAlign w:val="center"/>
            <w:hideMark/>
          </w:tcPr>
          <w:p w14:paraId="5385A2F5"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0.141</w:t>
            </w:r>
          </w:p>
        </w:tc>
        <w:tc>
          <w:tcPr>
            <w:tcW w:w="476" w:type="pct"/>
            <w:tcBorders>
              <w:top w:val="single" w:sz="4" w:space="0" w:color="auto"/>
              <w:left w:val="nil"/>
              <w:bottom w:val="single" w:sz="4" w:space="0" w:color="auto"/>
              <w:right w:val="nil"/>
            </w:tcBorders>
            <w:noWrap/>
            <w:vAlign w:val="center"/>
            <w:hideMark/>
          </w:tcPr>
          <w:p w14:paraId="48C972EF"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0.253</w:t>
            </w:r>
          </w:p>
        </w:tc>
        <w:tc>
          <w:tcPr>
            <w:tcW w:w="451" w:type="pct"/>
            <w:tcBorders>
              <w:top w:val="single" w:sz="4" w:space="0" w:color="auto"/>
              <w:left w:val="nil"/>
              <w:bottom w:val="single" w:sz="4" w:space="0" w:color="auto"/>
              <w:right w:val="nil"/>
            </w:tcBorders>
            <w:noWrap/>
            <w:vAlign w:val="center"/>
            <w:hideMark/>
          </w:tcPr>
          <w:p w14:paraId="734B242C"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0.028</w:t>
            </w:r>
          </w:p>
        </w:tc>
        <w:tc>
          <w:tcPr>
            <w:tcW w:w="558" w:type="pct"/>
            <w:tcBorders>
              <w:top w:val="single" w:sz="4" w:space="0" w:color="auto"/>
              <w:left w:val="nil"/>
              <w:bottom w:val="single" w:sz="4" w:space="0" w:color="auto"/>
              <w:right w:val="nil"/>
            </w:tcBorders>
            <w:noWrap/>
            <w:vAlign w:val="center"/>
            <w:hideMark/>
          </w:tcPr>
          <w:p w14:paraId="24B794A9"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0.137</w:t>
            </w:r>
          </w:p>
        </w:tc>
        <w:tc>
          <w:tcPr>
            <w:tcW w:w="471" w:type="pct"/>
            <w:tcBorders>
              <w:top w:val="single" w:sz="4" w:space="0" w:color="auto"/>
              <w:left w:val="nil"/>
              <w:bottom w:val="single" w:sz="4" w:space="0" w:color="auto"/>
              <w:right w:val="single" w:sz="4" w:space="0" w:color="auto"/>
            </w:tcBorders>
            <w:noWrap/>
            <w:vAlign w:val="center"/>
            <w:hideMark/>
          </w:tcPr>
          <w:p w14:paraId="31CEE7CB"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0.264</w:t>
            </w:r>
          </w:p>
        </w:tc>
      </w:tr>
      <w:tr w:rsidR="00AE564D" w:rsidRPr="0032702C" w14:paraId="358CD516"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1A8522C3"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0093583A"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2FAC6431"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McCoy's Bridge</w:t>
            </w:r>
          </w:p>
        </w:tc>
        <w:tc>
          <w:tcPr>
            <w:tcW w:w="451" w:type="pct"/>
            <w:tcBorders>
              <w:top w:val="single" w:sz="4" w:space="0" w:color="auto"/>
              <w:left w:val="nil"/>
              <w:bottom w:val="single" w:sz="4" w:space="0" w:color="auto"/>
              <w:right w:val="nil"/>
            </w:tcBorders>
            <w:noWrap/>
            <w:vAlign w:val="center"/>
            <w:hideMark/>
          </w:tcPr>
          <w:p w14:paraId="038C6B58"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0.009</w:t>
            </w:r>
          </w:p>
        </w:tc>
        <w:tc>
          <w:tcPr>
            <w:tcW w:w="557" w:type="pct"/>
            <w:tcBorders>
              <w:top w:val="single" w:sz="4" w:space="0" w:color="auto"/>
              <w:left w:val="nil"/>
              <w:bottom w:val="single" w:sz="4" w:space="0" w:color="auto"/>
              <w:right w:val="nil"/>
            </w:tcBorders>
            <w:noWrap/>
            <w:vAlign w:val="center"/>
            <w:hideMark/>
          </w:tcPr>
          <w:p w14:paraId="3CFECF25"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0.114</w:t>
            </w:r>
          </w:p>
        </w:tc>
        <w:tc>
          <w:tcPr>
            <w:tcW w:w="476" w:type="pct"/>
            <w:tcBorders>
              <w:top w:val="single" w:sz="4" w:space="0" w:color="auto"/>
              <w:left w:val="nil"/>
              <w:bottom w:val="single" w:sz="4" w:space="0" w:color="auto"/>
              <w:right w:val="nil"/>
            </w:tcBorders>
            <w:noWrap/>
            <w:vAlign w:val="center"/>
            <w:hideMark/>
          </w:tcPr>
          <w:p w14:paraId="165D9B2B"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70C0"/>
                <w:sz w:val="18"/>
                <w:szCs w:val="18"/>
              </w:rPr>
              <w:t>0.206</w:t>
            </w:r>
          </w:p>
        </w:tc>
        <w:tc>
          <w:tcPr>
            <w:tcW w:w="451" w:type="pct"/>
            <w:tcBorders>
              <w:top w:val="single" w:sz="4" w:space="0" w:color="auto"/>
              <w:left w:val="nil"/>
              <w:bottom w:val="single" w:sz="4" w:space="0" w:color="auto"/>
              <w:right w:val="nil"/>
            </w:tcBorders>
            <w:noWrap/>
            <w:vAlign w:val="center"/>
            <w:hideMark/>
          </w:tcPr>
          <w:p w14:paraId="20167ED0"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0.003</w:t>
            </w:r>
          </w:p>
        </w:tc>
        <w:tc>
          <w:tcPr>
            <w:tcW w:w="558" w:type="pct"/>
            <w:tcBorders>
              <w:top w:val="single" w:sz="4" w:space="0" w:color="auto"/>
              <w:left w:val="nil"/>
              <w:bottom w:val="single" w:sz="4" w:space="0" w:color="auto"/>
              <w:right w:val="nil"/>
            </w:tcBorders>
            <w:noWrap/>
            <w:vAlign w:val="center"/>
            <w:hideMark/>
          </w:tcPr>
          <w:p w14:paraId="1A0BC243"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0.114</w:t>
            </w:r>
          </w:p>
        </w:tc>
        <w:tc>
          <w:tcPr>
            <w:tcW w:w="471" w:type="pct"/>
            <w:tcBorders>
              <w:top w:val="single" w:sz="4" w:space="0" w:color="auto"/>
              <w:left w:val="nil"/>
              <w:bottom w:val="single" w:sz="4" w:space="0" w:color="auto"/>
              <w:right w:val="single" w:sz="4" w:space="0" w:color="auto"/>
            </w:tcBorders>
            <w:noWrap/>
            <w:vAlign w:val="center"/>
            <w:hideMark/>
          </w:tcPr>
          <w:p w14:paraId="50284FDE"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0.199</w:t>
            </w:r>
          </w:p>
        </w:tc>
      </w:tr>
      <w:tr w:rsidR="00AE564D" w:rsidRPr="0032702C" w14:paraId="66BFDBBA"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76D773DF"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42852BC5"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09ED04DA"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Shepparton</w:t>
            </w:r>
          </w:p>
        </w:tc>
        <w:tc>
          <w:tcPr>
            <w:tcW w:w="451" w:type="pct"/>
            <w:tcBorders>
              <w:top w:val="single" w:sz="4" w:space="0" w:color="auto"/>
              <w:left w:val="nil"/>
              <w:bottom w:val="single" w:sz="4" w:space="0" w:color="auto"/>
              <w:right w:val="nil"/>
            </w:tcBorders>
            <w:noWrap/>
            <w:vAlign w:val="center"/>
            <w:hideMark/>
          </w:tcPr>
          <w:p w14:paraId="64DFE254"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0000"/>
                <w:sz w:val="18"/>
                <w:szCs w:val="18"/>
              </w:rPr>
              <w:t>-0.010</w:t>
            </w:r>
          </w:p>
        </w:tc>
        <w:tc>
          <w:tcPr>
            <w:tcW w:w="557" w:type="pct"/>
            <w:tcBorders>
              <w:top w:val="single" w:sz="4" w:space="0" w:color="auto"/>
              <w:left w:val="nil"/>
              <w:bottom w:val="single" w:sz="4" w:space="0" w:color="auto"/>
              <w:right w:val="nil"/>
            </w:tcBorders>
            <w:noWrap/>
            <w:vAlign w:val="center"/>
            <w:hideMark/>
          </w:tcPr>
          <w:p w14:paraId="7BFAA720"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0000"/>
                <w:sz w:val="18"/>
                <w:szCs w:val="18"/>
              </w:rPr>
              <w:t>0.140</w:t>
            </w:r>
          </w:p>
        </w:tc>
        <w:tc>
          <w:tcPr>
            <w:tcW w:w="476" w:type="pct"/>
            <w:tcBorders>
              <w:top w:val="single" w:sz="4" w:space="0" w:color="auto"/>
              <w:left w:val="nil"/>
              <w:bottom w:val="single" w:sz="4" w:space="0" w:color="auto"/>
              <w:right w:val="nil"/>
            </w:tcBorders>
            <w:noWrap/>
            <w:vAlign w:val="center"/>
            <w:hideMark/>
          </w:tcPr>
          <w:p w14:paraId="59EA6511" w14:textId="77777777" w:rsidR="00AE564D" w:rsidRPr="0032702C" w:rsidRDefault="00AE564D" w:rsidP="00E26D3C">
            <w:pPr>
              <w:spacing w:after="0" w:line="240" w:lineRule="auto"/>
              <w:jc w:val="center"/>
              <w:rPr>
                <w:rFonts w:cstheme="minorHAnsi"/>
                <w:color w:val="0070C0"/>
                <w:sz w:val="18"/>
                <w:szCs w:val="18"/>
              </w:rPr>
            </w:pPr>
            <w:r w:rsidRPr="0032702C">
              <w:rPr>
                <w:rFonts w:cstheme="minorHAnsi"/>
                <w:color w:val="000000"/>
                <w:sz w:val="18"/>
                <w:szCs w:val="18"/>
              </w:rPr>
              <w:t>0.275</w:t>
            </w:r>
          </w:p>
        </w:tc>
        <w:tc>
          <w:tcPr>
            <w:tcW w:w="451" w:type="pct"/>
            <w:tcBorders>
              <w:top w:val="single" w:sz="4" w:space="0" w:color="auto"/>
              <w:left w:val="nil"/>
              <w:bottom w:val="single" w:sz="4" w:space="0" w:color="auto"/>
              <w:right w:val="nil"/>
            </w:tcBorders>
            <w:noWrap/>
            <w:vAlign w:val="center"/>
            <w:hideMark/>
          </w:tcPr>
          <w:p w14:paraId="1034337E"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0.010</w:t>
            </w:r>
          </w:p>
        </w:tc>
        <w:tc>
          <w:tcPr>
            <w:tcW w:w="558" w:type="pct"/>
            <w:tcBorders>
              <w:top w:val="single" w:sz="4" w:space="0" w:color="auto"/>
              <w:left w:val="nil"/>
              <w:bottom w:val="single" w:sz="4" w:space="0" w:color="auto"/>
              <w:right w:val="nil"/>
            </w:tcBorders>
            <w:noWrap/>
            <w:vAlign w:val="center"/>
            <w:hideMark/>
          </w:tcPr>
          <w:p w14:paraId="3DA814FB"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0.146</w:t>
            </w:r>
          </w:p>
        </w:tc>
        <w:tc>
          <w:tcPr>
            <w:tcW w:w="471" w:type="pct"/>
            <w:tcBorders>
              <w:top w:val="single" w:sz="4" w:space="0" w:color="auto"/>
              <w:left w:val="nil"/>
              <w:bottom w:val="single" w:sz="4" w:space="0" w:color="auto"/>
              <w:right w:val="single" w:sz="4" w:space="0" w:color="auto"/>
            </w:tcBorders>
            <w:noWrap/>
            <w:vAlign w:val="center"/>
            <w:hideMark/>
          </w:tcPr>
          <w:p w14:paraId="7439C177"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0.291</w:t>
            </w:r>
          </w:p>
        </w:tc>
      </w:tr>
      <w:tr w:rsidR="00AE564D" w:rsidRPr="0032702C" w14:paraId="199EBE81"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695D652E"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tcBorders>
              <w:top w:val="single" w:sz="4" w:space="0" w:color="auto"/>
              <w:left w:val="nil"/>
              <w:bottom w:val="single" w:sz="4" w:space="0" w:color="auto"/>
              <w:right w:val="nil"/>
            </w:tcBorders>
            <w:noWrap/>
            <w:vAlign w:val="center"/>
            <w:hideMark/>
          </w:tcPr>
          <w:p w14:paraId="3EFF8428" w14:textId="77777777" w:rsidR="00AE564D" w:rsidRPr="0032702C" w:rsidRDefault="00AE564D" w:rsidP="00E26D3C">
            <w:pPr>
              <w:spacing w:after="0" w:line="240" w:lineRule="auto"/>
              <w:jc w:val="center"/>
              <w:rPr>
                <w:rFonts w:eastAsia="Times New Roman" w:cstheme="minorHAnsi"/>
                <w:bCs/>
                <w:color w:val="000000"/>
                <w:sz w:val="18"/>
                <w:szCs w:val="18"/>
              </w:rPr>
            </w:pPr>
            <w:r w:rsidRPr="0032702C">
              <w:rPr>
                <w:rFonts w:eastAsia="Times New Roman" w:cstheme="minorHAnsi"/>
                <w:bCs/>
                <w:color w:val="000000"/>
                <w:sz w:val="18"/>
                <w:szCs w:val="18"/>
              </w:rPr>
              <w:t>ac</w:t>
            </w:r>
          </w:p>
        </w:tc>
        <w:tc>
          <w:tcPr>
            <w:tcW w:w="896" w:type="pct"/>
            <w:tcBorders>
              <w:top w:val="single" w:sz="4" w:space="0" w:color="auto"/>
              <w:left w:val="nil"/>
              <w:bottom w:val="single" w:sz="4" w:space="0" w:color="auto"/>
              <w:right w:val="nil"/>
            </w:tcBorders>
            <w:noWrap/>
            <w:vAlign w:val="center"/>
            <w:hideMark/>
          </w:tcPr>
          <w:p w14:paraId="6B7DC254"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 xml:space="preserve"> -</w:t>
            </w:r>
          </w:p>
        </w:tc>
        <w:tc>
          <w:tcPr>
            <w:tcW w:w="451" w:type="pct"/>
            <w:tcBorders>
              <w:top w:val="single" w:sz="4" w:space="0" w:color="auto"/>
              <w:left w:val="nil"/>
              <w:bottom w:val="single" w:sz="4" w:space="0" w:color="auto"/>
              <w:right w:val="nil"/>
            </w:tcBorders>
            <w:noWrap/>
            <w:vAlign w:val="center"/>
            <w:hideMark/>
          </w:tcPr>
          <w:p w14:paraId="5294FB83" w14:textId="77777777" w:rsidR="00AE564D" w:rsidRPr="0032702C" w:rsidRDefault="00AE564D" w:rsidP="00E26D3C">
            <w:pPr>
              <w:spacing w:after="0" w:line="240" w:lineRule="auto"/>
              <w:jc w:val="center"/>
              <w:rPr>
                <w:rFonts w:cstheme="minorHAnsi"/>
                <w:color w:val="000000"/>
                <w:sz w:val="18"/>
                <w:szCs w:val="18"/>
              </w:rPr>
            </w:pPr>
            <w:r w:rsidRPr="0032702C">
              <w:rPr>
                <w:rFonts w:cstheme="minorHAnsi"/>
                <w:color w:val="000000"/>
                <w:sz w:val="18"/>
                <w:szCs w:val="18"/>
              </w:rPr>
              <w:t>0.789</w:t>
            </w:r>
          </w:p>
        </w:tc>
        <w:tc>
          <w:tcPr>
            <w:tcW w:w="557" w:type="pct"/>
            <w:tcBorders>
              <w:top w:val="single" w:sz="4" w:space="0" w:color="auto"/>
              <w:left w:val="nil"/>
              <w:bottom w:val="single" w:sz="4" w:space="0" w:color="auto"/>
              <w:right w:val="nil"/>
            </w:tcBorders>
            <w:noWrap/>
            <w:vAlign w:val="center"/>
            <w:hideMark/>
          </w:tcPr>
          <w:p w14:paraId="3881B91E" w14:textId="77777777" w:rsidR="00AE564D" w:rsidRPr="0032702C" w:rsidRDefault="00AE564D" w:rsidP="00E26D3C">
            <w:pPr>
              <w:spacing w:after="0" w:line="240" w:lineRule="auto"/>
              <w:jc w:val="center"/>
              <w:rPr>
                <w:rFonts w:cstheme="minorHAnsi"/>
                <w:color w:val="000000"/>
                <w:sz w:val="18"/>
                <w:szCs w:val="18"/>
              </w:rPr>
            </w:pPr>
            <w:r w:rsidRPr="0032702C">
              <w:rPr>
                <w:rFonts w:cstheme="minorHAnsi"/>
                <w:color w:val="000000"/>
                <w:sz w:val="18"/>
                <w:szCs w:val="18"/>
              </w:rPr>
              <w:t>0.809</w:t>
            </w:r>
          </w:p>
        </w:tc>
        <w:tc>
          <w:tcPr>
            <w:tcW w:w="476" w:type="pct"/>
            <w:tcBorders>
              <w:top w:val="single" w:sz="4" w:space="0" w:color="auto"/>
              <w:left w:val="nil"/>
              <w:bottom w:val="single" w:sz="4" w:space="0" w:color="auto"/>
              <w:right w:val="nil"/>
            </w:tcBorders>
            <w:noWrap/>
            <w:vAlign w:val="center"/>
            <w:hideMark/>
          </w:tcPr>
          <w:p w14:paraId="63A77648" w14:textId="77777777" w:rsidR="00AE564D" w:rsidRPr="0032702C" w:rsidRDefault="00AE564D" w:rsidP="00E26D3C">
            <w:pPr>
              <w:spacing w:after="0" w:line="240" w:lineRule="auto"/>
              <w:jc w:val="center"/>
              <w:rPr>
                <w:rFonts w:cstheme="minorHAnsi"/>
                <w:color w:val="000000"/>
                <w:sz w:val="18"/>
                <w:szCs w:val="18"/>
              </w:rPr>
            </w:pPr>
            <w:r w:rsidRPr="0032702C">
              <w:rPr>
                <w:rFonts w:cstheme="minorHAnsi"/>
                <w:color w:val="000000"/>
                <w:sz w:val="18"/>
                <w:szCs w:val="18"/>
              </w:rPr>
              <w:t>0.826</w:t>
            </w:r>
          </w:p>
        </w:tc>
        <w:tc>
          <w:tcPr>
            <w:tcW w:w="451" w:type="pct"/>
            <w:tcBorders>
              <w:top w:val="single" w:sz="4" w:space="0" w:color="auto"/>
              <w:left w:val="nil"/>
              <w:bottom w:val="single" w:sz="4" w:space="0" w:color="auto"/>
              <w:right w:val="nil"/>
            </w:tcBorders>
            <w:noWrap/>
            <w:vAlign w:val="center"/>
            <w:hideMark/>
          </w:tcPr>
          <w:p w14:paraId="2A71A5D0"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0.789</w:t>
            </w:r>
          </w:p>
        </w:tc>
        <w:tc>
          <w:tcPr>
            <w:tcW w:w="558" w:type="pct"/>
            <w:tcBorders>
              <w:top w:val="single" w:sz="4" w:space="0" w:color="auto"/>
              <w:left w:val="nil"/>
              <w:bottom w:val="single" w:sz="4" w:space="0" w:color="auto"/>
              <w:right w:val="nil"/>
            </w:tcBorders>
            <w:noWrap/>
            <w:vAlign w:val="center"/>
            <w:hideMark/>
          </w:tcPr>
          <w:p w14:paraId="64F2E77D"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0.809</w:t>
            </w:r>
          </w:p>
        </w:tc>
        <w:tc>
          <w:tcPr>
            <w:tcW w:w="471" w:type="pct"/>
            <w:tcBorders>
              <w:top w:val="single" w:sz="4" w:space="0" w:color="auto"/>
              <w:left w:val="nil"/>
              <w:bottom w:val="single" w:sz="4" w:space="0" w:color="auto"/>
              <w:right w:val="single" w:sz="4" w:space="0" w:color="auto"/>
            </w:tcBorders>
            <w:noWrap/>
            <w:vAlign w:val="center"/>
            <w:hideMark/>
          </w:tcPr>
          <w:p w14:paraId="55A798D3"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0.827</w:t>
            </w:r>
          </w:p>
        </w:tc>
      </w:tr>
      <w:tr w:rsidR="00AE564D" w:rsidRPr="0032702C" w14:paraId="7F934CA9" w14:textId="77777777" w:rsidTr="0032702C">
        <w:trPr>
          <w:trHeight w:val="288"/>
          <w:jc w:val="center"/>
        </w:trPr>
        <w:tc>
          <w:tcPr>
            <w:tcW w:w="384" w:type="pct"/>
            <w:vMerge w:val="restart"/>
            <w:tcBorders>
              <w:top w:val="single" w:sz="4" w:space="0" w:color="auto"/>
              <w:left w:val="single" w:sz="4" w:space="0" w:color="auto"/>
              <w:bottom w:val="single" w:sz="4" w:space="0" w:color="auto"/>
              <w:right w:val="nil"/>
            </w:tcBorders>
            <w:shd w:val="clear" w:color="auto" w:fill="063061" w:themeFill="accent1" w:themeFillShade="BF"/>
            <w:noWrap/>
            <w:vAlign w:val="center"/>
            <w:hideMark/>
          </w:tcPr>
          <w:p w14:paraId="79FF2B42" w14:textId="77777777" w:rsidR="00AE564D" w:rsidRPr="0032702C" w:rsidRDefault="00AE564D" w:rsidP="00E26D3C">
            <w:pPr>
              <w:spacing w:after="0" w:line="240" w:lineRule="auto"/>
              <w:rPr>
                <w:rFonts w:eastAsia="Times New Roman" w:cstheme="minorHAnsi"/>
                <w:bCs/>
                <w:color w:val="FFFFFF" w:themeColor="background1"/>
                <w:sz w:val="18"/>
                <w:szCs w:val="18"/>
              </w:rPr>
            </w:pPr>
            <w:r w:rsidRPr="0032702C">
              <w:rPr>
                <w:rFonts w:eastAsia="Times New Roman" w:cstheme="minorHAnsi"/>
                <w:bCs/>
                <w:color w:val="FFFFFF" w:themeColor="background1"/>
                <w:sz w:val="18"/>
                <w:szCs w:val="18"/>
              </w:rPr>
              <w:t>ER</w:t>
            </w:r>
          </w:p>
        </w:tc>
        <w:tc>
          <w:tcPr>
            <w:tcW w:w="756" w:type="pct"/>
            <w:vMerge w:val="restart"/>
            <w:tcBorders>
              <w:top w:val="single" w:sz="4" w:space="0" w:color="auto"/>
              <w:left w:val="nil"/>
              <w:bottom w:val="single" w:sz="4" w:space="0" w:color="auto"/>
              <w:right w:val="nil"/>
            </w:tcBorders>
            <w:noWrap/>
            <w:vAlign w:val="center"/>
            <w:hideMark/>
          </w:tcPr>
          <w:p w14:paraId="4D2B7F5B" w14:textId="77777777" w:rsidR="00AE564D" w:rsidRPr="0032702C" w:rsidRDefault="00AE564D" w:rsidP="00E26D3C">
            <w:pPr>
              <w:spacing w:after="0" w:line="240" w:lineRule="auto"/>
              <w:jc w:val="center"/>
              <w:rPr>
                <w:rFonts w:eastAsia="Times New Roman" w:cstheme="minorHAnsi"/>
                <w:bCs/>
                <w:color w:val="000000"/>
                <w:sz w:val="18"/>
                <w:szCs w:val="18"/>
              </w:rPr>
            </w:pPr>
            <w:r w:rsidRPr="0032702C">
              <w:rPr>
                <w:rFonts w:eastAsia="Times New Roman" w:cstheme="minorHAnsi"/>
                <w:bCs/>
                <w:color w:val="000000"/>
                <w:sz w:val="18"/>
                <w:szCs w:val="18"/>
              </w:rPr>
              <w:t>Flow</w:t>
            </w:r>
          </w:p>
        </w:tc>
        <w:tc>
          <w:tcPr>
            <w:tcW w:w="896" w:type="pct"/>
            <w:tcBorders>
              <w:top w:val="single" w:sz="4" w:space="0" w:color="auto"/>
              <w:left w:val="nil"/>
              <w:bottom w:val="single" w:sz="4" w:space="0" w:color="auto"/>
              <w:right w:val="nil"/>
            </w:tcBorders>
            <w:noWrap/>
            <w:vAlign w:val="center"/>
            <w:hideMark/>
          </w:tcPr>
          <w:p w14:paraId="18C1B3FB"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Arcadia Downs</w:t>
            </w:r>
          </w:p>
        </w:tc>
        <w:tc>
          <w:tcPr>
            <w:tcW w:w="451" w:type="pct"/>
            <w:tcBorders>
              <w:top w:val="single" w:sz="4" w:space="0" w:color="auto"/>
              <w:left w:val="nil"/>
              <w:bottom w:val="single" w:sz="4" w:space="0" w:color="auto"/>
              <w:right w:val="nil"/>
            </w:tcBorders>
            <w:noWrap/>
            <w:vAlign w:val="center"/>
            <w:hideMark/>
          </w:tcPr>
          <w:p w14:paraId="5A226991"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000000"/>
                <w:sz w:val="18"/>
                <w:szCs w:val="18"/>
              </w:rPr>
              <w:t>-0.168</w:t>
            </w:r>
          </w:p>
        </w:tc>
        <w:tc>
          <w:tcPr>
            <w:tcW w:w="557" w:type="pct"/>
            <w:tcBorders>
              <w:top w:val="single" w:sz="4" w:space="0" w:color="auto"/>
              <w:left w:val="nil"/>
              <w:bottom w:val="single" w:sz="4" w:space="0" w:color="auto"/>
              <w:right w:val="nil"/>
            </w:tcBorders>
            <w:noWrap/>
            <w:vAlign w:val="center"/>
            <w:hideMark/>
          </w:tcPr>
          <w:p w14:paraId="7538C128"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000000"/>
                <w:sz w:val="18"/>
                <w:szCs w:val="18"/>
              </w:rPr>
              <w:t>-0.074</w:t>
            </w:r>
          </w:p>
        </w:tc>
        <w:tc>
          <w:tcPr>
            <w:tcW w:w="476" w:type="pct"/>
            <w:tcBorders>
              <w:top w:val="single" w:sz="4" w:space="0" w:color="auto"/>
              <w:left w:val="nil"/>
              <w:bottom w:val="single" w:sz="4" w:space="0" w:color="auto"/>
              <w:right w:val="nil"/>
            </w:tcBorders>
            <w:noWrap/>
            <w:vAlign w:val="center"/>
            <w:hideMark/>
          </w:tcPr>
          <w:p w14:paraId="1D570170"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000000"/>
                <w:sz w:val="18"/>
                <w:szCs w:val="18"/>
              </w:rPr>
              <w:t>0.046</w:t>
            </w:r>
          </w:p>
        </w:tc>
        <w:tc>
          <w:tcPr>
            <w:tcW w:w="451" w:type="pct"/>
            <w:tcBorders>
              <w:top w:val="single" w:sz="4" w:space="0" w:color="auto"/>
              <w:left w:val="nil"/>
              <w:bottom w:val="single" w:sz="4" w:space="0" w:color="auto"/>
              <w:right w:val="nil"/>
            </w:tcBorders>
            <w:noWrap/>
            <w:vAlign w:val="center"/>
            <w:hideMark/>
          </w:tcPr>
          <w:p w14:paraId="2DDEDA5D"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-0.060</w:t>
            </w:r>
          </w:p>
        </w:tc>
        <w:tc>
          <w:tcPr>
            <w:tcW w:w="558" w:type="pct"/>
            <w:tcBorders>
              <w:top w:val="single" w:sz="4" w:space="0" w:color="auto"/>
              <w:left w:val="nil"/>
              <w:bottom w:val="single" w:sz="4" w:space="0" w:color="auto"/>
              <w:right w:val="nil"/>
            </w:tcBorders>
            <w:noWrap/>
            <w:vAlign w:val="center"/>
            <w:hideMark/>
          </w:tcPr>
          <w:p w14:paraId="596BEFDC"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-0.007</w:t>
            </w:r>
          </w:p>
        </w:tc>
        <w:tc>
          <w:tcPr>
            <w:tcW w:w="471" w:type="pct"/>
            <w:tcBorders>
              <w:top w:val="single" w:sz="4" w:space="0" w:color="auto"/>
              <w:left w:val="nil"/>
              <w:bottom w:val="single" w:sz="4" w:space="0" w:color="auto"/>
              <w:right w:val="single" w:sz="4" w:space="0" w:color="auto"/>
            </w:tcBorders>
            <w:noWrap/>
            <w:vAlign w:val="center"/>
            <w:hideMark/>
          </w:tcPr>
          <w:p w14:paraId="1CDDAF1A"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0.046</w:t>
            </w:r>
          </w:p>
        </w:tc>
      </w:tr>
      <w:tr w:rsidR="00AE564D" w:rsidRPr="0032702C" w14:paraId="31217852"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50F0F5E4"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47160777"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33293FB1"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Murchison</w:t>
            </w:r>
          </w:p>
        </w:tc>
        <w:tc>
          <w:tcPr>
            <w:tcW w:w="451" w:type="pct"/>
            <w:tcBorders>
              <w:top w:val="single" w:sz="4" w:space="0" w:color="auto"/>
              <w:left w:val="nil"/>
              <w:bottom w:val="single" w:sz="4" w:space="0" w:color="auto"/>
              <w:right w:val="nil"/>
            </w:tcBorders>
            <w:noWrap/>
            <w:vAlign w:val="center"/>
            <w:hideMark/>
          </w:tcPr>
          <w:p w14:paraId="507D2C83"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FF0000"/>
                <w:sz w:val="18"/>
                <w:szCs w:val="18"/>
              </w:rPr>
              <w:t>-0.347</w:t>
            </w:r>
          </w:p>
        </w:tc>
        <w:tc>
          <w:tcPr>
            <w:tcW w:w="557" w:type="pct"/>
            <w:tcBorders>
              <w:top w:val="single" w:sz="4" w:space="0" w:color="auto"/>
              <w:left w:val="nil"/>
              <w:bottom w:val="single" w:sz="4" w:space="0" w:color="auto"/>
              <w:right w:val="nil"/>
            </w:tcBorders>
            <w:noWrap/>
            <w:vAlign w:val="center"/>
            <w:hideMark/>
          </w:tcPr>
          <w:p w14:paraId="6D2174CE"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FF0000"/>
                <w:sz w:val="18"/>
                <w:szCs w:val="18"/>
              </w:rPr>
              <w:t>-0.206</w:t>
            </w:r>
          </w:p>
        </w:tc>
        <w:tc>
          <w:tcPr>
            <w:tcW w:w="476" w:type="pct"/>
            <w:tcBorders>
              <w:top w:val="single" w:sz="4" w:space="0" w:color="auto"/>
              <w:left w:val="nil"/>
              <w:bottom w:val="single" w:sz="4" w:space="0" w:color="auto"/>
              <w:right w:val="nil"/>
            </w:tcBorders>
            <w:noWrap/>
            <w:vAlign w:val="center"/>
            <w:hideMark/>
          </w:tcPr>
          <w:p w14:paraId="378AED29"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FF0000"/>
                <w:sz w:val="18"/>
                <w:szCs w:val="18"/>
              </w:rPr>
              <w:t>-0.064</w:t>
            </w:r>
          </w:p>
        </w:tc>
        <w:tc>
          <w:tcPr>
            <w:tcW w:w="451" w:type="pct"/>
            <w:tcBorders>
              <w:top w:val="single" w:sz="4" w:space="0" w:color="auto"/>
              <w:left w:val="nil"/>
              <w:bottom w:val="single" w:sz="4" w:space="0" w:color="auto"/>
              <w:right w:val="nil"/>
            </w:tcBorders>
            <w:noWrap/>
            <w:vAlign w:val="center"/>
            <w:hideMark/>
          </w:tcPr>
          <w:p w14:paraId="67B90E24"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-0.147</w:t>
            </w:r>
          </w:p>
        </w:tc>
        <w:tc>
          <w:tcPr>
            <w:tcW w:w="558" w:type="pct"/>
            <w:tcBorders>
              <w:top w:val="single" w:sz="4" w:space="0" w:color="auto"/>
              <w:left w:val="nil"/>
              <w:bottom w:val="single" w:sz="4" w:space="0" w:color="auto"/>
              <w:right w:val="nil"/>
            </w:tcBorders>
            <w:noWrap/>
            <w:vAlign w:val="center"/>
            <w:hideMark/>
          </w:tcPr>
          <w:p w14:paraId="41606986"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-0.085</w:t>
            </w:r>
          </w:p>
        </w:tc>
        <w:tc>
          <w:tcPr>
            <w:tcW w:w="471" w:type="pct"/>
            <w:tcBorders>
              <w:top w:val="single" w:sz="4" w:space="0" w:color="auto"/>
              <w:left w:val="nil"/>
              <w:bottom w:val="single" w:sz="4" w:space="0" w:color="auto"/>
              <w:right w:val="single" w:sz="4" w:space="0" w:color="auto"/>
            </w:tcBorders>
            <w:noWrap/>
            <w:vAlign w:val="center"/>
            <w:hideMark/>
          </w:tcPr>
          <w:p w14:paraId="2ABD097B"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-0.028</w:t>
            </w:r>
          </w:p>
        </w:tc>
      </w:tr>
      <w:tr w:rsidR="00AE564D" w:rsidRPr="0032702C" w14:paraId="538BC094"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6C11A3F3"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7BCB8A06"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4A7B05FC"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Loch Garry</w:t>
            </w:r>
          </w:p>
        </w:tc>
        <w:tc>
          <w:tcPr>
            <w:tcW w:w="451" w:type="pct"/>
            <w:tcBorders>
              <w:top w:val="single" w:sz="4" w:space="0" w:color="auto"/>
              <w:left w:val="nil"/>
              <w:bottom w:val="single" w:sz="4" w:space="0" w:color="auto"/>
              <w:right w:val="nil"/>
            </w:tcBorders>
            <w:noWrap/>
            <w:vAlign w:val="center"/>
            <w:hideMark/>
          </w:tcPr>
          <w:p w14:paraId="6CA16D7C" w14:textId="77777777" w:rsidR="00AE564D" w:rsidRPr="0032702C" w:rsidRDefault="00AE564D" w:rsidP="00E26D3C">
            <w:pPr>
              <w:spacing w:after="0" w:line="240" w:lineRule="auto"/>
              <w:jc w:val="center"/>
              <w:rPr>
                <w:rFonts w:eastAsia="Times New Roman" w:cstheme="minorHAnsi"/>
                <w:color w:val="0070C0"/>
                <w:sz w:val="18"/>
                <w:szCs w:val="18"/>
                <w:highlight w:val="yellow"/>
              </w:rPr>
            </w:pPr>
            <w:r w:rsidRPr="0032702C">
              <w:rPr>
                <w:rFonts w:cstheme="minorHAnsi"/>
                <w:color w:val="000000"/>
                <w:sz w:val="18"/>
                <w:szCs w:val="18"/>
              </w:rPr>
              <w:t>-0.194</w:t>
            </w:r>
          </w:p>
        </w:tc>
        <w:tc>
          <w:tcPr>
            <w:tcW w:w="557" w:type="pct"/>
            <w:tcBorders>
              <w:top w:val="single" w:sz="4" w:space="0" w:color="auto"/>
              <w:left w:val="nil"/>
              <w:bottom w:val="single" w:sz="4" w:space="0" w:color="auto"/>
              <w:right w:val="nil"/>
            </w:tcBorders>
            <w:noWrap/>
            <w:vAlign w:val="center"/>
            <w:hideMark/>
          </w:tcPr>
          <w:p w14:paraId="07F21F31" w14:textId="77777777" w:rsidR="00AE564D" w:rsidRPr="0032702C" w:rsidRDefault="00AE564D" w:rsidP="00E26D3C">
            <w:pPr>
              <w:spacing w:after="0" w:line="240" w:lineRule="auto"/>
              <w:jc w:val="center"/>
              <w:rPr>
                <w:rFonts w:eastAsia="Times New Roman" w:cstheme="minorHAnsi"/>
                <w:color w:val="0070C0"/>
                <w:sz w:val="18"/>
                <w:szCs w:val="18"/>
                <w:highlight w:val="yellow"/>
              </w:rPr>
            </w:pPr>
            <w:r w:rsidRPr="0032702C">
              <w:rPr>
                <w:rFonts w:cstheme="minorHAnsi"/>
                <w:color w:val="000000"/>
                <w:sz w:val="18"/>
                <w:szCs w:val="18"/>
              </w:rPr>
              <w:t>-0.081</w:t>
            </w:r>
          </w:p>
        </w:tc>
        <w:tc>
          <w:tcPr>
            <w:tcW w:w="476" w:type="pct"/>
            <w:tcBorders>
              <w:top w:val="single" w:sz="4" w:space="0" w:color="auto"/>
              <w:left w:val="nil"/>
              <w:bottom w:val="single" w:sz="4" w:space="0" w:color="auto"/>
              <w:right w:val="nil"/>
            </w:tcBorders>
            <w:noWrap/>
            <w:vAlign w:val="center"/>
            <w:hideMark/>
          </w:tcPr>
          <w:p w14:paraId="6EA35910" w14:textId="77777777" w:rsidR="00AE564D" w:rsidRPr="0032702C" w:rsidRDefault="00AE564D" w:rsidP="00E26D3C">
            <w:pPr>
              <w:spacing w:after="0" w:line="240" w:lineRule="auto"/>
              <w:jc w:val="center"/>
              <w:rPr>
                <w:rFonts w:eastAsia="Times New Roman" w:cstheme="minorHAnsi"/>
                <w:color w:val="0070C0"/>
                <w:sz w:val="18"/>
                <w:szCs w:val="18"/>
                <w:highlight w:val="yellow"/>
              </w:rPr>
            </w:pPr>
            <w:r w:rsidRPr="0032702C">
              <w:rPr>
                <w:rFonts w:cstheme="minorHAnsi"/>
                <w:color w:val="000000"/>
                <w:sz w:val="18"/>
                <w:szCs w:val="18"/>
              </w:rPr>
              <w:t>0.061</w:t>
            </w:r>
          </w:p>
        </w:tc>
        <w:tc>
          <w:tcPr>
            <w:tcW w:w="451" w:type="pct"/>
            <w:tcBorders>
              <w:top w:val="single" w:sz="4" w:space="0" w:color="auto"/>
              <w:left w:val="nil"/>
              <w:bottom w:val="single" w:sz="4" w:space="0" w:color="auto"/>
              <w:right w:val="nil"/>
            </w:tcBorders>
            <w:noWrap/>
            <w:vAlign w:val="center"/>
            <w:hideMark/>
          </w:tcPr>
          <w:p w14:paraId="0B9CB8D8"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0000"/>
                <w:sz w:val="18"/>
                <w:szCs w:val="18"/>
              </w:rPr>
              <w:t>-0.026</w:t>
            </w:r>
          </w:p>
        </w:tc>
        <w:tc>
          <w:tcPr>
            <w:tcW w:w="558" w:type="pct"/>
            <w:tcBorders>
              <w:top w:val="single" w:sz="4" w:space="0" w:color="auto"/>
              <w:left w:val="nil"/>
              <w:bottom w:val="single" w:sz="4" w:space="0" w:color="auto"/>
              <w:right w:val="nil"/>
            </w:tcBorders>
            <w:noWrap/>
            <w:vAlign w:val="center"/>
            <w:hideMark/>
          </w:tcPr>
          <w:p w14:paraId="166BFE07"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0000"/>
                <w:sz w:val="18"/>
                <w:szCs w:val="18"/>
              </w:rPr>
              <w:t>0.029</w:t>
            </w:r>
          </w:p>
        </w:tc>
        <w:tc>
          <w:tcPr>
            <w:tcW w:w="471" w:type="pct"/>
            <w:tcBorders>
              <w:top w:val="single" w:sz="4" w:space="0" w:color="auto"/>
              <w:left w:val="nil"/>
              <w:bottom w:val="single" w:sz="4" w:space="0" w:color="auto"/>
              <w:right w:val="single" w:sz="4" w:space="0" w:color="auto"/>
            </w:tcBorders>
            <w:noWrap/>
            <w:vAlign w:val="center"/>
            <w:hideMark/>
          </w:tcPr>
          <w:p w14:paraId="47FD17ED"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0000"/>
                <w:sz w:val="18"/>
                <w:szCs w:val="18"/>
              </w:rPr>
              <w:t>0.085</w:t>
            </w:r>
          </w:p>
        </w:tc>
      </w:tr>
      <w:tr w:rsidR="00AE564D" w:rsidRPr="0032702C" w14:paraId="3E736BE7"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3367D3AB"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31302229"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1E9B4CF9"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McCoy's Bridge</w:t>
            </w:r>
          </w:p>
        </w:tc>
        <w:tc>
          <w:tcPr>
            <w:tcW w:w="451" w:type="pct"/>
            <w:tcBorders>
              <w:top w:val="single" w:sz="4" w:space="0" w:color="auto"/>
              <w:left w:val="nil"/>
              <w:bottom w:val="single" w:sz="4" w:space="0" w:color="auto"/>
              <w:right w:val="nil"/>
            </w:tcBorders>
            <w:noWrap/>
            <w:vAlign w:val="center"/>
            <w:hideMark/>
          </w:tcPr>
          <w:p w14:paraId="46E4AA46"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000000"/>
                <w:sz w:val="18"/>
                <w:szCs w:val="18"/>
              </w:rPr>
              <w:t>-0.159</w:t>
            </w:r>
          </w:p>
        </w:tc>
        <w:tc>
          <w:tcPr>
            <w:tcW w:w="557" w:type="pct"/>
            <w:tcBorders>
              <w:top w:val="single" w:sz="4" w:space="0" w:color="auto"/>
              <w:left w:val="nil"/>
              <w:bottom w:val="single" w:sz="4" w:space="0" w:color="auto"/>
              <w:right w:val="nil"/>
            </w:tcBorders>
            <w:noWrap/>
            <w:vAlign w:val="center"/>
            <w:hideMark/>
          </w:tcPr>
          <w:p w14:paraId="4D6513A6"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000000"/>
                <w:sz w:val="18"/>
                <w:szCs w:val="18"/>
              </w:rPr>
              <w:t>-0.049</w:t>
            </w:r>
          </w:p>
        </w:tc>
        <w:tc>
          <w:tcPr>
            <w:tcW w:w="476" w:type="pct"/>
            <w:tcBorders>
              <w:top w:val="single" w:sz="4" w:space="0" w:color="auto"/>
              <w:left w:val="nil"/>
              <w:bottom w:val="single" w:sz="4" w:space="0" w:color="auto"/>
              <w:right w:val="nil"/>
            </w:tcBorders>
            <w:noWrap/>
            <w:vAlign w:val="center"/>
            <w:hideMark/>
          </w:tcPr>
          <w:p w14:paraId="39AFA770"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000000"/>
                <w:sz w:val="18"/>
                <w:szCs w:val="18"/>
              </w:rPr>
              <w:t>0.083</w:t>
            </w:r>
          </w:p>
        </w:tc>
        <w:tc>
          <w:tcPr>
            <w:tcW w:w="451" w:type="pct"/>
            <w:tcBorders>
              <w:top w:val="single" w:sz="4" w:space="0" w:color="auto"/>
              <w:left w:val="nil"/>
              <w:bottom w:val="single" w:sz="4" w:space="0" w:color="auto"/>
              <w:right w:val="nil"/>
            </w:tcBorders>
            <w:noWrap/>
            <w:vAlign w:val="center"/>
            <w:hideMark/>
          </w:tcPr>
          <w:p w14:paraId="22B74F41"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-0.125</w:t>
            </w:r>
          </w:p>
        </w:tc>
        <w:tc>
          <w:tcPr>
            <w:tcW w:w="558" w:type="pct"/>
            <w:tcBorders>
              <w:top w:val="single" w:sz="4" w:space="0" w:color="auto"/>
              <w:left w:val="nil"/>
              <w:bottom w:val="single" w:sz="4" w:space="0" w:color="auto"/>
              <w:right w:val="nil"/>
            </w:tcBorders>
            <w:noWrap/>
            <w:vAlign w:val="center"/>
            <w:hideMark/>
          </w:tcPr>
          <w:p w14:paraId="6D6822BD"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-0.047</w:t>
            </w:r>
          </w:p>
        </w:tc>
        <w:tc>
          <w:tcPr>
            <w:tcW w:w="471" w:type="pct"/>
            <w:tcBorders>
              <w:top w:val="single" w:sz="4" w:space="0" w:color="auto"/>
              <w:left w:val="nil"/>
              <w:bottom w:val="single" w:sz="4" w:space="0" w:color="auto"/>
              <w:right w:val="single" w:sz="4" w:space="0" w:color="auto"/>
            </w:tcBorders>
            <w:noWrap/>
            <w:vAlign w:val="center"/>
            <w:hideMark/>
          </w:tcPr>
          <w:p w14:paraId="4F099A5B"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0.026</w:t>
            </w:r>
          </w:p>
        </w:tc>
      </w:tr>
      <w:tr w:rsidR="00AE564D" w:rsidRPr="0032702C" w14:paraId="79D9DDEC"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6CFF4466"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17EFE1D6"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68B78E0E"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Shepparton</w:t>
            </w:r>
          </w:p>
        </w:tc>
        <w:tc>
          <w:tcPr>
            <w:tcW w:w="451" w:type="pct"/>
            <w:tcBorders>
              <w:top w:val="single" w:sz="4" w:space="0" w:color="auto"/>
              <w:left w:val="nil"/>
              <w:bottom w:val="single" w:sz="4" w:space="0" w:color="auto"/>
              <w:right w:val="nil"/>
            </w:tcBorders>
            <w:noWrap/>
            <w:vAlign w:val="center"/>
            <w:hideMark/>
          </w:tcPr>
          <w:p w14:paraId="64D19B95"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-0.181</w:t>
            </w:r>
          </w:p>
        </w:tc>
        <w:tc>
          <w:tcPr>
            <w:tcW w:w="557" w:type="pct"/>
            <w:tcBorders>
              <w:top w:val="single" w:sz="4" w:space="0" w:color="auto"/>
              <w:left w:val="nil"/>
              <w:bottom w:val="single" w:sz="4" w:space="0" w:color="auto"/>
              <w:right w:val="nil"/>
            </w:tcBorders>
            <w:noWrap/>
            <w:vAlign w:val="center"/>
            <w:hideMark/>
          </w:tcPr>
          <w:p w14:paraId="584A7D91"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-0.056</w:t>
            </w:r>
          </w:p>
        </w:tc>
        <w:tc>
          <w:tcPr>
            <w:tcW w:w="476" w:type="pct"/>
            <w:tcBorders>
              <w:top w:val="single" w:sz="4" w:space="0" w:color="auto"/>
              <w:left w:val="nil"/>
              <w:bottom w:val="single" w:sz="4" w:space="0" w:color="auto"/>
              <w:right w:val="nil"/>
            </w:tcBorders>
            <w:noWrap/>
            <w:vAlign w:val="center"/>
            <w:hideMark/>
          </w:tcPr>
          <w:p w14:paraId="3CC006BB"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0.118</w:t>
            </w:r>
          </w:p>
        </w:tc>
        <w:tc>
          <w:tcPr>
            <w:tcW w:w="451" w:type="pct"/>
            <w:tcBorders>
              <w:top w:val="single" w:sz="4" w:space="0" w:color="auto"/>
              <w:left w:val="nil"/>
              <w:bottom w:val="single" w:sz="4" w:space="0" w:color="auto"/>
              <w:right w:val="nil"/>
            </w:tcBorders>
            <w:noWrap/>
            <w:vAlign w:val="center"/>
            <w:hideMark/>
          </w:tcPr>
          <w:p w14:paraId="2DCF12B8"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-0.125</w:t>
            </w:r>
          </w:p>
        </w:tc>
        <w:tc>
          <w:tcPr>
            <w:tcW w:w="558" w:type="pct"/>
            <w:tcBorders>
              <w:top w:val="single" w:sz="4" w:space="0" w:color="auto"/>
              <w:left w:val="nil"/>
              <w:bottom w:val="single" w:sz="4" w:space="0" w:color="auto"/>
              <w:right w:val="nil"/>
            </w:tcBorders>
            <w:noWrap/>
            <w:vAlign w:val="center"/>
            <w:hideMark/>
          </w:tcPr>
          <w:p w14:paraId="7C0DEE10"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-0.064</w:t>
            </w:r>
          </w:p>
        </w:tc>
        <w:tc>
          <w:tcPr>
            <w:tcW w:w="471" w:type="pct"/>
            <w:tcBorders>
              <w:top w:val="single" w:sz="4" w:space="0" w:color="auto"/>
              <w:left w:val="nil"/>
              <w:bottom w:val="single" w:sz="4" w:space="0" w:color="auto"/>
              <w:right w:val="single" w:sz="4" w:space="0" w:color="auto"/>
            </w:tcBorders>
            <w:noWrap/>
            <w:vAlign w:val="center"/>
            <w:hideMark/>
          </w:tcPr>
          <w:p w14:paraId="3D72D81E"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-0.007</w:t>
            </w:r>
          </w:p>
        </w:tc>
      </w:tr>
      <w:tr w:rsidR="00AE564D" w:rsidRPr="0032702C" w14:paraId="475C4C09"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36239D92"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val="restart"/>
            <w:tcBorders>
              <w:top w:val="single" w:sz="4" w:space="0" w:color="auto"/>
              <w:left w:val="nil"/>
              <w:bottom w:val="single" w:sz="4" w:space="0" w:color="auto"/>
              <w:right w:val="nil"/>
            </w:tcBorders>
            <w:noWrap/>
            <w:vAlign w:val="center"/>
            <w:hideMark/>
          </w:tcPr>
          <w:p w14:paraId="0F60C72E" w14:textId="77777777" w:rsidR="00AE564D" w:rsidRPr="0032702C" w:rsidRDefault="00AE564D" w:rsidP="00E26D3C">
            <w:pPr>
              <w:spacing w:after="0" w:line="240" w:lineRule="auto"/>
              <w:jc w:val="center"/>
              <w:rPr>
                <w:rFonts w:eastAsia="Times New Roman" w:cstheme="minorHAnsi"/>
                <w:bCs/>
                <w:color w:val="000000"/>
                <w:sz w:val="18"/>
                <w:szCs w:val="18"/>
              </w:rPr>
            </w:pPr>
            <w:r w:rsidRPr="0032702C">
              <w:rPr>
                <w:rFonts w:eastAsia="Times New Roman" w:cstheme="minorHAnsi"/>
                <w:bCs/>
                <w:color w:val="000000"/>
                <w:sz w:val="18"/>
                <w:szCs w:val="18"/>
              </w:rPr>
              <w:t>Light</w:t>
            </w:r>
          </w:p>
        </w:tc>
        <w:tc>
          <w:tcPr>
            <w:tcW w:w="896" w:type="pct"/>
            <w:tcBorders>
              <w:top w:val="single" w:sz="4" w:space="0" w:color="auto"/>
              <w:left w:val="nil"/>
              <w:bottom w:val="single" w:sz="4" w:space="0" w:color="auto"/>
              <w:right w:val="nil"/>
            </w:tcBorders>
            <w:noWrap/>
            <w:vAlign w:val="center"/>
            <w:hideMark/>
          </w:tcPr>
          <w:p w14:paraId="0EC5DAB9"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Arcadia Downs</w:t>
            </w:r>
          </w:p>
        </w:tc>
        <w:tc>
          <w:tcPr>
            <w:tcW w:w="451" w:type="pct"/>
            <w:tcBorders>
              <w:top w:val="single" w:sz="4" w:space="0" w:color="auto"/>
              <w:left w:val="nil"/>
              <w:bottom w:val="single" w:sz="4" w:space="0" w:color="auto"/>
              <w:right w:val="nil"/>
            </w:tcBorders>
            <w:noWrap/>
            <w:vAlign w:val="center"/>
            <w:hideMark/>
          </w:tcPr>
          <w:p w14:paraId="5764A8B9"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FF0000"/>
                <w:sz w:val="18"/>
                <w:szCs w:val="18"/>
              </w:rPr>
              <w:t>-0.163</w:t>
            </w:r>
          </w:p>
        </w:tc>
        <w:tc>
          <w:tcPr>
            <w:tcW w:w="557" w:type="pct"/>
            <w:tcBorders>
              <w:top w:val="single" w:sz="4" w:space="0" w:color="auto"/>
              <w:left w:val="nil"/>
              <w:bottom w:val="single" w:sz="4" w:space="0" w:color="auto"/>
              <w:right w:val="nil"/>
            </w:tcBorders>
            <w:noWrap/>
            <w:vAlign w:val="center"/>
            <w:hideMark/>
          </w:tcPr>
          <w:p w14:paraId="4BA99FEA"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FF0000"/>
                <w:sz w:val="18"/>
                <w:szCs w:val="18"/>
              </w:rPr>
              <w:t>-0.084</w:t>
            </w:r>
          </w:p>
        </w:tc>
        <w:tc>
          <w:tcPr>
            <w:tcW w:w="476" w:type="pct"/>
            <w:tcBorders>
              <w:top w:val="single" w:sz="4" w:space="0" w:color="auto"/>
              <w:left w:val="nil"/>
              <w:bottom w:val="single" w:sz="4" w:space="0" w:color="auto"/>
              <w:right w:val="nil"/>
            </w:tcBorders>
            <w:noWrap/>
            <w:vAlign w:val="center"/>
            <w:hideMark/>
          </w:tcPr>
          <w:p w14:paraId="4568C4A0"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FF0000"/>
                <w:sz w:val="18"/>
                <w:szCs w:val="18"/>
              </w:rPr>
              <w:t>-0.018</w:t>
            </w:r>
          </w:p>
        </w:tc>
        <w:tc>
          <w:tcPr>
            <w:tcW w:w="451" w:type="pct"/>
            <w:tcBorders>
              <w:top w:val="single" w:sz="4" w:space="0" w:color="auto"/>
              <w:left w:val="nil"/>
              <w:bottom w:val="single" w:sz="4" w:space="0" w:color="auto"/>
              <w:right w:val="nil"/>
            </w:tcBorders>
            <w:noWrap/>
            <w:vAlign w:val="center"/>
            <w:hideMark/>
          </w:tcPr>
          <w:p w14:paraId="5F4C0830"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-0.160</w:t>
            </w:r>
          </w:p>
        </w:tc>
        <w:tc>
          <w:tcPr>
            <w:tcW w:w="558" w:type="pct"/>
            <w:tcBorders>
              <w:top w:val="single" w:sz="4" w:space="0" w:color="auto"/>
              <w:left w:val="nil"/>
              <w:bottom w:val="single" w:sz="4" w:space="0" w:color="auto"/>
              <w:right w:val="nil"/>
            </w:tcBorders>
            <w:noWrap/>
            <w:vAlign w:val="center"/>
            <w:hideMark/>
          </w:tcPr>
          <w:p w14:paraId="02E30005"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-0.084</w:t>
            </w:r>
          </w:p>
        </w:tc>
        <w:tc>
          <w:tcPr>
            <w:tcW w:w="471" w:type="pct"/>
            <w:tcBorders>
              <w:top w:val="single" w:sz="4" w:space="0" w:color="auto"/>
              <w:left w:val="nil"/>
              <w:bottom w:val="single" w:sz="4" w:space="0" w:color="auto"/>
              <w:right w:val="single" w:sz="4" w:space="0" w:color="auto"/>
            </w:tcBorders>
            <w:noWrap/>
            <w:vAlign w:val="center"/>
            <w:hideMark/>
          </w:tcPr>
          <w:p w14:paraId="5984667A"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-0.017</w:t>
            </w:r>
          </w:p>
        </w:tc>
      </w:tr>
      <w:tr w:rsidR="00AE564D" w:rsidRPr="0032702C" w14:paraId="798BC114"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3ADDCD76"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6A1FF9B0"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67BABC43"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Murchison</w:t>
            </w:r>
          </w:p>
        </w:tc>
        <w:tc>
          <w:tcPr>
            <w:tcW w:w="451" w:type="pct"/>
            <w:tcBorders>
              <w:top w:val="single" w:sz="4" w:space="0" w:color="auto"/>
              <w:left w:val="nil"/>
              <w:bottom w:val="single" w:sz="4" w:space="0" w:color="auto"/>
              <w:right w:val="nil"/>
            </w:tcBorders>
            <w:noWrap/>
            <w:vAlign w:val="center"/>
            <w:hideMark/>
          </w:tcPr>
          <w:p w14:paraId="01D542B1"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FF0000"/>
                <w:sz w:val="18"/>
                <w:szCs w:val="18"/>
              </w:rPr>
              <w:t>-0.155</w:t>
            </w:r>
          </w:p>
        </w:tc>
        <w:tc>
          <w:tcPr>
            <w:tcW w:w="557" w:type="pct"/>
            <w:tcBorders>
              <w:top w:val="single" w:sz="4" w:space="0" w:color="auto"/>
              <w:left w:val="nil"/>
              <w:bottom w:val="single" w:sz="4" w:space="0" w:color="auto"/>
              <w:right w:val="nil"/>
            </w:tcBorders>
            <w:noWrap/>
            <w:vAlign w:val="center"/>
            <w:hideMark/>
          </w:tcPr>
          <w:p w14:paraId="6D6C2670"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FF0000"/>
                <w:sz w:val="18"/>
                <w:szCs w:val="18"/>
              </w:rPr>
              <w:t>-0.081</w:t>
            </w:r>
          </w:p>
        </w:tc>
        <w:tc>
          <w:tcPr>
            <w:tcW w:w="476" w:type="pct"/>
            <w:tcBorders>
              <w:top w:val="single" w:sz="4" w:space="0" w:color="auto"/>
              <w:left w:val="nil"/>
              <w:bottom w:val="single" w:sz="4" w:space="0" w:color="auto"/>
              <w:right w:val="nil"/>
            </w:tcBorders>
            <w:noWrap/>
            <w:vAlign w:val="center"/>
            <w:hideMark/>
          </w:tcPr>
          <w:p w14:paraId="690B81FC"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FF0000"/>
                <w:sz w:val="18"/>
                <w:szCs w:val="18"/>
              </w:rPr>
              <w:t>-0.012</w:t>
            </w:r>
          </w:p>
        </w:tc>
        <w:tc>
          <w:tcPr>
            <w:tcW w:w="451" w:type="pct"/>
            <w:tcBorders>
              <w:top w:val="single" w:sz="4" w:space="0" w:color="auto"/>
              <w:left w:val="nil"/>
              <w:bottom w:val="single" w:sz="4" w:space="0" w:color="auto"/>
              <w:right w:val="nil"/>
            </w:tcBorders>
            <w:noWrap/>
            <w:vAlign w:val="center"/>
            <w:hideMark/>
          </w:tcPr>
          <w:p w14:paraId="798695A8"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000000"/>
                <w:sz w:val="18"/>
                <w:szCs w:val="18"/>
              </w:rPr>
              <w:t>-0.155</w:t>
            </w:r>
          </w:p>
        </w:tc>
        <w:tc>
          <w:tcPr>
            <w:tcW w:w="558" w:type="pct"/>
            <w:tcBorders>
              <w:top w:val="single" w:sz="4" w:space="0" w:color="auto"/>
              <w:left w:val="nil"/>
              <w:bottom w:val="single" w:sz="4" w:space="0" w:color="auto"/>
              <w:right w:val="nil"/>
            </w:tcBorders>
            <w:noWrap/>
            <w:vAlign w:val="center"/>
            <w:hideMark/>
          </w:tcPr>
          <w:p w14:paraId="3B284A90"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000000"/>
                <w:sz w:val="18"/>
                <w:szCs w:val="18"/>
              </w:rPr>
              <w:t>-0.080</w:t>
            </w:r>
          </w:p>
        </w:tc>
        <w:tc>
          <w:tcPr>
            <w:tcW w:w="471" w:type="pct"/>
            <w:tcBorders>
              <w:top w:val="single" w:sz="4" w:space="0" w:color="auto"/>
              <w:left w:val="nil"/>
              <w:bottom w:val="single" w:sz="4" w:space="0" w:color="auto"/>
              <w:right w:val="single" w:sz="4" w:space="0" w:color="auto"/>
            </w:tcBorders>
            <w:noWrap/>
            <w:vAlign w:val="center"/>
            <w:hideMark/>
          </w:tcPr>
          <w:p w14:paraId="13C14BF5"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000000"/>
                <w:sz w:val="18"/>
                <w:szCs w:val="18"/>
              </w:rPr>
              <w:t>0.001</w:t>
            </w:r>
          </w:p>
        </w:tc>
      </w:tr>
      <w:tr w:rsidR="00AE564D" w:rsidRPr="0032702C" w14:paraId="392CA1D3"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017B1C9F"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6B05B914"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559A32BF"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Loch Garry</w:t>
            </w:r>
          </w:p>
        </w:tc>
        <w:tc>
          <w:tcPr>
            <w:tcW w:w="451" w:type="pct"/>
            <w:tcBorders>
              <w:top w:val="single" w:sz="4" w:space="0" w:color="auto"/>
              <w:left w:val="nil"/>
              <w:bottom w:val="single" w:sz="4" w:space="0" w:color="auto"/>
              <w:right w:val="nil"/>
            </w:tcBorders>
            <w:noWrap/>
            <w:vAlign w:val="center"/>
            <w:hideMark/>
          </w:tcPr>
          <w:p w14:paraId="17999FC8"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FF0000"/>
                <w:sz w:val="18"/>
                <w:szCs w:val="18"/>
              </w:rPr>
              <w:t>-0.172</w:t>
            </w:r>
          </w:p>
        </w:tc>
        <w:tc>
          <w:tcPr>
            <w:tcW w:w="557" w:type="pct"/>
            <w:tcBorders>
              <w:top w:val="single" w:sz="4" w:space="0" w:color="auto"/>
              <w:left w:val="nil"/>
              <w:bottom w:val="single" w:sz="4" w:space="0" w:color="auto"/>
              <w:right w:val="nil"/>
            </w:tcBorders>
            <w:noWrap/>
            <w:vAlign w:val="center"/>
            <w:hideMark/>
          </w:tcPr>
          <w:p w14:paraId="7B937FB0"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FF0000"/>
                <w:sz w:val="18"/>
                <w:szCs w:val="18"/>
              </w:rPr>
              <w:t>-0.087</w:t>
            </w:r>
          </w:p>
        </w:tc>
        <w:tc>
          <w:tcPr>
            <w:tcW w:w="476" w:type="pct"/>
            <w:tcBorders>
              <w:top w:val="single" w:sz="4" w:space="0" w:color="auto"/>
              <w:left w:val="nil"/>
              <w:bottom w:val="single" w:sz="4" w:space="0" w:color="auto"/>
              <w:right w:val="nil"/>
            </w:tcBorders>
            <w:noWrap/>
            <w:vAlign w:val="center"/>
            <w:hideMark/>
          </w:tcPr>
          <w:p w14:paraId="64968071"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FF0000"/>
                <w:sz w:val="18"/>
                <w:szCs w:val="18"/>
              </w:rPr>
              <w:t>-0.021</w:t>
            </w:r>
          </w:p>
        </w:tc>
        <w:tc>
          <w:tcPr>
            <w:tcW w:w="451" w:type="pct"/>
            <w:tcBorders>
              <w:top w:val="single" w:sz="4" w:space="0" w:color="auto"/>
              <w:left w:val="nil"/>
              <w:bottom w:val="single" w:sz="4" w:space="0" w:color="auto"/>
              <w:right w:val="nil"/>
            </w:tcBorders>
            <w:noWrap/>
            <w:vAlign w:val="center"/>
            <w:hideMark/>
          </w:tcPr>
          <w:p w14:paraId="7CCA527A"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-0.171</w:t>
            </w:r>
          </w:p>
        </w:tc>
        <w:tc>
          <w:tcPr>
            <w:tcW w:w="558" w:type="pct"/>
            <w:tcBorders>
              <w:top w:val="single" w:sz="4" w:space="0" w:color="auto"/>
              <w:left w:val="nil"/>
              <w:bottom w:val="single" w:sz="4" w:space="0" w:color="auto"/>
              <w:right w:val="nil"/>
            </w:tcBorders>
            <w:noWrap/>
            <w:vAlign w:val="center"/>
            <w:hideMark/>
          </w:tcPr>
          <w:p w14:paraId="78CB13F1"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-0.088</w:t>
            </w:r>
          </w:p>
        </w:tc>
        <w:tc>
          <w:tcPr>
            <w:tcW w:w="471" w:type="pct"/>
            <w:tcBorders>
              <w:top w:val="single" w:sz="4" w:space="0" w:color="auto"/>
              <w:left w:val="nil"/>
              <w:bottom w:val="single" w:sz="4" w:space="0" w:color="auto"/>
              <w:right w:val="single" w:sz="4" w:space="0" w:color="auto"/>
            </w:tcBorders>
            <w:noWrap/>
            <w:vAlign w:val="center"/>
            <w:hideMark/>
          </w:tcPr>
          <w:p w14:paraId="21C90E0C"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-0.021</w:t>
            </w:r>
          </w:p>
        </w:tc>
      </w:tr>
      <w:tr w:rsidR="00AE564D" w:rsidRPr="0032702C" w14:paraId="09E8693C"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0048EFBA"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09215E68"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602F7939"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McCoy's Bridge</w:t>
            </w:r>
          </w:p>
        </w:tc>
        <w:tc>
          <w:tcPr>
            <w:tcW w:w="451" w:type="pct"/>
            <w:tcBorders>
              <w:top w:val="single" w:sz="4" w:space="0" w:color="auto"/>
              <w:left w:val="nil"/>
              <w:bottom w:val="single" w:sz="4" w:space="0" w:color="auto"/>
              <w:right w:val="nil"/>
            </w:tcBorders>
            <w:noWrap/>
            <w:vAlign w:val="center"/>
            <w:hideMark/>
          </w:tcPr>
          <w:p w14:paraId="184A65D4"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-0.124</w:t>
            </w:r>
          </w:p>
        </w:tc>
        <w:tc>
          <w:tcPr>
            <w:tcW w:w="557" w:type="pct"/>
            <w:tcBorders>
              <w:top w:val="single" w:sz="4" w:space="0" w:color="auto"/>
              <w:left w:val="nil"/>
              <w:bottom w:val="single" w:sz="4" w:space="0" w:color="auto"/>
              <w:right w:val="nil"/>
            </w:tcBorders>
            <w:noWrap/>
            <w:vAlign w:val="center"/>
            <w:hideMark/>
          </w:tcPr>
          <w:p w14:paraId="7931304F"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-0.066</w:t>
            </w:r>
          </w:p>
        </w:tc>
        <w:tc>
          <w:tcPr>
            <w:tcW w:w="476" w:type="pct"/>
            <w:tcBorders>
              <w:top w:val="single" w:sz="4" w:space="0" w:color="auto"/>
              <w:left w:val="nil"/>
              <w:bottom w:val="single" w:sz="4" w:space="0" w:color="auto"/>
              <w:right w:val="nil"/>
            </w:tcBorders>
            <w:noWrap/>
            <w:vAlign w:val="center"/>
            <w:hideMark/>
          </w:tcPr>
          <w:p w14:paraId="6F172CAD"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0.002</w:t>
            </w:r>
          </w:p>
        </w:tc>
        <w:tc>
          <w:tcPr>
            <w:tcW w:w="451" w:type="pct"/>
            <w:tcBorders>
              <w:top w:val="single" w:sz="4" w:space="0" w:color="auto"/>
              <w:left w:val="nil"/>
              <w:bottom w:val="single" w:sz="4" w:space="0" w:color="auto"/>
              <w:right w:val="nil"/>
            </w:tcBorders>
            <w:noWrap/>
            <w:vAlign w:val="center"/>
            <w:hideMark/>
          </w:tcPr>
          <w:p w14:paraId="6719CAED"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-0.125</w:t>
            </w:r>
          </w:p>
        </w:tc>
        <w:tc>
          <w:tcPr>
            <w:tcW w:w="558" w:type="pct"/>
            <w:tcBorders>
              <w:top w:val="single" w:sz="4" w:space="0" w:color="auto"/>
              <w:left w:val="nil"/>
              <w:bottom w:val="single" w:sz="4" w:space="0" w:color="auto"/>
              <w:right w:val="nil"/>
            </w:tcBorders>
            <w:noWrap/>
            <w:vAlign w:val="center"/>
            <w:hideMark/>
          </w:tcPr>
          <w:p w14:paraId="638ADD75"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-0.068</w:t>
            </w:r>
          </w:p>
        </w:tc>
        <w:tc>
          <w:tcPr>
            <w:tcW w:w="471" w:type="pct"/>
            <w:tcBorders>
              <w:top w:val="single" w:sz="4" w:space="0" w:color="auto"/>
              <w:left w:val="nil"/>
              <w:bottom w:val="single" w:sz="4" w:space="0" w:color="auto"/>
              <w:right w:val="single" w:sz="4" w:space="0" w:color="auto"/>
            </w:tcBorders>
            <w:noWrap/>
            <w:vAlign w:val="center"/>
            <w:hideMark/>
          </w:tcPr>
          <w:p w14:paraId="615EB8E7" w14:textId="77777777" w:rsidR="00AE564D" w:rsidRPr="0032702C" w:rsidRDefault="00AE564D" w:rsidP="00E26D3C">
            <w:pPr>
              <w:spacing w:after="0" w:line="240" w:lineRule="auto"/>
              <w:jc w:val="center"/>
              <w:rPr>
                <w:rFonts w:eastAsia="Times New Roman" w:cstheme="minorHAnsi"/>
                <w:bCs/>
                <w:color w:val="FF0000"/>
                <w:sz w:val="18"/>
                <w:szCs w:val="18"/>
                <w:highlight w:val="yellow"/>
              </w:rPr>
            </w:pPr>
            <w:r w:rsidRPr="0032702C">
              <w:rPr>
                <w:rFonts w:cstheme="minorHAnsi"/>
                <w:color w:val="FF0000"/>
                <w:sz w:val="18"/>
                <w:szCs w:val="18"/>
              </w:rPr>
              <w:t>-0.001</w:t>
            </w:r>
          </w:p>
        </w:tc>
      </w:tr>
      <w:tr w:rsidR="00AE564D" w:rsidRPr="0032702C" w14:paraId="0A063D5F"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3419EB2E"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61600905"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3C46DF55"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Shepparton</w:t>
            </w:r>
          </w:p>
        </w:tc>
        <w:tc>
          <w:tcPr>
            <w:tcW w:w="451" w:type="pct"/>
            <w:tcBorders>
              <w:top w:val="single" w:sz="4" w:space="0" w:color="auto"/>
              <w:left w:val="nil"/>
              <w:bottom w:val="single" w:sz="4" w:space="0" w:color="auto"/>
              <w:right w:val="nil"/>
            </w:tcBorders>
            <w:noWrap/>
            <w:vAlign w:val="center"/>
            <w:hideMark/>
          </w:tcPr>
          <w:p w14:paraId="05F2838B"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-0.149</w:t>
            </w:r>
          </w:p>
        </w:tc>
        <w:tc>
          <w:tcPr>
            <w:tcW w:w="557" w:type="pct"/>
            <w:tcBorders>
              <w:top w:val="single" w:sz="4" w:space="0" w:color="auto"/>
              <w:left w:val="nil"/>
              <w:bottom w:val="single" w:sz="4" w:space="0" w:color="auto"/>
              <w:right w:val="nil"/>
            </w:tcBorders>
            <w:noWrap/>
            <w:vAlign w:val="center"/>
            <w:hideMark/>
          </w:tcPr>
          <w:p w14:paraId="43AD1FCC"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-0.070</w:t>
            </w:r>
          </w:p>
        </w:tc>
        <w:tc>
          <w:tcPr>
            <w:tcW w:w="476" w:type="pct"/>
            <w:tcBorders>
              <w:top w:val="single" w:sz="4" w:space="0" w:color="auto"/>
              <w:left w:val="nil"/>
              <w:bottom w:val="single" w:sz="4" w:space="0" w:color="auto"/>
              <w:right w:val="nil"/>
            </w:tcBorders>
            <w:noWrap/>
            <w:vAlign w:val="center"/>
            <w:hideMark/>
          </w:tcPr>
          <w:p w14:paraId="63A9A6B4"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0.035</w:t>
            </w:r>
          </w:p>
        </w:tc>
        <w:tc>
          <w:tcPr>
            <w:tcW w:w="451" w:type="pct"/>
            <w:tcBorders>
              <w:top w:val="single" w:sz="4" w:space="0" w:color="auto"/>
              <w:left w:val="nil"/>
              <w:bottom w:val="single" w:sz="4" w:space="0" w:color="auto"/>
              <w:right w:val="nil"/>
            </w:tcBorders>
            <w:noWrap/>
            <w:vAlign w:val="center"/>
            <w:hideMark/>
          </w:tcPr>
          <w:p w14:paraId="7E6D402C"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-0.149</w:t>
            </w:r>
          </w:p>
        </w:tc>
        <w:tc>
          <w:tcPr>
            <w:tcW w:w="558" w:type="pct"/>
            <w:tcBorders>
              <w:top w:val="single" w:sz="4" w:space="0" w:color="auto"/>
              <w:left w:val="nil"/>
              <w:bottom w:val="single" w:sz="4" w:space="0" w:color="auto"/>
              <w:right w:val="nil"/>
            </w:tcBorders>
            <w:noWrap/>
            <w:vAlign w:val="center"/>
            <w:hideMark/>
          </w:tcPr>
          <w:p w14:paraId="4043D0B2"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-0.069</w:t>
            </w:r>
          </w:p>
        </w:tc>
        <w:tc>
          <w:tcPr>
            <w:tcW w:w="471" w:type="pct"/>
            <w:tcBorders>
              <w:top w:val="single" w:sz="4" w:space="0" w:color="auto"/>
              <w:left w:val="nil"/>
              <w:bottom w:val="single" w:sz="4" w:space="0" w:color="auto"/>
              <w:right w:val="single" w:sz="4" w:space="0" w:color="auto"/>
            </w:tcBorders>
            <w:noWrap/>
            <w:vAlign w:val="center"/>
            <w:hideMark/>
          </w:tcPr>
          <w:p w14:paraId="04AA081F"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0.039</w:t>
            </w:r>
          </w:p>
        </w:tc>
      </w:tr>
      <w:tr w:rsidR="00AE564D" w:rsidRPr="0032702C" w14:paraId="3FBCC53E"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2C6D0A27"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val="restart"/>
            <w:tcBorders>
              <w:top w:val="single" w:sz="4" w:space="0" w:color="auto"/>
              <w:left w:val="nil"/>
              <w:bottom w:val="single" w:sz="4" w:space="0" w:color="auto"/>
              <w:right w:val="nil"/>
            </w:tcBorders>
            <w:noWrap/>
            <w:vAlign w:val="center"/>
            <w:hideMark/>
          </w:tcPr>
          <w:p w14:paraId="6E2B4D30" w14:textId="77777777" w:rsidR="00AE564D" w:rsidRPr="0032702C" w:rsidRDefault="00AE564D" w:rsidP="00E26D3C">
            <w:pPr>
              <w:spacing w:after="0" w:line="240" w:lineRule="auto"/>
              <w:jc w:val="center"/>
              <w:rPr>
                <w:rFonts w:eastAsia="Times New Roman" w:cstheme="minorHAnsi"/>
                <w:bCs/>
                <w:color w:val="000000"/>
                <w:sz w:val="18"/>
                <w:szCs w:val="18"/>
              </w:rPr>
            </w:pPr>
            <w:r w:rsidRPr="0032702C">
              <w:rPr>
                <w:rFonts w:eastAsia="Times New Roman" w:cstheme="minorHAnsi"/>
                <w:bCs/>
                <w:color w:val="000000"/>
                <w:sz w:val="18"/>
                <w:szCs w:val="18"/>
              </w:rPr>
              <w:t>Temperature</w:t>
            </w:r>
          </w:p>
        </w:tc>
        <w:tc>
          <w:tcPr>
            <w:tcW w:w="896" w:type="pct"/>
            <w:tcBorders>
              <w:top w:val="single" w:sz="4" w:space="0" w:color="auto"/>
              <w:left w:val="nil"/>
              <w:bottom w:val="single" w:sz="4" w:space="0" w:color="auto"/>
              <w:right w:val="nil"/>
            </w:tcBorders>
            <w:noWrap/>
            <w:vAlign w:val="center"/>
            <w:hideMark/>
          </w:tcPr>
          <w:p w14:paraId="0E3D0E2C"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Arcadia Downs</w:t>
            </w:r>
          </w:p>
        </w:tc>
        <w:tc>
          <w:tcPr>
            <w:tcW w:w="451" w:type="pct"/>
            <w:tcBorders>
              <w:top w:val="single" w:sz="4" w:space="0" w:color="auto"/>
              <w:left w:val="nil"/>
              <w:bottom w:val="single" w:sz="4" w:space="0" w:color="auto"/>
              <w:right w:val="nil"/>
            </w:tcBorders>
            <w:noWrap/>
            <w:vAlign w:val="center"/>
            <w:hideMark/>
          </w:tcPr>
          <w:p w14:paraId="57555878" w14:textId="77777777" w:rsidR="00AE564D" w:rsidRPr="0032702C" w:rsidRDefault="00AE564D" w:rsidP="00E26D3C">
            <w:pPr>
              <w:spacing w:after="0" w:line="240" w:lineRule="auto"/>
              <w:jc w:val="center"/>
              <w:rPr>
                <w:rFonts w:eastAsia="Times New Roman" w:cstheme="minorHAnsi"/>
                <w:color w:val="0070C0"/>
                <w:sz w:val="18"/>
                <w:szCs w:val="18"/>
                <w:highlight w:val="yellow"/>
              </w:rPr>
            </w:pPr>
            <w:r w:rsidRPr="0032702C">
              <w:rPr>
                <w:rFonts w:cstheme="minorHAnsi"/>
                <w:color w:val="0070C0"/>
                <w:sz w:val="18"/>
                <w:szCs w:val="18"/>
              </w:rPr>
              <w:t>0.012</w:t>
            </w:r>
          </w:p>
        </w:tc>
        <w:tc>
          <w:tcPr>
            <w:tcW w:w="557" w:type="pct"/>
            <w:tcBorders>
              <w:top w:val="single" w:sz="4" w:space="0" w:color="auto"/>
              <w:left w:val="nil"/>
              <w:bottom w:val="single" w:sz="4" w:space="0" w:color="auto"/>
              <w:right w:val="nil"/>
            </w:tcBorders>
            <w:noWrap/>
            <w:vAlign w:val="center"/>
            <w:hideMark/>
          </w:tcPr>
          <w:p w14:paraId="002FCD10" w14:textId="77777777" w:rsidR="00AE564D" w:rsidRPr="0032702C" w:rsidRDefault="00AE564D" w:rsidP="00E26D3C">
            <w:pPr>
              <w:spacing w:after="0" w:line="240" w:lineRule="auto"/>
              <w:jc w:val="center"/>
              <w:rPr>
                <w:rFonts w:eastAsia="Times New Roman" w:cstheme="minorHAnsi"/>
                <w:color w:val="0070C0"/>
                <w:sz w:val="18"/>
                <w:szCs w:val="18"/>
                <w:highlight w:val="yellow"/>
              </w:rPr>
            </w:pPr>
            <w:r w:rsidRPr="0032702C">
              <w:rPr>
                <w:rFonts w:cstheme="minorHAnsi"/>
                <w:color w:val="0070C0"/>
                <w:sz w:val="18"/>
                <w:szCs w:val="18"/>
              </w:rPr>
              <w:t>0.130</w:t>
            </w:r>
          </w:p>
        </w:tc>
        <w:tc>
          <w:tcPr>
            <w:tcW w:w="476" w:type="pct"/>
            <w:tcBorders>
              <w:top w:val="single" w:sz="4" w:space="0" w:color="auto"/>
              <w:left w:val="nil"/>
              <w:bottom w:val="single" w:sz="4" w:space="0" w:color="auto"/>
              <w:right w:val="nil"/>
            </w:tcBorders>
            <w:noWrap/>
            <w:vAlign w:val="center"/>
            <w:hideMark/>
          </w:tcPr>
          <w:p w14:paraId="44DA8DA5" w14:textId="77777777" w:rsidR="00AE564D" w:rsidRPr="0032702C" w:rsidRDefault="00AE564D" w:rsidP="00E26D3C">
            <w:pPr>
              <w:spacing w:after="0" w:line="240" w:lineRule="auto"/>
              <w:jc w:val="center"/>
              <w:rPr>
                <w:rFonts w:eastAsia="Times New Roman" w:cstheme="minorHAnsi"/>
                <w:color w:val="0070C0"/>
                <w:sz w:val="18"/>
                <w:szCs w:val="18"/>
                <w:highlight w:val="yellow"/>
              </w:rPr>
            </w:pPr>
            <w:r w:rsidRPr="0032702C">
              <w:rPr>
                <w:rFonts w:cstheme="minorHAnsi"/>
                <w:color w:val="0070C0"/>
                <w:sz w:val="18"/>
                <w:szCs w:val="18"/>
              </w:rPr>
              <w:t>0.281</w:t>
            </w:r>
          </w:p>
        </w:tc>
        <w:tc>
          <w:tcPr>
            <w:tcW w:w="451" w:type="pct"/>
            <w:tcBorders>
              <w:top w:val="single" w:sz="4" w:space="0" w:color="auto"/>
              <w:left w:val="nil"/>
              <w:bottom w:val="single" w:sz="4" w:space="0" w:color="auto"/>
              <w:right w:val="nil"/>
            </w:tcBorders>
            <w:noWrap/>
            <w:vAlign w:val="center"/>
            <w:hideMark/>
          </w:tcPr>
          <w:p w14:paraId="0F78BA94"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0.022</w:t>
            </w:r>
          </w:p>
        </w:tc>
        <w:tc>
          <w:tcPr>
            <w:tcW w:w="558" w:type="pct"/>
            <w:tcBorders>
              <w:top w:val="single" w:sz="4" w:space="0" w:color="auto"/>
              <w:left w:val="nil"/>
              <w:bottom w:val="single" w:sz="4" w:space="0" w:color="auto"/>
              <w:right w:val="nil"/>
            </w:tcBorders>
            <w:noWrap/>
            <w:vAlign w:val="center"/>
            <w:hideMark/>
          </w:tcPr>
          <w:p w14:paraId="259A7424"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0.138</w:t>
            </w:r>
          </w:p>
        </w:tc>
        <w:tc>
          <w:tcPr>
            <w:tcW w:w="471" w:type="pct"/>
            <w:tcBorders>
              <w:top w:val="single" w:sz="4" w:space="0" w:color="auto"/>
              <w:left w:val="nil"/>
              <w:bottom w:val="single" w:sz="4" w:space="0" w:color="auto"/>
              <w:right w:val="single" w:sz="4" w:space="0" w:color="auto"/>
            </w:tcBorders>
            <w:noWrap/>
            <w:vAlign w:val="center"/>
            <w:hideMark/>
          </w:tcPr>
          <w:p w14:paraId="316661A5"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0.289</w:t>
            </w:r>
          </w:p>
        </w:tc>
      </w:tr>
      <w:tr w:rsidR="00AE564D" w:rsidRPr="0032702C" w14:paraId="151F39ED"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47E7AE3E"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1E146EBF"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10E95049"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Murchison</w:t>
            </w:r>
          </w:p>
        </w:tc>
        <w:tc>
          <w:tcPr>
            <w:tcW w:w="451" w:type="pct"/>
            <w:tcBorders>
              <w:top w:val="single" w:sz="4" w:space="0" w:color="auto"/>
              <w:left w:val="nil"/>
              <w:bottom w:val="single" w:sz="4" w:space="0" w:color="auto"/>
              <w:right w:val="nil"/>
            </w:tcBorders>
            <w:noWrap/>
            <w:vAlign w:val="center"/>
            <w:hideMark/>
          </w:tcPr>
          <w:p w14:paraId="61B9AB27" w14:textId="77777777" w:rsidR="00AE564D" w:rsidRPr="0032702C" w:rsidRDefault="00AE564D" w:rsidP="00E26D3C">
            <w:pPr>
              <w:spacing w:after="0" w:line="240" w:lineRule="auto"/>
              <w:jc w:val="center"/>
              <w:rPr>
                <w:rFonts w:eastAsia="Times New Roman" w:cstheme="minorHAnsi"/>
                <w:color w:val="0070C0"/>
                <w:sz w:val="18"/>
                <w:szCs w:val="18"/>
                <w:highlight w:val="yellow"/>
              </w:rPr>
            </w:pPr>
            <w:r w:rsidRPr="0032702C">
              <w:rPr>
                <w:rFonts w:cstheme="minorHAnsi"/>
                <w:color w:val="0070C0"/>
                <w:sz w:val="18"/>
                <w:szCs w:val="18"/>
              </w:rPr>
              <w:t>0.035</w:t>
            </w:r>
          </w:p>
        </w:tc>
        <w:tc>
          <w:tcPr>
            <w:tcW w:w="557" w:type="pct"/>
            <w:tcBorders>
              <w:top w:val="single" w:sz="4" w:space="0" w:color="auto"/>
              <w:left w:val="nil"/>
              <w:bottom w:val="single" w:sz="4" w:space="0" w:color="auto"/>
              <w:right w:val="nil"/>
            </w:tcBorders>
            <w:noWrap/>
            <w:vAlign w:val="center"/>
            <w:hideMark/>
          </w:tcPr>
          <w:p w14:paraId="2AE7DE92" w14:textId="77777777" w:rsidR="00AE564D" w:rsidRPr="0032702C" w:rsidRDefault="00AE564D" w:rsidP="00E26D3C">
            <w:pPr>
              <w:spacing w:after="0" w:line="240" w:lineRule="auto"/>
              <w:jc w:val="center"/>
              <w:rPr>
                <w:rFonts w:eastAsia="Times New Roman" w:cstheme="minorHAnsi"/>
                <w:color w:val="0070C0"/>
                <w:sz w:val="18"/>
                <w:szCs w:val="18"/>
                <w:highlight w:val="yellow"/>
              </w:rPr>
            </w:pPr>
            <w:r w:rsidRPr="0032702C">
              <w:rPr>
                <w:rFonts w:cstheme="minorHAnsi"/>
                <w:color w:val="0070C0"/>
                <w:sz w:val="18"/>
                <w:szCs w:val="18"/>
              </w:rPr>
              <w:t>0.167</w:t>
            </w:r>
          </w:p>
        </w:tc>
        <w:tc>
          <w:tcPr>
            <w:tcW w:w="476" w:type="pct"/>
            <w:tcBorders>
              <w:top w:val="single" w:sz="4" w:space="0" w:color="auto"/>
              <w:left w:val="nil"/>
              <w:bottom w:val="single" w:sz="4" w:space="0" w:color="auto"/>
              <w:right w:val="nil"/>
            </w:tcBorders>
            <w:noWrap/>
            <w:vAlign w:val="center"/>
            <w:hideMark/>
          </w:tcPr>
          <w:p w14:paraId="1C5253FE" w14:textId="77777777" w:rsidR="00AE564D" w:rsidRPr="0032702C" w:rsidRDefault="00AE564D" w:rsidP="00E26D3C">
            <w:pPr>
              <w:spacing w:after="0" w:line="240" w:lineRule="auto"/>
              <w:jc w:val="center"/>
              <w:rPr>
                <w:rFonts w:eastAsia="Times New Roman" w:cstheme="minorHAnsi"/>
                <w:color w:val="0070C0"/>
                <w:sz w:val="18"/>
                <w:szCs w:val="18"/>
                <w:highlight w:val="yellow"/>
              </w:rPr>
            </w:pPr>
            <w:r w:rsidRPr="0032702C">
              <w:rPr>
                <w:rFonts w:cstheme="minorHAnsi"/>
                <w:color w:val="0070C0"/>
                <w:sz w:val="18"/>
                <w:szCs w:val="18"/>
              </w:rPr>
              <w:t>0.355</w:t>
            </w:r>
          </w:p>
        </w:tc>
        <w:tc>
          <w:tcPr>
            <w:tcW w:w="451" w:type="pct"/>
            <w:tcBorders>
              <w:top w:val="single" w:sz="4" w:space="0" w:color="auto"/>
              <w:left w:val="nil"/>
              <w:bottom w:val="single" w:sz="4" w:space="0" w:color="auto"/>
              <w:right w:val="nil"/>
            </w:tcBorders>
            <w:noWrap/>
            <w:vAlign w:val="center"/>
            <w:hideMark/>
          </w:tcPr>
          <w:p w14:paraId="1D6CFFA8"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0.041</w:t>
            </w:r>
          </w:p>
        </w:tc>
        <w:tc>
          <w:tcPr>
            <w:tcW w:w="558" w:type="pct"/>
            <w:tcBorders>
              <w:top w:val="single" w:sz="4" w:space="0" w:color="auto"/>
              <w:left w:val="nil"/>
              <w:bottom w:val="single" w:sz="4" w:space="0" w:color="auto"/>
              <w:right w:val="nil"/>
            </w:tcBorders>
            <w:noWrap/>
            <w:vAlign w:val="center"/>
            <w:hideMark/>
          </w:tcPr>
          <w:p w14:paraId="79989556"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0.171</w:t>
            </w:r>
          </w:p>
        </w:tc>
        <w:tc>
          <w:tcPr>
            <w:tcW w:w="471" w:type="pct"/>
            <w:tcBorders>
              <w:top w:val="single" w:sz="4" w:space="0" w:color="auto"/>
              <w:left w:val="nil"/>
              <w:bottom w:val="single" w:sz="4" w:space="0" w:color="auto"/>
              <w:right w:val="single" w:sz="4" w:space="0" w:color="auto"/>
            </w:tcBorders>
            <w:noWrap/>
            <w:vAlign w:val="center"/>
            <w:hideMark/>
          </w:tcPr>
          <w:p w14:paraId="6DA6051E"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70C0"/>
                <w:sz w:val="18"/>
                <w:szCs w:val="18"/>
              </w:rPr>
              <w:t>0.359</w:t>
            </w:r>
          </w:p>
        </w:tc>
      </w:tr>
      <w:tr w:rsidR="00AE564D" w:rsidRPr="0032702C" w14:paraId="23B7200D"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69FDED78"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4D8C1386"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11D5C9FC"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Loch Garry</w:t>
            </w:r>
          </w:p>
        </w:tc>
        <w:tc>
          <w:tcPr>
            <w:tcW w:w="451" w:type="pct"/>
            <w:tcBorders>
              <w:top w:val="single" w:sz="4" w:space="0" w:color="auto"/>
              <w:left w:val="nil"/>
              <w:bottom w:val="single" w:sz="4" w:space="0" w:color="auto"/>
              <w:right w:val="nil"/>
            </w:tcBorders>
            <w:noWrap/>
            <w:vAlign w:val="center"/>
            <w:hideMark/>
          </w:tcPr>
          <w:p w14:paraId="51B274E7"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000000"/>
                <w:sz w:val="18"/>
                <w:szCs w:val="18"/>
              </w:rPr>
              <w:t>-0.174</w:t>
            </w:r>
          </w:p>
        </w:tc>
        <w:tc>
          <w:tcPr>
            <w:tcW w:w="557" w:type="pct"/>
            <w:tcBorders>
              <w:top w:val="single" w:sz="4" w:space="0" w:color="auto"/>
              <w:left w:val="nil"/>
              <w:bottom w:val="single" w:sz="4" w:space="0" w:color="auto"/>
              <w:right w:val="nil"/>
            </w:tcBorders>
            <w:noWrap/>
            <w:vAlign w:val="center"/>
            <w:hideMark/>
          </w:tcPr>
          <w:p w14:paraId="463BB023"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000000"/>
                <w:sz w:val="18"/>
                <w:szCs w:val="18"/>
              </w:rPr>
              <w:t>0.008</w:t>
            </w:r>
          </w:p>
        </w:tc>
        <w:tc>
          <w:tcPr>
            <w:tcW w:w="476" w:type="pct"/>
            <w:tcBorders>
              <w:top w:val="single" w:sz="4" w:space="0" w:color="auto"/>
              <w:left w:val="nil"/>
              <w:bottom w:val="single" w:sz="4" w:space="0" w:color="auto"/>
              <w:right w:val="nil"/>
            </w:tcBorders>
            <w:noWrap/>
            <w:vAlign w:val="center"/>
            <w:hideMark/>
          </w:tcPr>
          <w:p w14:paraId="7AE10FF8" w14:textId="77777777" w:rsidR="00AE564D" w:rsidRPr="0032702C" w:rsidRDefault="00AE564D" w:rsidP="00E26D3C">
            <w:pPr>
              <w:spacing w:after="0" w:line="240" w:lineRule="auto"/>
              <w:jc w:val="center"/>
              <w:rPr>
                <w:rFonts w:eastAsia="Times New Roman" w:cstheme="minorHAnsi"/>
                <w:color w:val="FF0000"/>
                <w:sz w:val="18"/>
                <w:szCs w:val="18"/>
                <w:highlight w:val="yellow"/>
              </w:rPr>
            </w:pPr>
            <w:r w:rsidRPr="0032702C">
              <w:rPr>
                <w:rFonts w:cstheme="minorHAnsi"/>
                <w:color w:val="000000"/>
                <w:sz w:val="18"/>
                <w:szCs w:val="18"/>
              </w:rPr>
              <w:t>0.147</w:t>
            </w:r>
          </w:p>
        </w:tc>
        <w:tc>
          <w:tcPr>
            <w:tcW w:w="451" w:type="pct"/>
            <w:tcBorders>
              <w:top w:val="single" w:sz="4" w:space="0" w:color="auto"/>
              <w:left w:val="nil"/>
              <w:bottom w:val="single" w:sz="4" w:space="0" w:color="auto"/>
              <w:right w:val="nil"/>
            </w:tcBorders>
            <w:noWrap/>
            <w:vAlign w:val="center"/>
            <w:hideMark/>
          </w:tcPr>
          <w:p w14:paraId="272E9475"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-0.145</w:t>
            </w:r>
          </w:p>
        </w:tc>
        <w:tc>
          <w:tcPr>
            <w:tcW w:w="558" w:type="pct"/>
            <w:tcBorders>
              <w:top w:val="single" w:sz="4" w:space="0" w:color="auto"/>
              <w:left w:val="nil"/>
              <w:bottom w:val="single" w:sz="4" w:space="0" w:color="auto"/>
              <w:right w:val="nil"/>
            </w:tcBorders>
            <w:noWrap/>
            <w:vAlign w:val="center"/>
            <w:hideMark/>
          </w:tcPr>
          <w:p w14:paraId="41020D9E"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0.030</w:t>
            </w:r>
          </w:p>
        </w:tc>
        <w:tc>
          <w:tcPr>
            <w:tcW w:w="471" w:type="pct"/>
            <w:tcBorders>
              <w:top w:val="single" w:sz="4" w:space="0" w:color="auto"/>
              <w:left w:val="nil"/>
              <w:bottom w:val="single" w:sz="4" w:space="0" w:color="auto"/>
              <w:right w:val="single" w:sz="4" w:space="0" w:color="auto"/>
            </w:tcBorders>
            <w:noWrap/>
            <w:vAlign w:val="center"/>
            <w:hideMark/>
          </w:tcPr>
          <w:p w14:paraId="06D13A52"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0.156</w:t>
            </w:r>
          </w:p>
        </w:tc>
      </w:tr>
      <w:tr w:rsidR="00AE564D" w:rsidRPr="0032702C" w14:paraId="3F86DAF9"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43555868"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3C2D64C6"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347FD559"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McCoy's Bridge</w:t>
            </w:r>
          </w:p>
        </w:tc>
        <w:tc>
          <w:tcPr>
            <w:tcW w:w="451" w:type="pct"/>
            <w:tcBorders>
              <w:top w:val="single" w:sz="4" w:space="0" w:color="auto"/>
              <w:left w:val="nil"/>
              <w:bottom w:val="single" w:sz="4" w:space="0" w:color="auto"/>
              <w:right w:val="nil"/>
            </w:tcBorders>
            <w:noWrap/>
            <w:vAlign w:val="center"/>
            <w:hideMark/>
          </w:tcPr>
          <w:p w14:paraId="272893DF" w14:textId="77777777" w:rsidR="00AE564D" w:rsidRPr="0032702C" w:rsidRDefault="00AE564D" w:rsidP="00E26D3C">
            <w:pPr>
              <w:spacing w:after="0" w:line="240" w:lineRule="auto"/>
              <w:jc w:val="center"/>
              <w:rPr>
                <w:rFonts w:eastAsia="Times New Roman" w:cstheme="minorHAnsi"/>
                <w:color w:val="0070C0"/>
                <w:sz w:val="18"/>
                <w:szCs w:val="18"/>
                <w:highlight w:val="yellow"/>
              </w:rPr>
            </w:pPr>
            <w:r w:rsidRPr="0032702C">
              <w:rPr>
                <w:rFonts w:cstheme="minorHAnsi"/>
                <w:color w:val="000000"/>
                <w:sz w:val="18"/>
                <w:szCs w:val="18"/>
              </w:rPr>
              <w:t>-0.023</w:t>
            </w:r>
          </w:p>
        </w:tc>
        <w:tc>
          <w:tcPr>
            <w:tcW w:w="557" w:type="pct"/>
            <w:tcBorders>
              <w:top w:val="single" w:sz="4" w:space="0" w:color="auto"/>
              <w:left w:val="nil"/>
              <w:bottom w:val="single" w:sz="4" w:space="0" w:color="auto"/>
              <w:right w:val="nil"/>
            </w:tcBorders>
            <w:noWrap/>
            <w:vAlign w:val="center"/>
            <w:hideMark/>
          </w:tcPr>
          <w:p w14:paraId="5ABD9200" w14:textId="77777777" w:rsidR="00AE564D" w:rsidRPr="0032702C" w:rsidRDefault="00AE564D" w:rsidP="00E26D3C">
            <w:pPr>
              <w:spacing w:after="0" w:line="240" w:lineRule="auto"/>
              <w:jc w:val="center"/>
              <w:rPr>
                <w:rFonts w:eastAsia="Times New Roman" w:cstheme="minorHAnsi"/>
                <w:color w:val="0070C0"/>
                <w:sz w:val="18"/>
                <w:szCs w:val="18"/>
                <w:highlight w:val="yellow"/>
              </w:rPr>
            </w:pPr>
            <w:r w:rsidRPr="0032702C">
              <w:rPr>
                <w:rFonts w:cstheme="minorHAnsi"/>
                <w:color w:val="000000"/>
                <w:sz w:val="18"/>
                <w:szCs w:val="18"/>
              </w:rPr>
              <w:t>0.081</w:t>
            </w:r>
          </w:p>
        </w:tc>
        <w:tc>
          <w:tcPr>
            <w:tcW w:w="476" w:type="pct"/>
            <w:tcBorders>
              <w:top w:val="single" w:sz="4" w:space="0" w:color="auto"/>
              <w:left w:val="nil"/>
              <w:bottom w:val="single" w:sz="4" w:space="0" w:color="auto"/>
              <w:right w:val="nil"/>
            </w:tcBorders>
            <w:noWrap/>
            <w:vAlign w:val="center"/>
            <w:hideMark/>
          </w:tcPr>
          <w:p w14:paraId="3596E87C" w14:textId="77777777" w:rsidR="00AE564D" w:rsidRPr="0032702C" w:rsidRDefault="00AE564D" w:rsidP="00E26D3C">
            <w:pPr>
              <w:spacing w:after="0" w:line="240" w:lineRule="auto"/>
              <w:jc w:val="center"/>
              <w:rPr>
                <w:rFonts w:eastAsia="Times New Roman" w:cstheme="minorHAnsi"/>
                <w:color w:val="0070C0"/>
                <w:sz w:val="18"/>
                <w:szCs w:val="18"/>
                <w:highlight w:val="yellow"/>
              </w:rPr>
            </w:pPr>
            <w:r w:rsidRPr="0032702C">
              <w:rPr>
                <w:rFonts w:cstheme="minorHAnsi"/>
                <w:color w:val="000000"/>
                <w:sz w:val="18"/>
                <w:szCs w:val="18"/>
              </w:rPr>
              <w:t>0.177</w:t>
            </w:r>
          </w:p>
        </w:tc>
        <w:tc>
          <w:tcPr>
            <w:tcW w:w="451" w:type="pct"/>
            <w:tcBorders>
              <w:top w:val="single" w:sz="4" w:space="0" w:color="auto"/>
              <w:left w:val="nil"/>
              <w:bottom w:val="single" w:sz="4" w:space="0" w:color="auto"/>
              <w:right w:val="nil"/>
            </w:tcBorders>
            <w:noWrap/>
            <w:vAlign w:val="center"/>
            <w:hideMark/>
          </w:tcPr>
          <w:p w14:paraId="7961B8C2"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0000"/>
                <w:sz w:val="18"/>
                <w:szCs w:val="18"/>
              </w:rPr>
              <w:t>-0.027</w:t>
            </w:r>
          </w:p>
        </w:tc>
        <w:tc>
          <w:tcPr>
            <w:tcW w:w="558" w:type="pct"/>
            <w:tcBorders>
              <w:top w:val="single" w:sz="4" w:space="0" w:color="auto"/>
              <w:left w:val="nil"/>
              <w:bottom w:val="single" w:sz="4" w:space="0" w:color="auto"/>
              <w:right w:val="nil"/>
            </w:tcBorders>
            <w:noWrap/>
            <w:vAlign w:val="center"/>
            <w:hideMark/>
          </w:tcPr>
          <w:p w14:paraId="34F9D0E8"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0000"/>
                <w:sz w:val="18"/>
                <w:szCs w:val="18"/>
              </w:rPr>
              <w:t>0.082</w:t>
            </w:r>
          </w:p>
        </w:tc>
        <w:tc>
          <w:tcPr>
            <w:tcW w:w="471" w:type="pct"/>
            <w:tcBorders>
              <w:top w:val="single" w:sz="4" w:space="0" w:color="auto"/>
              <w:left w:val="nil"/>
              <w:bottom w:val="single" w:sz="4" w:space="0" w:color="auto"/>
              <w:right w:val="single" w:sz="4" w:space="0" w:color="auto"/>
            </w:tcBorders>
            <w:noWrap/>
            <w:vAlign w:val="center"/>
            <w:hideMark/>
          </w:tcPr>
          <w:p w14:paraId="6ED01371" w14:textId="77777777" w:rsidR="00AE564D" w:rsidRPr="0032702C" w:rsidRDefault="00AE564D" w:rsidP="00E26D3C">
            <w:pPr>
              <w:spacing w:after="0" w:line="240" w:lineRule="auto"/>
              <w:jc w:val="center"/>
              <w:rPr>
                <w:rFonts w:eastAsia="Times New Roman" w:cstheme="minorHAnsi"/>
                <w:bCs/>
                <w:color w:val="0070C0"/>
                <w:sz w:val="18"/>
                <w:szCs w:val="18"/>
                <w:highlight w:val="yellow"/>
              </w:rPr>
            </w:pPr>
            <w:r w:rsidRPr="0032702C">
              <w:rPr>
                <w:rFonts w:cstheme="minorHAnsi"/>
                <w:color w:val="000000"/>
                <w:sz w:val="18"/>
                <w:szCs w:val="18"/>
              </w:rPr>
              <w:t>0.175</w:t>
            </w:r>
          </w:p>
        </w:tc>
      </w:tr>
      <w:tr w:rsidR="00AE564D" w:rsidRPr="0032702C" w14:paraId="03435ED7"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338B654A"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vMerge/>
            <w:tcBorders>
              <w:top w:val="single" w:sz="4" w:space="0" w:color="auto"/>
              <w:left w:val="nil"/>
              <w:bottom w:val="single" w:sz="4" w:space="0" w:color="auto"/>
              <w:right w:val="nil"/>
            </w:tcBorders>
            <w:vAlign w:val="center"/>
            <w:hideMark/>
          </w:tcPr>
          <w:p w14:paraId="05B991C4" w14:textId="77777777" w:rsidR="00AE564D" w:rsidRPr="0032702C" w:rsidRDefault="00AE564D" w:rsidP="00E26D3C">
            <w:pPr>
              <w:spacing w:after="0"/>
              <w:rPr>
                <w:rFonts w:eastAsia="Times New Roman" w:cstheme="minorHAnsi"/>
                <w:bCs/>
                <w:color w:val="000000"/>
                <w:sz w:val="18"/>
                <w:szCs w:val="18"/>
              </w:rPr>
            </w:pPr>
          </w:p>
        </w:tc>
        <w:tc>
          <w:tcPr>
            <w:tcW w:w="896" w:type="pct"/>
            <w:tcBorders>
              <w:top w:val="single" w:sz="4" w:space="0" w:color="auto"/>
              <w:left w:val="nil"/>
              <w:bottom w:val="single" w:sz="4" w:space="0" w:color="auto"/>
              <w:right w:val="nil"/>
            </w:tcBorders>
            <w:noWrap/>
            <w:vAlign w:val="center"/>
            <w:hideMark/>
          </w:tcPr>
          <w:p w14:paraId="3B19C36D"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Shepparton</w:t>
            </w:r>
          </w:p>
        </w:tc>
        <w:tc>
          <w:tcPr>
            <w:tcW w:w="451" w:type="pct"/>
            <w:tcBorders>
              <w:top w:val="single" w:sz="4" w:space="0" w:color="auto"/>
              <w:left w:val="nil"/>
              <w:bottom w:val="single" w:sz="4" w:space="0" w:color="auto"/>
              <w:right w:val="nil"/>
            </w:tcBorders>
            <w:noWrap/>
            <w:vAlign w:val="center"/>
            <w:hideMark/>
          </w:tcPr>
          <w:p w14:paraId="666B016A"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-0.125</w:t>
            </w:r>
          </w:p>
        </w:tc>
        <w:tc>
          <w:tcPr>
            <w:tcW w:w="557" w:type="pct"/>
            <w:tcBorders>
              <w:top w:val="single" w:sz="4" w:space="0" w:color="auto"/>
              <w:left w:val="nil"/>
              <w:bottom w:val="single" w:sz="4" w:space="0" w:color="auto"/>
              <w:right w:val="nil"/>
            </w:tcBorders>
            <w:noWrap/>
            <w:vAlign w:val="center"/>
            <w:hideMark/>
          </w:tcPr>
          <w:p w14:paraId="32223106"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0.061</w:t>
            </w:r>
          </w:p>
        </w:tc>
        <w:tc>
          <w:tcPr>
            <w:tcW w:w="476" w:type="pct"/>
            <w:tcBorders>
              <w:top w:val="single" w:sz="4" w:space="0" w:color="auto"/>
              <w:left w:val="nil"/>
              <w:bottom w:val="single" w:sz="4" w:space="0" w:color="auto"/>
              <w:right w:val="nil"/>
            </w:tcBorders>
            <w:noWrap/>
            <w:vAlign w:val="center"/>
            <w:hideMark/>
          </w:tcPr>
          <w:p w14:paraId="64BF9423"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0.213</w:t>
            </w:r>
          </w:p>
        </w:tc>
        <w:tc>
          <w:tcPr>
            <w:tcW w:w="451" w:type="pct"/>
            <w:tcBorders>
              <w:top w:val="single" w:sz="4" w:space="0" w:color="auto"/>
              <w:left w:val="nil"/>
              <w:bottom w:val="single" w:sz="4" w:space="0" w:color="auto"/>
              <w:right w:val="nil"/>
            </w:tcBorders>
            <w:noWrap/>
            <w:vAlign w:val="center"/>
            <w:hideMark/>
          </w:tcPr>
          <w:p w14:paraId="24A2DE34"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-0.100</w:t>
            </w:r>
          </w:p>
        </w:tc>
        <w:tc>
          <w:tcPr>
            <w:tcW w:w="558" w:type="pct"/>
            <w:tcBorders>
              <w:top w:val="single" w:sz="4" w:space="0" w:color="auto"/>
              <w:left w:val="nil"/>
              <w:bottom w:val="single" w:sz="4" w:space="0" w:color="auto"/>
              <w:right w:val="nil"/>
            </w:tcBorders>
            <w:noWrap/>
            <w:vAlign w:val="center"/>
            <w:hideMark/>
          </w:tcPr>
          <w:p w14:paraId="1733426A"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0.073</w:t>
            </w:r>
          </w:p>
        </w:tc>
        <w:tc>
          <w:tcPr>
            <w:tcW w:w="471" w:type="pct"/>
            <w:tcBorders>
              <w:top w:val="single" w:sz="4" w:space="0" w:color="auto"/>
              <w:left w:val="nil"/>
              <w:bottom w:val="single" w:sz="4" w:space="0" w:color="auto"/>
              <w:right w:val="single" w:sz="4" w:space="0" w:color="auto"/>
            </w:tcBorders>
            <w:noWrap/>
            <w:vAlign w:val="center"/>
            <w:hideMark/>
          </w:tcPr>
          <w:p w14:paraId="2487A7F6"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0.217</w:t>
            </w:r>
          </w:p>
        </w:tc>
      </w:tr>
      <w:tr w:rsidR="00AE564D" w:rsidRPr="0032702C" w14:paraId="7BBC9BB0" w14:textId="77777777" w:rsidTr="0032702C">
        <w:trPr>
          <w:trHeight w:val="288"/>
          <w:jc w:val="center"/>
        </w:trPr>
        <w:tc>
          <w:tcPr>
            <w:tcW w:w="0" w:type="auto"/>
            <w:vMerge/>
            <w:tcBorders>
              <w:top w:val="single" w:sz="4" w:space="0" w:color="auto"/>
              <w:left w:val="single" w:sz="4" w:space="0" w:color="auto"/>
              <w:bottom w:val="single" w:sz="4" w:space="0" w:color="auto"/>
              <w:right w:val="nil"/>
            </w:tcBorders>
            <w:vAlign w:val="center"/>
            <w:hideMark/>
          </w:tcPr>
          <w:p w14:paraId="4A9A02BF" w14:textId="77777777" w:rsidR="00AE564D" w:rsidRPr="0032702C" w:rsidRDefault="00AE564D" w:rsidP="00E26D3C">
            <w:pPr>
              <w:spacing w:after="0"/>
              <w:rPr>
                <w:rFonts w:eastAsia="Times New Roman" w:cstheme="minorHAnsi"/>
                <w:bCs/>
                <w:color w:val="FFFFFF" w:themeColor="background1"/>
                <w:sz w:val="18"/>
                <w:szCs w:val="18"/>
              </w:rPr>
            </w:pPr>
          </w:p>
        </w:tc>
        <w:tc>
          <w:tcPr>
            <w:tcW w:w="756" w:type="pct"/>
            <w:tcBorders>
              <w:top w:val="single" w:sz="4" w:space="0" w:color="auto"/>
              <w:left w:val="nil"/>
              <w:bottom w:val="single" w:sz="4" w:space="0" w:color="auto"/>
              <w:right w:val="nil"/>
            </w:tcBorders>
            <w:noWrap/>
            <w:vAlign w:val="center"/>
            <w:hideMark/>
          </w:tcPr>
          <w:p w14:paraId="11682C6A" w14:textId="77777777" w:rsidR="00AE564D" w:rsidRPr="0032702C" w:rsidRDefault="00AE564D" w:rsidP="00E26D3C">
            <w:pPr>
              <w:spacing w:after="0" w:line="240" w:lineRule="auto"/>
              <w:jc w:val="center"/>
              <w:rPr>
                <w:rFonts w:eastAsia="Times New Roman" w:cstheme="minorHAnsi"/>
                <w:bCs/>
                <w:color w:val="000000"/>
                <w:sz w:val="18"/>
                <w:szCs w:val="18"/>
              </w:rPr>
            </w:pPr>
            <w:r w:rsidRPr="0032702C">
              <w:rPr>
                <w:rFonts w:eastAsia="Times New Roman" w:cstheme="minorHAnsi"/>
                <w:bCs/>
                <w:color w:val="000000"/>
                <w:sz w:val="18"/>
                <w:szCs w:val="18"/>
              </w:rPr>
              <w:t>ac</w:t>
            </w:r>
          </w:p>
        </w:tc>
        <w:tc>
          <w:tcPr>
            <w:tcW w:w="896" w:type="pct"/>
            <w:tcBorders>
              <w:top w:val="single" w:sz="4" w:space="0" w:color="auto"/>
              <w:left w:val="nil"/>
              <w:bottom w:val="single" w:sz="4" w:space="0" w:color="auto"/>
              <w:right w:val="nil"/>
            </w:tcBorders>
            <w:noWrap/>
            <w:vAlign w:val="center"/>
            <w:hideMark/>
          </w:tcPr>
          <w:p w14:paraId="647C8C83" w14:textId="77777777" w:rsidR="00AE564D" w:rsidRPr="0032702C" w:rsidRDefault="00AE564D" w:rsidP="00E26D3C">
            <w:pPr>
              <w:spacing w:after="0" w:line="240" w:lineRule="auto"/>
              <w:rPr>
                <w:rFonts w:eastAsia="Times New Roman" w:cstheme="minorHAnsi"/>
                <w:bCs/>
                <w:color w:val="000000"/>
                <w:sz w:val="18"/>
                <w:szCs w:val="18"/>
              </w:rPr>
            </w:pPr>
            <w:r w:rsidRPr="0032702C">
              <w:rPr>
                <w:rFonts w:eastAsia="Times New Roman" w:cstheme="minorHAnsi"/>
                <w:bCs/>
                <w:color w:val="000000"/>
                <w:sz w:val="18"/>
                <w:szCs w:val="18"/>
              </w:rPr>
              <w:t xml:space="preserve"> -</w:t>
            </w:r>
          </w:p>
        </w:tc>
        <w:tc>
          <w:tcPr>
            <w:tcW w:w="451" w:type="pct"/>
            <w:tcBorders>
              <w:top w:val="single" w:sz="4" w:space="0" w:color="auto"/>
              <w:left w:val="nil"/>
              <w:bottom w:val="single" w:sz="4" w:space="0" w:color="auto"/>
              <w:right w:val="nil"/>
            </w:tcBorders>
            <w:noWrap/>
            <w:vAlign w:val="center"/>
            <w:hideMark/>
          </w:tcPr>
          <w:p w14:paraId="19276BAA"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0.636</w:t>
            </w:r>
          </w:p>
        </w:tc>
        <w:tc>
          <w:tcPr>
            <w:tcW w:w="557" w:type="pct"/>
            <w:tcBorders>
              <w:top w:val="single" w:sz="4" w:space="0" w:color="auto"/>
              <w:left w:val="nil"/>
              <w:bottom w:val="single" w:sz="4" w:space="0" w:color="auto"/>
              <w:right w:val="nil"/>
            </w:tcBorders>
            <w:noWrap/>
            <w:vAlign w:val="center"/>
            <w:hideMark/>
          </w:tcPr>
          <w:p w14:paraId="185A05B8"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0.661</w:t>
            </w:r>
          </w:p>
        </w:tc>
        <w:tc>
          <w:tcPr>
            <w:tcW w:w="476" w:type="pct"/>
            <w:tcBorders>
              <w:top w:val="single" w:sz="4" w:space="0" w:color="auto"/>
              <w:left w:val="nil"/>
              <w:bottom w:val="single" w:sz="4" w:space="0" w:color="auto"/>
              <w:right w:val="nil"/>
            </w:tcBorders>
            <w:noWrap/>
            <w:vAlign w:val="center"/>
            <w:hideMark/>
          </w:tcPr>
          <w:p w14:paraId="509A16B8" w14:textId="77777777" w:rsidR="00AE564D" w:rsidRPr="0032702C" w:rsidRDefault="00AE564D" w:rsidP="00E26D3C">
            <w:pPr>
              <w:spacing w:after="0" w:line="240" w:lineRule="auto"/>
              <w:jc w:val="center"/>
              <w:rPr>
                <w:rFonts w:eastAsia="Times New Roman" w:cstheme="minorHAnsi"/>
                <w:color w:val="000000"/>
                <w:sz w:val="18"/>
                <w:szCs w:val="18"/>
                <w:highlight w:val="yellow"/>
              </w:rPr>
            </w:pPr>
            <w:r w:rsidRPr="0032702C">
              <w:rPr>
                <w:rFonts w:cstheme="minorHAnsi"/>
                <w:color w:val="000000"/>
                <w:sz w:val="18"/>
                <w:szCs w:val="18"/>
              </w:rPr>
              <w:t>0.686</w:t>
            </w:r>
          </w:p>
        </w:tc>
        <w:tc>
          <w:tcPr>
            <w:tcW w:w="451" w:type="pct"/>
            <w:tcBorders>
              <w:top w:val="single" w:sz="4" w:space="0" w:color="auto"/>
              <w:left w:val="nil"/>
              <w:bottom w:val="single" w:sz="4" w:space="0" w:color="auto"/>
              <w:right w:val="nil"/>
            </w:tcBorders>
            <w:noWrap/>
            <w:vAlign w:val="center"/>
            <w:hideMark/>
          </w:tcPr>
          <w:p w14:paraId="4266777F"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0.637</w:t>
            </w:r>
          </w:p>
        </w:tc>
        <w:tc>
          <w:tcPr>
            <w:tcW w:w="558" w:type="pct"/>
            <w:tcBorders>
              <w:top w:val="single" w:sz="4" w:space="0" w:color="auto"/>
              <w:left w:val="nil"/>
              <w:bottom w:val="single" w:sz="4" w:space="0" w:color="auto"/>
              <w:right w:val="nil"/>
            </w:tcBorders>
            <w:noWrap/>
            <w:vAlign w:val="center"/>
            <w:hideMark/>
          </w:tcPr>
          <w:p w14:paraId="70031721"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0.661</w:t>
            </w:r>
          </w:p>
        </w:tc>
        <w:tc>
          <w:tcPr>
            <w:tcW w:w="471" w:type="pct"/>
            <w:tcBorders>
              <w:top w:val="single" w:sz="4" w:space="0" w:color="auto"/>
              <w:left w:val="nil"/>
              <w:bottom w:val="single" w:sz="4" w:space="0" w:color="auto"/>
              <w:right w:val="single" w:sz="4" w:space="0" w:color="auto"/>
            </w:tcBorders>
            <w:noWrap/>
            <w:vAlign w:val="center"/>
            <w:hideMark/>
          </w:tcPr>
          <w:p w14:paraId="419B3E94" w14:textId="77777777" w:rsidR="00AE564D" w:rsidRPr="0032702C" w:rsidRDefault="00AE564D" w:rsidP="00E26D3C">
            <w:pPr>
              <w:spacing w:after="0" w:line="240" w:lineRule="auto"/>
              <w:jc w:val="center"/>
              <w:rPr>
                <w:rFonts w:eastAsia="Times New Roman" w:cstheme="minorHAnsi"/>
                <w:bCs/>
                <w:color w:val="000000"/>
                <w:sz w:val="18"/>
                <w:szCs w:val="18"/>
                <w:highlight w:val="yellow"/>
              </w:rPr>
            </w:pPr>
            <w:r w:rsidRPr="0032702C">
              <w:rPr>
                <w:rFonts w:cstheme="minorHAnsi"/>
                <w:color w:val="000000"/>
                <w:sz w:val="18"/>
                <w:szCs w:val="18"/>
              </w:rPr>
              <w:t>0.686</w:t>
            </w:r>
          </w:p>
        </w:tc>
      </w:tr>
    </w:tbl>
    <w:p w14:paraId="0DADACAC" w14:textId="77777777" w:rsidR="00AE564D" w:rsidRDefault="00AE564D" w:rsidP="00AE564D">
      <w:pPr>
        <w:spacing w:after="0" w:line="240" w:lineRule="auto"/>
      </w:pPr>
      <w:r>
        <w:br w:type="page"/>
      </w:r>
    </w:p>
    <w:p w14:paraId="5AC5EE2B" w14:textId="50A82E5C" w:rsidR="00AE564D" w:rsidRDefault="00AE564D" w:rsidP="00AE564D">
      <w:r>
        <w:lastRenderedPageBreak/>
        <w:t xml:space="preserve">ER was negatively related to </w:t>
      </w:r>
      <w:r w:rsidRPr="005F6AA9">
        <w:t>flow at all sites (</w:t>
      </w:r>
      <w:r w:rsidR="009A7194">
        <w:t>Table 5</w:t>
      </w:r>
      <w:r w:rsidR="009A7194">
        <w:noBreakHyphen/>
        <w:t>15</w:t>
      </w:r>
      <w:r w:rsidRPr="005F6AA9">
        <w:t>) as expected</w:t>
      </w:r>
      <w:r>
        <w:t xml:space="preserve"> due to the water dilution effect, </w:t>
      </w:r>
      <w:r w:rsidR="001C6A52">
        <w:t>however,</w:t>
      </w:r>
      <w:r>
        <w:t xml:space="preserve"> was only statistically significant at Murchison, as at the other four sites, the upper (2.5%) credible interval is above zero. The presence of a statistically significant inhibitory effect of light on ER at all sites except McCoy’s Bridge and Shepparton is surprising, and at this stage, unexplained.  A stimulatory effect </w:t>
      </w:r>
      <w:r w:rsidRPr="001C6A52">
        <w:t>might</w:t>
      </w:r>
      <w:r>
        <w:t xml:space="preserve"> be expected (as noted elsewhere) if there is sufficient </w:t>
      </w:r>
      <w:r w:rsidR="001C6A52">
        <w:t>light stimulated</w:t>
      </w:r>
      <w:r>
        <w:t xml:space="preserve"> GPP that then measurably enhances ER through increased organic carbon exudate production. The positive effect of temperature on ER at all sites (statistically significant at Arcadia Downs and Murchison) is expected due to microbial metabolic rates increasing with temperature. </w:t>
      </w:r>
    </w:p>
    <w:p w14:paraId="764EBD7C" w14:textId="04A7F9E1" w:rsidR="00AE564D" w:rsidRDefault="00AE564D" w:rsidP="00AE564D">
      <w:r>
        <w:t xml:space="preserve">The counterfactual models (run without environmental flows) demonstrate minor effects of the flows on rates of GPP and </w:t>
      </w:r>
      <w:r w:rsidRPr="005F6AA9">
        <w:t>ER (</w:t>
      </w:r>
      <w:r w:rsidR="009A7194">
        <w:t xml:space="preserve">Figure </w:t>
      </w:r>
      <w:r w:rsidR="009A7194">
        <w:rPr>
          <w:noProof/>
        </w:rPr>
        <w:t>5</w:t>
      </w:r>
      <w:r w:rsidR="009A7194">
        <w:noBreakHyphen/>
      </w:r>
      <w:r w:rsidR="009A7194">
        <w:rPr>
          <w:noProof/>
        </w:rPr>
        <w:t>11</w:t>
      </w:r>
      <w:r w:rsidRPr="005F6AA9">
        <w:t>). When using log-discharge as the predictor, almost all modelled differences for GPP and ER intercept the zero line, indicating no strong effect of environmental flows. This occurs even while medians are nearly all negative, reflecting the negative effects of flows seen in</w:t>
      </w:r>
      <w:r w:rsidR="001C6A52">
        <w:t xml:space="preserve"> </w:t>
      </w:r>
      <w:r w:rsidR="009A7194">
        <w:t>Table 5</w:t>
      </w:r>
      <w:r w:rsidR="009A7194">
        <w:noBreakHyphen/>
        <w:t>15</w:t>
      </w:r>
      <w:r w:rsidRPr="005F6AA9">
        <w:t>.</w:t>
      </w:r>
    </w:p>
    <w:p w14:paraId="5A866183" w14:textId="77777777" w:rsidR="001C6A52" w:rsidRDefault="00AE564D" w:rsidP="001C6A52">
      <w:pPr>
        <w:keepNext/>
        <w:jc w:val="center"/>
      </w:pPr>
      <w:r>
        <w:rPr>
          <w:noProof/>
          <w:lang w:val="en-GB"/>
        </w:rPr>
        <w:drawing>
          <wp:inline distT="0" distB="0" distL="0" distR="0" wp14:anchorId="48992C4B" wp14:editId="288F4E3A">
            <wp:extent cx="5728970" cy="2886710"/>
            <wp:effectExtent l="0" t="0" r="5080" b="8890"/>
            <wp:docPr id="571" name="Picture 57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71" descr="Chart, box and whisker chart&#10;&#10;Description automatically generated"/>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728970" cy="2886710"/>
                    </a:xfrm>
                    <a:prstGeom prst="rect">
                      <a:avLst/>
                    </a:prstGeom>
                    <a:noFill/>
                    <a:ln>
                      <a:noFill/>
                    </a:ln>
                  </pic:spPr>
                </pic:pic>
              </a:graphicData>
            </a:graphic>
          </wp:inline>
        </w:drawing>
      </w:r>
    </w:p>
    <w:p w14:paraId="45C84465" w14:textId="69333692" w:rsidR="00AE564D" w:rsidRDefault="001C6A52" w:rsidP="001C6A52">
      <w:pPr>
        <w:pStyle w:val="Caption"/>
      </w:pPr>
      <w:bookmarkStart w:id="288" w:name="_Ref83784674"/>
      <w:bookmarkStart w:id="289" w:name="_Toc83907755"/>
      <w:bookmarkStart w:id="290" w:name="_Toc84475656"/>
      <w:r>
        <w:t xml:space="preserve">Figure </w:t>
      </w:r>
      <w:r w:rsidR="009A7194">
        <w:rPr>
          <w:noProof/>
        </w:rPr>
        <w:t>5</w:t>
      </w:r>
      <w:r w:rsidR="00B85158">
        <w:noBreakHyphen/>
      </w:r>
      <w:r w:rsidR="009A7194">
        <w:rPr>
          <w:noProof/>
        </w:rPr>
        <w:t>11</w:t>
      </w:r>
      <w:bookmarkEnd w:id="288"/>
      <w:r>
        <w:t xml:space="preserve"> </w:t>
      </w:r>
      <w:r w:rsidRPr="00F7437C">
        <w:t>Effects of Environmental Flows (including watering actions) on rates of GPP and ER, using discharge (log(Q)) as the flow predictor. Y-axes show the differences in corresponding rates between with and without the environmental water delivered in 2019-20.</w:t>
      </w:r>
      <w:bookmarkEnd w:id="289"/>
      <w:bookmarkEnd w:id="290"/>
    </w:p>
    <w:p w14:paraId="4FE7ECE6" w14:textId="77777777" w:rsidR="005C14EF" w:rsidRDefault="005C14EF" w:rsidP="005C14EF">
      <w:r>
        <w:t>Higher flows suppress volumetric rates of GPP and ER (</w:t>
      </w:r>
      <w:proofErr w:type="gramStart"/>
      <w:r>
        <w:t>i.e.</w:t>
      </w:r>
      <w:proofErr w:type="gramEnd"/>
      <w:r>
        <w:t xml:space="preserve"> per litre of water, the amount of gross primary production and ecosystem respiration) </w:t>
      </w:r>
      <w:r w:rsidRPr="005C14EF">
        <w:t xml:space="preserve">decreases. Unlike some other river systems in the MDB, there is only one source of CEW water, so changes of CEW source affecting metabolic rates is not relevant to the Goulburn. For example, regulated water returning from the Chowilla Floodplains has a measurable impact on GPP and ER in the Lower Murray River. It has been noted in previous reports that inflows to the Goulburn River from anoxic summertime, storm event flows from Seven Creeks can adversely affect water quality (especially Dissolved Oxygen concentration) for as long as two weeks. Unfortunately, there are no nutrient data collected during such </w:t>
      </w:r>
      <w:proofErr w:type="gramStart"/>
      <w:r w:rsidRPr="005C14EF">
        <w:t>events</w:t>
      </w:r>
      <w:proofErr w:type="gramEnd"/>
      <w:r w:rsidRPr="005C14EF">
        <w:t xml:space="preserve"> so it is unclear whether such flows then induce greater metabolic rates through nutrient addition. Given the similarity in rates found upstream and downstream of Shepparton, it is extremely likely that the two tributaries entering the Goulburn (Seven Creeks and the Broken River) are not having any significant stimulatory or inhibitory impact on metabolism in the Goulburn River itself.</w:t>
      </w:r>
      <w:r>
        <w:t xml:space="preserve">   </w:t>
      </w:r>
    </w:p>
    <w:p w14:paraId="34AC2D7C" w14:textId="2ECD6004" w:rsidR="00AE564D" w:rsidRDefault="00AE564D" w:rsidP="00AE564D">
      <w:r>
        <w:t>When using delta discharge as the flow indicator (</w:t>
      </w:r>
      <w:r w:rsidR="009A7194">
        <w:t>Figure 5</w:t>
      </w:r>
      <w:r w:rsidR="009A7194">
        <w:noBreakHyphen/>
        <w:t>12</w:t>
      </w:r>
      <w:r>
        <w:t>), the flow effect on GPP is very similar to the above results (</w:t>
      </w:r>
      <w:r w:rsidR="009A7194">
        <w:t>Figure 5</w:t>
      </w:r>
      <w:r w:rsidR="009A7194">
        <w:noBreakHyphen/>
        <w:t>11</w:t>
      </w:r>
      <w:r>
        <w:t xml:space="preserve">), while the effect on ER is not entirely consistent with the above results. Significant increases in ER with environmental flows are predicted in Murchison, </w:t>
      </w:r>
      <w:proofErr w:type="gramStart"/>
      <w:r>
        <w:t>Shepparton</w:t>
      </w:r>
      <w:proofErr w:type="gramEnd"/>
      <w:r>
        <w:t xml:space="preserve"> and McCoy’s Bridge, while reductions in ER are predicted at Arcadia Downs and Loch Garry (</w:t>
      </w:r>
      <w:r w:rsidR="009A7194">
        <w:t>Figure 5</w:t>
      </w:r>
      <w:r w:rsidR="009A7194">
        <w:noBreakHyphen/>
        <w:t>12</w:t>
      </w:r>
      <w:r>
        <w:t>).  The origins of increases in ER with change in flow are currently under investigation. The inconsistency between sites is also puzzling, but it is noted this is not a longitudinal trend downstream.</w:t>
      </w:r>
    </w:p>
    <w:p w14:paraId="7396158D" w14:textId="77777777" w:rsidR="00D94C50" w:rsidRDefault="00AE564D" w:rsidP="00D94C50">
      <w:pPr>
        <w:keepNext/>
        <w:jc w:val="center"/>
      </w:pPr>
      <w:r>
        <w:rPr>
          <w:noProof/>
          <w:lang w:val="en-GB"/>
        </w:rPr>
        <w:lastRenderedPageBreak/>
        <w:drawing>
          <wp:inline distT="0" distB="0" distL="0" distR="0" wp14:anchorId="72DCC36D" wp14:editId="575A5FA3">
            <wp:extent cx="5734050" cy="3095625"/>
            <wp:effectExtent l="0" t="0" r="0" b="9525"/>
            <wp:docPr id="572" name="Picture 57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descr="Chart, box and whisker chart&#10;&#10;Description automatically generated"/>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734050" cy="3095625"/>
                    </a:xfrm>
                    <a:prstGeom prst="rect">
                      <a:avLst/>
                    </a:prstGeom>
                    <a:noFill/>
                    <a:ln>
                      <a:noFill/>
                    </a:ln>
                  </pic:spPr>
                </pic:pic>
              </a:graphicData>
            </a:graphic>
          </wp:inline>
        </w:drawing>
      </w:r>
    </w:p>
    <w:p w14:paraId="4C59BBE6" w14:textId="65FB7C58" w:rsidR="00AE564D" w:rsidRDefault="00D94C50" w:rsidP="00D94C50">
      <w:pPr>
        <w:pStyle w:val="Caption"/>
      </w:pPr>
      <w:bookmarkStart w:id="291" w:name="_Ref83784745"/>
      <w:bookmarkStart w:id="292" w:name="_Toc83907756"/>
      <w:bookmarkStart w:id="293" w:name="_Toc84475657"/>
      <w:r>
        <w:t xml:space="preserve">Figure </w:t>
      </w:r>
      <w:r w:rsidR="009A7194">
        <w:rPr>
          <w:noProof/>
        </w:rPr>
        <w:t>5</w:t>
      </w:r>
      <w:r w:rsidR="00B85158">
        <w:noBreakHyphen/>
      </w:r>
      <w:r w:rsidR="009A7194">
        <w:rPr>
          <w:noProof/>
        </w:rPr>
        <w:t>12</w:t>
      </w:r>
      <w:bookmarkEnd w:id="291"/>
      <w:r>
        <w:t xml:space="preserve"> </w:t>
      </w:r>
      <w:r w:rsidRPr="0029766F">
        <w:t>Effects of Environmental Flows (including watering actions) on rates of GPP and ER, using delta discharge (</w:t>
      </w:r>
      <w:proofErr w:type="spellStart"/>
      <w:r w:rsidRPr="0029766F">
        <w:t>diffQ</w:t>
      </w:r>
      <w:proofErr w:type="spellEnd"/>
      <w:r w:rsidRPr="0029766F">
        <w:t>) as the flow predictor. Y-axes show the differences in corresponding rates between with and without environmental water, which are presented</w:t>
      </w:r>
      <w:bookmarkEnd w:id="292"/>
      <w:bookmarkEnd w:id="293"/>
    </w:p>
    <w:p w14:paraId="4C7E5A97" w14:textId="5F2E8E67" w:rsidR="00AE564D" w:rsidRPr="0003427D" w:rsidRDefault="00AE564D" w:rsidP="00AE564D">
      <w:pPr>
        <w:pStyle w:val="Heading3"/>
      </w:pPr>
      <w:bookmarkStart w:id="294" w:name="_Toc84417360"/>
      <w:r w:rsidRPr="00BA2632">
        <w:t xml:space="preserve">Organic </w:t>
      </w:r>
      <w:r w:rsidR="00D62993">
        <w:t>c</w:t>
      </w:r>
      <w:r w:rsidRPr="00BA2632">
        <w:t xml:space="preserve">arbon </w:t>
      </w:r>
      <w:r w:rsidR="00D62993">
        <w:t>l</w:t>
      </w:r>
      <w:r w:rsidRPr="00BA2632">
        <w:t xml:space="preserve">oads and </w:t>
      </w:r>
      <w:r w:rsidR="00D62993">
        <w:t>f</w:t>
      </w:r>
      <w:r w:rsidRPr="00BA2632">
        <w:t xml:space="preserve">low </w:t>
      </w:r>
      <w:r w:rsidR="00D62993">
        <w:t>c</w:t>
      </w:r>
      <w:r w:rsidRPr="00BA2632">
        <w:t>ategories</w:t>
      </w:r>
      <w:bookmarkEnd w:id="294"/>
    </w:p>
    <w:p w14:paraId="266638FC" w14:textId="5836D470" w:rsidR="00AE564D" w:rsidRPr="00BA2632" w:rsidRDefault="00AE564D" w:rsidP="00AE564D">
      <w:r w:rsidRPr="00A30E90">
        <w:t xml:space="preserve">For the three sites (Day Rd/Murchison, Darcy’s Track/Arcadia </w:t>
      </w:r>
      <w:proofErr w:type="gramStart"/>
      <w:r w:rsidRPr="00A30E90">
        <w:t>Downs</w:t>
      </w:r>
      <w:proofErr w:type="gramEnd"/>
      <w:r w:rsidRPr="00A30E90">
        <w:t xml:space="preserve"> and McCoy’s Bridge) where flow categorization is possible according to</w:t>
      </w:r>
      <w:r w:rsidR="00A30E90">
        <w:t xml:space="preserve"> </w:t>
      </w:r>
      <w:r w:rsidR="009A7194" w:rsidRPr="00BA2632">
        <w:t xml:space="preserve">Table </w:t>
      </w:r>
      <w:r w:rsidR="009A7194">
        <w:rPr>
          <w:noProof/>
        </w:rPr>
        <w:t>5</w:t>
      </w:r>
      <w:r w:rsidR="009A7194">
        <w:noBreakHyphen/>
      </w:r>
      <w:r w:rsidR="009A7194">
        <w:rPr>
          <w:noProof/>
        </w:rPr>
        <w:t>3</w:t>
      </w:r>
      <w:r w:rsidRPr="00A30E90">
        <w:t xml:space="preserve">, daily loads of organic carbon created by GPP and consumed by ER have been stratified into these categories using all seven </w:t>
      </w:r>
      <w:r w:rsidR="00465FE3">
        <w:t xml:space="preserve">years </w:t>
      </w:r>
      <w:r w:rsidRPr="00A30E90">
        <w:t xml:space="preserve">of available data from the LTIM and MER programs. Almost all days (&gt; 99%) with metabolic parameter estimates meeting acceptance criteria fall into four flow categories: Very Low Flow (VL), Moderately Low Flow (ML), Low Fresh Flow (LF) and Medium Fresh (MF). The summary statistics for these daily organic carbon load data are presented in </w:t>
      </w:r>
      <w:r w:rsidR="009A7194">
        <w:t xml:space="preserve">Table </w:t>
      </w:r>
      <w:r w:rsidR="009A7194">
        <w:rPr>
          <w:noProof/>
        </w:rPr>
        <w:t>5</w:t>
      </w:r>
      <w:r w:rsidR="009A7194">
        <w:noBreakHyphen/>
      </w:r>
      <w:r w:rsidR="009A7194">
        <w:rPr>
          <w:noProof/>
        </w:rPr>
        <w:t>16</w:t>
      </w:r>
      <w:r w:rsidR="00A30E90">
        <w:t xml:space="preserve"> </w:t>
      </w:r>
      <w:r w:rsidRPr="00A30E90">
        <w:t xml:space="preserve">(GPP) and </w:t>
      </w:r>
      <w:r w:rsidR="009A7194">
        <w:t xml:space="preserve">Table </w:t>
      </w:r>
      <w:r w:rsidR="009A7194">
        <w:rPr>
          <w:noProof/>
        </w:rPr>
        <w:t>5</w:t>
      </w:r>
      <w:r w:rsidR="009A7194">
        <w:noBreakHyphen/>
      </w:r>
      <w:r w:rsidR="009A7194">
        <w:rPr>
          <w:noProof/>
        </w:rPr>
        <w:t>17</w:t>
      </w:r>
      <w:r w:rsidR="00A30E90">
        <w:t xml:space="preserve"> </w:t>
      </w:r>
      <w:r w:rsidRPr="00A30E90">
        <w:t xml:space="preserve">(ER). The two respective box plots are </w:t>
      </w:r>
      <w:r w:rsidR="009A7194">
        <w:t>Figure 5</w:t>
      </w:r>
      <w:r w:rsidR="009A7194">
        <w:noBreakHyphen/>
        <w:t>13</w:t>
      </w:r>
      <w:r w:rsidR="00A30E90">
        <w:t xml:space="preserve"> </w:t>
      </w:r>
      <w:r w:rsidRPr="00A30E90">
        <w:t xml:space="preserve">(GPP) </w:t>
      </w:r>
      <w:r w:rsidRPr="00EF167B">
        <w:t xml:space="preserve">and </w:t>
      </w:r>
      <w:r w:rsidR="009A7194">
        <w:t>Figure 5</w:t>
      </w:r>
      <w:r w:rsidR="009A7194">
        <w:noBreakHyphen/>
        <w:t>14</w:t>
      </w:r>
      <w:r w:rsidR="00EF167B" w:rsidRPr="00EF167B">
        <w:t xml:space="preserve"> </w:t>
      </w:r>
      <w:r w:rsidRPr="00EF167B">
        <w:t>(ER).</w:t>
      </w:r>
      <w:r w:rsidRPr="00BA2632">
        <w:t xml:space="preserve"> </w:t>
      </w:r>
    </w:p>
    <w:p w14:paraId="3AA4E521" w14:textId="77777777" w:rsidR="00AE564D" w:rsidRPr="00BA2632" w:rsidRDefault="00AE564D" w:rsidP="00AE564D">
      <w:pPr>
        <w:pStyle w:val="Para0"/>
      </w:pPr>
    </w:p>
    <w:p w14:paraId="62F6E4B3" w14:textId="77777777" w:rsidR="00AE564D" w:rsidRPr="00BA2632" w:rsidRDefault="00AE564D" w:rsidP="00AE564D">
      <w:pPr>
        <w:spacing w:after="0" w:line="240" w:lineRule="auto"/>
        <w:sectPr w:rsidR="00AE564D" w:rsidRPr="00BA2632" w:rsidSect="00054BC7">
          <w:pgSz w:w="11906" w:h="16838"/>
          <w:pgMar w:top="567" w:right="851" w:bottom="851" w:left="1134" w:header="709" w:footer="709" w:gutter="0"/>
          <w:cols w:space="720"/>
        </w:sectPr>
      </w:pPr>
    </w:p>
    <w:p w14:paraId="77EA5ACE" w14:textId="3EDE51C0" w:rsidR="00D94C50" w:rsidRDefault="00D94C50" w:rsidP="00D94C50">
      <w:pPr>
        <w:pStyle w:val="Caption"/>
        <w:keepNext/>
      </w:pPr>
      <w:bookmarkStart w:id="295" w:name="_Ref83784951"/>
      <w:bookmarkStart w:id="296" w:name="_Toc95391477"/>
      <w:r>
        <w:lastRenderedPageBreak/>
        <w:t xml:space="preserve">Table </w:t>
      </w:r>
      <w:r w:rsidR="009A7194">
        <w:rPr>
          <w:noProof/>
        </w:rPr>
        <w:t>5</w:t>
      </w:r>
      <w:r w:rsidR="000B75AF">
        <w:noBreakHyphen/>
      </w:r>
      <w:r w:rsidR="009A7194">
        <w:rPr>
          <w:noProof/>
        </w:rPr>
        <w:t>16</w:t>
      </w:r>
      <w:bookmarkEnd w:id="295"/>
      <w:r>
        <w:t xml:space="preserve"> </w:t>
      </w:r>
      <w:r w:rsidRPr="00285B3F">
        <w:t>Summary Statistics for Daily Organic Carbon Load (kg Org C/Day) created by GPP, stratified by Season, Site and Flow Category. All data from 2014-2021.</w:t>
      </w:r>
      <w:bookmarkEnd w:id="296"/>
    </w:p>
    <w:tbl>
      <w:tblPr>
        <w:tblW w:w="13645" w:type="dxa"/>
        <w:jc w:val="center"/>
        <w:tblLook w:val="04A0" w:firstRow="1" w:lastRow="0" w:firstColumn="1" w:lastColumn="0" w:noHBand="0" w:noVBand="1"/>
      </w:tblPr>
      <w:tblGrid>
        <w:gridCol w:w="808"/>
        <w:gridCol w:w="1000"/>
        <w:gridCol w:w="1008"/>
        <w:gridCol w:w="536"/>
        <w:gridCol w:w="656"/>
        <w:gridCol w:w="776"/>
        <w:gridCol w:w="596"/>
        <w:gridCol w:w="636"/>
        <w:gridCol w:w="777"/>
        <w:gridCol w:w="588"/>
        <w:gridCol w:w="581"/>
        <w:gridCol w:w="880"/>
        <w:gridCol w:w="528"/>
        <w:gridCol w:w="641"/>
        <w:gridCol w:w="716"/>
        <w:gridCol w:w="581"/>
        <w:gridCol w:w="596"/>
        <w:gridCol w:w="796"/>
        <w:gridCol w:w="581"/>
        <w:gridCol w:w="581"/>
      </w:tblGrid>
      <w:tr w:rsidR="00AE564D" w:rsidRPr="00D94C50" w14:paraId="6840BE1F" w14:textId="77777777" w:rsidTr="00D94C50">
        <w:trPr>
          <w:trHeight w:val="255"/>
          <w:jc w:val="center"/>
        </w:trPr>
        <w:tc>
          <w:tcPr>
            <w:tcW w:w="743" w:type="dxa"/>
            <w:tcBorders>
              <w:top w:val="single" w:sz="8" w:space="0" w:color="002060"/>
              <w:left w:val="single" w:sz="8" w:space="0" w:color="002060"/>
              <w:bottom w:val="nil"/>
              <w:right w:val="single" w:sz="8" w:space="0" w:color="002060"/>
            </w:tcBorders>
            <w:shd w:val="clear" w:color="000000" w:fill="002060"/>
            <w:noWrap/>
            <w:vAlign w:val="center"/>
            <w:hideMark/>
          </w:tcPr>
          <w:p w14:paraId="74046288"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Season</w:t>
            </w:r>
          </w:p>
        </w:tc>
        <w:tc>
          <w:tcPr>
            <w:tcW w:w="1000" w:type="dxa"/>
            <w:tcBorders>
              <w:top w:val="single" w:sz="8" w:space="0" w:color="002060"/>
              <w:left w:val="nil"/>
              <w:bottom w:val="single" w:sz="8" w:space="0" w:color="002060"/>
              <w:right w:val="single" w:sz="8" w:space="0" w:color="002060"/>
            </w:tcBorders>
            <w:shd w:val="clear" w:color="000000" w:fill="002060"/>
            <w:noWrap/>
            <w:vAlign w:val="center"/>
            <w:hideMark/>
          </w:tcPr>
          <w:p w14:paraId="6744EA73"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Site</w:t>
            </w:r>
          </w:p>
        </w:tc>
        <w:tc>
          <w:tcPr>
            <w:tcW w:w="1008" w:type="dxa"/>
            <w:tcBorders>
              <w:top w:val="single" w:sz="8" w:space="0" w:color="002060"/>
              <w:left w:val="nil"/>
              <w:bottom w:val="single" w:sz="8" w:space="0" w:color="002060"/>
              <w:right w:val="nil"/>
            </w:tcBorders>
            <w:shd w:val="clear" w:color="000000" w:fill="002060"/>
            <w:noWrap/>
            <w:vAlign w:val="center"/>
            <w:hideMark/>
          </w:tcPr>
          <w:p w14:paraId="59E31F1C"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Flow Cat</w:t>
            </w:r>
          </w:p>
        </w:tc>
        <w:tc>
          <w:tcPr>
            <w:tcW w:w="536" w:type="dxa"/>
            <w:tcBorders>
              <w:top w:val="single" w:sz="8" w:space="0" w:color="002060"/>
              <w:left w:val="nil"/>
              <w:bottom w:val="single" w:sz="8" w:space="0" w:color="002060"/>
              <w:right w:val="nil"/>
            </w:tcBorders>
            <w:shd w:val="clear" w:color="000000" w:fill="002060"/>
            <w:noWrap/>
            <w:vAlign w:val="center"/>
            <w:hideMark/>
          </w:tcPr>
          <w:p w14:paraId="792D4D22"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n</w:t>
            </w:r>
          </w:p>
        </w:tc>
        <w:tc>
          <w:tcPr>
            <w:tcW w:w="656" w:type="dxa"/>
            <w:tcBorders>
              <w:top w:val="single" w:sz="8" w:space="0" w:color="002060"/>
              <w:left w:val="nil"/>
              <w:bottom w:val="single" w:sz="8" w:space="0" w:color="002060"/>
              <w:right w:val="nil"/>
            </w:tcBorders>
            <w:shd w:val="clear" w:color="000000" w:fill="002060"/>
            <w:noWrap/>
            <w:vAlign w:val="center"/>
            <w:hideMark/>
          </w:tcPr>
          <w:p w14:paraId="59F51AFE"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Mean</w:t>
            </w:r>
          </w:p>
        </w:tc>
        <w:tc>
          <w:tcPr>
            <w:tcW w:w="776" w:type="dxa"/>
            <w:tcBorders>
              <w:top w:val="single" w:sz="8" w:space="0" w:color="002060"/>
              <w:left w:val="nil"/>
              <w:bottom w:val="single" w:sz="8" w:space="0" w:color="002060"/>
              <w:right w:val="nil"/>
            </w:tcBorders>
            <w:shd w:val="clear" w:color="000000" w:fill="002060"/>
            <w:noWrap/>
            <w:vAlign w:val="center"/>
            <w:hideMark/>
          </w:tcPr>
          <w:p w14:paraId="2B19760A"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Std Dev</w:t>
            </w:r>
          </w:p>
        </w:tc>
        <w:tc>
          <w:tcPr>
            <w:tcW w:w="596" w:type="dxa"/>
            <w:tcBorders>
              <w:top w:val="single" w:sz="8" w:space="0" w:color="002060"/>
              <w:left w:val="nil"/>
              <w:bottom w:val="single" w:sz="8" w:space="0" w:color="002060"/>
              <w:right w:val="nil"/>
            </w:tcBorders>
            <w:shd w:val="clear" w:color="000000" w:fill="002060"/>
            <w:noWrap/>
            <w:vAlign w:val="center"/>
            <w:hideMark/>
          </w:tcPr>
          <w:p w14:paraId="0AD22977"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Min</w:t>
            </w:r>
          </w:p>
        </w:tc>
        <w:tc>
          <w:tcPr>
            <w:tcW w:w="636" w:type="dxa"/>
            <w:tcBorders>
              <w:top w:val="single" w:sz="8" w:space="0" w:color="002060"/>
              <w:left w:val="nil"/>
              <w:bottom w:val="single" w:sz="8" w:space="0" w:color="002060"/>
              <w:right w:val="nil"/>
            </w:tcBorders>
            <w:shd w:val="clear" w:color="000000" w:fill="002060"/>
            <w:noWrap/>
            <w:vAlign w:val="center"/>
            <w:hideMark/>
          </w:tcPr>
          <w:p w14:paraId="3B8D66D0"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Max</w:t>
            </w:r>
          </w:p>
        </w:tc>
        <w:tc>
          <w:tcPr>
            <w:tcW w:w="776" w:type="dxa"/>
            <w:tcBorders>
              <w:top w:val="single" w:sz="8" w:space="0" w:color="002060"/>
              <w:left w:val="nil"/>
              <w:bottom w:val="single" w:sz="8" w:space="0" w:color="002060"/>
              <w:right w:val="nil"/>
            </w:tcBorders>
            <w:shd w:val="clear" w:color="000000" w:fill="002060"/>
            <w:noWrap/>
            <w:vAlign w:val="center"/>
            <w:hideMark/>
          </w:tcPr>
          <w:p w14:paraId="3AAE1653"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Median</w:t>
            </w:r>
          </w:p>
        </w:tc>
        <w:tc>
          <w:tcPr>
            <w:tcW w:w="588" w:type="dxa"/>
            <w:tcBorders>
              <w:top w:val="single" w:sz="8" w:space="0" w:color="002060"/>
              <w:left w:val="nil"/>
              <w:bottom w:val="single" w:sz="8" w:space="0" w:color="002060"/>
              <w:right w:val="single" w:sz="8" w:space="0" w:color="002060"/>
            </w:tcBorders>
            <w:shd w:val="clear" w:color="000000" w:fill="002060"/>
            <w:noWrap/>
            <w:vAlign w:val="center"/>
            <w:hideMark/>
          </w:tcPr>
          <w:p w14:paraId="439B430C"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25%</w:t>
            </w:r>
          </w:p>
        </w:tc>
        <w:tc>
          <w:tcPr>
            <w:tcW w:w="580" w:type="dxa"/>
            <w:tcBorders>
              <w:top w:val="single" w:sz="8" w:space="0" w:color="002060"/>
              <w:left w:val="nil"/>
              <w:bottom w:val="single" w:sz="8" w:space="0" w:color="002060"/>
              <w:right w:val="single" w:sz="8" w:space="0" w:color="002060"/>
            </w:tcBorders>
            <w:shd w:val="clear" w:color="000000" w:fill="002060"/>
            <w:noWrap/>
            <w:vAlign w:val="center"/>
            <w:hideMark/>
          </w:tcPr>
          <w:p w14:paraId="3667F57B"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75%</w:t>
            </w:r>
          </w:p>
        </w:tc>
        <w:tc>
          <w:tcPr>
            <w:tcW w:w="880" w:type="dxa"/>
            <w:tcBorders>
              <w:top w:val="single" w:sz="8" w:space="0" w:color="002060"/>
              <w:left w:val="nil"/>
              <w:bottom w:val="nil"/>
              <w:right w:val="single" w:sz="8" w:space="0" w:color="002060"/>
            </w:tcBorders>
            <w:shd w:val="clear" w:color="000000" w:fill="002060"/>
            <w:noWrap/>
            <w:vAlign w:val="center"/>
            <w:hideMark/>
          </w:tcPr>
          <w:p w14:paraId="4D414C85"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Season</w:t>
            </w:r>
          </w:p>
        </w:tc>
        <w:tc>
          <w:tcPr>
            <w:tcW w:w="528" w:type="dxa"/>
            <w:tcBorders>
              <w:top w:val="single" w:sz="8" w:space="0" w:color="002060"/>
              <w:left w:val="nil"/>
              <w:bottom w:val="single" w:sz="8" w:space="0" w:color="002060"/>
              <w:right w:val="nil"/>
            </w:tcBorders>
            <w:shd w:val="clear" w:color="000000" w:fill="002060"/>
            <w:noWrap/>
            <w:vAlign w:val="center"/>
            <w:hideMark/>
          </w:tcPr>
          <w:p w14:paraId="5D21662D"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n</w:t>
            </w:r>
          </w:p>
        </w:tc>
        <w:tc>
          <w:tcPr>
            <w:tcW w:w="596" w:type="dxa"/>
            <w:tcBorders>
              <w:top w:val="single" w:sz="8" w:space="0" w:color="002060"/>
              <w:left w:val="nil"/>
              <w:bottom w:val="single" w:sz="8" w:space="0" w:color="002060"/>
              <w:right w:val="nil"/>
            </w:tcBorders>
            <w:shd w:val="clear" w:color="000000" w:fill="002060"/>
            <w:noWrap/>
            <w:vAlign w:val="center"/>
            <w:hideMark/>
          </w:tcPr>
          <w:p w14:paraId="6559C0B6"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Mean</w:t>
            </w:r>
          </w:p>
        </w:tc>
        <w:tc>
          <w:tcPr>
            <w:tcW w:w="716" w:type="dxa"/>
            <w:tcBorders>
              <w:top w:val="single" w:sz="8" w:space="0" w:color="002060"/>
              <w:left w:val="nil"/>
              <w:bottom w:val="single" w:sz="8" w:space="0" w:color="002060"/>
              <w:right w:val="nil"/>
            </w:tcBorders>
            <w:shd w:val="clear" w:color="000000" w:fill="002060"/>
            <w:noWrap/>
            <w:vAlign w:val="center"/>
            <w:hideMark/>
          </w:tcPr>
          <w:p w14:paraId="3F42E354"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Std Dev</w:t>
            </w:r>
          </w:p>
        </w:tc>
        <w:tc>
          <w:tcPr>
            <w:tcW w:w="556" w:type="dxa"/>
            <w:tcBorders>
              <w:top w:val="single" w:sz="8" w:space="0" w:color="002060"/>
              <w:left w:val="nil"/>
              <w:bottom w:val="single" w:sz="8" w:space="0" w:color="002060"/>
              <w:right w:val="nil"/>
            </w:tcBorders>
            <w:shd w:val="clear" w:color="000000" w:fill="002060"/>
            <w:noWrap/>
            <w:vAlign w:val="center"/>
            <w:hideMark/>
          </w:tcPr>
          <w:p w14:paraId="0417E5DC"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Min</w:t>
            </w:r>
          </w:p>
        </w:tc>
        <w:tc>
          <w:tcPr>
            <w:tcW w:w="596" w:type="dxa"/>
            <w:tcBorders>
              <w:top w:val="single" w:sz="8" w:space="0" w:color="002060"/>
              <w:left w:val="nil"/>
              <w:bottom w:val="single" w:sz="8" w:space="0" w:color="002060"/>
              <w:right w:val="nil"/>
            </w:tcBorders>
            <w:shd w:val="clear" w:color="000000" w:fill="002060"/>
            <w:noWrap/>
            <w:vAlign w:val="center"/>
            <w:hideMark/>
          </w:tcPr>
          <w:p w14:paraId="23D9E252"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Max</w:t>
            </w:r>
          </w:p>
        </w:tc>
        <w:tc>
          <w:tcPr>
            <w:tcW w:w="796" w:type="dxa"/>
            <w:tcBorders>
              <w:top w:val="single" w:sz="8" w:space="0" w:color="002060"/>
              <w:left w:val="nil"/>
              <w:bottom w:val="single" w:sz="8" w:space="0" w:color="002060"/>
              <w:right w:val="nil"/>
            </w:tcBorders>
            <w:shd w:val="clear" w:color="000000" w:fill="002060"/>
            <w:noWrap/>
            <w:vAlign w:val="center"/>
            <w:hideMark/>
          </w:tcPr>
          <w:p w14:paraId="78CC1C82"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Median</w:t>
            </w:r>
          </w:p>
        </w:tc>
        <w:tc>
          <w:tcPr>
            <w:tcW w:w="541" w:type="dxa"/>
            <w:tcBorders>
              <w:top w:val="single" w:sz="8" w:space="0" w:color="002060"/>
              <w:left w:val="nil"/>
              <w:bottom w:val="single" w:sz="8" w:space="0" w:color="002060"/>
              <w:right w:val="single" w:sz="8" w:space="0" w:color="002060"/>
            </w:tcBorders>
            <w:shd w:val="clear" w:color="000000" w:fill="002060"/>
            <w:noWrap/>
            <w:vAlign w:val="center"/>
            <w:hideMark/>
          </w:tcPr>
          <w:p w14:paraId="496E9452"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25%</w:t>
            </w:r>
          </w:p>
        </w:tc>
        <w:tc>
          <w:tcPr>
            <w:tcW w:w="541" w:type="dxa"/>
            <w:tcBorders>
              <w:top w:val="single" w:sz="8" w:space="0" w:color="002060"/>
              <w:left w:val="nil"/>
              <w:bottom w:val="single" w:sz="8" w:space="0" w:color="002060"/>
              <w:right w:val="single" w:sz="8" w:space="0" w:color="002060"/>
            </w:tcBorders>
            <w:shd w:val="clear" w:color="000000" w:fill="002060"/>
            <w:noWrap/>
            <w:vAlign w:val="center"/>
            <w:hideMark/>
          </w:tcPr>
          <w:p w14:paraId="323CF99D"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75%</w:t>
            </w:r>
          </w:p>
        </w:tc>
      </w:tr>
      <w:tr w:rsidR="00AE564D" w:rsidRPr="00D94C50" w14:paraId="3209BAE2" w14:textId="77777777" w:rsidTr="00D94C50">
        <w:trPr>
          <w:trHeight w:val="255"/>
          <w:jc w:val="center"/>
        </w:trPr>
        <w:tc>
          <w:tcPr>
            <w:tcW w:w="743" w:type="dxa"/>
            <w:vMerge w:val="restart"/>
            <w:tcBorders>
              <w:top w:val="single" w:sz="8" w:space="0" w:color="002060"/>
              <w:left w:val="single" w:sz="8" w:space="0" w:color="002060"/>
              <w:bottom w:val="nil"/>
              <w:right w:val="single" w:sz="8" w:space="0" w:color="002060"/>
            </w:tcBorders>
            <w:shd w:val="clear" w:color="000000" w:fill="002060"/>
            <w:noWrap/>
            <w:vAlign w:val="center"/>
            <w:hideMark/>
          </w:tcPr>
          <w:p w14:paraId="16CA8D0C"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Spring</w:t>
            </w: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7391BA6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Arcadia Downs / Darcy's Track</w:t>
            </w:r>
          </w:p>
        </w:tc>
        <w:tc>
          <w:tcPr>
            <w:tcW w:w="1008" w:type="dxa"/>
            <w:tcBorders>
              <w:top w:val="nil"/>
              <w:left w:val="nil"/>
              <w:bottom w:val="nil"/>
              <w:right w:val="nil"/>
            </w:tcBorders>
            <w:shd w:val="clear" w:color="auto" w:fill="auto"/>
            <w:noWrap/>
            <w:vAlign w:val="center"/>
            <w:hideMark/>
          </w:tcPr>
          <w:p w14:paraId="38A918B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Very Low</w:t>
            </w:r>
          </w:p>
        </w:tc>
        <w:tc>
          <w:tcPr>
            <w:tcW w:w="536" w:type="dxa"/>
            <w:tcBorders>
              <w:top w:val="nil"/>
              <w:left w:val="nil"/>
              <w:bottom w:val="nil"/>
              <w:right w:val="nil"/>
            </w:tcBorders>
            <w:shd w:val="clear" w:color="auto" w:fill="auto"/>
            <w:noWrap/>
            <w:vAlign w:val="center"/>
            <w:hideMark/>
          </w:tcPr>
          <w:p w14:paraId="4A255AA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37</w:t>
            </w:r>
          </w:p>
        </w:tc>
        <w:tc>
          <w:tcPr>
            <w:tcW w:w="656" w:type="dxa"/>
            <w:tcBorders>
              <w:top w:val="nil"/>
              <w:left w:val="nil"/>
              <w:bottom w:val="nil"/>
              <w:right w:val="nil"/>
            </w:tcBorders>
            <w:shd w:val="clear" w:color="auto" w:fill="auto"/>
            <w:noWrap/>
            <w:vAlign w:val="center"/>
            <w:hideMark/>
          </w:tcPr>
          <w:p w14:paraId="16147BE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446</w:t>
            </w:r>
          </w:p>
        </w:tc>
        <w:tc>
          <w:tcPr>
            <w:tcW w:w="776" w:type="dxa"/>
            <w:tcBorders>
              <w:top w:val="nil"/>
              <w:left w:val="nil"/>
              <w:bottom w:val="nil"/>
              <w:right w:val="nil"/>
            </w:tcBorders>
            <w:shd w:val="clear" w:color="auto" w:fill="auto"/>
            <w:noWrap/>
            <w:vAlign w:val="center"/>
            <w:hideMark/>
          </w:tcPr>
          <w:p w14:paraId="2AE2640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205</w:t>
            </w:r>
          </w:p>
        </w:tc>
        <w:tc>
          <w:tcPr>
            <w:tcW w:w="596" w:type="dxa"/>
            <w:tcBorders>
              <w:top w:val="nil"/>
              <w:left w:val="nil"/>
              <w:bottom w:val="nil"/>
              <w:right w:val="nil"/>
            </w:tcBorders>
            <w:shd w:val="clear" w:color="auto" w:fill="auto"/>
            <w:noWrap/>
            <w:vAlign w:val="center"/>
            <w:hideMark/>
          </w:tcPr>
          <w:p w14:paraId="4A25085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158</w:t>
            </w:r>
          </w:p>
        </w:tc>
        <w:tc>
          <w:tcPr>
            <w:tcW w:w="636" w:type="dxa"/>
            <w:tcBorders>
              <w:top w:val="nil"/>
              <w:left w:val="nil"/>
              <w:bottom w:val="nil"/>
              <w:right w:val="nil"/>
            </w:tcBorders>
            <w:shd w:val="clear" w:color="auto" w:fill="auto"/>
            <w:noWrap/>
            <w:vAlign w:val="center"/>
            <w:hideMark/>
          </w:tcPr>
          <w:p w14:paraId="09BE8FC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1228</w:t>
            </w:r>
          </w:p>
        </w:tc>
        <w:tc>
          <w:tcPr>
            <w:tcW w:w="776" w:type="dxa"/>
            <w:tcBorders>
              <w:top w:val="nil"/>
              <w:left w:val="nil"/>
              <w:bottom w:val="nil"/>
              <w:right w:val="nil"/>
            </w:tcBorders>
            <w:shd w:val="clear" w:color="auto" w:fill="auto"/>
            <w:noWrap/>
            <w:vAlign w:val="center"/>
            <w:hideMark/>
          </w:tcPr>
          <w:p w14:paraId="6E9DD34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417</w:t>
            </w:r>
          </w:p>
        </w:tc>
        <w:tc>
          <w:tcPr>
            <w:tcW w:w="588" w:type="dxa"/>
            <w:tcBorders>
              <w:top w:val="nil"/>
              <w:left w:val="nil"/>
              <w:bottom w:val="nil"/>
              <w:right w:val="nil"/>
            </w:tcBorders>
            <w:shd w:val="clear" w:color="auto" w:fill="auto"/>
            <w:noWrap/>
            <w:vAlign w:val="center"/>
            <w:hideMark/>
          </w:tcPr>
          <w:p w14:paraId="37BE2CE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268</w:t>
            </w:r>
          </w:p>
        </w:tc>
        <w:tc>
          <w:tcPr>
            <w:tcW w:w="580" w:type="dxa"/>
            <w:tcBorders>
              <w:top w:val="nil"/>
              <w:left w:val="nil"/>
              <w:bottom w:val="nil"/>
              <w:right w:val="single" w:sz="8" w:space="0" w:color="002060"/>
            </w:tcBorders>
            <w:shd w:val="clear" w:color="auto" w:fill="auto"/>
            <w:noWrap/>
            <w:vAlign w:val="center"/>
            <w:hideMark/>
          </w:tcPr>
          <w:p w14:paraId="15CE182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569</w:t>
            </w:r>
          </w:p>
        </w:tc>
        <w:tc>
          <w:tcPr>
            <w:tcW w:w="880" w:type="dxa"/>
            <w:vMerge w:val="restart"/>
            <w:tcBorders>
              <w:top w:val="single" w:sz="8" w:space="0" w:color="002060"/>
              <w:left w:val="single" w:sz="8" w:space="0" w:color="002060"/>
              <w:bottom w:val="nil"/>
              <w:right w:val="single" w:sz="8" w:space="0" w:color="002060"/>
            </w:tcBorders>
            <w:shd w:val="clear" w:color="000000" w:fill="002060"/>
            <w:noWrap/>
            <w:vAlign w:val="center"/>
            <w:hideMark/>
          </w:tcPr>
          <w:p w14:paraId="1E814F69"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Summer</w:t>
            </w:r>
          </w:p>
        </w:tc>
        <w:tc>
          <w:tcPr>
            <w:tcW w:w="528" w:type="dxa"/>
            <w:tcBorders>
              <w:top w:val="nil"/>
              <w:left w:val="nil"/>
              <w:bottom w:val="nil"/>
              <w:right w:val="nil"/>
            </w:tcBorders>
            <w:shd w:val="clear" w:color="auto" w:fill="auto"/>
            <w:noWrap/>
            <w:vAlign w:val="center"/>
            <w:hideMark/>
          </w:tcPr>
          <w:p w14:paraId="61D02E4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38</w:t>
            </w:r>
          </w:p>
        </w:tc>
        <w:tc>
          <w:tcPr>
            <w:tcW w:w="596" w:type="dxa"/>
            <w:tcBorders>
              <w:top w:val="nil"/>
              <w:left w:val="nil"/>
              <w:bottom w:val="nil"/>
              <w:right w:val="nil"/>
            </w:tcBorders>
            <w:shd w:val="clear" w:color="auto" w:fill="auto"/>
            <w:noWrap/>
            <w:vAlign w:val="center"/>
            <w:hideMark/>
          </w:tcPr>
          <w:p w14:paraId="0A8D6B4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1039</w:t>
            </w:r>
          </w:p>
        </w:tc>
        <w:tc>
          <w:tcPr>
            <w:tcW w:w="716" w:type="dxa"/>
            <w:tcBorders>
              <w:top w:val="nil"/>
              <w:left w:val="nil"/>
              <w:bottom w:val="nil"/>
              <w:right w:val="nil"/>
            </w:tcBorders>
            <w:shd w:val="clear" w:color="auto" w:fill="auto"/>
            <w:noWrap/>
            <w:vAlign w:val="center"/>
            <w:hideMark/>
          </w:tcPr>
          <w:p w14:paraId="6E58A5A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547</w:t>
            </w:r>
          </w:p>
        </w:tc>
        <w:tc>
          <w:tcPr>
            <w:tcW w:w="556" w:type="dxa"/>
            <w:tcBorders>
              <w:top w:val="nil"/>
              <w:left w:val="nil"/>
              <w:bottom w:val="nil"/>
              <w:right w:val="nil"/>
            </w:tcBorders>
            <w:shd w:val="clear" w:color="auto" w:fill="auto"/>
            <w:noWrap/>
            <w:vAlign w:val="center"/>
            <w:hideMark/>
          </w:tcPr>
          <w:p w14:paraId="59D8005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273</w:t>
            </w:r>
          </w:p>
        </w:tc>
        <w:tc>
          <w:tcPr>
            <w:tcW w:w="596" w:type="dxa"/>
            <w:tcBorders>
              <w:top w:val="nil"/>
              <w:left w:val="nil"/>
              <w:bottom w:val="nil"/>
              <w:right w:val="nil"/>
            </w:tcBorders>
            <w:shd w:val="clear" w:color="auto" w:fill="auto"/>
            <w:noWrap/>
            <w:vAlign w:val="center"/>
            <w:hideMark/>
          </w:tcPr>
          <w:p w14:paraId="4E91C91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1889</w:t>
            </w:r>
          </w:p>
        </w:tc>
        <w:tc>
          <w:tcPr>
            <w:tcW w:w="796" w:type="dxa"/>
            <w:tcBorders>
              <w:top w:val="nil"/>
              <w:left w:val="nil"/>
              <w:bottom w:val="nil"/>
              <w:right w:val="nil"/>
            </w:tcBorders>
            <w:shd w:val="clear" w:color="auto" w:fill="auto"/>
            <w:noWrap/>
            <w:vAlign w:val="center"/>
            <w:hideMark/>
          </w:tcPr>
          <w:p w14:paraId="49DB8B9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872</w:t>
            </w:r>
          </w:p>
        </w:tc>
        <w:tc>
          <w:tcPr>
            <w:tcW w:w="541" w:type="dxa"/>
            <w:tcBorders>
              <w:top w:val="nil"/>
              <w:left w:val="nil"/>
              <w:bottom w:val="nil"/>
              <w:right w:val="nil"/>
            </w:tcBorders>
            <w:shd w:val="clear" w:color="auto" w:fill="auto"/>
            <w:noWrap/>
            <w:vAlign w:val="center"/>
            <w:hideMark/>
          </w:tcPr>
          <w:p w14:paraId="0687B1D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563</w:t>
            </w:r>
          </w:p>
        </w:tc>
        <w:tc>
          <w:tcPr>
            <w:tcW w:w="541" w:type="dxa"/>
            <w:tcBorders>
              <w:top w:val="nil"/>
              <w:left w:val="nil"/>
              <w:bottom w:val="nil"/>
              <w:right w:val="single" w:sz="8" w:space="0" w:color="002060"/>
            </w:tcBorders>
            <w:shd w:val="clear" w:color="auto" w:fill="auto"/>
            <w:noWrap/>
            <w:vAlign w:val="center"/>
            <w:hideMark/>
          </w:tcPr>
          <w:p w14:paraId="1EBF757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1593</w:t>
            </w:r>
          </w:p>
        </w:tc>
      </w:tr>
      <w:tr w:rsidR="00AE564D" w:rsidRPr="00D94C50" w14:paraId="502D455E" w14:textId="77777777" w:rsidTr="00D94C50">
        <w:trPr>
          <w:trHeight w:val="255"/>
          <w:jc w:val="center"/>
        </w:trPr>
        <w:tc>
          <w:tcPr>
            <w:tcW w:w="743" w:type="dxa"/>
            <w:vMerge/>
            <w:tcBorders>
              <w:top w:val="single" w:sz="8" w:space="0" w:color="002060"/>
              <w:left w:val="single" w:sz="8" w:space="0" w:color="002060"/>
              <w:bottom w:val="nil"/>
              <w:right w:val="single" w:sz="8" w:space="0" w:color="002060"/>
            </w:tcBorders>
            <w:vAlign w:val="center"/>
            <w:hideMark/>
          </w:tcPr>
          <w:p w14:paraId="3A533E7A"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2690A803"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168A3ED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5099064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79</w:t>
            </w:r>
          </w:p>
        </w:tc>
        <w:tc>
          <w:tcPr>
            <w:tcW w:w="656" w:type="dxa"/>
            <w:tcBorders>
              <w:top w:val="nil"/>
              <w:left w:val="nil"/>
              <w:bottom w:val="nil"/>
              <w:right w:val="nil"/>
            </w:tcBorders>
            <w:shd w:val="clear" w:color="auto" w:fill="auto"/>
            <w:noWrap/>
            <w:vAlign w:val="center"/>
            <w:hideMark/>
          </w:tcPr>
          <w:p w14:paraId="1992EC0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894</w:t>
            </w:r>
          </w:p>
        </w:tc>
        <w:tc>
          <w:tcPr>
            <w:tcW w:w="776" w:type="dxa"/>
            <w:tcBorders>
              <w:top w:val="nil"/>
              <w:left w:val="nil"/>
              <w:bottom w:val="nil"/>
              <w:right w:val="nil"/>
            </w:tcBorders>
            <w:shd w:val="clear" w:color="auto" w:fill="auto"/>
            <w:noWrap/>
            <w:vAlign w:val="center"/>
            <w:hideMark/>
          </w:tcPr>
          <w:p w14:paraId="3474686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662</w:t>
            </w:r>
          </w:p>
        </w:tc>
        <w:tc>
          <w:tcPr>
            <w:tcW w:w="596" w:type="dxa"/>
            <w:tcBorders>
              <w:top w:val="nil"/>
              <w:left w:val="nil"/>
              <w:bottom w:val="nil"/>
              <w:right w:val="nil"/>
            </w:tcBorders>
            <w:shd w:val="clear" w:color="auto" w:fill="auto"/>
            <w:noWrap/>
            <w:vAlign w:val="center"/>
            <w:hideMark/>
          </w:tcPr>
          <w:p w14:paraId="70D7392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145</w:t>
            </w:r>
          </w:p>
        </w:tc>
        <w:tc>
          <w:tcPr>
            <w:tcW w:w="636" w:type="dxa"/>
            <w:tcBorders>
              <w:top w:val="nil"/>
              <w:left w:val="nil"/>
              <w:bottom w:val="nil"/>
              <w:right w:val="nil"/>
            </w:tcBorders>
            <w:shd w:val="clear" w:color="auto" w:fill="auto"/>
            <w:noWrap/>
            <w:vAlign w:val="center"/>
            <w:hideMark/>
          </w:tcPr>
          <w:p w14:paraId="0BB843F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3884</w:t>
            </w:r>
          </w:p>
        </w:tc>
        <w:tc>
          <w:tcPr>
            <w:tcW w:w="776" w:type="dxa"/>
            <w:tcBorders>
              <w:top w:val="nil"/>
              <w:left w:val="nil"/>
              <w:bottom w:val="nil"/>
              <w:right w:val="nil"/>
            </w:tcBorders>
            <w:shd w:val="clear" w:color="auto" w:fill="auto"/>
            <w:noWrap/>
            <w:vAlign w:val="center"/>
            <w:hideMark/>
          </w:tcPr>
          <w:p w14:paraId="3713460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793</w:t>
            </w:r>
          </w:p>
        </w:tc>
        <w:tc>
          <w:tcPr>
            <w:tcW w:w="588" w:type="dxa"/>
            <w:tcBorders>
              <w:top w:val="nil"/>
              <w:left w:val="nil"/>
              <w:bottom w:val="nil"/>
              <w:right w:val="nil"/>
            </w:tcBorders>
            <w:shd w:val="clear" w:color="auto" w:fill="auto"/>
            <w:noWrap/>
            <w:vAlign w:val="center"/>
            <w:hideMark/>
          </w:tcPr>
          <w:p w14:paraId="7971327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463</w:t>
            </w:r>
          </w:p>
        </w:tc>
        <w:tc>
          <w:tcPr>
            <w:tcW w:w="580" w:type="dxa"/>
            <w:tcBorders>
              <w:top w:val="nil"/>
              <w:left w:val="nil"/>
              <w:bottom w:val="nil"/>
              <w:right w:val="single" w:sz="8" w:space="0" w:color="002060"/>
            </w:tcBorders>
            <w:shd w:val="clear" w:color="auto" w:fill="auto"/>
            <w:noWrap/>
            <w:vAlign w:val="center"/>
            <w:hideMark/>
          </w:tcPr>
          <w:p w14:paraId="06AA99A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988</w:t>
            </w:r>
          </w:p>
        </w:tc>
        <w:tc>
          <w:tcPr>
            <w:tcW w:w="880" w:type="dxa"/>
            <w:vMerge/>
            <w:tcBorders>
              <w:top w:val="single" w:sz="8" w:space="0" w:color="002060"/>
              <w:left w:val="single" w:sz="8" w:space="0" w:color="002060"/>
              <w:bottom w:val="nil"/>
              <w:right w:val="single" w:sz="8" w:space="0" w:color="002060"/>
            </w:tcBorders>
            <w:vAlign w:val="center"/>
            <w:hideMark/>
          </w:tcPr>
          <w:p w14:paraId="59D4CCEB"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53C630E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152</w:t>
            </w:r>
          </w:p>
        </w:tc>
        <w:tc>
          <w:tcPr>
            <w:tcW w:w="596" w:type="dxa"/>
            <w:tcBorders>
              <w:top w:val="nil"/>
              <w:left w:val="nil"/>
              <w:bottom w:val="nil"/>
              <w:right w:val="nil"/>
            </w:tcBorders>
            <w:shd w:val="clear" w:color="auto" w:fill="auto"/>
            <w:noWrap/>
            <w:vAlign w:val="center"/>
            <w:hideMark/>
          </w:tcPr>
          <w:p w14:paraId="754E1BF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1006</w:t>
            </w:r>
          </w:p>
        </w:tc>
        <w:tc>
          <w:tcPr>
            <w:tcW w:w="716" w:type="dxa"/>
            <w:tcBorders>
              <w:top w:val="nil"/>
              <w:left w:val="nil"/>
              <w:bottom w:val="nil"/>
              <w:right w:val="nil"/>
            </w:tcBorders>
            <w:shd w:val="clear" w:color="auto" w:fill="auto"/>
            <w:noWrap/>
            <w:vAlign w:val="center"/>
            <w:hideMark/>
          </w:tcPr>
          <w:p w14:paraId="50932EE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566</w:t>
            </w:r>
          </w:p>
        </w:tc>
        <w:tc>
          <w:tcPr>
            <w:tcW w:w="556" w:type="dxa"/>
            <w:tcBorders>
              <w:top w:val="nil"/>
              <w:left w:val="nil"/>
              <w:bottom w:val="nil"/>
              <w:right w:val="nil"/>
            </w:tcBorders>
            <w:shd w:val="clear" w:color="auto" w:fill="auto"/>
            <w:noWrap/>
            <w:vAlign w:val="center"/>
            <w:hideMark/>
          </w:tcPr>
          <w:p w14:paraId="397BA7B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122</w:t>
            </w:r>
          </w:p>
        </w:tc>
        <w:tc>
          <w:tcPr>
            <w:tcW w:w="596" w:type="dxa"/>
            <w:tcBorders>
              <w:top w:val="nil"/>
              <w:left w:val="nil"/>
              <w:bottom w:val="nil"/>
              <w:right w:val="nil"/>
            </w:tcBorders>
            <w:shd w:val="clear" w:color="auto" w:fill="auto"/>
            <w:noWrap/>
            <w:vAlign w:val="center"/>
            <w:hideMark/>
          </w:tcPr>
          <w:p w14:paraId="57DEEA9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5197</w:t>
            </w:r>
          </w:p>
        </w:tc>
        <w:tc>
          <w:tcPr>
            <w:tcW w:w="796" w:type="dxa"/>
            <w:tcBorders>
              <w:top w:val="nil"/>
              <w:left w:val="nil"/>
              <w:bottom w:val="nil"/>
              <w:right w:val="nil"/>
            </w:tcBorders>
            <w:shd w:val="clear" w:color="auto" w:fill="auto"/>
            <w:noWrap/>
            <w:vAlign w:val="center"/>
            <w:hideMark/>
          </w:tcPr>
          <w:p w14:paraId="1DDB1A3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909</w:t>
            </w:r>
          </w:p>
        </w:tc>
        <w:tc>
          <w:tcPr>
            <w:tcW w:w="541" w:type="dxa"/>
            <w:tcBorders>
              <w:top w:val="nil"/>
              <w:left w:val="nil"/>
              <w:bottom w:val="nil"/>
              <w:right w:val="nil"/>
            </w:tcBorders>
            <w:shd w:val="clear" w:color="auto" w:fill="auto"/>
            <w:noWrap/>
            <w:vAlign w:val="center"/>
            <w:hideMark/>
          </w:tcPr>
          <w:p w14:paraId="7988BA7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699</w:t>
            </w:r>
          </w:p>
        </w:tc>
        <w:tc>
          <w:tcPr>
            <w:tcW w:w="541" w:type="dxa"/>
            <w:tcBorders>
              <w:top w:val="nil"/>
              <w:left w:val="nil"/>
              <w:bottom w:val="nil"/>
              <w:right w:val="single" w:sz="8" w:space="0" w:color="002060"/>
            </w:tcBorders>
            <w:shd w:val="clear" w:color="auto" w:fill="auto"/>
            <w:noWrap/>
            <w:vAlign w:val="center"/>
            <w:hideMark/>
          </w:tcPr>
          <w:p w14:paraId="0D6754C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1206</w:t>
            </w:r>
          </w:p>
        </w:tc>
      </w:tr>
      <w:tr w:rsidR="00AE564D" w:rsidRPr="00D94C50" w14:paraId="6ADB9A57" w14:textId="77777777" w:rsidTr="00D94C50">
        <w:trPr>
          <w:trHeight w:val="255"/>
          <w:jc w:val="center"/>
        </w:trPr>
        <w:tc>
          <w:tcPr>
            <w:tcW w:w="743" w:type="dxa"/>
            <w:vMerge/>
            <w:tcBorders>
              <w:top w:val="single" w:sz="8" w:space="0" w:color="002060"/>
              <w:left w:val="single" w:sz="8" w:space="0" w:color="002060"/>
              <w:bottom w:val="nil"/>
              <w:right w:val="single" w:sz="8" w:space="0" w:color="002060"/>
            </w:tcBorders>
            <w:vAlign w:val="center"/>
            <w:hideMark/>
          </w:tcPr>
          <w:p w14:paraId="73CAFB84"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4D1FE506"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5BA1EA9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6DB0E99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29</w:t>
            </w:r>
          </w:p>
        </w:tc>
        <w:tc>
          <w:tcPr>
            <w:tcW w:w="656" w:type="dxa"/>
            <w:tcBorders>
              <w:top w:val="nil"/>
              <w:left w:val="nil"/>
              <w:bottom w:val="nil"/>
              <w:right w:val="nil"/>
            </w:tcBorders>
            <w:shd w:val="clear" w:color="auto" w:fill="auto"/>
            <w:noWrap/>
            <w:vAlign w:val="center"/>
            <w:hideMark/>
          </w:tcPr>
          <w:p w14:paraId="36FEE83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588</w:t>
            </w:r>
          </w:p>
        </w:tc>
        <w:tc>
          <w:tcPr>
            <w:tcW w:w="776" w:type="dxa"/>
            <w:tcBorders>
              <w:top w:val="nil"/>
              <w:left w:val="nil"/>
              <w:bottom w:val="nil"/>
              <w:right w:val="nil"/>
            </w:tcBorders>
            <w:shd w:val="clear" w:color="auto" w:fill="auto"/>
            <w:noWrap/>
            <w:vAlign w:val="center"/>
            <w:hideMark/>
          </w:tcPr>
          <w:p w14:paraId="6C1EE75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327</w:t>
            </w:r>
          </w:p>
        </w:tc>
        <w:tc>
          <w:tcPr>
            <w:tcW w:w="596" w:type="dxa"/>
            <w:tcBorders>
              <w:top w:val="nil"/>
              <w:left w:val="nil"/>
              <w:bottom w:val="nil"/>
              <w:right w:val="nil"/>
            </w:tcBorders>
            <w:shd w:val="clear" w:color="auto" w:fill="auto"/>
            <w:noWrap/>
            <w:vAlign w:val="center"/>
            <w:hideMark/>
          </w:tcPr>
          <w:p w14:paraId="789D9CE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144</w:t>
            </w:r>
          </w:p>
        </w:tc>
        <w:tc>
          <w:tcPr>
            <w:tcW w:w="636" w:type="dxa"/>
            <w:tcBorders>
              <w:top w:val="nil"/>
              <w:left w:val="nil"/>
              <w:bottom w:val="nil"/>
              <w:right w:val="nil"/>
            </w:tcBorders>
            <w:shd w:val="clear" w:color="auto" w:fill="auto"/>
            <w:noWrap/>
            <w:vAlign w:val="center"/>
            <w:hideMark/>
          </w:tcPr>
          <w:p w14:paraId="5199B2B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1500</w:t>
            </w:r>
          </w:p>
        </w:tc>
        <w:tc>
          <w:tcPr>
            <w:tcW w:w="776" w:type="dxa"/>
            <w:tcBorders>
              <w:top w:val="nil"/>
              <w:left w:val="nil"/>
              <w:bottom w:val="nil"/>
              <w:right w:val="nil"/>
            </w:tcBorders>
            <w:shd w:val="clear" w:color="auto" w:fill="auto"/>
            <w:noWrap/>
            <w:vAlign w:val="center"/>
            <w:hideMark/>
          </w:tcPr>
          <w:p w14:paraId="106A247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487</w:t>
            </w:r>
          </w:p>
        </w:tc>
        <w:tc>
          <w:tcPr>
            <w:tcW w:w="588" w:type="dxa"/>
            <w:tcBorders>
              <w:top w:val="nil"/>
              <w:left w:val="nil"/>
              <w:bottom w:val="nil"/>
              <w:right w:val="nil"/>
            </w:tcBorders>
            <w:shd w:val="clear" w:color="auto" w:fill="auto"/>
            <w:noWrap/>
            <w:vAlign w:val="center"/>
            <w:hideMark/>
          </w:tcPr>
          <w:p w14:paraId="5305F17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373</w:t>
            </w:r>
          </w:p>
        </w:tc>
        <w:tc>
          <w:tcPr>
            <w:tcW w:w="580" w:type="dxa"/>
            <w:tcBorders>
              <w:top w:val="nil"/>
              <w:left w:val="nil"/>
              <w:bottom w:val="nil"/>
              <w:right w:val="single" w:sz="8" w:space="0" w:color="002060"/>
            </w:tcBorders>
            <w:shd w:val="clear" w:color="auto" w:fill="auto"/>
            <w:noWrap/>
            <w:vAlign w:val="center"/>
            <w:hideMark/>
          </w:tcPr>
          <w:p w14:paraId="260CAB2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697</w:t>
            </w:r>
          </w:p>
        </w:tc>
        <w:tc>
          <w:tcPr>
            <w:tcW w:w="880" w:type="dxa"/>
            <w:vMerge/>
            <w:tcBorders>
              <w:top w:val="single" w:sz="8" w:space="0" w:color="002060"/>
              <w:left w:val="single" w:sz="8" w:space="0" w:color="002060"/>
              <w:bottom w:val="nil"/>
              <w:right w:val="single" w:sz="8" w:space="0" w:color="002060"/>
            </w:tcBorders>
            <w:vAlign w:val="center"/>
            <w:hideMark/>
          </w:tcPr>
          <w:p w14:paraId="4F0F0A54"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0F0C087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93</w:t>
            </w:r>
          </w:p>
        </w:tc>
        <w:tc>
          <w:tcPr>
            <w:tcW w:w="596" w:type="dxa"/>
            <w:tcBorders>
              <w:top w:val="nil"/>
              <w:left w:val="nil"/>
              <w:bottom w:val="nil"/>
              <w:right w:val="nil"/>
            </w:tcBorders>
            <w:shd w:val="clear" w:color="auto" w:fill="auto"/>
            <w:noWrap/>
            <w:vAlign w:val="center"/>
            <w:hideMark/>
          </w:tcPr>
          <w:p w14:paraId="5BAD8FC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1142</w:t>
            </w:r>
          </w:p>
        </w:tc>
        <w:tc>
          <w:tcPr>
            <w:tcW w:w="716" w:type="dxa"/>
            <w:tcBorders>
              <w:top w:val="nil"/>
              <w:left w:val="nil"/>
              <w:bottom w:val="nil"/>
              <w:right w:val="nil"/>
            </w:tcBorders>
            <w:shd w:val="clear" w:color="auto" w:fill="auto"/>
            <w:noWrap/>
            <w:vAlign w:val="center"/>
            <w:hideMark/>
          </w:tcPr>
          <w:p w14:paraId="2C728BC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394</w:t>
            </w:r>
          </w:p>
        </w:tc>
        <w:tc>
          <w:tcPr>
            <w:tcW w:w="556" w:type="dxa"/>
            <w:tcBorders>
              <w:top w:val="nil"/>
              <w:left w:val="nil"/>
              <w:bottom w:val="nil"/>
              <w:right w:val="nil"/>
            </w:tcBorders>
            <w:shd w:val="clear" w:color="auto" w:fill="auto"/>
            <w:noWrap/>
            <w:vAlign w:val="center"/>
            <w:hideMark/>
          </w:tcPr>
          <w:p w14:paraId="4168549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47</w:t>
            </w:r>
          </w:p>
        </w:tc>
        <w:tc>
          <w:tcPr>
            <w:tcW w:w="596" w:type="dxa"/>
            <w:tcBorders>
              <w:top w:val="nil"/>
              <w:left w:val="nil"/>
              <w:bottom w:val="nil"/>
              <w:right w:val="nil"/>
            </w:tcBorders>
            <w:shd w:val="clear" w:color="auto" w:fill="auto"/>
            <w:noWrap/>
            <w:vAlign w:val="center"/>
            <w:hideMark/>
          </w:tcPr>
          <w:p w14:paraId="5A82DB4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2542</w:t>
            </w:r>
          </w:p>
        </w:tc>
        <w:tc>
          <w:tcPr>
            <w:tcW w:w="796" w:type="dxa"/>
            <w:tcBorders>
              <w:top w:val="nil"/>
              <w:left w:val="nil"/>
              <w:bottom w:val="nil"/>
              <w:right w:val="nil"/>
            </w:tcBorders>
            <w:shd w:val="clear" w:color="auto" w:fill="auto"/>
            <w:noWrap/>
            <w:vAlign w:val="center"/>
            <w:hideMark/>
          </w:tcPr>
          <w:p w14:paraId="6923479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1113</w:t>
            </w:r>
          </w:p>
        </w:tc>
        <w:tc>
          <w:tcPr>
            <w:tcW w:w="541" w:type="dxa"/>
            <w:tcBorders>
              <w:top w:val="nil"/>
              <w:left w:val="nil"/>
              <w:bottom w:val="nil"/>
              <w:right w:val="nil"/>
            </w:tcBorders>
            <w:shd w:val="clear" w:color="auto" w:fill="auto"/>
            <w:noWrap/>
            <w:vAlign w:val="center"/>
            <w:hideMark/>
          </w:tcPr>
          <w:p w14:paraId="097EAEB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895</w:t>
            </w:r>
          </w:p>
        </w:tc>
        <w:tc>
          <w:tcPr>
            <w:tcW w:w="541" w:type="dxa"/>
            <w:tcBorders>
              <w:top w:val="nil"/>
              <w:left w:val="nil"/>
              <w:bottom w:val="nil"/>
              <w:right w:val="single" w:sz="8" w:space="0" w:color="002060"/>
            </w:tcBorders>
            <w:shd w:val="clear" w:color="auto" w:fill="auto"/>
            <w:noWrap/>
            <w:vAlign w:val="center"/>
            <w:hideMark/>
          </w:tcPr>
          <w:p w14:paraId="5C029A0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1375</w:t>
            </w:r>
          </w:p>
        </w:tc>
      </w:tr>
      <w:tr w:rsidR="00AE564D" w:rsidRPr="00D94C50" w14:paraId="72D2C10B" w14:textId="77777777" w:rsidTr="00D94C50">
        <w:trPr>
          <w:trHeight w:val="255"/>
          <w:jc w:val="center"/>
        </w:trPr>
        <w:tc>
          <w:tcPr>
            <w:tcW w:w="743" w:type="dxa"/>
            <w:vMerge/>
            <w:tcBorders>
              <w:top w:val="single" w:sz="8" w:space="0" w:color="002060"/>
              <w:left w:val="single" w:sz="8" w:space="0" w:color="002060"/>
              <w:bottom w:val="nil"/>
              <w:right w:val="single" w:sz="8" w:space="0" w:color="002060"/>
            </w:tcBorders>
            <w:vAlign w:val="center"/>
            <w:hideMark/>
          </w:tcPr>
          <w:p w14:paraId="05BCE45C"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3A914E80"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737D5D5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Med Fresh</w:t>
            </w:r>
          </w:p>
        </w:tc>
        <w:tc>
          <w:tcPr>
            <w:tcW w:w="536" w:type="dxa"/>
            <w:tcBorders>
              <w:top w:val="nil"/>
              <w:left w:val="nil"/>
              <w:bottom w:val="nil"/>
              <w:right w:val="nil"/>
            </w:tcBorders>
            <w:shd w:val="clear" w:color="auto" w:fill="auto"/>
            <w:noWrap/>
            <w:vAlign w:val="center"/>
            <w:hideMark/>
          </w:tcPr>
          <w:p w14:paraId="2B73A2F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30</w:t>
            </w:r>
          </w:p>
        </w:tc>
        <w:tc>
          <w:tcPr>
            <w:tcW w:w="656" w:type="dxa"/>
            <w:tcBorders>
              <w:top w:val="nil"/>
              <w:left w:val="nil"/>
              <w:bottom w:val="nil"/>
              <w:right w:val="nil"/>
            </w:tcBorders>
            <w:shd w:val="clear" w:color="auto" w:fill="auto"/>
            <w:noWrap/>
            <w:vAlign w:val="center"/>
            <w:hideMark/>
          </w:tcPr>
          <w:p w14:paraId="0E3F79A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837</w:t>
            </w:r>
          </w:p>
        </w:tc>
        <w:tc>
          <w:tcPr>
            <w:tcW w:w="776" w:type="dxa"/>
            <w:tcBorders>
              <w:top w:val="nil"/>
              <w:left w:val="nil"/>
              <w:bottom w:val="nil"/>
              <w:right w:val="nil"/>
            </w:tcBorders>
            <w:shd w:val="clear" w:color="auto" w:fill="auto"/>
            <w:noWrap/>
            <w:vAlign w:val="center"/>
            <w:hideMark/>
          </w:tcPr>
          <w:p w14:paraId="342BD88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538</w:t>
            </w:r>
          </w:p>
        </w:tc>
        <w:tc>
          <w:tcPr>
            <w:tcW w:w="596" w:type="dxa"/>
            <w:tcBorders>
              <w:top w:val="nil"/>
              <w:left w:val="nil"/>
              <w:bottom w:val="nil"/>
              <w:right w:val="nil"/>
            </w:tcBorders>
            <w:shd w:val="clear" w:color="auto" w:fill="auto"/>
            <w:noWrap/>
            <w:vAlign w:val="center"/>
            <w:hideMark/>
          </w:tcPr>
          <w:p w14:paraId="111ECED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69</w:t>
            </w:r>
          </w:p>
        </w:tc>
        <w:tc>
          <w:tcPr>
            <w:tcW w:w="636" w:type="dxa"/>
            <w:tcBorders>
              <w:top w:val="nil"/>
              <w:left w:val="nil"/>
              <w:bottom w:val="nil"/>
              <w:right w:val="nil"/>
            </w:tcBorders>
            <w:shd w:val="clear" w:color="auto" w:fill="auto"/>
            <w:noWrap/>
            <w:vAlign w:val="center"/>
            <w:hideMark/>
          </w:tcPr>
          <w:p w14:paraId="65F119F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2017</w:t>
            </w:r>
          </w:p>
        </w:tc>
        <w:tc>
          <w:tcPr>
            <w:tcW w:w="776" w:type="dxa"/>
            <w:tcBorders>
              <w:top w:val="nil"/>
              <w:left w:val="nil"/>
              <w:bottom w:val="nil"/>
              <w:right w:val="nil"/>
            </w:tcBorders>
            <w:shd w:val="clear" w:color="auto" w:fill="auto"/>
            <w:noWrap/>
            <w:vAlign w:val="center"/>
            <w:hideMark/>
          </w:tcPr>
          <w:p w14:paraId="6D7E041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745</w:t>
            </w:r>
          </w:p>
        </w:tc>
        <w:tc>
          <w:tcPr>
            <w:tcW w:w="588" w:type="dxa"/>
            <w:tcBorders>
              <w:top w:val="nil"/>
              <w:left w:val="nil"/>
              <w:bottom w:val="nil"/>
              <w:right w:val="nil"/>
            </w:tcBorders>
            <w:shd w:val="clear" w:color="auto" w:fill="auto"/>
            <w:noWrap/>
            <w:vAlign w:val="center"/>
            <w:hideMark/>
          </w:tcPr>
          <w:p w14:paraId="16703E7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475</w:t>
            </w:r>
          </w:p>
        </w:tc>
        <w:tc>
          <w:tcPr>
            <w:tcW w:w="580" w:type="dxa"/>
            <w:tcBorders>
              <w:top w:val="nil"/>
              <w:left w:val="nil"/>
              <w:bottom w:val="nil"/>
              <w:right w:val="single" w:sz="8" w:space="0" w:color="002060"/>
            </w:tcBorders>
            <w:shd w:val="clear" w:color="auto" w:fill="auto"/>
            <w:noWrap/>
            <w:vAlign w:val="center"/>
            <w:hideMark/>
          </w:tcPr>
          <w:p w14:paraId="6B1895E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1026</w:t>
            </w:r>
          </w:p>
        </w:tc>
        <w:tc>
          <w:tcPr>
            <w:tcW w:w="880" w:type="dxa"/>
            <w:vMerge/>
            <w:tcBorders>
              <w:top w:val="single" w:sz="8" w:space="0" w:color="002060"/>
              <w:left w:val="single" w:sz="8" w:space="0" w:color="002060"/>
              <w:bottom w:val="nil"/>
              <w:right w:val="single" w:sz="8" w:space="0" w:color="002060"/>
            </w:tcBorders>
            <w:vAlign w:val="center"/>
            <w:hideMark/>
          </w:tcPr>
          <w:p w14:paraId="293C57E7"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0B04F26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19</w:t>
            </w:r>
          </w:p>
        </w:tc>
        <w:tc>
          <w:tcPr>
            <w:tcW w:w="596" w:type="dxa"/>
            <w:tcBorders>
              <w:top w:val="nil"/>
              <w:left w:val="nil"/>
              <w:bottom w:val="nil"/>
              <w:right w:val="nil"/>
            </w:tcBorders>
            <w:shd w:val="clear" w:color="auto" w:fill="auto"/>
            <w:noWrap/>
            <w:vAlign w:val="center"/>
            <w:hideMark/>
          </w:tcPr>
          <w:p w14:paraId="57D3A60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2068</w:t>
            </w:r>
          </w:p>
        </w:tc>
        <w:tc>
          <w:tcPr>
            <w:tcW w:w="716" w:type="dxa"/>
            <w:tcBorders>
              <w:top w:val="nil"/>
              <w:left w:val="nil"/>
              <w:bottom w:val="nil"/>
              <w:right w:val="nil"/>
            </w:tcBorders>
            <w:shd w:val="clear" w:color="auto" w:fill="auto"/>
            <w:noWrap/>
            <w:vAlign w:val="center"/>
            <w:hideMark/>
          </w:tcPr>
          <w:p w14:paraId="6D94D06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1381</w:t>
            </w:r>
          </w:p>
        </w:tc>
        <w:tc>
          <w:tcPr>
            <w:tcW w:w="556" w:type="dxa"/>
            <w:tcBorders>
              <w:top w:val="nil"/>
              <w:left w:val="nil"/>
              <w:bottom w:val="nil"/>
              <w:right w:val="nil"/>
            </w:tcBorders>
            <w:shd w:val="clear" w:color="auto" w:fill="auto"/>
            <w:noWrap/>
            <w:vAlign w:val="center"/>
            <w:hideMark/>
          </w:tcPr>
          <w:p w14:paraId="010CD1C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935</w:t>
            </w:r>
          </w:p>
        </w:tc>
        <w:tc>
          <w:tcPr>
            <w:tcW w:w="596" w:type="dxa"/>
            <w:tcBorders>
              <w:top w:val="nil"/>
              <w:left w:val="nil"/>
              <w:bottom w:val="nil"/>
              <w:right w:val="nil"/>
            </w:tcBorders>
            <w:shd w:val="clear" w:color="auto" w:fill="auto"/>
            <w:noWrap/>
            <w:vAlign w:val="center"/>
            <w:hideMark/>
          </w:tcPr>
          <w:p w14:paraId="63D93DA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7558</w:t>
            </w:r>
          </w:p>
        </w:tc>
        <w:tc>
          <w:tcPr>
            <w:tcW w:w="796" w:type="dxa"/>
            <w:tcBorders>
              <w:top w:val="nil"/>
              <w:left w:val="nil"/>
              <w:bottom w:val="nil"/>
              <w:right w:val="nil"/>
            </w:tcBorders>
            <w:shd w:val="clear" w:color="auto" w:fill="auto"/>
            <w:noWrap/>
            <w:vAlign w:val="center"/>
            <w:hideMark/>
          </w:tcPr>
          <w:p w14:paraId="201FE30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1789</w:t>
            </w:r>
          </w:p>
        </w:tc>
        <w:tc>
          <w:tcPr>
            <w:tcW w:w="541" w:type="dxa"/>
            <w:tcBorders>
              <w:top w:val="nil"/>
              <w:left w:val="nil"/>
              <w:bottom w:val="nil"/>
              <w:right w:val="nil"/>
            </w:tcBorders>
            <w:shd w:val="clear" w:color="auto" w:fill="auto"/>
            <w:noWrap/>
            <w:vAlign w:val="center"/>
            <w:hideMark/>
          </w:tcPr>
          <w:p w14:paraId="025545E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1730</w:t>
            </w:r>
          </w:p>
        </w:tc>
        <w:tc>
          <w:tcPr>
            <w:tcW w:w="541" w:type="dxa"/>
            <w:tcBorders>
              <w:top w:val="nil"/>
              <w:left w:val="nil"/>
              <w:bottom w:val="nil"/>
              <w:right w:val="single" w:sz="8" w:space="0" w:color="002060"/>
            </w:tcBorders>
            <w:shd w:val="clear" w:color="auto" w:fill="auto"/>
            <w:noWrap/>
            <w:vAlign w:val="center"/>
            <w:hideMark/>
          </w:tcPr>
          <w:p w14:paraId="1C6892C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2047</w:t>
            </w:r>
          </w:p>
        </w:tc>
      </w:tr>
      <w:tr w:rsidR="00AE564D" w:rsidRPr="00D94C50" w14:paraId="53CDB6C6" w14:textId="77777777" w:rsidTr="00D94C50">
        <w:trPr>
          <w:trHeight w:val="255"/>
          <w:jc w:val="center"/>
        </w:trPr>
        <w:tc>
          <w:tcPr>
            <w:tcW w:w="743" w:type="dxa"/>
            <w:vMerge/>
            <w:tcBorders>
              <w:top w:val="single" w:sz="8" w:space="0" w:color="002060"/>
              <w:left w:val="single" w:sz="8" w:space="0" w:color="002060"/>
              <w:bottom w:val="nil"/>
              <w:right w:val="single" w:sz="8" w:space="0" w:color="002060"/>
            </w:tcBorders>
            <w:vAlign w:val="center"/>
            <w:hideMark/>
          </w:tcPr>
          <w:p w14:paraId="1A44A60E"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56A31FA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McCoy's Bridge</w:t>
            </w:r>
          </w:p>
        </w:tc>
        <w:tc>
          <w:tcPr>
            <w:tcW w:w="1008" w:type="dxa"/>
            <w:tcBorders>
              <w:top w:val="single" w:sz="8" w:space="0" w:color="002060"/>
              <w:left w:val="nil"/>
              <w:bottom w:val="nil"/>
              <w:right w:val="nil"/>
            </w:tcBorders>
            <w:shd w:val="clear" w:color="auto" w:fill="auto"/>
            <w:noWrap/>
            <w:vAlign w:val="center"/>
            <w:hideMark/>
          </w:tcPr>
          <w:p w14:paraId="4B024F3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Very Low</w:t>
            </w:r>
          </w:p>
        </w:tc>
        <w:tc>
          <w:tcPr>
            <w:tcW w:w="536" w:type="dxa"/>
            <w:tcBorders>
              <w:top w:val="single" w:sz="8" w:space="0" w:color="002060"/>
              <w:left w:val="nil"/>
              <w:bottom w:val="nil"/>
              <w:right w:val="nil"/>
            </w:tcBorders>
            <w:shd w:val="clear" w:color="auto" w:fill="auto"/>
            <w:noWrap/>
            <w:vAlign w:val="center"/>
            <w:hideMark/>
          </w:tcPr>
          <w:p w14:paraId="32A4D88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97</w:t>
            </w:r>
          </w:p>
        </w:tc>
        <w:tc>
          <w:tcPr>
            <w:tcW w:w="656" w:type="dxa"/>
            <w:tcBorders>
              <w:top w:val="single" w:sz="8" w:space="0" w:color="002060"/>
              <w:left w:val="nil"/>
              <w:bottom w:val="nil"/>
              <w:right w:val="nil"/>
            </w:tcBorders>
            <w:shd w:val="clear" w:color="auto" w:fill="auto"/>
            <w:noWrap/>
            <w:vAlign w:val="center"/>
            <w:hideMark/>
          </w:tcPr>
          <w:p w14:paraId="79128E3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472</w:t>
            </w:r>
          </w:p>
        </w:tc>
        <w:tc>
          <w:tcPr>
            <w:tcW w:w="776" w:type="dxa"/>
            <w:tcBorders>
              <w:top w:val="single" w:sz="8" w:space="0" w:color="002060"/>
              <w:left w:val="nil"/>
              <w:bottom w:val="nil"/>
              <w:right w:val="nil"/>
            </w:tcBorders>
            <w:shd w:val="clear" w:color="auto" w:fill="auto"/>
            <w:noWrap/>
            <w:vAlign w:val="center"/>
            <w:hideMark/>
          </w:tcPr>
          <w:p w14:paraId="57E6235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218</w:t>
            </w:r>
          </w:p>
        </w:tc>
        <w:tc>
          <w:tcPr>
            <w:tcW w:w="596" w:type="dxa"/>
            <w:tcBorders>
              <w:top w:val="single" w:sz="8" w:space="0" w:color="002060"/>
              <w:left w:val="nil"/>
              <w:bottom w:val="nil"/>
              <w:right w:val="nil"/>
            </w:tcBorders>
            <w:shd w:val="clear" w:color="auto" w:fill="auto"/>
            <w:noWrap/>
            <w:vAlign w:val="center"/>
            <w:hideMark/>
          </w:tcPr>
          <w:p w14:paraId="32E7120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218</w:t>
            </w:r>
          </w:p>
        </w:tc>
        <w:tc>
          <w:tcPr>
            <w:tcW w:w="636" w:type="dxa"/>
            <w:tcBorders>
              <w:top w:val="single" w:sz="8" w:space="0" w:color="002060"/>
              <w:left w:val="nil"/>
              <w:bottom w:val="nil"/>
              <w:right w:val="nil"/>
            </w:tcBorders>
            <w:shd w:val="clear" w:color="auto" w:fill="auto"/>
            <w:noWrap/>
            <w:vAlign w:val="center"/>
            <w:hideMark/>
          </w:tcPr>
          <w:p w14:paraId="65AB8AA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1615</w:t>
            </w:r>
          </w:p>
        </w:tc>
        <w:tc>
          <w:tcPr>
            <w:tcW w:w="776" w:type="dxa"/>
            <w:tcBorders>
              <w:top w:val="single" w:sz="8" w:space="0" w:color="002060"/>
              <w:left w:val="nil"/>
              <w:bottom w:val="nil"/>
              <w:right w:val="nil"/>
            </w:tcBorders>
            <w:shd w:val="clear" w:color="auto" w:fill="auto"/>
            <w:noWrap/>
            <w:vAlign w:val="center"/>
            <w:hideMark/>
          </w:tcPr>
          <w:p w14:paraId="00F423E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426</w:t>
            </w:r>
          </w:p>
        </w:tc>
        <w:tc>
          <w:tcPr>
            <w:tcW w:w="588" w:type="dxa"/>
            <w:tcBorders>
              <w:top w:val="single" w:sz="8" w:space="0" w:color="002060"/>
              <w:left w:val="nil"/>
              <w:bottom w:val="nil"/>
              <w:right w:val="nil"/>
            </w:tcBorders>
            <w:shd w:val="clear" w:color="auto" w:fill="auto"/>
            <w:noWrap/>
            <w:vAlign w:val="center"/>
            <w:hideMark/>
          </w:tcPr>
          <w:p w14:paraId="3111537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335</w:t>
            </w:r>
          </w:p>
        </w:tc>
        <w:tc>
          <w:tcPr>
            <w:tcW w:w="580" w:type="dxa"/>
            <w:tcBorders>
              <w:top w:val="single" w:sz="8" w:space="0" w:color="002060"/>
              <w:left w:val="nil"/>
              <w:bottom w:val="nil"/>
              <w:right w:val="single" w:sz="8" w:space="0" w:color="002060"/>
            </w:tcBorders>
            <w:shd w:val="clear" w:color="auto" w:fill="auto"/>
            <w:noWrap/>
            <w:vAlign w:val="center"/>
            <w:hideMark/>
          </w:tcPr>
          <w:p w14:paraId="00BAF4B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516</w:t>
            </w:r>
          </w:p>
        </w:tc>
        <w:tc>
          <w:tcPr>
            <w:tcW w:w="880" w:type="dxa"/>
            <w:vMerge/>
            <w:tcBorders>
              <w:top w:val="single" w:sz="8" w:space="0" w:color="002060"/>
              <w:left w:val="single" w:sz="8" w:space="0" w:color="002060"/>
              <w:bottom w:val="nil"/>
              <w:right w:val="single" w:sz="8" w:space="0" w:color="002060"/>
            </w:tcBorders>
            <w:vAlign w:val="center"/>
            <w:hideMark/>
          </w:tcPr>
          <w:p w14:paraId="1F49D2BA"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single" w:sz="8" w:space="0" w:color="002060"/>
              <w:left w:val="nil"/>
              <w:bottom w:val="nil"/>
              <w:right w:val="nil"/>
            </w:tcBorders>
            <w:shd w:val="clear" w:color="auto" w:fill="auto"/>
            <w:noWrap/>
            <w:vAlign w:val="center"/>
            <w:hideMark/>
          </w:tcPr>
          <w:p w14:paraId="6E25F00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97</w:t>
            </w:r>
          </w:p>
        </w:tc>
        <w:tc>
          <w:tcPr>
            <w:tcW w:w="596" w:type="dxa"/>
            <w:tcBorders>
              <w:top w:val="single" w:sz="8" w:space="0" w:color="002060"/>
              <w:left w:val="nil"/>
              <w:bottom w:val="nil"/>
              <w:right w:val="nil"/>
            </w:tcBorders>
            <w:shd w:val="clear" w:color="auto" w:fill="auto"/>
            <w:noWrap/>
            <w:vAlign w:val="center"/>
            <w:hideMark/>
          </w:tcPr>
          <w:p w14:paraId="4076A1C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679</w:t>
            </w:r>
          </w:p>
        </w:tc>
        <w:tc>
          <w:tcPr>
            <w:tcW w:w="716" w:type="dxa"/>
            <w:tcBorders>
              <w:top w:val="single" w:sz="8" w:space="0" w:color="002060"/>
              <w:left w:val="nil"/>
              <w:bottom w:val="nil"/>
              <w:right w:val="nil"/>
            </w:tcBorders>
            <w:shd w:val="clear" w:color="auto" w:fill="auto"/>
            <w:noWrap/>
            <w:vAlign w:val="center"/>
            <w:hideMark/>
          </w:tcPr>
          <w:p w14:paraId="22280EC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436</w:t>
            </w:r>
          </w:p>
        </w:tc>
        <w:tc>
          <w:tcPr>
            <w:tcW w:w="556" w:type="dxa"/>
            <w:tcBorders>
              <w:top w:val="single" w:sz="8" w:space="0" w:color="002060"/>
              <w:left w:val="nil"/>
              <w:bottom w:val="nil"/>
              <w:right w:val="nil"/>
            </w:tcBorders>
            <w:shd w:val="clear" w:color="auto" w:fill="auto"/>
            <w:noWrap/>
            <w:vAlign w:val="center"/>
            <w:hideMark/>
          </w:tcPr>
          <w:p w14:paraId="75CCB65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239</w:t>
            </w:r>
          </w:p>
        </w:tc>
        <w:tc>
          <w:tcPr>
            <w:tcW w:w="596" w:type="dxa"/>
            <w:tcBorders>
              <w:top w:val="single" w:sz="8" w:space="0" w:color="002060"/>
              <w:left w:val="nil"/>
              <w:bottom w:val="nil"/>
              <w:right w:val="nil"/>
            </w:tcBorders>
            <w:shd w:val="clear" w:color="auto" w:fill="auto"/>
            <w:noWrap/>
            <w:vAlign w:val="center"/>
            <w:hideMark/>
          </w:tcPr>
          <w:p w14:paraId="497B5E8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3672</w:t>
            </w:r>
          </w:p>
        </w:tc>
        <w:tc>
          <w:tcPr>
            <w:tcW w:w="796" w:type="dxa"/>
            <w:tcBorders>
              <w:top w:val="single" w:sz="8" w:space="0" w:color="002060"/>
              <w:left w:val="nil"/>
              <w:bottom w:val="nil"/>
              <w:right w:val="nil"/>
            </w:tcBorders>
            <w:shd w:val="clear" w:color="auto" w:fill="auto"/>
            <w:noWrap/>
            <w:vAlign w:val="center"/>
            <w:hideMark/>
          </w:tcPr>
          <w:p w14:paraId="1CE71D5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539</w:t>
            </w:r>
          </w:p>
        </w:tc>
        <w:tc>
          <w:tcPr>
            <w:tcW w:w="541" w:type="dxa"/>
            <w:tcBorders>
              <w:top w:val="single" w:sz="8" w:space="0" w:color="002060"/>
              <w:left w:val="nil"/>
              <w:bottom w:val="nil"/>
              <w:right w:val="nil"/>
            </w:tcBorders>
            <w:shd w:val="clear" w:color="auto" w:fill="auto"/>
            <w:noWrap/>
            <w:vAlign w:val="center"/>
            <w:hideMark/>
          </w:tcPr>
          <w:p w14:paraId="695C7AF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458</w:t>
            </w:r>
          </w:p>
        </w:tc>
        <w:tc>
          <w:tcPr>
            <w:tcW w:w="541" w:type="dxa"/>
            <w:tcBorders>
              <w:top w:val="single" w:sz="8" w:space="0" w:color="002060"/>
              <w:left w:val="nil"/>
              <w:bottom w:val="nil"/>
              <w:right w:val="single" w:sz="8" w:space="0" w:color="002060"/>
            </w:tcBorders>
            <w:shd w:val="clear" w:color="auto" w:fill="auto"/>
            <w:noWrap/>
            <w:vAlign w:val="center"/>
            <w:hideMark/>
          </w:tcPr>
          <w:p w14:paraId="1BE5A3E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778</w:t>
            </w:r>
          </w:p>
        </w:tc>
      </w:tr>
      <w:tr w:rsidR="00AE564D" w:rsidRPr="00D94C50" w14:paraId="4B9C34C9" w14:textId="77777777" w:rsidTr="00D94C50">
        <w:trPr>
          <w:trHeight w:val="255"/>
          <w:jc w:val="center"/>
        </w:trPr>
        <w:tc>
          <w:tcPr>
            <w:tcW w:w="743" w:type="dxa"/>
            <w:vMerge/>
            <w:tcBorders>
              <w:top w:val="single" w:sz="8" w:space="0" w:color="002060"/>
              <w:left w:val="single" w:sz="8" w:space="0" w:color="002060"/>
              <w:bottom w:val="nil"/>
              <w:right w:val="single" w:sz="8" w:space="0" w:color="002060"/>
            </w:tcBorders>
            <w:vAlign w:val="center"/>
            <w:hideMark/>
          </w:tcPr>
          <w:p w14:paraId="15E9AC50"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40843F7F"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2C84BB1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7B0A0D8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120</w:t>
            </w:r>
          </w:p>
        </w:tc>
        <w:tc>
          <w:tcPr>
            <w:tcW w:w="656" w:type="dxa"/>
            <w:tcBorders>
              <w:top w:val="nil"/>
              <w:left w:val="nil"/>
              <w:bottom w:val="nil"/>
              <w:right w:val="nil"/>
            </w:tcBorders>
            <w:shd w:val="clear" w:color="auto" w:fill="auto"/>
            <w:noWrap/>
            <w:vAlign w:val="center"/>
            <w:hideMark/>
          </w:tcPr>
          <w:p w14:paraId="4BB72D9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819</w:t>
            </w:r>
          </w:p>
        </w:tc>
        <w:tc>
          <w:tcPr>
            <w:tcW w:w="776" w:type="dxa"/>
            <w:tcBorders>
              <w:top w:val="nil"/>
              <w:left w:val="nil"/>
              <w:bottom w:val="nil"/>
              <w:right w:val="nil"/>
            </w:tcBorders>
            <w:shd w:val="clear" w:color="auto" w:fill="auto"/>
            <w:noWrap/>
            <w:vAlign w:val="center"/>
            <w:hideMark/>
          </w:tcPr>
          <w:p w14:paraId="4D5D09C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464</w:t>
            </w:r>
          </w:p>
        </w:tc>
        <w:tc>
          <w:tcPr>
            <w:tcW w:w="596" w:type="dxa"/>
            <w:tcBorders>
              <w:top w:val="nil"/>
              <w:left w:val="nil"/>
              <w:bottom w:val="nil"/>
              <w:right w:val="nil"/>
            </w:tcBorders>
            <w:shd w:val="clear" w:color="auto" w:fill="auto"/>
            <w:noWrap/>
            <w:vAlign w:val="center"/>
            <w:hideMark/>
          </w:tcPr>
          <w:p w14:paraId="054D87F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197</w:t>
            </w:r>
          </w:p>
        </w:tc>
        <w:tc>
          <w:tcPr>
            <w:tcW w:w="636" w:type="dxa"/>
            <w:tcBorders>
              <w:top w:val="nil"/>
              <w:left w:val="nil"/>
              <w:bottom w:val="nil"/>
              <w:right w:val="nil"/>
            </w:tcBorders>
            <w:shd w:val="clear" w:color="auto" w:fill="auto"/>
            <w:noWrap/>
            <w:vAlign w:val="center"/>
            <w:hideMark/>
          </w:tcPr>
          <w:p w14:paraId="0A65D2B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2462</w:t>
            </w:r>
          </w:p>
        </w:tc>
        <w:tc>
          <w:tcPr>
            <w:tcW w:w="776" w:type="dxa"/>
            <w:tcBorders>
              <w:top w:val="nil"/>
              <w:left w:val="nil"/>
              <w:bottom w:val="nil"/>
              <w:right w:val="nil"/>
            </w:tcBorders>
            <w:shd w:val="clear" w:color="auto" w:fill="auto"/>
            <w:noWrap/>
            <w:vAlign w:val="center"/>
            <w:hideMark/>
          </w:tcPr>
          <w:p w14:paraId="7F50A07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693</w:t>
            </w:r>
          </w:p>
        </w:tc>
        <w:tc>
          <w:tcPr>
            <w:tcW w:w="588" w:type="dxa"/>
            <w:tcBorders>
              <w:top w:val="nil"/>
              <w:left w:val="nil"/>
              <w:bottom w:val="nil"/>
              <w:right w:val="nil"/>
            </w:tcBorders>
            <w:shd w:val="clear" w:color="auto" w:fill="auto"/>
            <w:noWrap/>
            <w:vAlign w:val="center"/>
            <w:hideMark/>
          </w:tcPr>
          <w:p w14:paraId="5329296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531</w:t>
            </w:r>
          </w:p>
        </w:tc>
        <w:tc>
          <w:tcPr>
            <w:tcW w:w="580" w:type="dxa"/>
            <w:tcBorders>
              <w:top w:val="nil"/>
              <w:left w:val="nil"/>
              <w:bottom w:val="nil"/>
              <w:right w:val="single" w:sz="8" w:space="0" w:color="002060"/>
            </w:tcBorders>
            <w:shd w:val="clear" w:color="auto" w:fill="auto"/>
            <w:noWrap/>
            <w:vAlign w:val="center"/>
            <w:hideMark/>
          </w:tcPr>
          <w:p w14:paraId="6D275B5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974</w:t>
            </w:r>
          </w:p>
        </w:tc>
        <w:tc>
          <w:tcPr>
            <w:tcW w:w="880" w:type="dxa"/>
            <w:vMerge/>
            <w:tcBorders>
              <w:top w:val="single" w:sz="8" w:space="0" w:color="002060"/>
              <w:left w:val="single" w:sz="8" w:space="0" w:color="002060"/>
              <w:bottom w:val="nil"/>
              <w:right w:val="single" w:sz="8" w:space="0" w:color="002060"/>
            </w:tcBorders>
            <w:vAlign w:val="center"/>
            <w:hideMark/>
          </w:tcPr>
          <w:p w14:paraId="19E72405"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535D956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226</w:t>
            </w:r>
          </w:p>
        </w:tc>
        <w:tc>
          <w:tcPr>
            <w:tcW w:w="596" w:type="dxa"/>
            <w:tcBorders>
              <w:top w:val="nil"/>
              <w:left w:val="nil"/>
              <w:bottom w:val="nil"/>
              <w:right w:val="nil"/>
            </w:tcBorders>
            <w:shd w:val="clear" w:color="auto" w:fill="auto"/>
            <w:noWrap/>
            <w:vAlign w:val="center"/>
            <w:hideMark/>
          </w:tcPr>
          <w:p w14:paraId="4838819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783</w:t>
            </w:r>
          </w:p>
        </w:tc>
        <w:tc>
          <w:tcPr>
            <w:tcW w:w="716" w:type="dxa"/>
            <w:tcBorders>
              <w:top w:val="nil"/>
              <w:left w:val="nil"/>
              <w:bottom w:val="nil"/>
              <w:right w:val="nil"/>
            </w:tcBorders>
            <w:shd w:val="clear" w:color="auto" w:fill="auto"/>
            <w:noWrap/>
            <w:vAlign w:val="center"/>
            <w:hideMark/>
          </w:tcPr>
          <w:p w14:paraId="3AD0E93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443</w:t>
            </w:r>
          </w:p>
        </w:tc>
        <w:tc>
          <w:tcPr>
            <w:tcW w:w="556" w:type="dxa"/>
            <w:tcBorders>
              <w:top w:val="nil"/>
              <w:left w:val="nil"/>
              <w:bottom w:val="nil"/>
              <w:right w:val="nil"/>
            </w:tcBorders>
            <w:shd w:val="clear" w:color="auto" w:fill="auto"/>
            <w:noWrap/>
            <w:vAlign w:val="center"/>
            <w:hideMark/>
          </w:tcPr>
          <w:p w14:paraId="7B8F5E2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150</w:t>
            </w:r>
          </w:p>
        </w:tc>
        <w:tc>
          <w:tcPr>
            <w:tcW w:w="596" w:type="dxa"/>
            <w:tcBorders>
              <w:top w:val="nil"/>
              <w:left w:val="nil"/>
              <w:bottom w:val="nil"/>
              <w:right w:val="nil"/>
            </w:tcBorders>
            <w:shd w:val="clear" w:color="auto" w:fill="auto"/>
            <w:noWrap/>
            <w:vAlign w:val="center"/>
            <w:hideMark/>
          </w:tcPr>
          <w:p w14:paraId="461D194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3751</w:t>
            </w:r>
          </w:p>
        </w:tc>
        <w:tc>
          <w:tcPr>
            <w:tcW w:w="796" w:type="dxa"/>
            <w:tcBorders>
              <w:top w:val="nil"/>
              <w:left w:val="nil"/>
              <w:bottom w:val="nil"/>
              <w:right w:val="nil"/>
            </w:tcBorders>
            <w:shd w:val="clear" w:color="auto" w:fill="auto"/>
            <w:noWrap/>
            <w:vAlign w:val="center"/>
            <w:hideMark/>
          </w:tcPr>
          <w:p w14:paraId="65606BE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676</w:t>
            </w:r>
          </w:p>
        </w:tc>
        <w:tc>
          <w:tcPr>
            <w:tcW w:w="541" w:type="dxa"/>
            <w:tcBorders>
              <w:top w:val="nil"/>
              <w:left w:val="nil"/>
              <w:bottom w:val="nil"/>
              <w:right w:val="nil"/>
            </w:tcBorders>
            <w:shd w:val="clear" w:color="auto" w:fill="auto"/>
            <w:noWrap/>
            <w:vAlign w:val="center"/>
            <w:hideMark/>
          </w:tcPr>
          <w:p w14:paraId="3F192B7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536</w:t>
            </w:r>
          </w:p>
        </w:tc>
        <w:tc>
          <w:tcPr>
            <w:tcW w:w="541" w:type="dxa"/>
            <w:tcBorders>
              <w:top w:val="nil"/>
              <w:left w:val="nil"/>
              <w:bottom w:val="nil"/>
              <w:right w:val="single" w:sz="8" w:space="0" w:color="002060"/>
            </w:tcBorders>
            <w:shd w:val="clear" w:color="auto" w:fill="auto"/>
            <w:noWrap/>
            <w:vAlign w:val="center"/>
            <w:hideMark/>
          </w:tcPr>
          <w:p w14:paraId="43A5D2F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889</w:t>
            </w:r>
          </w:p>
        </w:tc>
      </w:tr>
      <w:tr w:rsidR="00AE564D" w:rsidRPr="00D94C50" w14:paraId="432F4D00" w14:textId="77777777" w:rsidTr="00D94C50">
        <w:trPr>
          <w:trHeight w:val="255"/>
          <w:jc w:val="center"/>
        </w:trPr>
        <w:tc>
          <w:tcPr>
            <w:tcW w:w="743" w:type="dxa"/>
            <w:vMerge/>
            <w:tcBorders>
              <w:top w:val="single" w:sz="8" w:space="0" w:color="002060"/>
              <w:left w:val="single" w:sz="8" w:space="0" w:color="002060"/>
              <w:bottom w:val="nil"/>
              <w:right w:val="single" w:sz="8" w:space="0" w:color="002060"/>
            </w:tcBorders>
            <w:vAlign w:val="center"/>
            <w:hideMark/>
          </w:tcPr>
          <w:p w14:paraId="42A1ED0B"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590F99A8"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4686B9F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399A17B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49</w:t>
            </w:r>
          </w:p>
        </w:tc>
        <w:tc>
          <w:tcPr>
            <w:tcW w:w="656" w:type="dxa"/>
            <w:tcBorders>
              <w:top w:val="nil"/>
              <w:left w:val="nil"/>
              <w:bottom w:val="nil"/>
              <w:right w:val="nil"/>
            </w:tcBorders>
            <w:shd w:val="clear" w:color="auto" w:fill="auto"/>
            <w:noWrap/>
            <w:vAlign w:val="center"/>
            <w:hideMark/>
          </w:tcPr>
          <w:p w14:paraId="678BDA0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1162</w:t>
            </w:r>
          </w:p>
        </w:tc>
        <w:tc>
          <w:tcPr>
            <w:tcW w:w="776" w:type="dxa"/>
            <w:tcBorders>
              <w:top w:val="nil"/>
              <w:left w:val="nil"/>
              <w:bottom w:val="nil"/>
              <w:right w:val="nil"/>
            </w:tcBorders>
            <w:shd w:val="clear" w:color="auto" w:fill="auto"/>
            <w:noWrap/>
            <w:vAlign w:val="center"/>
            <w:hideMark/>
          </w:tcPr>
          <w:p w14:paraId="7B37707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481</w:t>
            </w:r>
          </w:p>
        </w:tc>
        <w:tc>
          <w:tcPr>
            <w:tcW w:w="596" w:type="dxa"/>
            <w:tcBorders>
              <w:top w:val="nil"/>
              <w:left w:val="nil"/>
              <w:bottom w:val="nil"/>
              <w:right w:val="nil"/>
            </w:tcBorders>
            <w:shd w:val="clear" w:color="auto" w:fill="auto"/>
            <w:noWrap/>
            <w:vAlign w:val="center"/>
            <w:hideMark/>
          </w:tcPr>
          <w:p w14:paraId="18E27B1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465</w:t>
            </w:r>
          </w:p>
        </w:tc>
        <w:tc>
          <w:tcPr>
            <w:tcW w:w="636" w:type="dxa"/>
            <w:tcBorders>
              <w:top w:val="nil"/>
              <w:left w:val="nil"/>
              <w:bottom w:val="nil"/>
              <w:right w:val="nil"/>
            </w:tcBorders>
            <w:shd w:val="clear" w:color="auto" w:fill="auto"/>
            <w:noWrap/>
            <w:vAlign w:val="center"/>
            <w:hideMark/>
          </w:tcPr>
          <w:p w14:paraId="439916E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2567</w:t>
            </w:r>
          </w:p>
        </w:tc>
        <w:tc>
          <w:tcPr>
            <w:tcW w:w="776" w:type="dxa"/>
            <w:tcBorders>
              <w:top w:val="nil"/>
              <w:left w:val="nil"/>
              <w:bottom w:val="nil"/>
              <w:right w:val="nil"/>
            </w:tcBorders>
            <w:shd w:val="clear" w:color="auto" w:fill="auto"/>
            <w:noWrap/>
            <w:vAlign w:val="center"/>
            <w:hideMark/>
          </w:tcPr>
          <w:p w14:paraId="63110EF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1153</w:t>
            </w:r>
          </w:p>
        </w:tc>
        <w:tc>
          <w:tcPr>
            <w:tcW w:w="588" w:type="dxa"/>
            <w:tcBorders>
              <w:top w:val="nil"/>
              <w:left w:val="nil"/>
              <w:bottom w:val="nil"/>
              <w:right w:val="nil"/>
            </w:tcBorders>
            <w:shd w:val="clear" w:color="auto" w:fill="auto"/>
            <w:noWrap/>
            <w:vAlign w:val="center"/>
            <w:hideMark/>
          </w:tcPr>
          <w:p w14:paraId="2078BCA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680</w:t>
            </w:r>
          </w:p>
        </w:tc>
        <w:tc>
          <w:tcPr>
            <w:tcW w:w="580" w:type="dxa"/>
            <w:tcBorders>
              <w:top w:val="nil"/>
              <w:left w:val="nil"/>
              <w:bottom w:val="nil"/>
              <w:right w:val="single" w:sz="8" w:space="0" w:color="002060"/>
            </w:tcBorders>
            <w:shd w:val="clear" w:color="auto" w:fill="auto"/>
            <w:noWrap/>
            <w:vAlign w:val="center"/>
            <w:hideMark/>
          </w:tcPr>
          <w:p w14:paraId="52EB1E9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1532</w:t>
            </w:r>
          </w:p>
        </w:tc>
        <w:tc>
          <w:tcPr>
            <w:tcW w:w="880" w:type="dxa"/>
            <w:vMerge/>
            <w:tcBorders>
              <w:top w:val="single" w:sz="8" w:space="0" w:color="002060"/>
              <w:left w:val="single" w:sz="8" w:space="0" w:color="002060"/>
              <w:bottom w:val="nil"/>
              <w:right w:val="single" w:sz="8" w:space="0" w:color="002060"/>
            </w:tcBorders>
            <w:vAlign w:val="center"/>
            <w:hideMark/>
          </w:tcPr>
          <w:p w14:paraId="2101C70C"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5C3DEDA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169</w:t>
            </w:r>
          </w:p>
        </w:tc>
        <w:tc>
          <w:tcPr>
            <w:tcW w:w="596" w:type="dxa"/>
            <w:tcBorders>
              <w:top w:val="nil"/>
              <w:left w:val="nil"/>
              <w:bottom w:val="nil"/>
              <w:right w:val="nil"/>
            </w:tcBorders>
            <w:shd w:val="clear" w:color="auto" w:fill="auto"/>
            <w:noWrap/>
            <w:vAlign w:val="center"/>
            <w:hideMark/>
          </w:tcPr>
          <w:p w14:paraId="4ED3E94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1545</w:t>
            </w:r>
          </w:p>
        </w:tc>
        <w:tc>
          <w:tcPr>
            <w:tcW w:w="716" w:type="dxa"/>
            <w:tcBorders>
              <w:top w:val="nil"/>
              <w:left w:val="nil"/>
              <w:bottom w:val="nil"/>
              <w:right w:val="nil"/>
            </w:tcBorders>
            <w:shd w:val="clear" w:color="auto" w:fill="auto"/>
            <w:noWrap/>
            <w:vAlign w:val="center"/>
            <w:hideMark/>
          </w:tcPr>
          <w:p w14:paraId="32A9240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783</w:t>
            </w:r>
          </w:p>
        </w:tc>
        <w:tc>
          <w:tcPr>
            <w:tcW w:w="556" w:type="dxa"/>
            <w:tcBorders>
              <w:top w:val="nil"/>
              <w:left w:val="nil"/>
              <w:bottom w:val="nil"/>
              <w:right w:val="nil"/>
            </w:tcBorders>
            <w:shd w:val="clear" w:color="auto" w:fill="auto"/>
            <w:noWrap/>
            <w:vAlign w:val="center"/>
            <w:hideMark/>
          </w:tcPr>
          <w:p w14:paraId="1DD9101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57</w:t>
            </w:r>
          </w:p>
        </w:tc>
        <w:tc>
          <w:tcPr>
            <w:tcW w:w="596" w:type="dxa"/>
            <w:tcBorders>
              <w:top w:val="nil"/>
              <w:left w:val="nil"/>
              <w:bottom w:val="nil"/>
              <w:right w:val="nil"/>
            </w:tcBorders>
            <w:shd w:val="clear" w:color="auto" w:fill="auto"/>
            <w:noWrap/>
            <w:vAlign w:val="center"/>
            <w:hideMark/>
          </w:tcPr>
          <w:p w14:paraId="2B4A33F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3334</w:t>
            </w:r>
          </w:p>
        </w:tc>
        <w:tc>
          <w:tcPr>
            <w:tcW w:w="796" w:type="dxa"/>
            <w:tcBorders>
              <w:top w:val="nil"/>
              <w:left w:val="nil"/>
              <w:bottom w:val="nil"/>
              <w:right w:val="nil"/>
            </w:tcBorders>
            <w:shd w:val="clear" w:color="auto" w:fill="auto"/>
            <w:noWrap/>
            <w:vAlign w:val="center"/>
            <w:hideMark/>
          </w:tcPr>
          <w:p w14:paraId="58B96C9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1343</w:t>
            </w:r>
          </w:p>
        </w:tc>
        <w:tc>
          <w:tcPr>
            <w:tcW w:w="541" w:type="dxa"/>
            <w:tcBorders>
              <w:top w:val="nil"/>
              <w:left w:val="nil"/>
              <w:bottom w:val="nil"/>
              <w:right w:val="nil"/>
            </w:tcBorders>
            <w:shd w:val="clear" w:color="auto" w:fill="auto"/>
            <w:noWrap/>
            <w:vAlign w:val="center"/>
            <w:hideMark/>
          </w:tcPr>
          <w:p w14:paraId="5C88BEF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898</w:t>
            </w:r>
          </w:p>
        </w:tc>
        <w:tc>
          <w:tcPr>
            <w:tcW w:w="541" w:type="dxa"/>
            <w:tcBorders>
              <w:top w:val="nil"/>
              <w:left w:val="nil"/>
              <w:bottom w:val="nil"/>
              <w:right w:val="single" w:sz="8" w:space="0" w:color="002060"/>
            </w:tcBorders>
            <w:shd w:val="clear" w:color="auto" w:fill="auto"/>
            <w:noWrap/>
            <w:vAlign w:val="center"/>
            <w:hideMark/>
          </w:tcPr>
          <w:p w14:paraId="0512F43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2201</w:t>
            </w:r>
          </w:p>
        </w:tc>
      </w:tr>
      <w:tr w:rsidR="00AE564D" w:rsidRPr="00D94C50" w14:paraId="3FB50E7D" w14:textId="77777777" w:rsidTr="00D94C50">
        <w:trPr>
          <w:trHeight w:val="255"/>
          <w:jc w:val="center"/>
        </w:trPr>
        <w:tc>
          <w:tcPr>
            <w:tcW w:w="743" w:type="dxa"/>
            <w:vMerge/>
            <w:tcBorders>
              <w:top w:val="single" w:sz="8" w:space="0" w:color="002060"/>
              <w:left w:val="single" w:sz="8" w:space="0" w:color="002060"/>
              <w:bottom w:val="nil"/>
              <w:right w:val="single" w:sz="8" w:space="0" w:color="002060"/>
            </w:tcBorders>
            <w:vAlign w:val="center"/>
            <w:hideMark/>
          </w:tcPr>
          <w:p w14:paraId="08A9D83D"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76D94A76"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090A9AD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Med Fresh</w:t>
            </w:r>
          </w:p>
        </w:tc>
        <w:tc>
          <w:tcPr>
            <w:tcW w:w="536" w:type="dxa"/>
            <w:tcBorders>
              <w:top w:val="nil"/>
              <w:left w:val="nil"/>
              <w:bottom w:val="nil"/>
              <w:right w:val="nil"/>
            </w:tcBorders>
            <w:shd w:val="clear" w:color="auto" w:fill="auto"/>
            <w:noWrap/>
            <w:vAlign w:val="center"/>
            <w:hideMark/>
          </w:tcPr>
          <w:p w14:paraId="76E1E07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85</w:t>
            </w:r>
          </w:p>
        </w:tc>
        <w:tc>
          <w:tcPr>
            <w:tcW w:w="656" w:type="dxa"/>
            <w:tcBorders>
              <w:top w:val="nil"/>
              <w:left w:val="nil"/>
              <w:bottom w:val="nil"/>
              <w:right w:val="nil"/>
            </w:tcBorders>
            <w:shd w:val="clear" w:color="auto" w:fill="auto"/>
            <w:noWrap/>
            <w:vAlign w:val="center"/>
            <w:hideMark/>
          </w:tcPr>
          <w:p w14:paraId="526D63A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1412</w:t>
            </w:r>
          </w:p>
        </w:tc>
        <w:tc>
          <w:tcPr>
            <w:tcW w:w="776" w:type="dxa"/>
            <w:tcBorders>
              <w:top w:val="nil"/>
              <w:left w:val="nil"/>
              <w:bottom w:val="nil"/>
              <w:right w:val="nil"/>
            </w:tcBorders>
            <w:shd w:val="clear" w:color="auto" w:fill="auto"/>
            <w:noWrap/>
            <w:vAlign w:val="center"/>
            <w:hideMark/>
          </w:tcPr>
          <w:p w14:paraId="4995453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583</w:t>
            </w:r>
          </w:p>
        </w:tc>
        <w:tc>
          <w:tcPr>
            <w:tcW w:w="596" w:type="dxa"/>
            <w:tcBorders>
              <w:top w:val="nil"/>
              <w:left w:val="nil"/>
              <w:bottom w:val="nil"/>
              <w:right w:val="nil"/>
            </w:tcBorders>
            <w:shd w:val="clear" w:color="auto" w:fill="auto"/>
            <w:noWrap/>
            <w:vAlign w:val="center"/>
            <w:hideMark/>
          </w:tcPr>
          <w:p w14:paraId="7E8CAA9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332</w:t>
            </w:r>
          </w:p>
        </w:tc>
        <w:tc>
          <w:tcPr>
            <w:tcW w:w="636" w:type="dxa"/>
            <w:tcBorders>
              <w:top w:val="nil"/>
              <w:left w:val="nil"/>
              <w:bottom w:val="nil"/>
              <w:right w:val="nil"/>
            </w:tcBorders>
            <w:shd w:val="clear" w:color="auto" w:fill="auto"/>
            <w:noWrap/>
            <w:vAlign w:val="center"/>
            <w:hideMark/>
          </w:tcPr>
          <w:p w14:paraId="75784BD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2723</w:t>
            </w:r>
          </w:p>
        </w:tc>
        <w:tc>
          <w:tcPr>
            <w:tcW w:w="776" w:type="dxa"/>
            <w:tcBorders>
              <w:top w:val="nil"/>
              <w:left w:val="nil"/>
              <w:bottom w:val="nil"/>
              <w:right w:val="nil"/>
            </w:tcBorders>
            <w:shd w:val="clear" w:color="auto" w:fill="auto"/>
            <w:noWrap/>
            <w:vAlign w:val="center"/>
            <w:hideMark/>
          </w:tcPr>
          <w:p w14:paraId="2303AA1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1565</w:t>
            </w:r>
          </w:p>
        </w:tc>
        <w:tc>
          <w:tcPr>
            <w:tcW w:w="588" w:type="dxa"/>
            <w:tcBorders>
              <w:top w:val="nil"/>
              <w:left w:val="nil"/>
              <w:bottom w:val="nil"/>
              <w:right w:val="nil"/>
            </w:tcBorders>
            <w:shd w:val="clear" w:color="auto" w:fill="auto"/>
            <w:noWrap/>
            <w:vAlign w:val="center"/>
            <w:hideMark/>
          </w:tcPr>
          <w:p w14:paraId="5EA011F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868</w:t>
            </w:r>
          </w:p>
        </w:tc>
        <w:tc>
          <w:tcPr>
            <w:tcW w:w="580" w:type="dxa"/>
            <w:tcBorders>
              <w:top w:val="nil"/>
              <w:left w:val="nil"/>
              <w:bottom w:val="nil"/>
              <w:right w:val="single" w:sz="8" w:space="0" w:color="002060"/>
            </w:tcBorders>
            <w:shd w:val="clear" w:color="auto" w:fill="auto"/>
            <w:noWrap/>
            <w:vAlign w:val="center"/>
            <w:hideMark/>
          </w:tcPr>
          <w:p w14:paraId="3DDED92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1827</w:t>
            </w:r>
          </w:p>
        </w:tc>
        <w:tc>
          <w:tcPr>
            <w:tcW w:w="880" w:type="dxa"/>
            <w:vMerge/>
            <w:tcBorders>
              <w:top w:val="single" w:sz="8" w:space="0" w:color="002060"/>
              <w:left w:val="single" w:sz="8" w:space="0" w:color="002060"/>
              <w:bottom w:val="nil"/>
              <w:right w:val="single" w:sz="8" w:space="0" w:color="002060"/>
            </w:tcBorders>
            <w:vAlign w:val="center"/>
            <w:hideMark/>
          </w:tcPr>
          <w:p w14:paraId="293D5029"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3039081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w:t>
            </w:r>
          </w:p>
        </w:tc>
        <w:tc>
          <w:tcPr>
            <w:tcW w:w="596" w:type="dxa"/>
            <w:tcBorders>
              <w:top w:val="nil"/>
              <w:left w:val="nil"/>
              <w:bottom w:val="nil"/>
              <w:right w:val="nil"/>
            </w:tcBorders>
            <w:shd w:val="clear" w:color="auto" w:fill="auto"/>
            <w:noWrap/>
            <w:vAlign w:val="center"/>
            <w:hideMark/>
          </w:tcPr>
          <w:p w14:paraId="16F73F7B" w14:textId="77777777" w:rsidR="00AE564D" w:rsidRPr="00D94C50" w:rsidRDefault="00AE564D" w:rsidP="00E26D3C">
            <w:pPr>
              <w:spacing w:after="0" w:line="240" w:lineRule="auto"/>
              <w:jc w:val="center"/>
              <w:rPr>
                <w:rFonts w:eastAsia="Times New Roman" w:cstheme="minorHAnsi"/>
                <w:color w:val="000000"/>
                <w:sz w:val="18"/>
                <w:szCs w:val="18"/>
                <w:lang w:eastAsia="en-AU"/>
              </w:rPr>
            </w:pPr>
          </w:p>
        </w:tc>
        <w:tc>
          <w:tcPr>
            <w:tcW w:w="716" w:type="dxa"/>
            <w:tcBorders>
              <w:top w:val="nil"/>
              <w:left w:val="nil"/>
              <w:bottom w:val="nil"/>
              <w:right w:val="nil"/>
            </w:tcBorders>
            <w:shd w:val="clear" w:color="auto" w:fill="auto"/>
            <w:noWrap/>
            <w:vAlign w:val="center"/>
            <w:hideMark/>
          </w:tcPr>
          <w:p w14:paraId="264B1A37" w14:textId="77777777" w:rsidR="00AE564D" w:rsidRPr="00D94C50" w:rsidRDefault="00AE564D" w:rsidP="00E26D3C">
            <w:pPr>
              <w:spacing w:after="0" w:line="240" w:lineRule="auto"/>
              <w:jc w:val="center"/>
              <w:rPr>
                <w:rFonts w:eastAsia="Times New Roman" w:cstheme="minorHAnsi"/>
                <w:sz w:val="18"/>
                <w:szCs w:val="18"/>
                <w:lang w:eastAsia="en-AU"/>
              </w:rPr>
            </w:pPr>
          </w:p>
        </w:tc>
        <w:tc>
          <w:tcPr>
            <w:tcW w:w="556" w:type="dxa"/>
            <w:tcBorders>
              <w:top w:val="nil"/>
              <w:left w:val="nil"/>
              <w:bottom w:val="nil"/>
              <w:right w:val="nil"/>
            </w:tcBorders>
            <w:shd w:val="clear" w:color="auto" w:fill="auto"/>
            <w:noWrap/>
            <w:vAlign w:val="center"/>
            <w:hideMark/>
          </w:tcPr>
          <w:p w14:paraId="2A39833A" w14:textId="77777777" w:rsidR="00AE564D" w:rsidRPr="00D94C50" w:rsidRDefault="00AE564D" w:rsidP="00E26D3C">
            <w:pPr>
              <w:spacing w:after="0" w:line="240" w:lineRule="auto"/>
              <w:jc w:val="center"/>
              <w:rPr>
                <w:rFonts w:eastAsia="Times New Roman" w:cstheme="minorHAnsi"/>
                <w:sz w:val="18"/>
                <w:szCs w:val="18"/>
                <w:lang w:eastAsia="en-AU"/>
              </w:rPr>
            </w:pPr>
          </w:p>
        </w:tc>
        <w:tc>
          <w:tcPr>
            <w:tcW w:w="596" w:type="dxa"/>
            <w:tcBorders>
              <w:top w:val="nil"/>
              <w:left w:val="nil"/>
              <w:bottom w:val="nil"/>
              <w:right w:val="nil"/>
            </w:tcBorders>
            <w:shd w:val="clear" w:color="auto" w:fill="auto"/>
            <w:noWrap/>
            <w:vAlign w:val="center"/>
            <w:hideMark/>
          </w:tcPr>
          <w:p w14:paraId="7B6C1A57" w14:textId="77777777" w:rsidR="00AE564D" w:rsidRPr="00D94C50" w:rsidRDefault="00AE564D" w:rsidP="00E26D3C">
            <w:pPr>
              <w:spacing w:after="0" w:line="240" w:lineRule="auto"/>
              <w:jc w:val="center"/>
              <w:rPr>
                <w:rFonts w:eastAsia="Times New Roman" w:cstheme="minorHAnsi"/>
                <w:sz w:val="18"/>
                <w:szCs w:val="18"/>
                <w:lang w:eastAsia="en-AU"/>
              </w:rPr>
            </w:pPr>
          </w:p>
        </w:tc>
        <w:tc>
          <w:tcPr>
            <w:tcW w:w="796" w:type="dxa"/>
            <w:tcBorders>
              <w:top w:val="nil"/>
              <w:left w:val="nil"/>
              <w:bottom w:val="nil"/>
              <w:right w:val="nil"/>
            </w:tcBorders>
            <w:shd w:val="clear" w:color="auto" w:fill="auto"/>
            <w:noWrap/>
            <w:vAlign w:val="center"/>
            <w:hideMark/>
          </w:tcPr>
          <w:p w14:paraId="7D3B6660" w14:textId="77777777" w:rsidR="00AE564D" w:rsidRPr="00D94C50" w:rsidRDefault="00AE564D" w:rsidP="00E26D3C">
            <w:pPr>
              <w:spacing w:after="0" w:line="240" w:lineRule="auto"/>
              <w:jc w:val="center"/>
              <w:rPr>
                <w:rFonts w:eastAsia="Times New Roman" w:cstheme="minorHAnsi"/>
                <w:sz w:val="18"/>
                <w:szCs w:val="18"/>
                <w:lang w:eastAsia="en-AU"/>
              </w:rPr>
            </w:pPr>
          </w:p>
        </w:tc>
        <w:tc>
          <w:tcPr>
            <w:tcW w:w="541" w:type="dxa"/>
            <w:tcBorders>
              <w:top w:val="nil"/>
              <w:left w:val="nil"/>
              <w:bottom w:val="nil"/>
              <w:right w:val="nil"/>
            </w:tcBorders>
            <w:shd w:val="clear" w:color="auto" w:fill="auto"/>
            <w:noWrap/>
            <w:vAlign w:val="center"/>
            <w:hideMark/>
          </w:tcPr>
          <w:p w14:paraId="6AD36AEE" w14:textId="77777777" w:rsidR="00AE564D" w:rsidRPr="00D94C50" w:rsidRDefault="00AE564D" w:rsidP="00E26D3C">
            <w:pPr>
              <w:spacing w:after="0" w:line="240" w:lineRule="auto"/>
              <w:jc w:val="center"/>
              <w:rPr>
                <w:rFonts w:eastAsia="Times New Roman" w:cstheme="minorHAnsi"/>
                <w:sz w:val="18"/>
                <w:szCs w:val="18"/>
                <w:lang w:eastAsia="en-AU"/>
              </w:rPr>
            </w:pPr>
          </w:p>
        </w:tc>
        <w:tc>
          <w:tcPr>
            <w:tcW w:w="541" w:type="dxa"/>
            <w:tcBorders>
              <w:top w:val="nil"/>
              <w:left w:val="nil"/>
              <w:bottom w:val="nil"/>
              <w:right w:val="single" w:sz="8" w:space="0" w:color="002060"/>
            </w:tcBorders>
            <w:shd w:val="clear" w:color="auto" w:fill="auto"/>
            <w:noWrap/>
            <w:vAlign w:val="center"/>
            <w:hideMark/>
          </w:tcPr>
          <w:p w14:paraId="4BBA289E"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r>
      <w:tr w:rsidR="00AE564D" w:rsidRPr="00D94C50" w14:paraId="280D7F07" w14:textId="77777777" w:rsidTr="00D94C50">
        <w:trPr>
          <w:trHeight w:val="255"/>
          <w:jc w:val="center"/>
        </w:trPr>
        <w:tc>
          <w:tcPr>
            <w:tcW w:w="743" w:type="dxa"/>
            <w:vMerge/>
            <w:tcBorders>
              <w:top w:val="single" w:sz="8" w:space="0" w:color="002060"/>
              <w:left w:val="single" w:sz="8" w:space="0" w:color="002060"/>
              <w:bottom w:val="nil"/>
              <w:right w:val="single" w:sz="8" w:space="0" w:color="002060"/>
            </w:tcBorders>
            <w:vAlign w:val="center"/>
            <w:hideMark/>
          </w:tcPr>
          <w:p w14:paraId="1FF9AA21"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480069D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Moss Rd / Day Rd / Murchison</w:t>
            </w:r>
          </w:p>
        </w:tc>
        <w:tc>
          <w:tcPr>
            <w:tcW w:w="1008" w:type="dxa"/>
            <w:tcBorders>
              <w:top w:val="single" w:sz="8" w:space="0" w:color="002060"/>
              <w:left w:val="nil"/>
              <w:bottom w:val="nil"/>
              <w:right w:val="nil"/>
            </w:tcBorders>
            <w:shd w:val="clear" w:color="auto" w:fill="auto"/>
            <w:noWrap/>
            <w:vAlign w:val="center"/>
            <w:hideMark/>
          </w:tcPr>
          <w:p w14:paraId="52EA0DC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Very Low</w:t>
            </w:r>
          </w:p>
        </w:tc>
        <w:tc>
          <w:tcPr>
            <w:tcW w:w="536" w:type="dxa"/>
            <w:tcBorders>
              <w:top w:val="single" w:sz="8" w:space="0" w:color="002060"/>
              <w:left w:val="nil"/>
              <w:bottom w:val="nil"/>
              <w:right w:val="nil"/>
            </w:tcBorders>
            <w:shd w:val="clear" w:color="auto" w:fill="auto"/>
            <w:noWrap/>
            <w:vAlign w:val="center"/>
            <w:hideMark/>
          </w:tcPr>
          <w:p w14:paraId="781EE0C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42</w:t>
            </w:r>
          </w:p>
        </w:tc>
        <w:tc>
          <w:tcPr>
            <w:tcW w:w="656" w:type="dxa"/>
            <w:tcBorders>
              <w:top w:val="single" w:sz="8" w:space="0" w:color="002060"/>
              <w:left w:val="nil"/>
              <w:bottom w:val="nil"/>
              <w:right w:val="nil"/>
            </w:tcBorders>
            <w:shd w:val="clear" w:color="auto" w:fill="auto"/>
            <w:noWrap/>
            <w:vAlign w:val="center"/>
            <w:hideMark/>
          </w:tcPr>
          <w:p w14:paraId="53A33F6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861</w:t>
            </w:r>
          </w:p>
        </w:tc>
        <w:tc>
          <w:tcPr>
            <w:tcW w:w="776" w:type="dxa"/>
            <w:tcBorders>
              <w:top w:val="single" w:sz="8" w:space="0" w:color="002060"/>
              <w:left w:val="nil"/>
              <w:bottom w:val="nil"/>
              <w:right w:val="nil"/>
            </w:tcBorders>
            <w:shd w:val="clear" w:color="auto" w:fill="auto"/>
            <w:noWrap/>
            <w:vAlign w:val="center"/>
            <w:hideMark/>
          </w:tcPr>
          <w:p w14:paraId="38C493A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698</w:t>
            </w:r>
          </w:p>
        </w:tc>
        <w:tc>
          <w:tcPr>
            <w:tcW w:w="596" w:type="dxa"/>
            <w:tcBorders>
              <w:top w:val="single" w:sz="8" w:space="0" w:color="002060"/>
              <w:left w:val="nil"/>
              <w:bottom w:val="nil"/>
              <w:right w:val="nil"/>
            </w:tcBorders>
            <w:shd w:val="clear" w:color="auto" w:fill="auto"/>
            <w:noWrap/>
            <w:vAlign w:val="center"/>
            <w:hideMark/>
          </w:tcPr>
          <w:p w14:paraId="68617F2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198</w:t>
            </w:r>
          </w:p>
        </w:tc>
        <w:tc>
          <w:tcPr>
            <w:tcW w:w="636" w:type="dxa"/>
            <w:tcBorders>
              <w:top w:val="single" w:sz="8" w:space="0" w:color="002060"/>
              <w:left w:val="nil"/>
              <w:bottom w:val="nil"/>
              <w:right w:val="nil"/>
            </w:tcBorders>
            <w:shd w:val="clear" w:color="auto" w:fill="auto"/>
            <w:noWrap/>
            <w:vAlign w:val="center"/>
            <w:hideMark/>
          </w:tcPr>
          <w:p w14:paraId="7F58D7C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2357</w:t>
            </w:r>
          </w:p>
        </w:tc>
        <w:tc>
          <w:tcPr>
            <w:tcW w:w="776" w:type="dxa"/>
            <w:tcBorders>
              <w:top w:val="single" w:sz="8" w:space="0" w:color="002060"/>
              <w:left w:val="nil"/>
              <w:bottom w:val="nil"/>
              <w:right w:val="nil"/>
            </w:tcBorders>
            <w:shd w:val="clear" w:color="auto" w:fill="auto"/>
            <w:noWrap/>
            <w:vAlign w:val="center"/>
            <w:hideMark/>
          </w:tcPr>
          <w:p w14:paraId="0E5C00B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564</w:t>
            </w:r>
          </w:p>
        </w:tc>
        <w:tc>
          <w:tcPr>
            <w:tcW w:w="588" w:type="dxa"/>
            <w:tcBorders>
              <w:top w:val="single" w:sz="8" w:space="0" w:color="002060"/>
              <w:left w:val="nil"/>
              <w:bottom w:val="nil"/>
              <w:right w:val="nil"/>
            </w:tcBorders>
            <w:shd w:val="clear" w:color="auto" w:fill="auto"/>
            <w:noWrap/>
            <w:vAlign w:val="center"/>
            <w:hideMark/>
          </w:tcPr>
          <w:p w14:paraId="7A93F7C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307</w:t>
            </w:r>
          </w:p>
        </w:tc>
        <w:tc>
          <w:tcPr>
            <w:tcW w:w="580" w:type="dxa"/>
            <w:tcBorders>
              <w:top w:val="single" w:sz="8" w:space="0" w:color="002060"/>
              <w:left w:val="nil"/>
              <w:bottom w:val="nil"/>
              <w:right w:val="single" w:sz="8" w:space="0" w:color="002060"/>
            </w:tcBorders>
            <w:shd w:val="clear" w:color="auto" w:fill="auto"/>
            <w:noWrap/>
            <w:vAlign w:val="center"/>
            <w:hideMark/>
          </w:tcPr>
          <w:p w14:paraId="199610F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1235</w:t>
            </w:r>
          </w:p>
        </w:tc>
        <w:tc>
          <w:tcPr>
            <w:tcW w:w="880" w:type="dxa"/>
            <w:vMerge/>
            <w:tcBorders>
              <w:top w:val="single" w:sz="8" w:space="0" w:color="002060"/>
              <w:left w:val="single" w:sz="8" w:space="0" w:color="002060"/>
              <w:bottom w:val="nil"/>
              <w:right w:val="single" w:sz="8" w:space="0" w:color="002060"/>
            </w:tcBorders>
            <w:vAlign w:val="center"/>
            <w:hideMark/>
          </w:tcPr>
          <w:p w14:paraId="2D16CFFE"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single" w:sz="8" w:space="0" w:color="002060"/>
              <w:left w:val="nil"/>
              <w:bottom w:val="nil"/>
              <w:right w:val="nil"/>
            </w:tcBorders>
            <w:shd w:val="clear" w:color="auto" w:fill="auto"/>
            <w:noWrap/>
            <w:vAlign w:val="center"/>
            <w:hideMark/>
          </w:tcPr>
          <w:p w14:paraId="5F36167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30</w:t>
            </w:r>
          </w:p>
        </w:tc>
        <w:tc>
          <w:tcPr>
            <w:tcW w:w="596" w:type="dxa"/>
            <w:tcBorders>
              <w:top w:val="single" w:sz="8" w:space="0" w:color="002060"/>
              <w:left w:val="nil"/>
              <w:bottom w:val="nil"/>
              <w:right w:val="nil"/>
            </w:tcBorders>
            <w:shd w:val="clear" w:color="auto" w:fill="auto"/>
            <w:noWrap/>
            <w:vAlign w:val="center"/>
            <w:hideMark/>
          </w:tcPr>
          <w:p w14:paraId="3907DEB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2076</w:t>
            </w:r>
          </w:p>
        </w:tc>
        <w:tc>
          <w:tcPr>
            <w:tcW w:w="716" w:type="dxa"/>
            <w:tcBorders>
              <w:top w:val="single" w:sz="8" w:space="0" w:color="002060"/>
              <w:left w:val="nil"/>
              <w:bottom w:val="nil"/>
              <w:right w:val="nil"/>
            </w:tcBorders>
            <w:shd w:val="clear" w:color="auto" w:fill="auto"/>
            <w:noWrap/>
            <w:vAlign w:val="center"/>
            <w:hideMark/>
          </w:tcPr>
          <w:p w14:paraId="7DF8015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1511</w:t>
            </w:r>
          </w:p>
        </w:tc>
        <w:tc>
          <w:tcPr>
            <w:tcW w:w="556" w:type="dxa"/>
            <w:tcBorders>
              <w:top w:val="single" w:sz="8" w:space="0" w:color="002060"/>
              <w:left w:val="nil"/>
              <w:bottom w:val="nil"/>
              <w:right w:val="nil"/>
            </w:tcBorders>
            <w:shd w:val="clear" w:color="auto" w:fill="auto"/>
            <w:noWrap/>
            <w:vAlign w:val="center"/>
            <w:hideMark/>
          </w:tcPr>
          <w:p w14:paraId="2E59931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120</w:t>
            </w:r>
          </w:p>
        </w:tc>
        <w:tc>
          <w:tcPr>
            <w:tcW w:w="596" w:type="dxa"/>
            <w:tcBorders>
              <w:top w:val="single" w:sz="8" w:space="0" w:color="002060"/>
              <w:left w:val="nil"/>
              <w:bottom w:val="nil"/>
              <w:right w:val="nil"/>
            </w:tcBorders>
            <w:shd w:val="clear" w:color="auto" w:fill="auto"/>
            <w:noWrap/>
            <w:vAlign w:val="center"/>
            <w:hideMark/>
          </w:tcPr>
          <w:p w14:paraId="3D6DDE9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6192</w:t>
            </w:r>
          </w:p>
        </w:tc>
        <w:tc>
          <w:tcPr>
            <w:tcW w:w="796" w:type="dxa"/>
            <w:tcBorders>
              <w:top w:val="single" w:sz="8" w:space="0" w:color="002060"/>
              <w:left w:val="nil"/>
              <w:bottom w:val="nil"/>
              <w:right w:val="nil"/>
            </w:tcBorders>
            <w:shd w:val="clear" w:color="auto" w:fill="auto"/>
            <w:noWrap/>
            <w:vAlign w:val="center"/>
            <w:hideMark/>
          </w:tcPr>
          <w:p w14:paraId="3B01D20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1955</w:t>
            </w:r>
          </w:p>
        </w:tc>
        <w:tc>
          <w:tcPr>
            <w:tcW w:w="541" w:type="dxa"/>
            <w:tcBorders>
              <w:top w:val="single" w:sz="8" w:space="0" w:color="002060"/>
              <w:left w:val="nil"/>
              <w:bottom w:val="nil"/>
              <w:right w:val="nil"/>
            </w:tcBorders>
            <w:shd w:val="clear" w:color="auto" w:fill="auto"/>
            <w:noWrap/>
            <w:vAlign w:val="center"/>
            <w:hideMark/>
          </w:tcPr>
          <w:p w14:paraId="4FE40C3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677</w:t>
            </w:r>
          </w:p>
        </w:tc>
        <w:tc>
          <w:tcPr>
            <w:tcW w:w="541" w:type="dxa"/>
            <w:tcBorders>
              <w:top w:val="single" w:sz="8" w:space="0" w:color="002060"/>
              <w:left w:val="nil"/>
              <w:bottom w:val="nil"/>
              <w:right w:val="single" w:sz="8" w:space="0" w:color="002060"/>
            </w:tcBorders>
            <w:shd w:val="clear" w:color="auto" w:fill="auto"/>
            <w:noWrap/>
            <w:vAlign w:val="center"/>
            <w:hideMark/>
          </w:tcPr>
          <w:p w14:paraId="7AB5B5D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2954</w:t>
            </w:r>
          </w:p>
        </w:tc>
      </w:tr>
      <w:tr w:rsidR="00AE564D" w:rsidRPr="00D94C50" w14:paraId="13BCE364" w14:textId="77777777" w:rsidTr="00D94C50">
        <w:trPr>
          <w:trHeight w:val="255"/>
          <w:jc w:val="center"/>
        </w:trPr>
        <w:tc>
          <w:tcPr>
            <w:tcW w:w="743" w:type="dxa"/>
            <w:vMerge/>
            <w:tcBorders>
              <w:top w:val="single" w:sz="8" w:space="0" w:color="002060"/>
              <w:left w:val="single" w:sz="8" w:space="0" w:color="002060"/>
              <w:bottom w:val="nil"/>
              <w:right w:val="single" w:sz="8" w:space="0" w:color="002060"/>
            </w:tcBorders>
            <w:vAlign w:val="center"/>
            <w:hideMark/>
          </w:tcPr>
          <w:p w14:paraId="28CEF082"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25ED7136"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211CF11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6E5AF73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33</w:t>
            </w:r>
          </w:p>
        </w:tc>
        <w:tc>
          <w:tcPr>
            <w:tcW w:w="656" w:type="dxa"/>
            <w:tcBorders>
              <w:top w:val="nil"/>
              <w:left w:val="nil"/>
              <w:bottom w:val="nil"/>
              <w:right w:val="nil"/>
            </w:tcBorders>
            <w:shd w:val="clear" w:color="auto" w:fill="auto"/>
            <w:noWrap/>
            <w:vAlign w:val="center"/>
            <w:hideMark/>
          </w:tcPr>
          <w:p w14:paraId="32CA173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1199</w:t>
            </w:r>
          </w:p>
        </w:tc>
        <w:tc>
          <w:tcPr>
            <w:tcW w:w="776" w:type="dxa"/>
            <w:tcBorders>
              <w:top w:val="nil"/>
              <w:left w:val="nil"/>
              <w:bottom w:val="nil"/>
              <w:right w:val="nil"/>
            </w:tcBorders>
            <w:shd w:val="clear" w:color="auto" w:fill="auto"/>
            <w:noWrap/>
            <w:vAlign w:val="center"/>
            <w:hideMark/>
          </w:tcPr>
          <w:p w14:paraId="0DE8D7D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989</w:t>
            </w:r>
          </w:p>
        </w:tc>
        <w:tc>
          <w:tcPr>
            <w:tcW w:w="596" w:type="dxa"/>
            <w:tcBorders>
              <w:top w:val="nil"/>
              <w:left w:val="nil"/>
              <w:bottom w:val="nil"/>
              <w:right w:val="nil"/>
            </w:tcBorders>
            <w:shd w:val="clear" w:color="auto" w:fill="auto"/>
            <w:noWrap/>
            <w:vAlign w:val="center"/>
            <w:hideMark/>
          </w:tcPr>
          <w:p w14:paraId="38AE3F6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290</w:t>
            </w:r>
          </w:p>
        </w:tc>
        <w:tc>
          <w:tcPr>
            <w:tcW w:w="636" w:type="dxa"/>
            <w:tcBorders>
              <w:top w:val="nil"/>
              <w:left w:val="nil"/>
              <w:bottom w:val="nil"/>
              <w:right w:val="nil"/>
            </w:tcBorders>
            <w:shd w:val="clear" w:color="auto" w:fill="auto"/>
            <w:noWrap/>
            <w:vAlign w:val="center"/>
            <w:hideMark/>
          </w:tcPr>
          <w:p w14:paraId="0FC357D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3970</w:t>
            </w:r>
          </w:p>
        </w:tc>
        <w:tc>
          <w:tcPr>
            <w:tcW w:w="776" w:type="dxa"/>
            <w:tcBorders>
              <w:top w:val="nil"/>
              <w:left w:val="nil"/>
              <w:bottom w:val="nil"/>
              <w:right w:val="nil"/>
            </w:tcBorders>
            <w:shd w:val="clear" w:color="auto" w:fill="auto"/>
            <w:noWrap/>
            <w:vAlign w:val="center"/>
            <w:hideMark/>
          </w:tcPr>
          <w:p w14:paraId="540EA66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879</w:t>
            </w:r>
          </w:p>
        </w:tc>
        <w:tc>
          <w:tcPr>
            <w:tcW w:w="588" w:type="dxa"/>
            <w:tcBorders>
              <w:top w:val="nil"/>
              <w:left w:val="nil"/>
              <w:bottom w:val="nil"/>
              <w:right w:val="nil"/>
            </w:tcBorders>
            <w:shd w:val="clear" w:color="auto" w:fill="auto"/>
            <w:noWrap/>
            <w:vAlign w:val="center"/>
            <w:hideMark/>
          </w:tcPr>
          <w:p w14:paraId="5111C30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439</w:t>
            </w:r>
          </w:p>
        </w:tc>
        <w:tc>
          <w:tcPr>
            <w:tcW w:w="580" w:type="dxa"/>
            <w:tcBorders>
              <w:top w:val="nil"/>
              <w:left w:val="nil"/>
              <w:bottom w:val="nil"/>
              <w:right w:val="single" w:sz="8" w:space="0" w:color="002060"/>
            </w:tcBorders>
            <w:shd w:val="clear" w:color="auto" w:fill="auto"/>
            <w:noWrap/>
            <w:vAlign w:val="center"/>
            <w:hideMark/>
          </w:tcPr>
          <w:p w14:paraId="3174FEE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1687</w:t>
            </w:r>
          </w:p>
        </w:tc>
        <w:tc>
          <w:tcPr>
            <w:tcW w:w="880" w:type="dxa"/>
            <w:vMerge/>
            <w:tcBorders>
              <w:top w:val="single" w:sz="8" w:space="0" w:color="002060"/>
              <w:left w:val="single" w:sz="8" w:space="0" w:color="002060"/>
              <w:bottom w:val="nil"/>
              <w:right w:val="single" w:sz="8" w:space="0" w:color="002060"/>
            </w:tcBorders>
            <w:vAlign w:val="center"/>
            <w:hideMark/>
          </w:tcPr>
          <w:p w14:paraId="70639F55"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38E481A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164</w:t>
            </w:r>
          </w:p>
        </w:tc>
        <w:tc>
          <w:tcPr>
            <w:tcW w:w="596" w:type="dxa"/>
            <w:tcBorders>
              <w:top w:val="nil"/>
              <w:left w:val="nil"/>
              <w:bottom w:val="nil"/>
              <w:right w:val="nil"/>
            </w:tcBorders>
            <w:shd w:val="clear" w:color="auto" w:fill="auto"/>
            <w:noWrap/>
            <w:vAlign w:val="center"/>
            <w:hideMark/>
          </w:tcPr>
          <w:p w14:paraId="314ED49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1488</w:t>
            </w:r>
          </w:p>
        </w:tc>
        <w:tc>
          <w:tcPr>
            <w:tcW w:w="716" w:type="dxa"/>
            <w:tcBorders>
              <w:top w:val="nil"/>
              <w:left w:val="nil"/>
              <w:bottom w:val="nil"/>
              <w:right w:val="nil"/>
            </w:tcBorders>
            <w:shd w:val="clear" w:color="auto" w:fill="auto"/>
            <w:noWrap/>
            <w:vAlign w:val="center"/>
            <w:hideMark/>
          </w:tcPr>
          <w:p w14:paraId="383E4E1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1551</w:t>
            </w:r>
          </w:p>
        </w:tc>
        <w:tc>
          <w:tcPr>
            <w:tcW w:w="556" w:type="dxa"/>
            <w:tcBorders>
              <w:top w:val="nil"/>
              <w:left w:val="nil"/>
              <w:bottom w:val="nil"/>
              <w:right w:val="nil"/>
            </w:tcBorders>
            <w:shd w:val="clear" w:color="auto" w:fill="auto"/>
            <w:noWrap/>
            <w:vAlign w:val="center"/>
            <w:hideMark/>
          </w:tcPr>
          <w:p w14:paraId="4945B84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87</w:t>
            </w:r>
          </w:p>
        </w:tc>
        <w:tc>
          <w:tcPr>
            <w:tcW w:w="596" w:type="dxa"/>
            <w:tcBorders>
              <w:top w:val="nil"/>
              <w:left w:val="nil"/>
              <w:bottom w:val="nil"/>
              <w:right w:val="nil"/>
            </w:tcBorders>
            <w:shd w:val="clear" w:color="auto" w:fill="auto"/>
            <w:noWrap/>
            <w:vAlign w:val="center"/>
            <w:hideMark/>
          </w:tcPr>
          <w:p w14:paraId="12BAFD9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7894</w:t>
            </w:r>
          </w:p>
        </w:tc>
        <w:tc>
          <w:tcPr>
            <w:tcW w:w="796" w:type="dxa"/>
            <w:tcBorders>
              <w:top w:val="nil"/>
              <w:left w:val="nil"/>
              <w:bottom w:val="nil"/>
              <w:right w:val="nil"/>
            </w:tcBorders>
            <w:shd w:val="clear" w:color="auto" w:fill="auto"/>
            <w:noWrap/>
            <w:vAlign w:val="center"/>
            <w:hideMark/>
          </w:tcPr>
          <w:p w14:paraId="2A9F717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872</w:t>
            </w:r>
          </w:p>
        </w:tc>
        <w:tc>
          <w:tcPr>
            <w:tcW w:w="541" w:type="dxa"/>
            <w:tcBorders>
              <w:top w:val="nil"/>
              <w:left w:val="nil"/>
              <w:bottom w:val="nil"/>
              <w:right w:val="nil"/>
            </w:tcBorders>
            <w:shd w:val="clear" w:color="auto" w:fill="auto"/>
            <w:noWrap/>
            <w:vAlign w:val="center"/>
            <w:hideMark/>
          </w:tcPr>
          <w:p w14:paraId="41D15D8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588</w:t>
            </w:r>
          </w:p>
        </w:tc>
        <w:tc>
          <w:tcPr>
            <w:tcW w:w="541" w:type="dxa"/>
            <w:tcBorders>
              <w:top w:val="nil"/>
              <w:left w:val="nil"/>
              <w:bottom w:val="nil"/>
              <w:right w:val="single" w:sz="8" w:space="0" w:color="002060"/>
            </w:tcBorders>
            <w:shd w:val="clear" w:color="auto" w:fill="auto"/>
            <w:noWrap/>
            <w:vAlign w:val="center"/>
            <w:hideMark/>
          </w:tcPr>
          <w:p w14:paraId="17FE598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1667</w:t>
            </w:r>
          </w:p>
        </w:tc>
      </w:tr>
      <w:tr w:rsidR="00AE564D" w:rsidRPr="00D94C50" w14:paraId="163FA32F" w14:textId="77777777" w:rsidTr="00D94C50">
        <w:trPr>
          <w:trHeight w:val="255"/>
          <w:jc w:val="center"/>
        </w:trPr>
        <w:tc>
          <w:tcPr>
            <w:tcW w:w="743" w:type="dxa"/>
            <w:vMerge/>
            <w:tcBorders>
              <w:top w:val="single" w:sz="8" w:space="0" w:color="002060"/>
              <w:left w:val="single" w:sz="8" w:space="0" w:color="002060"/>
              <w:bottom w:val="nil"/>
              <w:right w:val="single" w:sz="8" w:space="0" w:color="002060"/>
            </w:tcBorders>
            <w:vAlign w:val="center"/>
            <w:hideMark/>
          </w:tcPr>
          <w:p w14:paraId="506C1CEA"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5E9E0F94"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70C8810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570B92D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29</w:t>
            </w:r>
          </w:p>
        </w:tc>
        <w:tc>
          <w:tcPr>
            <w:tcW w:w="656" w:type="dxa"/>
            <w:tcBorders>
              <w:top w:val="nil"/>
              <w:left w:val="nil"/>
              <w:bottom w:val="nil"/>
              <w:right w:val="nil"/>
            </w:tcBorders>
            <w:shd w:val="clear" w:color="auto" w:fill="auto"/>
            <w:noWrap/>
            <w:vAlign w:val="center"/>
            <w:hideMark/>
          </w:tcPr>
          <w:p w14:paraId="720DD22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835</w:t>
            </w:r>
          </w:p>
        </w:tc>
        <w:tc>
          <w:tcPr>
            <w:tcW w:w="776" w:type="dxa"/>
            <w:tcBorders>
              <w:top w:val="nil"/>
              <w:left w:val="nil"/>
              <w:bottom w:val="nil"/>
              <w:right w:val="nil"/>
            </w:tcBorders>
            <w:shd w:val="clear" w:color="auto" w:fill="auto"/>
            <w:noWrap/>
            <w:vAlign w:val="center"/>
            <w:hideMark/>
          </w:tcPr>
          <w:p w14:paraId="1744AA1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559</w:t>
            </w:r>
          </w:p>
        </w:tc>
        <w:tc>
          <w:tcPr>
            <w:tcW w:w="596" w:type="dxa"/>
            <w:tcBorders>
              <w:top w:val="nil"/>
              <w:left w:val="nil"/>
              <w:bottom w:val="nil"/>
              <w:right w:val="nil"/>
            </w:tcBorders>
            <w:shd w:val="clear" w:color="auto" w:fill="auto"/>
            <w:noWrap/>
            <w:vAlign w:val="center"/>
            <w:hideMark/>
          </w:tcPr>
          <w:p w14:paraId="403D1E2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160</w:t>
            </w:r>
          </w:p>
        </w:tc>
        <w:tc>
          <w:tcPr>
            <w:tcW w:w="636" w:type="dxa"/>
            <w:tcBorders>
              <w:top w:val="nil"/>
              <w:left w:val="nil"/>
              <w:bottom w:val="nil"/>
              <w:right w:val="nil"/>
            </w:tcBorders>
            <w:shd w:val="clear" w:color="auto" w:fill="auto"/>
            <w:noWrap/>
            <w:vAlign w:val="center"/>
            <w:hideMark/>
          </w:tcPr>
          <w:p w14:paraId="03B9843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2033</w:t>
            </w:r>
          </w:p>
        </w:tc>
        <w:tc>
          <w:tcPr>
            <w:tcW w:w="776" w:type="dxa"/>
            <w:tcBorders>
              <w:top w:val="nil"/>
              <w:left w:val="nil"/>
              <w:bottom w:val="nil"/>
              <w:right w:val="nil"/>
            </w:tcBorders>
            <w:shd w:val="clear" w:color="auto" w:fill="auto"/>
            <w:noWrap/>
            <w:vAlign w:val="center"/>
            <w:hideMark/>
          </w:tcPr>
          <w:p w14:paraId="7F11527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659</w:t>
            </w:r>
          </w:p>
        </w:tc>
        <w:tc>
          <w:tcPr>
            <w:tcW w:w="588" w:type="dxa"/>
            <w:tcBorders>
              <w:top w:val="nil"/>
              <w:left w:val="nil"/>
              <w:bottom w:val="nil"/>
              <w:right w:val="nil"/>
            </w:tcBorders>
            <w:shd w:val="clear" w:color="auto" w:fill="auto"/>
            <w:noWrap/>
            <w:vAlign w:val="center"/>
            <w:hideMark/>
          </w:tcPr>
          <w:p w14:paraId="5694C8E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326</w:t>
            </w:r>
          </w:p>
        </w:tc>
        <w:tc>
          <w:tcPr>
            <w:tcW w:w="580" w:type="dxa"/>
            <w:tcBorders>
              <w:top w:val="nil"/>
              <w:left w:val="nil"/>
              <w:bottom w:val="nil"/>
              <w:right w:val="single" w:sz="8" w:space="0" w:color="002060"/>
            </w:tcBorders>
            <w:shd w:val="clear" w:color="auto" w:fill="auto"/>
            <w:noWrap/>
            <w:vAlign w:val="center"/>
            <w:hideMark/>
          </w:tcPr>
          <w:p w14:paraId="24EC894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1257</w:t>
            </w:r>
          </w:p>
        </w:tc>
        <w:tc>
          <w:tcPr>
            <w:tcW w:w="880" w:type="dxa"/>
            <w:vMerge/>
            <w:tcBorders>
              <w:top w:val="single" w:sz="8" w:space="0" w:color="002060"/>
              <w:left w:val="single" w:sz="8" w:space="0" w:color="002060"/>
              <w:bottom w:val="nil"/>
              <w:right w:val="single" w:sz="8" w:space="0" w:color="002060"/>
            </w:tcBorders>
            <w:vAlign w:val="center"/>
            <w:hideMark/>
          </w:tcPr>
          <w:p w14:paraId="215A710F"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25B01C4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84</w:t>
            </w:r>
          </w:p>
        </w:tc>
        <w:tc>
          <w:tcPr>
            <w:tcW w:w="596" w:type="dxa"/>
            <w:tcBorders>
              <w:top w:val="nil"/>
              <w:left w:val="nil"/>
              <w:bottom w:val="nil"/>
              <w:right w:val="nil"/>
            </w:tcBorders>
            <w:shd w:val="clear" w:color="auto" w:fill="auto"/>
            <w:noWrap/>
            <w:vAlign w:val="center"/>
            <w:hideMark/>
          </w:tcPr>
          <w:p w14:paraId="703887E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2070</w:t>
            </w:r>
          </w:p>
        </w:tc>
        <w:tc>
          <w:tcPr>
            <w:tcW w:w="716" w:type="dxa"/>
            <w:tcBorders>
              <w:top w:val="nil"/>
              <w:left w:val="nil"/>
              <w:bottom w:val="nil"/>
              <w:right w:val="nil"/>
            </w:tcBorders>
            <w:shd w:val="clear" w:color="auto" w:fill="auto"/>
            <w:noWrap/>
            <w:vAlign w:val="center"/>
            <w:hideMark/>
          </w:tcPr>
          <w:p w14:paraId="43C1D1A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1458</w:t>
            </w:r>
          </w:p>
        </w:tc>
        <w:tc>
          <w:tcPr>
            <w:tcW w:w="556" w:type="dxa"/>
            <w:tcBorders>
              <w:top w:val="nil"/>
              <w:left w:val="nil"/>
              <w:bottom w:val="nil"/>
              <w:right w:val="nil"/>
            </w:tcBorders>
            <w:shd w:val="clear" w:color="auto" w:fill="auto"/>
            <w:noWrap/>
            <w:vAlign w:val="center"/>
            <w:hideMark/>
          </w:tcPr>
          <w:p w14:paraId="7D93CFF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106</w:t>
            </w:r>
          </w:p>
        </w:tc>
        <w:tc>
          <w:tcPr>
            <w:tcW w:w="596" w:type="dxa"/>
            <w:tcBorders>
              <w:top w:val="nil"/>
              <w:left w:val="nil"/>
              <w:bottom w:val="nil"/>
              <w:right w:val="nil"/>
            </w:tcBorders>
            <w:shd w:val="clear" w:color="auto" w:fill="auto"/>
            <w:noWrap/>
            <w:vAlign w:val="center"/>
            <w:hideMark/>
          </w:tcPr>
          <w:p w14:paraId="2A9D7B8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7659</w:t>
            </w:r>
          </w:p>
        </w:tc>
        <w:tc>
          <w:tcPr>
            <w:tcW w:w="796" w:type="dxa"/>
            <w:tcBorders>
              <w:top w:val="nil"/>
              <w:left w:val="nil"/>
              <w:bottom w:val="nil"/>
              <w:right w:val="nil"/>
            </w:tcBorders>
            <w:shd w:val="clear" w:color="auto" w:fill="auto"/>
            <w:noWrap/>
            <w:vAlign w:val="center"/>
            <w:hideMark/>
          </w:tcPr>
          <w:p w14:paraId="7699241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1836</w:t>
            </w:r>
          </w:p>
        </w:tc>
        <w:tc>
          <w:tcPr>
            <w:tcW w:w="541" w:type="dxa"/>
            <w:tcBorders>
              <w:top w:val="nil"/>
              <w:left w:val="nil"/>
              <w:bottom w:val="nil"/>
              <w:right w:val="nil"/>
            </w:tcBorders>
            <w:shd w:val="clear" w:color="auto" w:fill="auto"/>
            <w:noWrap/>
            <w:vAlign w:val="center"/>
            <w:hideMark/>
          </w:tcPr>
          <w:p w14:paraId="6C0A60B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1068</w:t>
            </w:r>
          </w:p>
        </w:tc>
        <w:tc>
          <w:tcPr>
            <w:tcW w:w="541" w:type="dxa"/>
            <w:tcBorders>
              <w:top w:val="nil"/>
              <w:left w:val="nil"/>
              <w:bottom w:val="nil"/>
              <w:right w:val="single" w:sz="8" w:space="0" w:color="002060"/>
            </w:tcBorders>
            <w:shd w:val="clear" w:color="auto" w:fill="auto"/>
            <w:noWrap/>
            <w:vAlign w:val="center"/>
            <w:hideMark/>
          </w:tcPr>
          <w:p w14:paraId="652D4F1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2738</w:t>
            </w:r>
          </w:p>
        </w:tc>
      </w:tr>
      <w:tr w:rsidR="00AE564D" w:rsidRPr="00D94C50" w14:paraId="5D95FD3A" w14:textId="77777777" w:rsidTr="00D94C50">
        <w:trPr>
          <w:trHeight w:val="255"/>
          <w:jc w:val="center"/>
        </w:trPr>
        <w:tc>
          <w:tcPr>
            <w:tcW w:w="743" w:type="dxa"/>
            <w:vMerge/>
            <w:tcBorders>
              <w:top w:val="single" w:sz="8" w:space="0" w:color="002060"/>
              <w:left w:val="single" w:sz="8" w:space="0" w:color="002060"/>
              <w:bottom w:val="nil"/>
              <w:right w:val="single" w:sz="8" w:space="0" w:color="002060"/>
            </w:tcBorders>
            <w:vAlign w:val="center"/>
            <w:hideMark/>
          </w:tcPr>
          <w:p w14:paraId="226411A6"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7405E365"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single" w:sz="8" w:space="0" w:color="002060"/>
              <w:right w:val="nil"/>
            </w:tcBorders>
            <w:shd w:val="clear" w:color="auto" w:fill="auto"/>
            <w:noWrap/>
            <w:vAlign w:val="center"/>
            <w:hideMark/>
          </w:tcPr>
          <w:p w14:paraId="20F18E9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Med Fresh</w:t>
            </w:r>
          </w:p>
        </w:tc>
        <w:tc>
          <w:tcPr>
            <w:tcW w:w="536" w:type="dxa"/>
            <w:tcBorders>
              <w:top w:val="nil"/>
              <w:left w:val="nil"/>
              <w:bottom w:val="single" w:sz="8" w:space="0" w:color="002060"/>
              <w:right w:val="nil"/>
            </w:tcBorders>
            <w:shd w:val="clear" w:color="auto" w:fill="auto"/>
            <w:noWrap/>
            <w:vAlign w:val="center"/>
            <w:hideMark/>
          </w:tcPr>
          <w:p w14:paraId="6DF7AB6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22</w:t>
            </w:r>
          </w:p>
        </w:tc>
        <w:tc>
          <w:tcPr>
            <w:tcW w:w="656" w:type="dxa"/>
            <w:tcBorders>
              <w:top w:val="nil"/>
              <w:left w:val="nil"/>
              <w:bottom w:val="single" w:sz="8" w:space="0" w:color="002060"/>
              <w:right w:val="nil"/>
            </w:tcBorders>
            <w:shd w:val="clear" w:color="auto" w:fill="auto"/>
            <w:noWrap/>
            <w:vAlign w:val="center"/>
            <w:hideMark/>
          </w:tcPr>
          <w:p w14:paraId="5176FD2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1227</w:t>
            </w:r>
          </w:p>
        </w:tc>
        <w:tc>
          <w:tcPr>
            <w:tcW w:w="776" w:type="dxa"/>
            <w:tcBorders>
              <w:top w:val="nil"/>
              <w:left w:val="nil"/>
              <w:bottom w:val="single" w:sz="8" w:space="0" w:color="002060"/>
              <w:right w:val="nil"/>
            </w:tcBorders>
            <w:shd w:val="clear" w:color="auto" w:fill="auto"/>
            <w:noWrap/>
            <w:vAlign w:val="center"/>
            <w:hideMark/>
          </w:tcPr>
          <w:p w14:paraId="5CDBD69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492</w:t>
            </w:r>
          </w:p>
        </w:tc>
        <w:tc>
          <w:tcPr>
            <w:tcW w:w="596" w:type="dxa"/>
            <w:tcBorders>
              <w:top w:val="nil"/>
              <w:left w:val="nil"/>
              <w:bottom w:val="single" w:sz="8" w:space="0" w:color="002060"/>
              <w:right w:val="nil"/>
            </w:tcBorders>
            <w:shd w:val="clear" w:color="auto" w:fill="auto"/>
            <w:noWrap/>
            <w:vAlign w:val="center"/>
            <w:hideMark/>
          </w:tcPr>
          <w:p w14:paraId="78C4CCA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206</w:t>
            </w:r>
          </w:p>
        </w:tc>
        <w:tc>
          <w:tcPr>
            <w:tcW w:w="636" w:type="dxa"/>
            <w:tcBorders>
              <w:top w:val="nil"/>
              <w:left w:val="nil"/>
              <w:bottom w:val="single" w:sz="8" w:space="0" w:color="002060"/>
              <w:right w:val="nil"/>
            </w:tcBorders>
            <w:shd w:val="clear" w:color="auto" w:fill="auto"/>
            <w:noWrap/>
            <w:vAlign w:val="center"/>
            <w:hideMark/>
          </w:tcPr>
          <w:p w14:paraId="30ECF6E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2159</w:t>
            </w:r>
          </w:p>
        </w:tc>
        <w:tc>
          <w:tcPr>
            <w:tcW w:w="776" w:type="dxa"/>
            <w:tcBorders>
              <w:top w:val="nil"/>
              <w:left w:val="nil"/>
              <w:bottom w:val="single" w:sz="8" w:space="0" w:color="002060"/>
              <w:right w:val="nil"/>
            </w:tcBorders>
            <w:shd w:val="clear" w:color="auto" w:fill="auto"/>
            <w:noWrap/>
            <w:vAlign w:val="center"/>
            <w:hideMark/>
          </w:tcPr>
          <w:p w14:paraId="0DC968C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1132</w:t>
            </w:r>
          </w:p>
        </w:tc>
        <w:tc>
          <w:tcPr>
            <w:tcW w:w="588" w:type="dxa"/>
            <w:tcBorders>
              <w:top w:val="nil"/>
              <w:left w:val="nil"/>
              <w:bottom w:val="single" w:sz="8" w:space="0" w:color="002060"/>
              <w:right w:val="nil"/>
            </w:tcBorders>
            <w:shd w:val="clear" w:color="auto" w:fill="auto"/>
            <w:noWrap/>
            <w:vAlign w:val="center"/>
            <w:hideMark/>
          </w:tcPr>
          <w:p w14:paraId="02C5076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907</w:t>
            </w:r>
          </w:p>
        </w:tc>
        <w:tc>
          <w:tcPr>
            <w:tcW w:w="580" w:type="dxa"/>
            <w:tcBorders>
              <w:top w:val="nil"/>
              <w:left w:val="nil"/>
              <w:bottom w:val="single" w:sz="8" w:space="0" w:color="002060"/>
              <w:right w:val="single" w:sz="8" w:space="0" w:color="002060"/>
            </w:tcBorders>
            <w:shd w:val="clear" w:color="auto" w:fill="auto"/>
            <w:noWrap/>
            <w:vAlign w:val="center"/>
            <w:hideMark/>
          </w:tcPr>
          <w:p w14:paraId="5BBA29A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1640</w:t>
            </w:r>
          </w:p>
        </w:tc>
        <w:tc>
          <w:tcPr>
            <w:tcW w:w="880" w:type="dxa"/>
            <w:vMerge/>
            <w:tcBorders>
              <w:top w:val="single" w:sz="8" w:space="0" w:color="002060"/>
              <w:left w:val="single" w:sz="8" w:space="0" w:color="002060"/>
              <w:bottom w:val="nil"/>
              <w:right w:val="single" w:sz="8" w:space="0" w:color="002060"/>
            </w:tcBorders>
            <w:vAlign w:val="center"/>
            <w:hideMark/>
          </w:tcPr>
          <w:p w14:paraId="0FDDA639"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single" w:sz="8" w:space="0" w:color="002060"/>
              <w:right w:val="nil"/>
            </w:tcBorders>
            <w:shd w:val="clear" w:color="auto" w:fill="auto"/>
            <w:noWrap/>
            <w:vAlign w:val="center"/>
            <w:hideMark/>
          </w:tcPr>
          <w:p w14:paraId="453E910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w:t>
            </w:r>
          </w:p>
        </w:tc>
        <w:tc>
          <w:tcPr>
            <w:tcW w:w="596" w:type="dxa"/>
            <w:tcBorders>
              <w:top w:val="nil"/>
              <w:left w:val="nil"/>
              <w:bottom w:val="single" w:sz="8" w:space="0" w:color="002060"/>
              <w:right w:val="nil"/>
            </w:tcBorders>
            <w:shd w:val="clear" w:color="auto" w:fill="auto"/>
            <w:noWrap/>
            <w:vAlign w:val="center"/>
            <w:hideMark/>
          </w:tcPr>
          <w:p w14:paraId="0C4F905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2763</w:t>
            </w:r>
          </w:p>
        </w:tc>
        <w:tc>
          <w:tcPr>
            <w:tcW w:w="716" w:type="dxa"/>
            <w:tcBorders>
              <w:top w:val="nil"/>
              <w:left w:val="nil"/>
              <w:bottom w:val="single" w:sz="8" w:space="0" w:color="002060"/>
              <w:right w:val="nil"/>
            </w:tcBorders>
            <w:shd w:val="clear" w:color="auto" w:fill="auto"/>
            <w:noWrap/>
            <w:vAlign w:val="center"/>
            <w:hideMark/>
          </w:tcPr>
          <w:p w14:paraId="636133A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820</w:t>
            </w:r>
          </w:p>
        </w:tc>
        <w:tc>
          <w:tcPr>
            <w:tcW w:w="556" w:type="dxa"/>
            <w:tcBorders>
              <w:top w:val="nil"/>
              <w:left w:val="nil"/>
              <w:bottom w:val="single" w:sz="8" w:space="0" w:color="002060"/>
              <w:right w:val="nil"/>
            </w:tcBorders>
            <w:shd w:val="clear" w:color="auto" w:fill="auto"/>
            <w:noWrap/>
            <w:vAlign w:val="center"/>
            <w:hideMark/>
          </w:tcPr>
          <w:p w14:paraId="23080DB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1773</w:t>
            </w:r>
          </w:p>
        </w:tc>
        <w:tc>
          <w:tcPr>
            <w:tcW w:w="596" w:type="dxa"/>
            <w:tcBorders>
              <w:top w:val="nil"/>
              <w:left w:val="nil"/>
              <w:bottom w:val="single" w:sz="8" w:space="0" w:color="002060"/>
              <w:right w:val="nil"/>
            </w:tcBorders>
            <w:shd w:val="clear" w:color="auto" w:fill="auto"/>
            <w:noWrap/>
            <w:vAlign w:val="center"/>
            <w:hideMark/>
          </w:tcPr>
          <w:p w14:paraId="0702590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4453</w:t>
            </w:r>
          </w:p>
        </w:tc>
        <w:tc>
          <w:tcPr>
            <w:tcW w:w="796" w:type="dxa"/>
            <w:tcBorders>
              <w:top w:val="nil"/>
              <w:left w:val="nil"/>
              <w:bottom w:val="single" w:sz="8" w:space="0" w:color="002060"/>
              <w:right w:val="nil"/>
            </w:tcBorders>
            <w:shd w:val="clear" w:color="auto" w:fill="auto"/>
            <w:noWrap/>
            <w:vAlign w:val="center"/>
            <w:hideMark/>
          </w:tcPr>
          <w:p w14:paraId="001F3D7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2468</w:t>
            </w:r>
          </w:p>
        </w:tc>
        <w:tc>
          <w:tcPr>
            <w:tcW w:w="541" w:type="dxa"/>
            <w:tcBorders>
              <w:top w:val="nil"/>
              <w:left w:val="nil"/>
              <w:bottom w:val="single" w:sz="8" w:space="0" w:color="002060"/>
              <w:right w:val="nil"/>
            </w:tcBorders>
            <w:shd w:val="clear" w:color="auto" w:fill="auto"/>
            <w:noWrap/>
            <w:vAlign w:val="center"/>
            <w:hideMark/>
          </w:tcPr>
          <w:p w14:paraId="4984B2E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2198</w:t>
            </w:r>
          </w:p>
        </w:tc>
        <w:tc>
          <w:tcPr>
            <w:tcW w:w="541" w:type="dxa"/>
            <w:tcBorders>
              <w:top w:val="nil"/>
              <w:left w:val="nil"/>
              <w:bottom w:val="single" w:sz="8" w:space="0" w:color="002060"/>
              <w:right w:val="single" w:sz="8" w:space="0" w:color="002060"/>
            </w:tcBorders>
            <w:shd w:val="clear" w:color="auto" w:fill="auto"/>
            <w:noWrap/>
            <w:vAlign w:val="center"/>
            <w:hideMark/>
          </w:tcPr>
          <w:p w14:paraId="02CF164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3296</w:t>
            </w:r>
          </w:p>
        </w:tc>
      </w:tr>
      <w:tr w:rsidR="00AE564D" w:rsidRPr="00D94C50" w14:paraId="0414AF2B" w14:textId="77777777" w:rsidTr="00D94C50">
        <w:trPr>
          <w:trHeight w:val="255"/>
          <w:jc w:val="center"/>
        </w:trPr>
        <w:tc>
          <w:tcPr>
            <w:tcW w:w="743" w:type="dxa"/>
            <w:vMerge w:val="restart"/>
            <w:tcBorders>
              <w:top w:val="single" w:sz="8" w:space="0" w:color="FFFFFF"/>
              <w:left w:val="single" w:sz="8" w:space="0" w:color="002060"/>
              <w:bottom w:val="single" w:sz="8" w:space="0" w:color="002060"/>
              <w:right w:val="single" w:sz="8" w:space="0" w:color="002060"/>
            </w:tcBorders>
            <w:shd w:val="clear" w:color="000000" w:fill="002060"/>
            <w:noWrap/>
            <w:vAlign w:val="center"/>
            <w:hideMark/>
          </w:tcPr>
          <w:p w14:paraId="5E2081B2"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Autumn</w:t>
            </w: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201C828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Arcadia Downs / Darcy's Track</w:t>
            </w:r>
          </w:p>
        </w:tc>
        <w:tc>
          <w:tcPr>
            <w:tcW w:w="1008" w:type="dxa"/>
            <w:tcBorders>
              <w:top w:val="nil"/>
              <w:left w:val="nil"/>
              <w:bottom w:val="nil"/>
              <w:right w:val="nil"/>
            </w:tcBorders>
            <w:shd w:val="clear" w:color="auto" w:fill="auto"/>
            <w:noWrap/>
            <w:vAlign w:val="center"/>
            <w:hideMark/>
          </w:tcPr>
          <w:p w14:paraId="00C8280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Very Low</w:t>
            </w:r>
          </w:p>
        </w:tc>
        <w:tc>
          <w:tcPr>
            <w:tcW w:w="536" w:type="dxa"/>
            <w:tcBorders>
              <w:top w:val="nil"/>
              <w:left w:val="nil"/>
              <w:bottom w:val="nil"/>
              <w:right w:val="nil"/>
            </w:tcBorders>
            <w:shd w:val="clear" w:color="auto" w:fill="auto"/>
            <w:noWrap/>
            <w:vAlign w:val="center"/>
            <w:hideMark/>
          </w:tcPr>
          <w:p w14:paraId="19B328E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w:t>
            </w:r>
          </w:p>
        </w:tc>
        <w:tc>
          <w:tcPr>
            <w:tcW w:w="656" w:type="dxa"/>
            <w:tcBorders>
              <w:top w:val="nil"/>
              <w:left w:val="nil"/>
              <w:bottom w:val="nil"/>
              <w:right w:val="nil"/>
            </w:tcBorders>
            <w:shd w:val="clear" w:color="auto" w:fill="auto"/>
            <w:noWrap/>
            <w:vAlign w:val="center"/>
            <w:hideMark/>
          </w:tcPr>
          <w:p w14:paraId="0934A912"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c>
          <w:tcPr>
            <w:tcW w:w="776" w:type="dxa"/>
            <w:tcBorders>
              <w:top w:val="nil"/>
              <w:left w:val="nil"/>
              <w:bottom w:val="nil"/>
              <w:right w:val="nil"/>
            </w:tcBorders>
            <w:shd w:val="clear" w:color="auto" w:fill="auto"/>
            <w:noWrap/>
            <w:vAlign w:val="center"/>
            <w:hideMark/>
          </w:tcPr>
          <w:p w14:paraId="4446C848"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c>
          <w:tcPr>
            <w:tcW w:w="596" w:type="dxa"/>
            <w:tcBorders>
              <w:top w:val="nil"/>
              <w:left w:val="nil"/>
              <w:bottom w:val="nil"/>
              <w:right w:val="nil"/>
            </w:tcBorders>
            <w:shd w:val="clear" w:color="auto" w:fill="auto"/>
            <w:noWrap/>
            <w:vAlign w:val="center"/>
            <w:hideMark/>
          </w:tcPr>
          <w:p w14:paraId="6A7E3ED8"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c>
          <w:tcPr>
            <w:tcW w:w="636" w:type="dxa"/>
            <w:tcBorders>
              <w:top w:val="nil"/>
              <w:left w:val="nil"/>
              <w:bottom w:val="nil"/>
              <w:right w:val="nil"/>
            </w:tcBorders>
            <w:shd w:val="clear" w:color="auto" w:fill="auto"/>
            <w:noWrap/>
            <w:vAlign w:val="center"/>
            <w:hideMark/>
          </w:tcPr>
          <w:p w14:paraId="083DCDF9"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c>
          <w:tcPr>
            <w:tcW w:w="776" w:type="dxa"/>
            <w:tcBorders>
              <w:top w:val="nil"/>
              <w:left w:val="nil"/>
              <w:bottom w:val="nil"/>
              <w:right w:val="nil"/>
            </w:tcBorders>
            <w:shd w:val="clear" w:color="auto" w:fill="auto"/>
            <w:noWrap/>
            <w:vAlign w:val="center"/>
            <w:hideMark/>
          </w:tcPr>
          <w:p w14:paraId="46137358"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c>
          <w:tcPr>
            <w:tcW w:w="588" w:type="dxa"/>
            <w:tcBorders>
              <w:top w:val="nil"/>
              <w:left w:val="nil"/>
              <w:bottom w:val="nil"/>
              <w:right w:val="nil"/>
            </w:tcBorders>
            <w:shd w:val="clear" w:color="auto" w:fill="auto"/>
            <w:noWrap/>
            <w:vAlign w:val="center"/>
            <w:hideMark/>
          </w:tcPr>
          <w:p w14:paraId="733CBF0C"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c>
          <w:tcPr>
            <w:tcW w:w="580" w:type="dxa"/>
            <w:tcBorders>
              <w:top w:val="nil"/>
              <w:left w:val="nil"/>
              <w:bottom w:val="nil"/>
              <w:right w:val="single" w:sz="8" w:space="0" w:color="002060"/>
            </w:tcBorders>
            <w:shd w:val="clear" w:color="auto" w:fill="auto"/>
            <w:noWrap/>
            <w:vAlign w:val="center"/>
            <w:hideMark/>
          </w:tcPr>
          <w:p w14:paraId="7C7A2585"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c>
          <w:tcPr>
            <w:tcW w:w="880" w:type="dxa"/>
            <w:vMerge w:val="restart"/>
            <w:tcBorders>
              <w:top w:val="single" w:sz="8" w:space="0" w:color="FFFFFF"/>
              <w:left w:val="single" w:sz="8" w:space="0" w:color="002060"/>
              <w:bottom w:val="single" w:sz="8" w:space="0" w:color="002060"/>
              <w:right w:val="single" w:sz="8" w:space="0" w:color="002060"/>
            </w:tcBorders>
            <w:shd w:val="clear" w:color="000000" w:fill="002060"/>
            <w:noWrap/>
            <w:vAlign w:val="center"/>
            <w:hideMark/>
          </w:tcPr>
          <w:p w14:paraId="74FE4A63" w14:textId="77777777" w:rsidR="00AE564D" w:rsidRPr="00D94C50" w:rsidRDefault="00AE564D" w:rsidP="00E26D3C">
            <w:pPr>
              <w:spacing w:after="0" w:line="240" w:lineRule="auto"/>
              <w:jc w:val="center"/>
              <w:rPr>
                <w:rFonts w:eastAsia="Times New Roman" w:cstheme="minorHAnsi"/>
                <w:color w:val="FFFFFF"/>
                <w:sz w:val="18"/>
                <w:szCs w:val="18"/>
                <w:lang w:eastAsia="en-AU"/>
              </w:rPr>
            </w:pPr>
            <w:r w:rsidRPr="00D94C50">
              <w:rPr>
                <w:rFonts w:eastAsia="Times New Roman" w:cstheme="minorHAnsi"/>
                <w:color w:val="FFFFFF"/>
                <w:sz w:val="18"/>
                <w:szCs w:val="18"/>
                <w:lang w:eastAsia="en-AU"/>
              </w:rPr>
              <w:t>Winter</w:t>
            </w:r>
          </w:p>
        </w:tc>
        <w:tc>
          <w:tcPr>
            <w:tcW w:w="528" w:type="dxa"/>
            <w:tcBorders>
              <w:top w:val="nil"/>
              <w:left w:val="nil"/>
              <w:bottom w:val="nil"/>
              <w:right w:val="nil"/>
            </w:tcBorders>
            <w:shd w:val="clear" w:color="auto" w:fill="auto"/>
            <w:noWrap/>
            <w:vAlign w:val="center"/>
            <w:hideMark/>
          </w:tcPr>
          <w:p w14:paraId="5A78A78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w:t>
            </w:r>
          </w:p>
        </w:tc>
        <w:tc>
          <w:tcPr>
            <w:tcW w:w="596" w:type="dxa"/>
            <w:tcBorders>
              <w:top w:val="nil"/>
              <w:left w:val="nil"/>
              <w:bottom w:val="nil"/>
              <w:right w:val="nil"/>
            </w:tcBorders>
            <w:shd w:val="clear" w:color="auto" w:fill="auto"/>
            <w:noWrap/>
            <w:vAlign w:val="center"/>
            <w:hideMark/>
          </w:tcPr>
          <w:p w14:paraId="61BFF81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 </w:t>
            </w:r>
          </w:p>
        </w:tc>
        <w:tc>
          <w:tcPr>
            <w:tcW w:w="716" w:type="dxa"/>
            <w:tcBorders>
              <w:top w:val="nil"/>
              <w:left w:val="nil"/>
              <w:bottom w:val="nil"/>
              <w:right w:val="nil"/>
            </w:tcBorders>
            <w:shd w:val="clear" w:color="auto" w:fill="auto"/>
            <w:noWrap/>
            <w:vAlign w:val="center"/>
            <w:hideMark/>
          </w:tcPr>
          <w:p w14:paraId="1C9CF1C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 </w:t>
            </w:r>
          </w:p>
        </w:tc>
        <w:tc>
          <w:tcPr>
            <w:tcW w:w="556" w:type="dxa"/>
            <w:tcBorders>
              <w:top w:val="nil"/>
              <w:left w:val="nil"/>
              <w:bottom w:val="nil"/>
              <w:right w:val="nil"/>
            </w:tcBorders>
            <w:shd w:val="clear" w:color="auto" w:fill="auto"/>
            <w:noWrap/>
            <w:vAlign w:val="center"/>
            <w:hideMark/>
          </w:tcPr>
          <w:p w14:paraId="4BF4495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 </w:t>
            </w:r>
          </w:p>
        </w:tc>
        <w:tc>
          <w:tcPr>
            <w:tcW w:w="596" w:type="dxa"/>
            <w:tcBorders>
              <w:top w:val="nil"/>
              <w:left w:val="nil"/>
              <w:bottom w:val="nil"/>
              <w:right w:val="nil"/>
            </w:tcBorders>
            <w:shd w:val="clear" w:color="auto" w:fill="auto"/>
            <w:noWrap/>
            <w:vAlign w:val="center"/>
            <w:hideMark/>
          </w:tcPr>
          <w:p w14:paraId="75AD831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 </w:t>
            </w:r>
          </w:p>
        </w:tc>
        <w:tc>
          <w:tcPr>
            <w:tcW w:w="796" w:type="dxa"/>
            <w:tcBorders>
              <w:top w:val="nil"/>
              <w:left w:val="nil"/>
              <w:bottom w:val="nil"/>
              <w:right w:val="nil"/>
            </w:tcBorders>
            <w:shd w:val="clear" w:color="auto" w:fill="auto"/>
            <w:noWrap/>
            <w:vAlign w:val="center"/>
            <w:hideMark/>
          </w:tcPr>
          <w:p w14:paraId="1C8ADAF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 </w:t>
            </w:r>
          </w:p>
        </w:tc>
        <w:tc>
          <w:tcPr>
            <w:tcW w:w="541" w:type="dxa"/>
            <w:tcBorders>
              <w:top w:val="nil"/>
              <w:left w:val="nil"/>
              <w:bottom w:val="nil"/>
              <w:right w:val="nil"/>
            </w:tcBorders>
            <w:shd w:val="clear" w:color="auto" w:fill="auto"/>
            <w:noWrap/>
            <w:vAlign w:val="center"/>
            <w:hideMark/>
          </w:tcPr>
          <w:p w14:paraId="15FE952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 </w:t>
            </w:r>
          </w:p>
        </w:tc>
        <w:tc>
          <w:tcPr>
            <w:tcW w:w="541" w:type="dxa"/>
            <w:tcBorders>
              <w:top w:val="nil"/>
              <w:left w:val="nil"/>
              <w:bottom w:val="nil"/>
              <w:right w:val="single" w:sz="8" w:space="0" w:color="002060"/>
            </w:tcBorders>
            <w:shd w:val="clear" w:color="auto" w:fill="auto"/>
            <w:noWrap/>
            <w:vAlign w:val="center"/>
            <w:hideMark/>
          </w:tcPr>
          <w:p w14:paraId="62AC390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 </w:t>
            </w:r>
          </w:p>
        </w:tc>
      </w:tr>
      <w:tr w:rsidR="00AE564D" w:rsidRPr="00D94C50" w14:paraId="69DAF8F9" w14:textId="77777777" w:rsidTr="00D94C50">
        <w:trPr>
          <w:trHeight w:val="255"/>
          <w:jc w:val="center"/>
        </w:trPr>
        <w:tc>
          <w:tcPr>
            <w:tcW w:w="743" w:type="dxa"/>
            <w:vMerge/>
            <w:tcBorders>
              <w:top w:val="single" w:sz="8" w:space="0" w:color="FFFFFF"/>
              <w:left w:val="single" w:sz="8" w:space="0" w:color="002060"/>
              <w:bottom w:val="single" w:sz="8" w:space="0" w:color="002060"/>
              <w:right w:val="single" w:sz="8" w:space="0" w:color="002060"/>
            </w:tcBorders>
            <w:vAlign w:val="center"/>
            <w:hideMark/>
          </w:tcPr>
          <w:p w14:paraId="2890AE22"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517519F4"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14718A0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62C9B11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69</w:t>
            </w:r>
          </w:p>
        </w:tc>
        <w:tc>
          <w:tcPr>
            <w:tcW w:w="656" w:type="dxa"/>
            <w:tcBorders>
              <w:top w:val="nil"/>
              <w:left w:val="nil"/>
              <w:bottom w:val="nil"/>
              <w:right w:val="nil"/>
            </w:tcBorders>
            <w:shd w:val="clear" w:color="auto" w:fill="auto"/>
            <w:noWrap/>
            <w:vAlign w:val="center"/>
            <w:hideMark/>
          </w:tcPr>
          <w:p w14:paraId="6E9CC60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503</w:t>
            </w:r>
          </w:p>
        </w:tc>
        <w:tc>
          <w:tcPr>
            <w:tcW w:w="776" w:type="dxa"/>
            <w:tcBorders>
              <w:top w:val="nil"/>
              <w:left w:val="nil"/>
              <w:bottom w:val="nil"/>
              <w:right w:val="nil"/>
            </w:tcBorders>
            <w:shd w:val="clear" w:color="auto" w:fill="auto"/>
            <w:noWrap/>
            <w:vAlign w:val="center"/>
            <w:hideMark/>
          </w:tcPr>
          <w:p w14:paraId="0F65FD9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395</w:t>
            </w:r>
          </w:p>
        </w:tc>
        <w:tc>
          <w:tcPr>
            <w:tcW w:w="596" w:type="dxa"/>
            <w:tcBorders>
              <w:top w:val="nil"/>
              <w:left w:val="nil"/>
              <w:bottom w:val="nil"/>
              <w:right w:val="nil"/>
            </w:tcBorders>
            <w:shd w:val="clear" w:color="auto" w:fill="auto"/>
            <w:noWrap/>
            <w:vAlign w:val="center"/>
            <w:hideMark/>
          </w:tcPr>
          <w:p w14:paraId="56BE7E3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w:t>
            </w:r>
          </w:p>
        </w:tc>
        <w:tc>
          <w:tcPr>
            <w:tcW w:w="636" w:type="dxa"/>
            <w:tcBorders>
              <w:top w:val="nil"/>
              <w:left w:val="nil"/>
              <w:bottom w:val="nil"/>
              <w:right w:val="nil"/>
            </w:tcBorders>
            <w:shd w:val="clear" w:color="auto" w:fill="auto"/>
            <w:noWrap/>
            <w:vAlign w:val="center"/>
            <w:hideMark/>
          </w:tcPr>
          <w:p w14:paraId="64FD078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2246</w:t>
            </w:r>
          </w:p>
        </w:tc>
        <w:tc>
          <w:tcPr>
            <w:tcW w:w="776" w:type="dxa"/>
            <w:tcBorders>
              <w:top w:val="nil"/>
              <w:left w:val="nil"/>
              <w:bottom w:val="nil"/>
              <w:right w:val="nil"/>
            </w:tcBorders>
            <w:shd w:val="clear" w:color="auto" w:fill="auto"/>
            <w:noWrap/>
            <w:vAlign w:val="center"/>
            <w:hideMark/>
          </w:tcPr>
          <w:p w14:paraId="5A17AAE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401</w:t>
            </w:r>
          </w:p>
        </w:tc>
        <w:tc>
          <w:tcPr>
            <w:tcW w:w="588" w:type="dxa"/>
            <w:tcBorders>
              <w:top w:val="nil"/>
              <w:left w:val="nil"/>
              <w:bottom w:val="nil"/>
              <w:right w:val="nil"/>
            </w:tcBorders>
            <w:shd w:val="clear" w:color="auto" w:fill="auto"/>
            <w:noWrap/>
            <w:vAlign w:val="center"/>
            <w:hideMark/>
          </w:tcPr>
          <w:p w14:paraId="590525D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295</w:t>
            </w:r>
          </w:p>
        </w:tc>
        <w:tc>
          <w:tcPr>
            <w:tcW w:w="580" w:type="dxa"/>
            <w:tcBorders>
              <w:top w:val="nil"/>
              <w:left w:val="nil"/>
              <w:bottom w:val="nil"/>
              <w:right w:val="single" w:sz="8" w:space="0" w:color="002060"/>
            </w:tcBorders>
            <w:shd w:val="clear" w:color="auto" w:fill="auto"/>
            <w:noWrap/>
            <w:vAlign w:val="center"/>
            <w:hideMark/>
          </w:tcPr>
          <w:p w14:paraId="358A21A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643</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0F397DAD"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2B971B4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13</w:t>
            </w:r>
          </w:p>
        </w:tc>
        <w:tc>
          <w:tcPr>
            <w:tcW w:w="596" w:type="dxa"/>
            <w:tcBorders>
              <w:top w:val="nil"/>
              <w:left w:val="nil"/>
              <w:bottom w:val="nil"/>
              <w:right w:val="nil"/>
            </w:tcBorders>
            <w:shd w:val="clear" w:color="auto" w:fill="auto"/>
            <w:noWrap/>
            <w:vAlign w:val="center"/>
            <w:hideMark/>
          </w:tcPr>
          <w:p w14:paraId="5EFF67C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170</w:t>
            </w:r>
          </w:p>
        </w:tc>
        <w:tc>
          <w:tcPr>
            <w:tcW w:w="716" w:type="dxa"/>
            <w:tcBorders>
              <w:top w:val="nil"/>
              <w:left w:val="nil"/>
              <w:bottom w:val="nil"/>
              <w:right w:val="nil"/>
            </w:tcBorders>
            <w:shd w:val="clear" w:color="auto" w:fill="auto"/>
            <w:noWrap/>
            <w:vAlign w:val="center"/>
            <w:hideMark/>
          </w:tcPr>
          <w:p w14:paraId="073D6BC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66</w:t>
            </w:r>
          </w:p>
        </w:tc>
        <w:tc>
          <w:tcPr>
            <w:tcW w:w="556" w:type="dxa"/>
            <w:tcBorders>
              <w:top w:val="nil"/>
              <w:left w:val="nil"/>
              <w:bottom w:val="nil"/>
              <w:right w:val="nil"/>
            </w:tcBorders>
            <w:shd w:val="clear" w:color="auto" w:fill="auto"/>
            <w:noWrap/>
            <w:vAlign w:val="center"/>
            <w:hideMark/>
          </w:tcPr>
          <w:p w14:paraId="5A5D72E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97</w:t>
            </w:r>
          </w:p>
        </w:tc>
        <w:tc>
          <w:tcPr>
            <w:tcW w:w="596" w:type="dxa"/>
            <w:tcBorders>
              <w:top w:val="nil"/>
              <w:left w:val="nil"/>
              <w:bottom w:val="nil"/>
              <w:right w:val="nil"/>
            </w:tcBorders>
            <w:shd w:val="clear" w:color="auto" w:fill="auto"/>
            <w:noWrap/>
            <w:vAlign w:val="center"/>
            <w:hideMark/>
          </w:tcPr>
          <w:p w14:paraId="4E0D390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272</w:t>
            </w:r>
          </w:p>
        </w:tc>
        <w:tc>
          <w:tcPr>
            <w:tcW w:w="796" w:type="dxa"/>
            <w:tcBorders>
              <w:top w:val="nil"/>
              <w:left w:val="nil"/>
              <w:bottom w:val="nil"/>
              <w:right w:val="nil"/>
            </w:tcBorders>
            <w:shd w:val="clear" w:color="auto" w:fill="auto"/>
            <w:noWrap/>
            <w:vAlign w:val="center"/>
            <w:hideMark/>
          </w:tcPr>
          <w:p w14:paraId="6C51446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144</w:t>
            </w:r>
          </w:p>
        </w:tc>
        <w:tc>
          <w:tcPr>
            <w:tcW w:w="541" w:type="dxa"/>
            <w:tcBorders>
              <w:top w:val="nil"/>
              <w:left w:val="nil"/>
              <w:bottom w:val="nil"/>
              <w:right w:val="nil"/>
            </w:tcBorders>
            <w:shd w:val="clear" w:color="auto" w:fill="auto"/>
            <w:noWrap/>
            <w:vAlign w:val="center"/>
            <w:hideMark/>
          </w:tcPr>
          <w:p w14:paraId="04B9866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112</w:t>
            </w:r>
          </w:p>
        </w:tc>
        <w:tc>
          <w:tcPr>
            <w:tcW w:w="541" w:type="dxa"/>
            <w:tcBorders>
              <w:top w:val="nil"/>
              <w:left w:val="nil"/>
              <w:bottom w:val="nil"/>
              <w:right w:val="single" w:sz="8" w:space="0" w:color="002060"/>
            </w:tcBorders>
            <w:shd w:val="clear" w:color="auto" w:fill="auto"/>
            <w:noWrap/>
            <w:vAlign w:val="center"/>
            <w:hideMark/>
          </w:tcPr>
          <w:p w14:paraId="5C66ABD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239</w:t>
            </w:r>
          </w:p>
        </w:tc>
      </w:tr>
      <w:tr w:rsidR="00AE564D" w:rsidRPr="00D94C50" w14:paraId="5B6CB72D" w14:textId="77777777" w:rsidTr="00D94C50">
        <w:trPr>
          <w:trHeight w:val="255"/>
          <w:jc w:val="center"/>
        </w:trPr>
        <w:tc>
          <w:tcPr>
            <w:tcW w:w="743" w:type="dxa"/>
            <w:vMerge/>
            <w:tcBorders>
              <w:top w:val="single" w:sz="8" w:space="0" w:color="FFFFFF"/>
              <w:left w:val="single" w:sz="8" w:space="0" w:color="002060"/>
              <w:bottom w:val="single" w:sz="8" w:space="0" w:color="002060"/>
              <w:right w:val="single" w:sz="8" w:space="0" w:color="002060"/>
            </w:tcBorders>
            <w:vAlign w:val="center"/>
            <w:hideMark/>
          </w:tcPr>
          <w:p w14:paraId="108E4632"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3D27A88F"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357A38D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2CE431A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14</w:t>
            </w:r>
          </w:p>
        </w:tc>
        <w:tc>
          <w:tcPr>
            <w:tcW w:w="656" w:type="dxa"/>
            <w:tcBorders>
              <w:top w:val="nil"/>
              <w:left w:val="nil"/>
              <w:bottom w:val="nil"/>
              <w:right w:val="nil"/>
            </w:tcBorders>
            <w:shd w:val="clear" w:color="auto" w:fill="auto"/>
            <w:noWrap/>
            <w:vAlign w:val="center"/>
            <w:hideMark/>
          </w:tcPr>
          <w:p w14:paraId="4950C1E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705</w:t>
            </w:r>
          </w:p>
        </w:tc>
        <w:tc>
          <w:tcPr>
            <w:tcW w:w="776" w:type="dxa"/>
            <w:tcBorders>
              <w:top w:val="nil"/>
              <w:left w:val="nil"/>
              <w:bottom w:val="nil"/>
              <w:right w:val="nil"/>
            </w:tcBorders>
            <w:shd w:val="clear" w:color="auto" w:fill="auto"/>
            <w:noWrap/>
            <w:vAlign w:val="center"/>
            <w:hideMark/>
          </w:tcPr>
          <w:p w14:paraId="3A2CBC8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377</w:t>
            </w:r>
          </w:p>
        </w:tc>
        <w:tc>
          <w:tcPr>
            <w:tcW w:w="596" w:type="dxa"/>
            <w:tcBorders>
              <w:top w:val="nil"/>
              <w:left w:val="nil"/>
              <w:bottom w:val="nil"/>
              <w:right w:val="nil"/>
            </w:tcBorders>
            <w:shd w:val="clear" w:color="auto" w:fill="auto"/>
            <w:noWrap/>
            <w:vAlign w:val="center"/>
            <w:hideMark/>
          </w:tcPr>
          <w:p w14:paraId="614849B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198</w:t>
            </w:r>
          </w:p>
        </w:tc>
        <w:tc>
          <w:tcPr>
            <w:tcW w:w="636" w:type="dxa"/>
            <w:tcBorders>
              <w:top w:val="nil"/>
              <w:left w:val="nil"/>
              <w:bottom w:val="nil"/>
              <w:right w:val="nil"/>
            </w:tcBorders>
            <w:shd w:val="clear" w:color="auto" w:fill="auto"/>
            <w:noWrap/>
            <w:vAlign w:val="center"/>
            <w:hideMark/>
          </w:tcPr>
          <w:p w14:paraId="2D4031A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1348</w:t>
            </w:r>
          </w:p>
        </w:tc>
        <w:tc>
          <w:tcPr>
            <w:tcW w:w="776" w:type="dxa"/>
            <w:tcBorders>
              <w:top w:val="nil"/>
              <w:left w:val="nil"/>
              <w:bottom w:val="nil"/>
              <w:right w:val="nil"/>
            </w:tcBorders>
            <w:shd w:val="clear" w:color="auto" w:fill="auto"/>
            <w:noWrap/>
            <w:vAlign w:val="center"/>
            <w:hideMark/>
          </w:tcPr>
          <w:p w14:paraId="12BD43B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512</w:t>
            </w:r>
          </w:p>
        </w:tc>
        <w:tc>
          <w:tcPr>
            <w:tcW w:w="588" w:type="dxa"/>
            <w:tcBorders>
              <w:top w:val="nil"/>
              <w:left w:val="nil"/>
              <w:bottom w:val="nil"/>
              <w:right w:val="nil"/>
            </w:tcBorders>
            <w:shd w:val="clear" w:color="auto" w:fill="auto"/>
            <w:noWrap/>
            <w:vAlign w:val="center"/>
            <w:hideMark/>
          </w:tcPr>
          <w:p w14:paraId="01DB5C8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416</w:t>
            </w:r>
          </w:p>
        </w:tc>
        <w:tc>
          <w:tcPr>
            <w:tcW w:w="580" w:type="dxa"/>
            <w:tcBorders>
              <w:top w:val="nil"/>
              <w:left w:val="nil"/>
              <w:bottom w:val="nil"/>
              <w:right w:val="single" w:sz="8" w:space="0" w:color="002060"/>
            </w:tcBorders>
            <w:shd w:val="clear" w:color="auto" w:fill="auto"/>
            <w:noWrap/>
            <w:vAlign w:val="center"/>
            <w:hideMark/>
          </w:tcPr>
          <w:p w14:paraId="5778B45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1025</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4CAAD0D6"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501A75D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w:t>
            </w:r>
          </w:p>
        </w:tc>
        <w:tc>
          <w:tcPr>
            <w:tcW w:w="596" w:type="dxa"/>
            <w:tcBorders>
              <w:top w:val="nil"/>
              <w:left w:val="nil"/>
              <w:bottom w:val="nil"/>
              <w:right w:val="nil"/>
            </w:tcBorders>
            <w:shd w:val="clear" w:color="auto" w:fill="auto"/>
            <w:noWrap/>
            <w:vAlign w:val="center"/>
            <w:hideMark/>
          </w:tcPr>
          <w:p w14:paraId="22267EC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184</w:t>
            </w:r>
          </w:p>
        </w:tc>
        <w:tc>
          <w:tcPr>
            <w:tcW w:w="716" w:type="dxa"/>
            <w:tcBorders>
              <w:top w:val="nil"/>
              <w:left w:val="nil"/>
              <w:bottom w:val="nil"/>
              <w:right w:val="nil"/>
            </w:tcBorders>
            <w:shd w:val="clear" w:color="auto" w:fill="auto"/>
            <w:noWrap/>
            <w:vAlign w:val="center"/>
            <w:hideMark/>
          </w:tcPr>
          <w:p w14:paraId="39D9BC4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78</w:t>
            </w:r>
          </w:p>
        </w:tc>
        <w:tc>
          <w:tcPr>
            <w:tcW w:w="556" w:type="dxa"/>
            <w:tcBorders>
              <w:top w:val="nil"/>
              <w:left w:val="nil"/>
              <w:bottom w:val="nil"/>
              <w:right w:val="nil"/>
            </w:tcBorders>
            <w:shd w:val="clear" w:color="auto" w:fill="auto"/>
            <w:noWrap/>
            <w:vAlign w:val="center"/>
            <w:hideMark/>
          </w:tcPr>
          <w:p w14:paraId="7118EDE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74</w:t>
            </w:r>
          </w:p>
        </w:tc>
        <w:tc>
          <w:tcPr>
            <w:tcW w:w="596" w:type="dxa"/>
            <w:tcBorders>
              <w:top w:val="nil"/>
              <w:left w:val="nil"/>
              <w:bottom w:val="nil"/>
              <w:right w:val="nil"/>
            </w:tcBorders>
            <w:shd w:val="clear" w:color="auto" w:fill="auto"/>
            <w:noWrap/>
            <w:vAlign w:val="center"/>
            <w:hideMark/>
          </w:tcPr>
          <w:p w14:paraId="646B5EE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313</w:t>
            </w:r>
          </w:p>
        </w:tc>
        <w:tc>
          <w:tcPr>
            <w:tcW w:w="796" w:type="dxa"/>
            <w:tcBorders>
              <w:top w:val="nil"/>
              <w:left w:val="nil"/>
              <w:bottom w:val="nil"/>
              <w:right w:val="nil"/>
            </w:tcBorders>
            <w:shd w:val="clear" w:color="auto" w:fill="auto"/>
            <w:noWrap/>
            <w:vAlign w:val="center"/>
            <w:hideMark/>
          </w:tcPr>
          <w:p w14:paraId="0625AA4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168</w:t>
            </w:r>
          </w:p>
        </w:tc>
        <w:tc>
          <w:tcPr>
            <w:tcW w:w="541" w:type="dxa"/>
            <w:tcBorders>
              <w:top w:val="nil"/>
              <w:left w:val="nil"/>
              <w:bottom w:val="nil"/>
              <w:right w:val="nil"/>
            </w:tcBorders>
            <w:shd w:val="clear" w:color="auto" w:fill="auto"/>
            <w:noWrap/>
            <w:vAlign w:val="center"/>
            <w:hideMark/>
          </w:tcPr>
          <w:p w14:paraId="6E031DA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116</w:t>
            </w:r>
          </w:p>
        </w:tc>
        <w:tc>
          <w:tcPr>
            <w:tcW w:w="541" w:type="dxa"/>
            <w:tcBorders>
              <w:top w:val="nil"/>
              <w:left w:val="nil"/>
              <w:bottom w:val="nil"/>
              <w:right w:val="single" w:sz="8" w:space="0" w:color="002060"/>
            </w:tcBorders>
            <w:shd w:val="clear" w:color="auto" w:fill="auto"/>
            <w:noWrap/>
            <w:vAlign w:val="center"/>
            <w:hideMark/>
          </w:tcPr>
          <w:p w14:paraId="08951C5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248</w:t>
            </w:r>
          </w:p>
        </w:tc>
      </w:tr>
      <w:tr w:rsidR="00AE564D" w:rsidRPr="00D94C50" w14:paraId="24417B39" w14:textId="77777777" w:rsidTr="00D94C50">
        <w:trPr>
          <w:trHeight w:val="255"/>
          <w:jc w:val="center"/>
        </w:trPr>
        <w:tc>
          <w:tcPr>
            <w:tcW w:w="743" w:type="dxa"/>
            <w:vMerge/>
            <w:tcBorders>
              <w:top w:val="single" w:sz="8" w:space="0" w:color="FFFFFF"/>
              <w:left w:val="single" w:sz="8" w:space="0" w:color="002060"/>
              <w:bottom w:val="single" w:sz="8" w:space="0" w:color="002060"/>
              <w:right w:val="single" w:sz="8" w:space="0" w:color="002060"/>
            </w:tcBorders>
            <w:vAlign w:val="center"/>
            <w:hideMark/>
          </w:tcPr>
          <w:p w14:paraId="74BC326E"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72E7942D"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392C8A0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Med Fresh</w:t>
            </w:r>
          </w:p>
        </w:tc>
        <w:tc>
          <w:tcPr>
            <w:tcW w:w="536" w:type="dxa"/>
            <w:tcBorders>
              <w:top w:val="nil"/>
              <w:left w:val="nil"/>
              <w:bottom w:val="nil"/>
              <w:right w:val="nil"/>
            </w:tcBorders>
            <w:shd w:val="clear" w:color="auto" w:fill="auto"/>
            <w:noWrap/>
            <w:vAlign w:val="center"/>
            <w:hideMark/>
          </w:tcPr>
          <w:p w14:paraId="7CB8A00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18</w:t>
            </w:r>
          </w:p>
        </w:tc>
        <w:tc>
          <w:tcPr>
            <w:tcW w:w="656" w:type="dxa"/>
            <w:tcBorders>
              <w:top w:val="nil"/>
              <w:left w:val="nil"/>
              <w:bottom w:val="nil"/>
              <w:right w:val="nil"/>
            </w:tcBorders>
            <w:shd w:val="clear" w:color="auto" w:fill="auto"/>
            <w:noWrap/>
            <w:vAlign w:val="center"/>
            <w:hideMark/>
          </w:tcPr>
          <w:p w14:paraId="51E0638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1033</w:t>
            </w:r>
          </w:p>
        </w:tc>
        <w:tc>
          <w:tcPr>
            <w:tcW w:w="776" w:type="dxa"/>
            <w:tcBorders>
              <w:top w:val="nil"/>
              <w:left w:val="nil"/>
              <w:bottom w:val="nil"/>
              <w:right w:val="nil"/>
            </w:tcBorders>
            <w:shd w:val="clear" w:color="auto" w:fill="auto"/>
            <w:noWrap/>
            <w:vAlign w:val="center"/>
            <w:hideMark/>
          </w:tcPr>
          <w:p w14:paraId="2856AEA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423</w:t>
            </w:r>
          </w:p>
        </w:tc>
        <w:tc>
          <w:tcPr>
            <w:tcW w:w="596" w:type="dxa"/>
            <w:tcBorders>
              <w:top w:val="nil"/>
              <w:left w:val="nil"/>
              <w:bottom w:val="nil"/>
              <w:right w:val="nil"/>
            </w:tcBorders>
            <w:shd w:val="clear" w:color="auto" w:fill="auto"/>
            <w:noWrap/>
            <w:vAlign w:val="center"/>
            <w:hideMark/>
          </w:tcPr>
          <w:p w14:paraId="2077CFA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93</w:t>
            </w:r>
          </w:p>
        </w:tc>
        <w:tc>
          <w:tcPr>
            <w:tcW w:w="636" w:type="dxa"/>
            <w:tcBorders>
              <w:top w:val="nil"/>
              <w:left w:val="nil"/>
              <w:bottom w:val="nil"/>
              <w:right w:val="nil"/>
            </w:tcBorders>
            <w:shd w:val="clear" w:color="auto" w:fill="auto"/>
            <w:noWrap/>
            <w:vAlign w:val="center"/>
            <w:hideMark/>
          </w:tcPr>
          <w:p w14:paraId="2F662B5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1592</w:t>
            </w:r>
          </w:p>
        </w:tc>
        <w:tc>
          <w:tcPr>
            <w:tcW w:w="776" w:type="dxa"/>
            <w:tcBorders>
              <w:top w:val="nil"/>
              <w:left w:val="nil"/>
              <w:bottom w:val="nil"/>
              <w:right w:val="nil"/>
            </w:tcBorders>
            <w:shd w:val="clear" w:color="auto" w:fill="auto"/>
            <w:noWrap/>
            <w:vAlign w:val="center"/>
            <w:hideMark/>
          </w:tcPr>
          <w:p w14:paraId="7D994AC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1142</w:t>
            </w:r>
          </w:p>
        </w:tc>
        <w:tc>
          <w:tcPr>
            <w:tcW w:w="588" w:type="dxa"/>
            <w:tcBorders>
              <w:top w:val="nil"/>
              <w:left w:val="nil"/>
              <w:bottom w:val="nil"/>
              <w:right w:val="nil"/>
            </w:tcBorders>
            <w:shd w:val="clear" w:color="auto" w:fill="auto"/>
            <w:noWrap/>
            <w:vAlign w:val="center"/>
            <w:hideMark/>
          </w:tcPr>
          <w:p w14:paraId="7CD6612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750</w:t>
            </w:r>
          </w:p>
        </w:tc>
        <w:tc>
          <w:tcPr>
            <w:tcW w:w="580" w:type="dxa"/>
            <w:tcBorders>
              <w:top w:val="nil"/>
              <w:left w:val="nil"/>
              <w:bottom w:val="nil"/>
              <w:right w:val="single" w:sz="8" w:space="0" w:color="002060"/>
            </w:tcBorders>
            <w:shd w:val="clear" w:color="auto" w:fill="auto"/>
            <w:noWrap/>
            <w:vAlign w:val="center"/>
            <w:hideMark/>
          </w:tcPr>
          <w:p w14:paraId="475ACDB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1355</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0191F11F"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56DBE25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w:t>
            </w:r>
          </w:p>
        </w:tc>
        <w:tc>
          <w:tcPr>
            <w:tcW w:w="596" w:type="dxa"/>
            <w:tcBorders>
              <w:top w:val="nil"/>
              <w:left w:val="nil"/>
              <w:bottom w:val="nil"/>
              <w:right w:val="nil"/>
            </w:tcBorders>
            <w:shd w:val="clear" w:color="auto" w:fill="auto"/>
            <w:noWrap/>
            <w:vAlign w:val="center"/>
            <w:hideMark/>
          </w:tcPr>
          <w:p w14:paraId="4C87FB2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244</w:t>
            </w:r>
          </w:p>
        </w:tc>
        <w:tc>
          <w:tcPr>
            <w:tcW w:w="716" w:type="dxa"/>
            <w:tcBorders>
              <w:top w:val="nil"/>
              <w:left w:val="nil"/>
              <w:bottom w:val="nil"/>
              <w:right w:val="nil"/>
            </w:tcBorders>
            <w:shd w:val="clear" w:color="auto" w:fill="auto"/>
            <w:noWrap/>
            <w:vAlign w:val="center"/>
            <w:hideMark/>
          </w:tcPr>
          <w:p w14:paraId="17BAE5A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205</w:t>
            </w:r>
          </w:p>
        </w:tc>
        <w:tc>
          <w:tcPr>
            <w:tcW w:w="556" w:type="dxa"/>
            <w:tcBorders>
              <w:top w:val="nil"/>
              <w:left w:val="nil"/>
              <w:bottom w:val="nil"/>
              <w:right w:val="nil"/>
            </w:tcBorders>
            <w:shd w:val="clear" w:color="auto" w:fill="auto"/>
            <w:noWrap/>
            <w:vAlign w:val="center"/>
            <w:hideMark/>
          </w:tcPr>
          <w:p w14:paraId="7809136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62</w:t>
            </w:r>
          </w:p>
        </w:tc>
        <w:tc>
          <w:tcPr>
            <w:tcW w:w="596" w:type="dxa"/>
            <w:tcBorders>
              <w:top w:val="nil"/>
              <w:left w:val="nil"/>
              <w:bottom w:val="nil"/>
              <w:right w:val="nil"/>
            </w:tcBorders>
            <w:shd w:val="clear" w:color="auto" w:fill="auto"/>
            <w:noWrap/>
            <w:vAlign w:val="center"/>
            <w:hideMark/>
          </w:tcPr>
          <w:p w14:paraId="0F3956A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711</w:t>
            </w:r>
          </w:p>
        </w:tc>
        <w:tc>
          <w:tcPr>
            <w:tcW w:w="796" w:type="dxa"/>
            <w:tcBorders>
              <w:top w:val="nil"/>
              <w:left w:val="nil"/>
              <w:bottom w:val="nil"/>
              <w:right w:val="nil"/>
            </w:tcBorders>
            <w:shd w:val="clear" w:color="auto" w:fill="auto"/>
            <w:noWrap/>
            <w:vAlign w:val="center"/>
            <w:hideMark/>
          </w:tcPr>
          <w:p w14:paraId="25BE9D4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219</w:t>
            </w:r>
          </w:p>
        </w:tc>
        <w:tc>
          <w:tcPr>
            <w:tcW w:w="541" w:type="dxa"/>
            <w:tcBorders>
              <w:top w:val="nil"/>
              <w:left w:val="nil"/>
              <w:bottom w:val="nil"/>
              <w:right w:val="nil"/>
            </w:tcBorders>
            <w:shd w:val="clear" w:color="auto" w:fill="auto"/>
            <w:noWrap/>
            <w:vAlign w:val="center"/>
            <w:hideMark/>
          </w:tcPr>
          <w:p w14:paraId="1CA4D81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94</w:t>
            </w:r>
          </w:p>
        </w:tc>
        <w:tc>
          <w:tcPr>
            <w:tcW w:w="541" w:type="dxa"/>
            <w:tcBorders>
              <w:top w:val="nil"/>
              <w:left w:val="nil"/>
              <w:bottom w:val="nil"/>
              <w:right w:val="single" w:sz="8" w:space="0" w:color="002060"/>
            </w:tcBorders>
            <w:shd w:val="clear" w:color="auto" w:fill="auto"/>
            <w:noWrap/>
            <w:vAlign w:val="center"/>
            <w:hideMark/>
          </w:tcPr>
          <w:p w14:paraId="7B0259F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272</w:t>
            </w:r>
          </w:p>
        </w:tc>
      </w:tr>
      <w:tr w:rsidR="00AE564D" w:rsidRPr="00D94C50" w14:paraId="35A2CDBF" w14:textId="77777777" w:rsidTr="00D94C50">
        <w:trPr>
          <w:trHeight w:val="255"/>
          <w:jc w:val="center"/>
        </w:trPr>
        <w:tc>
          <w:tcPr>
            <w:tcW w:w="743" w:type="dxa"/>
            <w:vMerge/>
            <w:tcBorders>
              <w:top w:val="single" w:sz="8" w:space="0" w:color="FFFFFF"/>
              <w:left w:val="single" w:sz="8" w:space="0" w:color="002060"/>
              <w:bottom w:val="single" w:sz="8" w:space="0" w:color="002060"/>
              <w:right w:val="single" w:sz="8" w:space="0" w:color="002060"/>
            </w:tcBorders>
            <w:vAlign w:val="center"/>
            <w:hideMark/>
          </w:tcPr>
          <w:p w14:paraId="7F20F92B"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2F03E10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McCoy's Bridge</w:t>
            </w:r>
          </w:p>
        </w:tc>
        <w:tc>
          <w:tcPr>
            <w:tcW w:w="1008" w:type="dxa"/>
            <w:tcBorders>
              <w:top w:val="single" w:sz="8" w:space="0" w:color="002060"/>
              <w:left w:val="nil"/>
              <w:bottom w:val="nil"/>
              <w:right w:val="nil"/>
            </w:tcBorders>
            <w:shd w:val="clear" w:color="auto" w:fill="auto"/>
            <w:noWrap/>
            <w:vAlign w:val="center"/>
            <w:hideMark/>
          </w:tcPr>
          <w:p w14:paraId="42DDA86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Very Low</w:t>
            </w:r>
          </w:p>
        </w:tc>
        <w:tc>
          <w:tcPr>
            <w:tcW w:w="536" w:type="dxa"/>
            <w:tcBorders>
              <w:top w:val="single" w:sz="8" w:space="0" w:color="002060"/>
              <w:left w:val="nil"/>
              <w:bottom w:val="nil"/>
              <w:right w:val="nil"/>
            </w:tcBorders>
            <w:shd w:val="clear" w:color="auto" w:fill="auto"/>
            <w:noWrap/>
            <w:vAlign w:val="center"/>
            <w:hideMark/>
          </w:tcPr>
          <w:p w14:paraId="4C9375B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100</w:t>
            </w:r>
          </w:p>
        </w:tc>
        <w:tc>
          <w:tcPr>
            <w:tcW w:w="656" w:type="dxa"/>
            <w:tcBorders>
              <w:top w:val="single" w:sz="8" w:space="0" w:color="002060"/>
              <w:left w:val="nil"/>
              <w:bottom w:val="nil"/>
              <w:right w:val="nil"/>
            </w:tcBorders>
            <w:shd w:val="clear" w:color="auto" w:fill="auto"/>
            <w:noWrap/>
            <w:vAlign w:val="center"/>
            <w:hideMark/>
          </w:tcPr>
          <w:p w14:paraId="501749E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421</w:t>
            </w:r>
          </w:p>
        </w:tc>
        <w:tc>
          <w:tcPr>
            <w:tcW w:w="776" w:type="dxa"/>
            <w:tcBorders>
              <w:top w:val="single" w:sz="8" w:space="0" w:color="002060"/>
              <w:left w:val="nil"/>
              <w:bottom w:val="nil"/>
              <w:right w:val="nil"/>
            </w:tcBorders>
            <w:shd w:val="clear" w:color="auto" w:fill="auto"/>
            <w:noWrap/>
            <w:vAlign w:val="center"/>
            <w:hideMark/>
          </w:tcPr>
          <w:p w14:paraId="287A7EF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155</w:t>
            </w:r>
          </w:p>
        </w:tc>
        <w:tc>
          <w:tcPr>
            <w:tcW w:w="596" w:type="dxa"/>
            <w:tcBorders>
              <w:top w:val="single" w:sz="8" w:space="0" w:color="002060"/>
              <w:left w:val="nil"/>
              <w:bottom w:val="nil"/>
              <w:right w:val="nil"/>
            </w:tcBorders>
            <w:shd w:val="clear" w:color="auto" w:fill="auto"/>
            <w:noWrap/>
            <w:vAlign w:val="center"/>
            <w:hideMark/>
          </w:tcPr>
          <w:p w14:paraId="7E65294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141</w:t>
            </w:r>
          </w:p>
        </w:tc>
        <w:tc>
          <w:tcPr>
            <w:tcW w:w="636" w:type="dxa"/>
            <w:tcBorders>
              <w:top w:val="single" w:sz="8" w:space="0" w:color="002060"/>
              <w:left w:val="nil"/>
              <w:bottom w:val="nil"/>
              <w:right w:val="nil"/>
            </w:tcBorders>
            <w:shd w:val="clear" w:color="auto" w:fill="auto"/>
            <w:noWrap/>
            <w:vAlign w:val="center"/>
            <w:hideMark/>
          </w:tcPr>
          <w:p w14:paraId="09EDBCC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859</w:t>
            </w:r>
          </w:p>
        </w:tc>
        <w:tc>
          <w:tcPr>
            <w:tcW w:w="776" w:type="dxa"/>
            <w:tcBorders>
              <w:top w:val="single" w:sz="8" w:space="0" w:color="002060"/>
              <w:left w:val="nil"/>
              <w:bottom w:val="nil"/>
              <w:right w:val="nil"/>
            </w:tcBorders>
            <w:shd w:val="clear" w:color="auto" w:fill="auto"/>
            <w:noWrap/>
            <w:vAlign w:val="center"/>
            <w:hideMark/>
          </w:tcPr>
          <w:p w14:paraId="006FB71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406</w:t>
            </w:r>
          </w:p>
        </w:tc>
        <w:tc>
          <w:tcPr>
            <w:tcW w:w="588" w:type="dxa"/>
            <w:tcBorders>
              <w:top w:val="single" w:sz="8" w:space="0" w:color="002060"/>
              <w:left w:val="nil"/>
              <w:bottom w:val="nil"/>
              <w:right w:val="nil"/>
            </w:tcBorders>
            <w:shd w:val="clear" w:color="auto" w:fill="auto"/>
            <w:noWrap/>
            <w:vAlign w:val="center"/>
            <w:hideMark/>
          </w:tcPr>
          <w:p w14:paraId="58CFF24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293</w:t>
            </w:r>
          </w:p>
        </w:tc>
        <w:tc>
          <w:tcPr>
            <w:tcW w:w="580" w:type="dxa"/>
            <w:tcBorders>
              <w:top w:val="single" w:sz="8" w:space="0" w:color="002060"/>
              <w:left w:val="nil"/>
              <w:bottom w:val="nil"/>
              <w:right w:val="single" w:sz="8" w:space="0" w:color="002060"/>
            </w:tcBorders>
            <w:shd w:val="clear" w:color="auto" w:fill="auto"/>
            <w:noWrap/>
            <w:vAlign w:val="center"/>
            <w:hideMark/>
          </w:tcPr>
          <w:p w14:paraId="3C8E707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494</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3F7DBFBA"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single" w:sz="8" w:space="0" w:color="002060"/>
              <w:left w:val="nil"/>
              <w:bottom w:val="nil"/>
              <w:right w:val="nil"/>
            </w:tcBorders>
            <w:shd w:val="clear" w:color="auto" w:fill="auto"/>
            <w:noWrap/>
            <w:vAlign w:val="center"/>
            <w:hideMark/>
          </w:tcPr>
          <w:p w14:paraId="5631206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w:t>
            </w:r>
          </w:p>
        </w:tc>
        <w:tc>
          <w:tcPr>
            <w:tcW w:w="596" w:type="dxa"/>
            <w:tcBorders>
              <w:top w:val="single" w:sz="8" w:space="0" w:color="002060"/>
              <w:left w:val="nil"/>
              <w:bottom w:val="nil"/>
              <w:right w:val="nil"/>
            </w:tcBorders>
            <w:shd w:val="clear" w:color="auto" w:fill="auto"/>
            <w:noWrap/>
            <w:vAlign w:val="center"/>
            <w:hideMark/>
          </w:tcPr>
          <w:p w14:paraId="35B412F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245</w:t>
            </w:r>
          </w:p>
        </w:tc>
        <w:tc>
          <w:tcPr>
            <w:tcW w:w="716" w:type="dxa"/>
            <w:tcBorders>
              <w:top w:val="single" w:sz="8" w:space="0" w:color="002060"/>
              <w:left w:val="nil"/>
              <w:bottom w:val="nil"/>
              <w:right w:val="nil"/>
            </w:tcBorders>
            <w:shd w:val="clear" w:color="auto" w:fill="auto"/>
            <w:noWrap/>
            <w:vAlign w:val="center"/>
            <w:hideMark/>
          </w:tcPr>
          <w:p w14:paraId="58484C8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44</w:t>
            </w:r>
          </w:p>
        </w:tc>
        <w:tc>
          <w:tcPr>
            <w:tcW w:w="556" w:type="dxa"/>
            <w:tcBorders>
              <w:top w:val="single" w:sz="8" w:space="0" w:color="002060"/>
              <w:left w:val="nil"/>
              <w:bottom w:val="nil"/>
              <w:right w:val="nil"/>
            </w:tcBorders>
            <w:shd w:val="clear" w:color="auto" w:fill="auto"/>
            <w:noWrap/>
            <w:vAlign w:val="center"/>
            <w:hideMark/>
          </w:tcPr>
          <w:p w14:paraId="68AC6C6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163</w:t>
            </w:r>
          </w:p>
        </w:tc>
        <w:tc>
          <w:tcPr>
            <w:tcW w:w="596" w:type="dxa"/>
            <w:tcBorders>
              <w:top w:val="single" w:sz="8" w:space="0" w:color="002060"/>
              <w:left w:val="nil"/>
              <w:bottom w:val="nil"/>
              <w:right w:val="nil"/>
            </w:tcBorders>
            <w:shd w:val="clear" w:color="auto" w:fill="auto"/>
            <w:noWrap/>
            <w:vAlign w:val="center"/>
            <w:hideMark/>
          </w:tcPr>
          <w:p w14:paraId="39C755F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295</w:t>
            </w:r>
          </w:p>
        </w:tc>
        <w:tc>
          <w:tcPr>
            <w:tcW w:w="796" w:type="dxa"/>
            <w:tcBorders>
              <w:top w:val="single" w:sz="8" w:space="0" w:color="002060"/>
              <w:left w:val="nil"/>
              <w:bottom w:val="nil"/>
              <w:right w:val="nil"/>
            </w:tcBorders>
            <w:shd w:val="clear" w:color="auto" w:fill="auto"/>
            <w:noWrap/>
            <w:vAlign w:val="center"/>
            <w:hideMark/>
          </w:tcPr>
          <w:p w14:paraId="2F3A384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250</w:t>
            </w:r>
          </w:p>
        </w:tc>
        <w:tc>
          <w:tcPr>
            <w:tcW w:w="541" w:type="dxa"/>
            <w:tcBorders>
              <w:top w:val="single" w:sz="8" w:space="0" w:color="002060"/>
              <w:left w:val="nil"/>
              <w:bottom w:val="nil"/>
              <w:right w:val="nil"/>
            </w:tcBorders>
            <w:shd w:val="clear" w:color="auto" w:fill="auto"/>
            <w:noWrap/>
            <w:vAlign w:val="center"/>
            <w:hideMark/>
          </w:tcPr>
          <w:p w14:paraId="678CE6A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208</w:t>
            </w:r>
          </w:p>
        </w:tc>
        <w:tc>
          <w:tcPr>
            <w:tcW w:w="541" w:type="dxa"/>
            <w:tcBorders>
              <w:top w:val="single" w:sz="8" w:space="0" w:color="002060"/>
              <w:left w:val="nil"/>
              <w:bottom w:val="nil"/>
              <w:right w:val="single" w:sz="8" w:space="0" w:color="002060"/>
            </w:tcBorders>
            <w:shd w:val="clear" w:color="auto" w:fill="auto"/>
            <w:noWrap/>
            <w:vAlign w:val="center"/>
            <w:hideMark/>
          </w:tcPr>
          <w:p w14:paraId="237AB5F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294</w:t>
            </w:r>
          </w:p>
        </w:tc>
      </w:tr>
      <w:tr w:rsidR="00AE564D" w:rsidRPr="00D94C50" w14:paraId="081D2458" w14:textId="77777777" w:rsidTr="00D94C50">
        <w:trPr>
          <w:trHeight w:val="255"/>
          <w:jc w:val="center"/>
        </w:trPr>
        <w:tc>
          <w:tcPr>
            <w:tcW w:w="743" w:type="dxa"/>
            <w:vMerge/>
            <w:tcBorders>
              <w:top w:val="single" w:sz="8" w:space="0" w:color="FFFFFF"/>
              <w:left w:val="single" w:sz="8" w:space="0" w:color="002060"/>
              <w:bottom w:val="single" w:sz="8" w:space="0" w:color="002060"/>
              <w:right w:val="single" w:sz="8" w:space="0" w:color="002060"/>
            </w:tcBorders>
            <w:vAlign w:val="center"/>
            <w:hideMark/>
          </w:tcPr>
          <w:p w14:paraId="41BBE124"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5FB90A3A"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58CA3F5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61ECD88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188</w:t>
            </w:r>
          </w:p>
        </w:tc>
        <w:tc>
          <w:tcPr>
            <w:tcW w:w="656" w:type="dxa"/>
            <w:tcBorders>
              <w:top w:val="nil"/>
              <w:left w:val="nil"/>
              <w:bottom w:val="nil"/>
              <w:right w:val="nil"/>
            </w:tcBorders>
            <w:shd w:val="clear" w:color="auto" w:fill="auto"/>
            <w:noWrap/>
            <w:vAlign w:val="center"/>
            <w:hideMark/>
          </w:tcPr>
          <w:p w14:paraId="563A95E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576</w:t>
            </w:r>
          </w:p>
        </w:tc>
        <w:tc>
          <w:tcPr>
            <w:tcW w:w="776" w:type="dxa"/>
            <w:tcBorders>
              <w:top w:val="nil"/>
              <w:left w:val="nil"/>
              <w:bottom w:val="nil"/>
              <w:right w:val="nil"/>
            </w:tcBorders>
            <w:shd w:val="clear" w:color="auto" w:fill="auto"/>
            <w:noWrap/>
            <w:vAlign w:val="center"/>
            <w:hideMark/>
          </w:tcPr>
          <w:p w14:paraId="2096360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317</w:t>
            </w:r>
          </w:p>
        </w:tc>
        <w:tc>
          <w:tcPr>
            <w:tcW w:w="596" w:type="dxa"/>
            <w:tcBorders>
              <w:top w:val="nil"/>
              <w:left w:val="nil"/>
              <w:bottom w:val="nil"/>
              <w:right w:val="nil"/>
            </w:tcBorders>
            <w:shd w:val="clear" w:color="auto" w:fill="auto"/>
            <w:noWrap/>
            <w:vAlign w:val="center"/>
            <w:hideMark/>
          </w:tcPr>
          <w:p w14:paraId="3DA3ACB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86</w:t>
            </w:r>
          </w:p>
        </w:tc>
        <w:tc>
          <w:tcPr>
            <w:tcW w:w="636" w:type="dxa"/>
            <w:tcBorders>
              <w:top w:val="nil"/>
              <w:left w:val="nil"/>
              <w:bottom w:val="nil"/>
              <w:right w:val="nil"/>
            </w:tcBorders>
            <w:shd w:val="clear" w:color="auto" w:fill="auto"/>
            <w:noWrap/>
            <w:vAlign w:val="center"/>
            <w:hideMark/>
          </w:tcPr>
          <w:p w14:paraId="4B24EFB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2378</w:t>
            </w:r>
          </w:p>
        </w:tc>
        <w:tc>
          <w:tcPr>
            <w:tcW w:w="776" w:type="dxa"/>
            <w:tcBorders>
              <w:top w:val="nil"/>
              <w:left w:val="nil"/>
              <w:bottom w:val="nil"/>
              <w:right w:val="nil"/>
            </w:tcBorders>
            <w:shd w:val="clear" w:color="auto" w:fill="auto"/>
            <w:noWrap/>
            <w:vAlign w:val="center"/>
            <w:hideMark/>
          </w:tcPr>
          <w:p w14:paraId="630C60F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502</w:t>
            </w:r>
          </w:p>
        </w:tc>
        <w:tc>
          <w:tcPr>
            <w:tcW w:w="588" w:type="dxa"/>
            <w:tcBorders>
              <w:top w:val="nil"/>
              <w:left w:val="nil"/>
              <w:bottom w:val="nil"/>
              <w:right w:val="nil"/>
            </w:tcBorders>
            <w:shd w:val="clear" w:color="auto" w:fill="auto"/>
            <w:noWrap/>
            <w:vAlign w:val="center"/>
            <w:hideMark/>
          </w:tcPr>
          <w:p w14:paraId="6CF1EE9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362</w:t>
            </w:r>
          </w:p>
        </w:tc>
        <w:tc>
          <w:tcPr>
            <w:tcW w:w="580" w:type="dxa"/>
            <w:tcBorders>
              <w:top w:val="nil"/>
              <w:left w:val="nil"/>
              <w:bottom w:val="nil"/>
              <w:right w:val="single" w:sz="8" w:space="0" w:color="002060"/>
            </w:tcBorders>
            <w:shd w:val="clear" w:color="auto" w:fill="auto"/>
            <w:noWrap/>
            <w:vAlign w:val="center"/>
            <w:hideMark/>
          </w:tcPr>
          <w:p w14:paraId="185B6D3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732</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067A177A"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14E348C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100</w:t>
            </w:r>
          </w:p>
        </w:tc>
        <w:tc>
          <w:tcPr>
            <w:tcW w:w="596" w:type="dxa"/>
            <w:tcBorders>
              <w:top w:val="nil"/>
              <w:left w:val="nil"/>
              <w:bottom w:val="nil"/>
              <w:right w:val="nil"/>
            </w:tcBorders>
            <w:shd w:val="clear" w:color="auto" w:fill="auto"/>
            <w:noWrap/>
            <w:vAlign w:val="center"/>
            <w:hideMark/>
          </w:tcPr>
          <w:p w14:paraId="6E6C19F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277</w:t>
            </w:r>
          </w:p>
        </w:tc>
        <w:tc>
          <w:tcPr>
            <w:tcW w:w="716" w:type="dxa"/>
            <w:tcBorders>
              <w:top w:val="nil"/>
              <w:left w:val="nil"/>
              <w:bottom w:val="nil"/>
              <w:right w:val="nil"/>
            </w:tcBorders>
            <w:shd w:val="clear" w:color="auto" w:fill="auto"/>
            <w:noWrap/>
            <w:vAlign w:val="center"/>
            <w:hideMark/>
          </w:tcPr>
          <w:p w14:paraId="442CF57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109</w:t>
            </w:r>
          </w:p>
        </w:tc>
        <w:tc>
          <w:tcPr>
            <w:tcW w:w="556" w:type="dxa"/>
            <w:tcBorders>
              <w:top w:val="nil"/>
              <w:left w:val="nil"/>
              <w:bottom w:val="nil"/>
              <w:right w:val="nil"/>
            </w:tcBorders>
            <w:shd w:val="clear" w:color="auto" w:fill="auto"/>
            <w:noWrap/>
            <w:vAlign w:val="center"/>
            <w:hideMark/>
          </w:tcPr>
          <w:p w14:paraId="0BD2B7D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32</w:t>
            </w:r>
          </w:p>
        </w:tc>
        <w:tc>
          <w:tcPr>
            <w:tcW w:w="596" w:type="dxa"/>
            <w:tcBorders>
              <w:top w:val="nil"/>
              <w:left w:val="nil"/>
              <w:bottom w:val="nil"/>
              <w:right w:val="nil"/>
            </w:tcBorders>
            <w:shd w:val="clear" w:color="auto" w:fill="auto"/>
            <w:noWrap/>
            <w:vAlign w:val="center"/>
            <w:hideMark/>
          </w:tcPr>
          <w:p w14:paraId="2DE2ACF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735</w:t>
            </w:r>
          </w:p>
        </w:tc>
        <w:tc>
          <w:tcPr>
            <w:tcW w:w="796" w:type="dxa"/>
            <w:tcBorders>
              <w:top w:val="nil"/>
              <w:left w:val="nil"/>
              <w:bottom w:val="nil"/>
              <w:right w:val="nil"/>
            </w:tcBorders>
            <w:shd w:val="clear" w:color="auto" w:fill="auto"/>
            <w:noWrap/>
            <w:vAlign w:val="center"/>
            <w:hideMark/>
          </w:tcPr>
          <w:p w14:paraId="6C13142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276</w:t>
            </w:r>
          </w:p>
        </w:tc>
        <w:tc>
          <w:tcPr>
            <w:tcW w:w="541" w:type="dxa"/>
            <w:tcBorders>
              <w:top w:val="nil"/>
              <w:left w:val="nil"/>
              <w:bottom w:val="nil"/>
              <w:right w:val="nil"/>
            </w:tcBorders>
            <w:shd w:val="clear" w:color="auto" w:fill="auto"/>
            <w:noWrap/>
            <w:vAlign w:val="center"/>
            <w:hideMark/>
          </w:tcPr>
          <w:p w14:paraId="32F885B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228</w:t>
            </w:r>
          </w:p>
        </w:tc>
        <w:tc>
          <w:tcPr>
            <w:tcW w:w="541" w:type="dxa"/>
            <w:tcBorders>
              <w:top w:val="nil"/>
              <w:left w:val="nil"/>
              <w:bottom w:val="nil"/>
              <w:right w:val="single" w:sz="8" w:space="0" w:color="002060"/>
            </w:tcBorders>
            <w:shd w:val="clear" w:color="auto" w:fill="auto"/>
            <w:noWrap/>
            <w:vAlign w:val="center"/>
            <w:hideMark/>
          </w:tcPr>
          <w:p w14:paraId="032D9E4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320</w:t>
            </w:r>
          </w:p>
        </w:tc>
      </w:tr>
      <w:tr w:rsidR="00AE564D" w:rsidRPr="00D94C50" w14:paraId="47E9334C" w14:textId="77777777" w:rsidTr="00D94C50">
        <w:trPr>
          <w:trHeight w:val="255"/>
          <w:jc w:val="center"/>
        </w:trPr>
        <w:tc>
          <w:tcPr>
            <w:tcW w:w="743" w:type="dxa"/>
            <w:vMerge/>
            <w:tcBorders>
              <w:top w:val="single" w:sz="8" w:space="0" w:color="FFFFFF"/>
              <w:left w:val="single" w:sz="8" w:space="0" w:color="002060"/>
              <w:bottom w:val="single" w:sz="8" w:space="0" w:color="002060"/>
              <w:right w:val="single" w:sz="8" w:space="0" w:color="002060"/>
            </w:tcBorders>
            <w:vAlign w:val="center"/>
            <w:hideMark/>
          </w:tcPr>
          <w:p w14:paraId="6107F9B1"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0A02F534"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2E85846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5334A22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121</w:t>
            </w:r>
          </w:p>
        </w:tc>
        <w:tc>
          <w:tcPr>
            <w:tcW w:w="656" w:type="dxa"/>
            <w:tcBorders>
              <w:top w:val="nil"/>
              <w:left w:val="nil"/>
              <w:bottom w:val="nil"/>
              <w:right w:val="nil"/>
            </w:tcBorders>
            <w:shd w:val="clear" w:color="auto" w:fill="auto"/>
            <w:noWrap/>
            <w:vAlign w:val="center"/>
            <w:hideMark/>
          </w:tcPr>
          <w:p w14:paraId="253DAA5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989</w:t>
            </w:r>
          </w:p>
        </w:tc>
        <w:tc>
          <w:tcPr>
            <w:tcW w:w="776" w:type="dxa"/>
            <w:tcBorders>
              <w:top w:val="nil"/>
              <w:left w:val="nil"/>
              <w:bottom w:val="nil"/>
              <w:right w:val="nil"/>
            </w:tcBorders>
            <w:shd w:val="clear" w:color="auto" w:fill="auto"/>
            <w:noWrap/>
            <w:vAlign w:val="center"/>
            <w:hideMark/>
          </w:tcPr>
          <w:p w14:paraId="49BD260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378</w:t>
            </w:r>
          </w:p>
        </w:tc>
        <w:tc>
          <w:tcPr>
            <w:tcW w:w="596" w:type="dxa"/>
            <w:tcBorders>
              <w:top w:val="nil"/>
              <w:left w:val="nil"/>
              <w:bottom w:val="nil"/>
              <w:right w:val="nil"/>
            </w:tcBorders>
            <w:shd w:val="clear" w:color="auto" w:fill="auto"/>
            <w:noWrap/>
            <w:vAlign w:val="center"/>
            <w:hideMark/>
          </w:tcPr>
          <w:p w14:paraId="78687A2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440</w:t>
            </w:r>
          </w:p>
        </w:tc>
        <w:tc>
          <w:tcPr>
            <w:tcW w:w="636" w:type="dxa"/>
            <w:tcBorders>
              <w:top w:val="nil"/>
              <w:left w:val="nil"/>
              <w:bottom w:val="nil"/>
              <w:right w:val="nil"/>
            </w:tcBorders>
            <w:shd w:val="clear" w:color="auto" w:fill="auto"/>
            <w:noWrap/>
            <w:vAlign w:val="center"/>
            <w:hideMark/>
          </w:tcPr>
          <w:p w14:paraId="5B2369C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2262</w:t>
            </w:r>
          </w:p>
        </w:tc>
        <w:tc>
          <w:tcPr>
            <w:tcW w:w="776" w:type="dxa"/>
            <w:tcBorders>
              <w:top w:val="nil"/>
              <w:left w:val="nil"/>
              <w:bottom w:val="nil"/>
              <w:right w:val="nil"/>
            </w:tcBorders>
            <w:shd w:val="clear" w:color="auto" w:fill="auto"/>
            <w:noWrap/>
            <w:vAlign w:val="center"/>
            <w:hideMark/>
          </w:tcPr>
          <w:p w14:paraId="789D22D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916</w:t>
            </w:r>
          </w:p>
        </w:tc>
        <w:tc>
          <w:tcPr>
            <w:tcW w:w="588" w:type="dxa"/>
            <w:tcBorders>
              <w:top w:val="nil"/>
              <w:left w:val="nil"/>
              <w:bottom w:val="nil"/>
              <w:right w:val="nil"/>
            </w:tcBorders>
            <w:shd w:val="clear" w:color="auto" w:fill="auto"/>
            <w:noWrap/>
            <w:vAlign w:val="center"/>
            <w:hideMark/>
          </w:tcPr>
          <w:p w14:paraId="3F4EC3D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694</w:t>
            </w:r>
          </w:p>
        </w:tc>
        <w:tc>
          <w:tcPr>
            <w:tcW w:w="580" w:type="dxa"/>
            <w:tcBorders>
              <w:top w:val="nil"/>
              <w:left w:val="nil"/>
              <w:bottom w:val="nil"/>
              <w:right w:val="single" w:sz="8" w:space="0" w:color="002060"/>
            </w:tcBorders>
            <w:shd w:val="clear" w:color="auto" w:fill="auto"/>
            <w:noWrap/>
            <w:vAlign w:val="center"/>
            <w:hideMark/>
          </w:tcPr>
          <w:p w14:paraId="4BBBBCE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1153</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7C4A29A0"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442BE52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w:t>
            </w:r>
          </w:p>
        </w:tc>
        <w:tc>
          <w:tcPr>
            <w:tcW w:w="596" w:type="dxa"/>
            <w:tcBorders>
              <w:top w:val="nil"/>
              <w:left w:val="nil"/>
              <w:bottom w:val="nil"/>
              <w:right w:val="nil"/>
            </w:tcBorders>
            <w:shd w:val="clear" w:color="auto" w:fill="auto"/>
            <w:noWrap/>
            <w:vAlign w:val="center"/>
            <w:hideMark/>
          </w:tcPr>
          <w:p w14:paraId="6303A12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155</w:t>
            </w:r>
          </w:p>
        </w:tc>
        <w:tc>
          <w:tcPr>
            <w:tcW w:w="716" w:type="dxa"/>
            <w:tcBorders>
              <w:top w:val="nil"/>
              <w:left w:val="nil"/>
              <w:bottom w:val="nil"/>
              <w:right w:val="nil"/>
            </w:tcBorders>
            <w:shd w:val="clear" w:color="auto" w:fill="auto"/>
            <w:noWrap/>
            <w:vAlign w:val="center"/>
            <w:hideMark/>
          </w:tcPr>
          <w:p w14:paraId="1D4B0D2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92</w:t>
            </w:r>
          </w:p>
        </w:tc>
        <w:tc>
          <w:tcPr>
            <w:tcW w:w="556" w:type="dxa"/>
            <w:tcBorders>
              <w:top w:val="nil"/>
              <w:left w:val="nil"/>
              <w:bottom w:val="nil"/>
              <w:right w:val="nil"/>
            </w:tcBorders>
            <w:shd w:val="clear" w:color="auto" w:fill="auto"/>
            <w:noWrap/>
            <w:vAlign w:val="center"/>
            <w:hideMark/>
          </w:tcPr>
          <w:p w14:paraId="634511F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29</w:t>
            </w:r>
          </w:p>
        </w:tc>
        <w:tc>
          <w:tcPr>
            <w:tcW w:w="596" w:type="dxa"/>
            <w:tcBorders>
              <w:top w:val="nil"/>
              <w:left w:val="nil"/>
              <w:bottom w:val="nil"/>
              <w:right w:val="nil"/>
            </w:tcBorders>
            <w:shd w:val="clear" w:color="auto" w:fill="auto"/>
            <w:noWrap/>
            <w:vAlign w:val="center"/>
            <w:hideMark/>
          </w:tcPr>
          <w:p w14:paraId="6BCE5D4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313</w:t>
            </w:r>
          </w:p>
        </w:tc>
        <w:tc>
          <w:tcPr>
            <w:tcW w:w="796" w:type="dxa"/>
            <w:tcBorders>
              <w:top w:val="nil"/>
              <w:left w:val="nil"/>
              <w:bottom w:val="nil"/>
              <w:right w:val="nil"/>
            </w:tcBorders>
            <w:shd w:val="clear" w:color="auto" w:fill="auto"/>
            <w:noWrap/>
            <w:vAlign w:val="center"/>
            <w:hideMark/>
          </w:tcPr>
          <w:p w14:paraId="66DC9FD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137</w:t>
            </w:r>
          </w:p>
        </w:tc>
        <w:tc>
          <w:tcPr>
            <w:tcW w:w="541" w:type="dxa"/>
            <w:tcBorders>
              <w:top w:val="nil"/>
              <w:left w:val="nil"/>
              <w:bottom w:val="nil"/>
              <w:right w:val="nil"/>
            </w:tcBorders>
            <w:shd w:val="clear" w:color="auto" w:fill="auto"/>
            <w:noWrap/>
            <w:vAlign w:val="center"/>
            <w:hideMark/>
          </w:tcPr>
          <w:p w14:paraId="38ECE67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104</w:t>
            </w:r>
          </w:p>
        </w:tc>
        <w:tc>
          <w:tcPr>
            <w:tcW w:w="541" w:type="dxa"/>
            <w:tcBorders>
              <w:top w:val="nil"/>
              <w:left w:val="nil"/>
              <w:bottom w:val="nil"/>
              <w:right w:val="single" w:sz="8" w:space="0" w:color="002060"/>
            </w:tcBorders>
            <w:shd w:val="clear" w:color="auto" w:fill="auto"/>
            <w:noWrap/>
            <w:vAlign w:val="center"/>
            <w:hideMark/>
          </w:tcPr>
          <w:p w14:paraId="7352BB5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235</w:t>
            </w:r>
          </w:p>
        </w:tc>
      </w:tr>
      <w:tr w:rsidR="00AE564D" w:rsidRPr="00D94C50" w14:paraId="04CABDEC" w14:textId="77777777" w:rsidTr="00D94C50">
        <w:trPr>
          <w:trHeight w:val="255"/>
          <w:jc w:val="center"/>
        </w:trPr>
        <w:tc>
          <w:tcPr>
            <w:tcW w:w="743" w:type="dxa"/>
            <w:vMerge/>
            <w:tcBorders>
              <w:top w:val="single" w:sz="8" w:space="0" w:color="FFFFFF"/>
              <w:left w:val="single" w:sz="8" w:space="0" w:color="002060"/>
              <w:bottom w:val="single" w:sz="8" w:space="0" w:color="002060"/>
              <w:right w:val="single" w:sz="8" w:space="0" w:color="002060"/>
            </w:tcBorders>
            <w:vAlign w:val="center"/>
            <w:hideMark/>
          </w:tcPr>
          <w:p w14:paraId="5861C3D9"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39A3427C"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473A630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Med Fresh</w:t>
            </w:r>
          </w:p>
        </w:tc>
        <w:tc>
          <w:tcPr>
            <w:tcW w:w="536" w:type="dxa"/>
            <w:tcBorders>
              <w:top w:val="nil"/>
              <w:left w:val="nil"/>
              <w:bottom w:val="nil"/>
              <w:right w:val="nil"/>
            </w:tcBorders>
            <w:shd w:val="clear" w:color="auto" w:fill="auto"/>
            <w:noWrap/>
            <w:vAlign w:val="center"/>
            <w:hideMark/>
          </w:tcPr>
          <w:p w14:paraId="25F6683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29</w:t>
            </w:r>
          </w:p>
        </w:tc>
        <w:tc>
          <w:tcPr>
            <w:tcW w:w="656" w:type="dxa"/>
            <w:tcBorders>
              <w:top w:val="nil"/>
              <w:left w:val="nil"/>
              <w:bottom w:val="nil"/>
              <w:right w:val="nil"/>
            </w:tcBorders>
            <w:shd w:val="clear" w:color="auto" w:fill="auto"/>
            <w:noWrap/>
            <w:vAlign w:val="center"/>
            <w:hideMark/>
          </w:tcPr>
          <w:p w14:paraId="79093AA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1767</w:t>
            </w:r>
          </w:p>
        </w:tc>
        <w:tc>
          <w:tcPr>
            <w:tcW w:w="776" w:type="dxa"/>
            <w:tcBorders>
              <w:top w:val="nil"/>
              <w:left w:val="nil"/>
              <w:bottom w:val="nil"/>
              <w:right w:val="nil"/>
            </w:tcBorders>
            <w:shd w:val="clear" w:color="auto" w:fill="auto"/>
            <w:noWrap/>
            <w:vAlign w:val="center"/>
            <w:hideMark/>
          </w:tcPr>
          <w:p w14:paraId="721B303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528</w:t>
            </w:r>
          </w:p>
        </w:tc>
        <w:tc>
          <w:tcPr>
            <w:tcW w:w="596" w:type="dxa"/>
            <w:tcBorders>
              <w:top w:val="nil"/>
              <w:left w:val="nil"/>
              <w:bottom w:val="nil"/>
              <w:right w:val="nil"/>
            </w:tcBorders>
            <w:shd w:val="clear" w:color="auto" w:fill="auto"/>
            <w:noWrap/>
            <w:vAlign w:val="center"/>
            <w:hideMark/>
          </w:tcPr>
          <w:p w14:paraId="1815A66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271</w:t>
            </w:r>
          </w:p>
        </w:tc>
        <w:tc>
          <w:tcPr>
            <w:tcW w:w="636" w:type="dxa"/>
            <w:tcBorders>
              <w:top w:val="nil"/>
              <w:left w:val="nil"/>
              <w:bottom w:val="nil"/>
              <w:right w:val="nil"/>
            </w:tcBorders>
            <w:shd w:val="clear" w:color="auto" w:fill="auto"/>
            <w:noWrap/>
            <w:vAlign w:val="center"/>
            <w:hideMark/>
          </w:tcPr>
          <w:p w14:paraId="119D204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2345</w:t>
            </w:r>
          </w:p>
        </w:tc>
        <w:tc>
          <w:tcPr>
            <w:tcW w:w="776" w:type="dxa"/>
            <w:tcBorders>
              <w:top w:val="nil"/>
              <w:left w:val="nil"/>
              <w:bottom w:val="nil"/>
              <w:right w:val="nil"/>
            </w:tcBorders>
            <w:shd w:val="clear" w:color="auto" w:fill="auto"/>
            <w:noWrap/>
            <w:vAlign w:val="center"/>
            <w:hideMark/>
          </w:tcPr>
          <w:p w14:paraId="53EBDE0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1965</w:t>
            </w:r>
          </w:p>
        </w:tc>
        <w:tc>
          <w:tcPr>
            <w:tcW w:w="588" w:type="dxa"/>
            <w:tcBorders>
              <w:top w:val="nil"/>
              <w:left w:val="nil"/>
              <w:bottom w:val="nil"/>
              <w:right w:val="nil"/>
            </w:tcBorders>
            <w:shd w:val="clear" w:color="auto" w:fill="auto"/>
            <w:noWrap/>
            <w:vAlign w:val="center"/>
            <w:hideMark/>
          </w:tcPr>
          <w:p w14:paraId="1AB12F5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1397</w:t>
            </w:r>
          </w:p>
        </w:tc>
        <w:tc>
          <w:tcPr>
            <w:tcW w:w="580" w:type="dxa"/>
            <w:tcBorders>
              <w:top w:val="nil"/>
              <w:left w:val="nil"/>
              <w:bottom w:val="nil"/>
              <w:right w:val="single" w:sz="8" w:space="0" w:color="002060"/>
            </w:tcBorders>
            <w:shd w:val="clear" w:color="auto" w:fill="auto"/>
            <w:noWrap/>
            <w:vAlign w:val="center"/>
            <w:hideMark/>
          </w:tcPr>
          <w:p w14:paraId="1A713DE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2235</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0560639F"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5DDA6DA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w:t>
            </w:r>
          </w:p>
        </w:tc>
        <w:tc>
          <w:tcPr>
            <w:tcW w:w="596" w:type="dxa"/>
            <w:tcBorders>
              <w:top w:val="nil"/>
              <w:left w:val="nil"/>
              <w:bottom w:val="nil"/>
              <w:right w:val="nil"/>
            </w:tcBorders>
            <w:shd w:val="clear" w:color="auto" w:fill="auto"/>
            <w:noWrap/>
            <w:vAlign w:val="center"/>
            <w:hideMark/>
          </w:tcPr>
          <w:p w14:paraId="1FAE786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153</w:t>
            </w:r>
          </w:p>
        </w:tc>
        <w:tc>
          <w:tcPr>
            <w:tcW w:w="716" w:type="dxa"/>
            <w:tcBorders>
              <w:top w:val="nil"/>
              <w:left w:val="nil"/>
              <w:bottom w:val="nil"/>
              <w:right w:val="nil"/>
            </w:tcBorders>
            <w:shd w:val="clear" w:color="auto" w:fill="auto"/>
            <w:noWrap/>
            <w:vAlign w:val="center"/>
            <w:hideMark/>
          </w:tcPr>
          <w:p w14:paraId="034E49F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113</w:t>
            </w:r>
          </w:p>
        </w:tc>
        <w:tc>
          <w:tcPr>
            <w:tcW w:w="556" w:type="dxa"/>
            <w:tcBorders>
              <w:top w:val="nil"/>
              <w:left w:val="nil"/>
              <w:bottom w:val="nil"/>
              <w:right w:val="nil"/>
            </w:tcBorders>
            <w:shd w:val="clear" w:color="auto" w:fill="auto"/>
            <w:noWrap/>
            <w:vAlign w:val="center"/>
            <w:hideMark/>
          </w:tcPr>
          <w:p w14:paraId="6D771DF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17</w:t>
            </w:r>
          </w:p>
        </w:tc>
        <w:tc>
          <w:tcPr>
            <w:tcW w:w="596" w:type="dxa"/>
            <w:tcBorders>
              <w:top w:val="nil"/>
              <w:left w:val="nil"/>
              <w:bottom w:val="nil"/>
              <w:right w:val="nil"/>
            </w:tcBorders>
            <w:shd w:val="clear" w:color="auto" w:fill="auto"/>
            <w:noWrap/>
            <w:vAlign w:val="center"/>
            <w:hideMark/>
          </w:tcPr>
          <w:p w14:paraId="0DC5FCF5"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325</w:t>
            </w:r>
          </w:p>
        </w:tc>
        <w:tc>
          <w:tcPr>
            <w:tcW w:w="796" w:type="dxa"/>
            <w:tcBorders>
              <w:top w:val="nil"/>
              <w:left w:val="nil"/>
              <w:bottom w:val="nil"/>
              <w:right w:val="nil"/>
            </w:tcBorders>
            <w:shd w:val="clear" w:color="auto" w:fill="auto"/>
            <w:noWrap/>
            <w:vAlign w:val="center"/>
            <w:hideMark/>
          </w:tcPr>
          <w:p w14:paraId="7F85F43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149</w:t>
            </w:r>
          </w:p>
        </w:tc>
        <w:tc>
          <w:tcPr>
            <w:tcW w:w="541" w:type="dxa"/>
            <w:tcBorders>
              <w:top w:val="nil"/>
              <w:left w:val="nil"/>
              <w:bottom w:val="nil"/>
              <w:right w:val="nil"/>
            </w:tcBorders>
            <w:shd w:val="clear" w:color="auto" w:fill="auto"/>
            <w:noWrap/>
            <w:vAlign w:val="center"/>
            <w:hideMark/>
          </w:tcPr>
          <w:p w14:paraId="50F7623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61</w:t>
            </w:r>
          </w:p>
        </w:tc>
        <w:tc>
          <w:tcPr>
            <w:tcW w:w="541" w:type="dxa"/>
            <w:tcBorders>
              <w:top w:val="nil"/>
              <w:left w:val="nil"/>
              <w:bottom w:val="nil"/>
              <w:right w:val="single" w:sz="8" w:space="0" w:color="002060"/>
            </w:tcBorders>
            <w:shd w:val="clear" w:color="auto" w:fill="auto"/>
            <w:noWrap/>
            <w:vAlign w:val="center"/>
            <w:hideMark/>
          </w:tcPr>
          <w:p w14:paraId="3D8079B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249</w:t>
            </w:r>
          </w:p>
        </w:tc>
      </w:tr>
      <w:tr w:rsidR="00AE564D" w:rsidRPr="00D94C50" w14:paraId="53DF7138" w14:textId="77777777" w:rsidTr="00D94C50">
        <w:trPr>
          <w:trHeight w:val="255"/>
          <w:jc w:val="center"/>
        </w:trPr>
        <w:tc>
          <w:tcPr>
            <w:tcW w:w="743" w:type="dxa"/>
            <w:vMerge/>
            <w:tcBorders>
              <w:top w:val="single" w:sz="8" w:space="0" w:color="FFFFFF"/>
              <w:left w:val="single" w:sz="8" w:space="0" w:color="002060"/>
              <w:bottom w:val="single" w:sz="8" w:space="0" w:color="002060"/>
              <w:right w:val="single" w:sz="8" w:space="0" w:color="002060"/>
            </w:tcBorders>
            <w:vAlign w:val="center"/>
            <w:hideMark/>
          </w:tcPr>
          <w:p w14:paraId="70E4C90B"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1401A1A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Moss Rd / Day Rd / Murchison</w:t>
            </w:r>
          </w:p>
        </w:tc>
        <w:tc>
          <w:tcPr>
            <w:tcW w:w="1008" w:type="dxa"/>
            <w:tcBorders>
              <w:top w:val="single" w:sz="8" w:space="0" w:color="002060"/>
              <w:left w:val="nil"/>
              <w:bottom w:val="nil"/>
              <w:right w:val="nil"/>
            </w:tcBorders>
            <w:shd w:val="clear" w:color="auto" w:fill="auto"/>
            <w:noWrap/>
            <w:vAlign w:val="center"/>
            <w:hideMark/>
          </w:tcPr>
          <w:p w14:paraId="1DA485A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Very Low</w:t>
            </w:r>
          </w:p>
        </w:tc>
        <w:tc>
          <w:tcPr>
            <w:tcW w:w="536" w:type="dxa"/>
            <w:tcBorders>
              <w:top w:val="single" w:sz="8" w:space="0" w:color="002060"/>
              <w:left w:val="nil"/>
              <w:bottom w:val="nil"/>
              <w:right w:val="nil"/>
            </w:tcBorders>
            <w:shd w:val="clear" w:color="auto" w:fill="auto"/>
            <w:noWrap/>
            <w:vAlign w:val="center"/>
            <w:hideMark/>
          </w:tcPr>
          <w:p w14:paraId="4BA716C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w:t>
            </w:r>
          </w:p>
        </w:tc>
        <w:tc>
          <w:tcPr>
            <w:tcW w:w="656" w:type="dxa"/>
            <w:tcBorders>
              <w:top w:val="single" w:sz="8" w:space="0" w:color="002060"/>
              <w:left w:val="nil"/>
              <w:bottom w:val="nil"/>
              <w:right w:val="nil"/>
            </w:tcBorders>
            <w:shd w:val="clear" w:color="auto" w:fill="auto"/>
            <w:noWrap/>
            <w:vAlign w:val="center"/>
            <w:hideMark/>
          </w:tcPr>
          <w:p w14:paraId="6422A1D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729</w:t>
            </w:r>
          </w:p>
        </w:tc>
        <w:tc>
          <w:tcPr>
            <w:tcW w:w="776" w:type="dxa"/>
            <w:tcBorders>
              <w:top w:val="single" w:sz="8" w:space="0" w:color="002060"/>
              <w:left w:val="nil"/>
              <w:bottom w:val="nil"/>
              <w:right w:val="nil"/>
            </w:tcBorders>
            <w:shd w:val="clear" w:color="auto" w:fill="auto"/>
            <w:noWrap/>
            <w:vAlign w:val="center"/>
            <w:hideMark/>
          </w:tcPr>
          <w:p w14:paraId="1FA7C07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1064</w:t>
            </w:r>
          </w:p>
        </w:tc>
        <w:tc>
          <w:tcPr>
            <w:tcW w:w="596" w:type="dxa"/>
            <w:tcBorders>
              <w:top w:val="single" w:sz="8" w:space="0" w:color="002060"/>
              <w:left w:val="nil"/>
              <w:bottom w:val="nil"/>
              <w:right w:val="nil"/>
            </w:tcBorders>
            <w:shd w:val="clear" w:color="auto" w:fill="auto"/>
            <w:noWrap/>
            <w:vAlign w:val="center"/>
            <w:hideMark/>
          </w:tcPr>
          <w:p w14:paraId="018FB61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40</w:t>
            </w:r>
          </w:p>
        </w:tc>
        <w:tc>
          <w:tcPr>
            <w:tcW w:w="636" w:type="dxa"/>
            <w:tcBorders>
              <w:top w:val="single" w:sz="8" w:space="0" w:color="002060"/>
              <w:left w:val="nil"/>
              <w:bottom w:val="nil"/>
              <w:right w:val="nil"/>
            </w:tcBorders>
            <w:shd w:val="clear" w:color="auto" w:fill="auto"/>
            <w:noWrap/>
            <w:vAlign w:val="center"/>
            <w:hideMark/>
          </w:tcPr>
          <w:p w14:paraId="0149DC9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3625</w:t>
            </w:r>
          </w:p>
        </w:tc>
        <w:tc>
          <w:tcPr>
            <w:tcW w:w="776" w:type="dxa"/>
            <w:tcBorders>
              <w:top w:val="single" w:sz="8" w:space="0" w:color="002060"/>
              <w:left w:val="nil"/>
              <w:bottom w:val="nil"/>
              <w:right w:val="nil"/>
            </w:tcBorders>
            <w:shd w:val="clear" w:color="auto" w:fill="auto"/>
            <w:noWrap/>
            <w:vAlign w:val="center"/>
            <w:hideMark/>
          </w:tcPr>
          <w:p w14:paraId="09A12C5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305</w:t>
            </w:r>
          </w:p>
        </w:tc>
        <w:tc>
          <w:tcPr>
            <w:tcW w:w="588" w:type="dxa"/>
            <w:tcBorders>
              <w:top w:val="single" w:sz="8" w:space="0" w:color="002060"/>
              <w:left w:val="nil"/>
              <w:bottom w:val="nil"/>
              <w:right w:val="nil"/>
            </w:tcBorders>
            <w:shd w:val="clear" w:color="auto" w:fill="auto"/>
            <w:noWrap/>
            <w:vAlign w:val="center"/>
            <w:hideMark/>
          </w:tcPr>
          <w:p w14:paraId="072F82A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129</w:t>
            </w:r>
          </w:p>
        </w:tc>
        <w:tc>
          <w:tcPr>
            <w:tcW w:w="580" w:type="dxa"/>
            <w:tcBorders>
              <w:top w:val="single" w:sz="8" w:space="0" w:color="002060"/>
              <w:left w:val="nil"/>
              <w:bottom w:val="nil"/>
              <w:right w:val="single" w:sz="8" w:space="0" w:color="002060"/>
            </w:tcBorders>
            <w:shd w:val="clear" w:color="auto" w:fill="auto"/>
            <w:noWrap/>
            <w:vAlign w:val="center"/>
            <w:hideMark/>
          </w:tcPr>
          <w:p w14:paraId="44B4E95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1047</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6B6925E0"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single" w:sz="8" w:space="0" w:color="002060"/>
              <w:left w:val="nil"/>
              <w:bottom w:val="nil"/>
              <w:right w:val="nil"/>
            </w:tcBorders>
            <w:shd w:val="clear" w:color="auto" w:fill="auto"/>
            <w:noWrap/>
            <w:vAlign w:val="center"/>
            <w:hideMark/>
          </w:tcPr>
          <w:p w14:paraId="3BDEFB6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w:t>
            </w:r>
          </w:p>
        </w:tc>
        <w:tc>
          <w:tcPr>
            <w:tcW w:w="596" w:type="dxa"/>
            <w:tcBorders>
              <w:top w:val="single" w:sz="8" w:space="0" w:color="002060"/>
              <w:left w:val="nil"/>
              <w:bottom w:val="nil"/>
              <w:right w:val="nil"/>
            </w:tcBorders>
            <w:shd w:val="clear" w:color="auto" w:fill="auto"/>
            <w:noWrap/>
            <w:vAlign w:val="center"/>
            <w:hideMark/>
          </w:tcPr>
          <w:p w14:paraId="745EC5ED"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233</w:t>
            </w:r>
          </w:p>
        </w:tc>
        <w:tc>
          <w:tcPr>
            <w:tcW w:w="716" w:type="dxa"/>
            <w:tcBorders>
              <w:top w:val="single" w:sz="8" w:space="0" w:color="002060"/>
              <w:left w:val="nil"/>
              <w:bottom w:val="nil"/>
              <w:right w:val="nil"/>
            </w:tcBorders>
            <w:shd w:val="clear" w:color="auto" w:fill="auto"/>
            <w:noWrap/>
            <w:vAlign w:val="center"/>
            <w:hideMark/>
          </w:tcPr>
          <w:p w14:paraId="72DC017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153</w:t>
            </w:r>
          </w:p>
        </w:tc>
        <w:tc>
          <w:tcPr>
            <w:tcW w:w="556" w:type="dxa"/>
            <w:tcBorders>
              <w:top w:val="single" w:sz="8" w:space="0" w:color="002060"/>
              <w:left w:val="nil"/>
              <w:bottom w:val="nil"/>
              <w:right w:val="nil"/>
            </w:tcBorders>
            <w:shd w:val="clear" w:color="auto" w:fill="auto"/>
            <w:noWrap/>
            <w:vAlign w:val="center"/>
            <w:hideMark/>
          </w:tcPr>
          <w:p w14:paraId="7D303F1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56</w:t>
            </w:r>
          </w:p>
        </w:tc>
        <w:tc>
          <w:tcPr>
            <w:tcW w:w="596" w:type="dxa"/>
            <w:tcBorders>
              <w:top w:val="single" w:sz="8" w:space="0" w:color="002060"/>
              <w:left w:val="nil"/>
              <w:bottom w:val="nil"/>
              <w:right w:val="nil"/>
            </w:tcBorders>
            <w:shd w:val="clear" w:color="auto" w:fill="auto"/>
            <w:noWrap/>
            <w:vAlign w:val="center"/>
            <w:hideMark/>
          </w:tcPr>
          <w:p w14:paraId="3EF0421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500</w:t>
            </w:r>
          </w:p>
        </w:tc>
        <w:tc>
          <w:tcPr>
            <w:tcW w:w="796" w:type="dxa"/>
            <w:tcBorders>
              <w:top w:val="single" w:sz="8" w:space="0" w:color="002060"/>
              <w:left w:val="nil"/>
              <w:bottom w:val="nil"/>
              <w:right w:val="nil"/>
            </w:tcBorders>
            <w:shd w:val="clear" w:color="auto" w:fill="auto"/>
            <w:noWrap/>
            <w:vAlign w:val="center"/>
            <w:hideMark/>
          </w:tcPr>
          <w:p w14:paraId="22257C1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211</w:t>
            </w:r>
          </w:p>
        </w:tc>
        <w:tc>
          <w:tcPr>
            <w:tcW w:w="541" w:type="dxa"/>
            <w:tcBorders>
              <w:top w:val="single" w:sz="8" w:space="0" w:color="002060"/>
              <w:left w:val="nil"/>
              <w:bottom w:val="nil"/>
              <w:right w:val="nil"/>
            </w:tcBorders>
            <w:shd w:val="clear" w:color="auto" w:fill="auto"/>
            <w:noWrap/>
            <w:vAlign w:val="center"/>
            <w:hideMark/>
          </w:tcPr>
          <w:p w14:paraId="1316A6F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124</w:t>
            </w:r>
          </w:p>
        </w:tc>
        <w:tc>
          <w:tcPr>
            <w:tcW w:w="541" w:type="dxa"/>
            <w:tcBorders>
              <w:top w:val="single" w:sz="8" w:space="0" w:color="002060"/>
              <w:left w:val="nil"/>
              <w:bottom w:val="nil"/>
              <w:right w:val="single" w:sz="8" w:space="0" w:color="002060"/>
            </w:tcBorders>
            <w:shd w:val="clear" w:color="auto" w:fill="auto"/>
            <w:noWrap/>
            <w:vAlign w:val="center"/>
            <w:hideMark/>
          </w:tcPr>
          <w:p w14:paraId="670F5FE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331</w:t>
            </w:r>
          </w:p>
        </w:tc>
      </w:tr>
      <w:tr w:rsidR="00AE564D" w:rsidRPr="00D94C50" w14:paraId="3F800385" w14:textId="77777777" w:rsidTr="00D94C50">
        <w:trPr>
          <w:trHeight w:val="255"/>
          <w:jc w:val="center"/>
        </w:trPr>
        <w:tc>
          <w:tcPr>
            <w:tcW w:w="743" w:type="dxa"/>
            <w:vMerge/>
            <w:tcBorders>
              <w:top w:val="single" w:sz="8" w:space="0" w:color="FFFFFF"/>
              <w:left w:val="single" w:sz="8" w:space="0" w:color="002060"/>
              <w:bottom w:val="single" w:sz="8" w:space="0" w:color="002060"/>
              <w:right w:val="single" w:sz="8" w:space="0" w:color="002060"/>
            </w:tcBorders>
            <w:vAlign w:val="center"/>
            <w:hideMark/>
          </w:tcPr>
          <w:p w14:paraId="3E0749AF"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38A29E55"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51A101F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Mod Low</w:t>
            </w:r>
          </w:p>
        </w:tc>
        <w:tc>
          <w:tcPr>
            <w:tcW w:w="536" w:type="dxa"/>
            <w:tcBorders>
              <w:top w:val="nil"/>
              <w:left w:val="nil"/>
              <w:bottom w:val="nil"/>
              <w:right w:val="nil"/>
            </w:tcBorders>
            <w:shd w:val="clear" w:color="auto" w:fill="auto"/>
            <w:noWrap/>
            <w:vAlign w:val="center"/>
            <w:hideMark/>
          </w:tcPr>
          <w:p w14:paraId="28D5277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53</w:t>
            </w:r>
          </w:p>
        </w:tc>
        <w:tc>
          <w:tcPr>
            <w:tcW w:w="656" w:type="dxa"/>
            <w:tcBorders>
              <w:top w:val="nil"/>
              <w:left w:val="nil"/>
              <w:bottom w:val="nil"/>
              <w:right w:val="nil"/>
            </w:tcBorders>
            <w:shd w:val="clear" w:color="auto" w:fill="auto"/>
            <w:noWrap/>
            <w:vAlign w:val="center"/>
            <w:hideMark/>
          </w:tcPr>
          <w:p w14:paraId="1457C5B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726</w:t>
            </w:r>
          </w:p>
        </w:tc>
        <w:tc>
          <w:tcPr>
            <w:tcW w:w="776" w:type="dxa"/>
            <w:tcBorders>
              <w:top w:val="nil"/>
              <w:left w:val="nil"/>
              <w:bottom w:val="nil"/>
              <w:right w:val="nil"/>
            </w:tcBorders>
            <w:shd w:val="clear" w:color="auto" w:fill="auto"/>
            <w:noWrap/>
            <w:vAlign w:val="center"/>
            <w:hideMark/>
          </w:tcPr>
          <w:p w14:paraId="0647D964"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860</w:t>
            </w:r>
          </w:p>
        </w:tc>
        <w:tc>
          <w:tcPr>
            <w:tcW w:w="596" w:type="dxa"/>
            <w:tcBorders>
              <w:top w:val="nil"/>
              <w:left w:val="nil"/>
              <w:bottom w:val="nil"/>
              <w:right w:val="nil"/>
            </w:tcBorders>
            <w:shd w:val="clear" w:color="auto" w:fill="auto"/>
            <w:noWrap/>
            <w:vAlign w:val="center"/>
            <w:hideMark/>
          </w:tcPr>
          <w:p w14:paraId="0D6B8CC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42</w:t>
            </w:r>
          </w:p>
        </w:tc>
        <w:tc>
          <w:tcPr>
            <w:tcW w:w="636" w:type="dxa"/>
            <w:tcBorders>
              <w:top w:val="nil"/>
              <w:left w:val="nil"/>
              <w:bottom w:val="nil"/>
              <w:right w:val="nil"/>
            </w:tcBorders>
            <w:shd w:val="clear" w:color="auto" w:fill="auto"/>
            <w:noWrap/>
            <w:vAlign w:val="center"/>
            <w:hideMark/>
          </w:tcPr>
          <w:p w14:paraId="720356C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5239</w:t>
            </w:r>
          </w:p>
        </w:tc>
        <w:tc>
          <w:tcPr>
            <w:tcW w:w="776" w:type="dxa"/>
            <w:tcBorders>
              <w:top w:val="nil"/>
              <w:left w:val="nil"/>
              <w:bottom w:val="nil"/>
              <w:right w:val="nil"/>
            </w:tcBorders>
            <w:shd w:val="clear" w:color="auto" w:fill="auto"/>
            <w:noWrap/>
            <w:vAlign w:val="center"/>
            <w:hideMark/>
          </w:tcPr>
          <w:p w14:paraId="0525C10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380</w:t>
            </w:r>
          </w:p>
        </w:tc>
        <w:tc>
          <w:tcPr>
            <w:tcW w:w="588" w:type="dxa"/>
            <w:tcBorders>
              <w:top w:val="nil"/>
              <w:left w:val="nil"/>
              <w:bottom w:val="nil"/>
              <w:right w:val="nil"/>
            </w:tcBorders>
            <w:shd w:val="clear" w:color="auto" w:fill="auto"/>
            <w:noWrap/>
            <w:vAlign w:val="center"/>
            <w:hideMark/>
          </w:tcPr>
          <w:p w14:paraId="146AF93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330</w:t>
            </w:r>
          </w:p>
        </w:tc>
        <w:tc>
          <w:tcPr>
            <w:tcW w:w="580" w:type="dxa"/>
            <w:tcBorders>
              <w:top w:val="nil"/>
              <w:left w:val="nil"/>
              <w:bottom w:val="nil"/>
              <w:right w:val="single" w:sz="8" w:space="0" w:color="002060"/>
            </w:tcBorders>
            <w:shd w:val="clear" w:color="auto" w:fill="auto"/>
            <w:noWrap/>
            <w:vAlign w:val="center"/>
            <w:hideMark/>
          </w:tcPr>
          <w:p w14:paraId="66E6A9D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784</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3A0F4DB1"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782440E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w:t>
            </w:r>
          </w:p>
        </w:tc>
        <w:tc>
          <w:tcPr>
            <w:tcW w:w="596" w:type="dxa"/>
            <w:tcBorders>
              <w:top w:val="nil"/>
              <w:left w:val="nil"/>
              <w:bottom w:val="nil"/>
              <w:right w:val="nil"/>
            </w:tcBorders>
            <w:shd w:val="clear" w:color="auto" w:fill="auto"/>
            <w:noWrap/>
            <w:vAlign w:val="center"/>
            <w:hideMark/>
          </w:tcPr>
          <w:p w14:paraId="21DC1586"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173</w:t>
            </w:r>
          </w:p>
        </w:tc>
        <w:tc>
          <w:tcPr>
            <w:tcW w:w="716" w:type="dxa"/>
            <w:tcBorders>
              <w:top w:val="nil"/>
              <w:left w:val="nil"/>
              <w:bottom w:val="nil"/>
              <w:right w:val="nil"/>
            </w:tcBorders>
            <w:shd w:val="clear" w:color="auto" w:fill="auto"/>
            <w:noWrap/>
            <w:vAlign w:val="center"/>
            <w:hideMark/>
          </w:tcPr>
          <w:p w14:paraId="1332838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102</w:t>
            </w:r>
          </w:p>
        </w:tc>
        <w:tc>
          <w:tcPr>
            <w:tcW w:w="556" w:type="dxa"/>
            <w:tcBorders>
              <w:top w:val="nil"/>
              <w:left w:val="nil"/>
              <w:bottom w:val="nil"/>
              <w:right w:val="nil"/>
            </w:tcBorders>
            <w:shd w:val="clear" w:color="auto" w:fill="auto"/>
            <w:noWrap/>
            <w:vAlign w:val="center"/>
            <w:hideMark/>
          </w:tcPr>
          <w:p w14:paraId="13ECC7A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17</w:t>
            </w:r>
          </w:p>
        </w:tc>
        <w:tc>
          <w:tcPr>
            <w:tcW w:w="596" w:type="dxa"/>
            <w:tcBorders>
              <w:top w:val="nil"/>
              <w:left w:val="nil"/>
              <w:bottom w:val="nil"/>
              <w:right w:val="nil"/>
            </w:tcBorders>
            <w:shd w:val="clear" w:color="auto" w:fill="auto"/>
            <w:noWrap/>
            <w:vAlign w:val="center"/>
            <w:hideMark/>
          </w:tcPr>
          <w:p w14:paraId="7DB53EC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430</w:t>
            </w:r>
          </w:p>
        </w:tc>
        <w:tc>
          <w:tcPr>
            <w:tcW w:w="796" w:type="dxa"/>
            <w:tcBorders>
              <w:top w:val="nil"/>
              <w:left w:val="nil"/>
              <w:bottom w:val="nil"/>
              <w:right w:val="nil"/>
            </w:tcBorders>
            <w:shd w:val="clear" w:color="auto" w:fill="auto"/>
            <w:noWrap/>
            <w:vAlign w:val="center"/>
            <w:hideMark/>
          </w:tcPr>
          <w:p w14:paraId="2D36D0C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156</w:t>
            </w:r>
          </w:p>
        </w:tc>
        <w:tc>
          <w:tcPr>
            <w:tcW w:w="541" w:type="dxa"/>
            <w:tcBorders>
              <w:top w:val="nil"/>
              <w:left w:val="nil"/>
              <w:bottom w:val="nil"/>
              <w:right w:val="nil"/>
            </w:tcBorders>
            <w:shd w:val="clear" w:color="auto" w:fill="auto"/>
            <w:noWrap/>
            <w:vAlign w:val="center"/>
            <w:hideMark/>
          </w:tcPr>
          <w:p w14:paraId="2AF3623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115</w:t>
            </w:r>
          </w:p>
        </w:tc>
        <w:tc>
          <w:tcPr>
            <w:tcW w:w="541" w:type="dxa"/>
            <w:tcBorders>
              <w:top w:val="nil"/>
              <w:left w:val="nil"/>
              <w:bottom w:val="nil"/>
              <w:right w:val="single" w:sz="8" w:space="0" w:color="002060"/>
            </w:tcBorders>
            <w:shd w:val="clear" w:color="auto" w:fill="auto"/>
            <w:noWrap/>
            <w:vAlign w:val="center"/>
            <w:hideMark/>
          </w:tcPr>
          <w:p w14:paraId="560CAE1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250</w:t>
            </w:r>
          </w:p>
        </w:tc>
      </w:tr>
      <w:tr w:rsidR="00AE564D" w:rsidRPr="00D94C50" w14:paraId="12FB6A75" w14:textId="77777777" w:rsidTr="00D94C50">
        <w:trPr>
          <w:trHeight w:val="255"/>
          <w:jc w:val="center"/>
        </w:trPr>
        <w:tc>
          <w:tcPr>
            <w:tcW w:w="743" w:type="dxa"/>
            <w:vMerge/>
            <w:tcBorders>
              <w:top w:val="single" w:sz="8" w:space="0" w:color="FFFFFF"/>
              <w:left w:val="single" w:sz="8" w:space="0" w:color="002060"/>
              <w:bottom w:val="single" w:sz="8" w:space="0" w:color="002060"/>
              <w:right w:val="single" w:sz="8" w:space="0" w:color="002060"/>
            </w:tcBorders>
            <w:vAlign w:val="center"/>
            <w:hideMark/>
          </w:tcPr>
          <w:p w14:paraId="2D13EA9F"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701C9F6A"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nil"/>
              <w:right w:val="nil"/>
            </w:tcBorders>
            <w:shd w:val="clear" w:color="auto" w:fill="auto"/>
            <w:noWrap/>
            <w:vAlign w:val="center"/>
            <w:hideMark/>
          </w:tcPr>
          <w:p w14:paraId="151C948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Low Fresh</w:t>
            </w:r>
          </w:p>
        </w:tc>
        <w:tc>
          <w:tcPr>
            <w:tcW w:w="536" w:type="dxa"/>
            <w:tcBorders>
              <w:top w:val="nil"/>
              <w:left w:val="nil"/>
              <w:bottom w:val="nil"/>
              <w:right w:val="nil"/>
            </w:tcBorders>
            <w:shd w:val="clear" w:color="auto" w:fill="auto"/>
            <w:noWrap/>
            <w:vAlign w:val="center"/>
            <w:hideMark/>
          </w:tcPr>
          <w:p w14:paraId="047BC68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24</w:t>
            </w:r>
          </w:p>
        </w:tc>
        <w:tc>
          <w:tcPr>
            <w:tcW w:w="656" w:type="dxa"/>
            <w:tcBorders>
              <w:top w:val="nil"/>
              <w:left w:val="nil"/>
              <w:bottom w:val="nil"/>
              <w:right w:val="nil"/>
            </w:tcBorders>
            <w:shd w:val="clear" w:color="auto" w:fill="auto"/>
            <w:noWrap/>
            <w:vAlign w:val="center"/>
            <w:hideMark/>
          </w:tcPr>
          <w:p w14:paraId="1B7D0D8E"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1841</w:t>
            </w:r>
          </w:p>
        </w:tc>
        <w:tc>
          <w:tcPr>
            <w:tcW w:w="776" w:type="dxa"/>
            <w:tcBorders>
              <w:top w:val="nil"/>
              <w:left w:val="nil"/>
              <w:bottom w:val="nil"/>
              <w:right w:val="nil"/>
            </w:tcBorders>
            <w:shd w:val="clear" w:color="auto" w:fill="auto"/>
            <w:noWrap/>
            <w:vAlign w:val="center"/>
            <w:hideMark/>
          </w:tcPr>
          <w:p w14:paraId="277DBD8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771</w:t>
            </w:r>
          </w:p>
        </w:tc>
        <w:tc>
          <w:tcPr>
            <w:tcW w:w="596" w:type="dxa"/>
            <w:tcBorders>
              <w:top w:val="nil"/>
              <w:left w:val="nil"/>
              <w:bottom w:val="nil"/>
              <w:right w:val="nil"/>
            </w:tcBorders>
            <w:shd w:val="clear" w:color="auto" w:fill="auto"/>
            <w:noWrap/>
            <w:vAlign w:val="center"/>
            <w:hideMark/>
          </w:tcPr>
          <w:p w14:paraId="1DDBCB3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612</w:t>
            </w:r>
          </w:p>
        </w:tc>
        <w:tc>
          <w:tcPr>
            <w:tcW w:w="636" w:type="dxa"/>
            <w:tcBorders>
              <w:top w:val="nil"/>
              <w:left w:val="nil"/>
              <w:bottom w:val="nil"/>
              <w:right w:val="nil"/>
            </w:tcBorders>
            <w:shd w:val="clear" w:color="auto" w:fill="auto"/>
            <w:noWrap/>
            <w:vAlign w:val="center"/>
            <w:hideMark/>
          </w:tcPr>
          <w:p w14:paraId="140EDBAA"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3829</w:t>
            </w:r>
          </w:p>
        </w:tc>
        <w:tc>
          <w:tcPr>
            <w:tcW w:w="776" w:type="dxa"/>
            <w:tcBorders>
              <w:top w:val="nil"/>
              <w:left w:val="nil"/>
              <w:bottom w:val="nil"/>
              <w:right w:val="nil"/>
            </w:tcBorders>
            <w:shd w:val="clear" w:color="auto" w:fill="auto"/>
            <w:noWrap/>
            <w:vAlign w:val="center"/>
            <w:hideMark/>
          </w:tcPr>
          <w:p w14:paraId="190DB97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2011</w:t>
            </w:r>
          </w:p>
        </w:tc>
        <w:tc>
          <w:tcPr>
            <w:tcW w:w="588" w:type="dxa"/>
            <w:tcBorders>
              <w:top w:val="nil"/>
              <w:left w:val="nil"/>
              <w:bottom w:val="nil"/>
              <w:right w:val="nil"/>
            </w:tcBorders>
            <w:shd w:val="clear" w:color="auto" w:fill="auto"/>
            <w:noWrap/>
            <w:vAlign w:val="center"/>
            <w:hideMark/>
          </w:tcPr>
          <w:p w14:paraId="3E90C041"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1166</w:t>
            </w:r>
          </w:p>
        </w:tc>
        <w:tc>
          <w:tcPr>
            <w:tcW w:w="580" w:type="dxa"/>
            <w:tcBorders>
              <w:top w:val="nil"/>
              <w:left w:val="nil"/>
              <w:bottom w:val="nil"/>
              <w:right w:val="single" w:sz="8" w:space="0" w:color="002060"/>
            </w:tcBorders>
            <w:shd w:val="clear" w:color="auto" w:fill="auto"/>
            <w:noWrap/>
            <w:vAlign w:val="center"/>
            <w:hideMark/>
          </w:tcPr>
          <w:p w14:paraId="522C560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2260</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09ED3146"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nil"/>
              <w:right w:val="nil"/>
            </w:tcBorders>
            <w:shd w:val="clear" w:color="auto" w:fill="auto"/>
            <w:noWrap/>
            <w:vAlign w:val="center"/>
            <w:hideMark/>
          </w:tcPr>
          <w:p w14:paraId="6B87FF0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7</w:t>
            </w:r>
          </w:p>
        </w:tc>
        <w:tc>
          <w:tcPr>
            <w:tcW w:w="596" w:type="dxa"/>
            <w:tcBorders>
              <w:top w:val="nil"/>
              <w:left w:val="nil"/>
              <w:bottom w:val="nil"/>
              <w:right w:val="nil"/>
            </w:tcBorders>
            <w:shd w:val="clear" w:color="auto" w:fill="auto"/>
            <w:noWrap/>
            <w:vAlign w:val="center"/>
            <w:hideMark/>
          </w:tcPr>
          <w:p w14:paraId="5B4F9D0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256</w:t>
            </w:r>
          </w:p>
        </w:tc>
        <w:tc>
          <w:tcPr>
            <w:tcW w:w="716" w:type="dxa"/>
            <w:tcBorders>
              <w:top w:val="nil"/>
              <w:left w:val="nil"/>
              <w:bottom w:val="nil"/>
              <w:right w:val="nil"/>
            </w:tcBorders>
            <w:shd w:val="clear" w:color="auto" w:fill="auto"/>
            <w:noWrap/>
            <w:vAlign w:val="center"/>
            <w:hideMark/>
          </w:tcPr>
          <w:p w14:paraId="18476478"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256</w:t>
            </w:r>
          </w:p>
        </w:tc>
        <w:tc>
          <w:tcPr>
            <w:tcW w:w="556" w:type="dxa"/>
            <w:tcBorders>
              <w:top w:val="nil"/>
              <w:left w:val="nil"/>
              <w:bottom w:val="nil"/>
              <w:right w:val="nil"/>
            </w:tcBorders>
            <w:shd w:val="clear" w:color="auto" w:fill="auto"/>
            <w:noWrap/>
            <w:vAlign w:val="center"/>
            <w:hideMark/>
          </w:tcPr>
          <w:p w14:paraId="05E6040C"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43</w:t>
            </w:r>
          </w:p>
        </w:tc>
        <w:tc>
          <w:tcPr>
            <w:tcW w:w="596" w:type="dxa"/>
            <w:tcBorders>
              <w:top w:val="nil"/>
              <w:left w:val="nil"/>
              <w:bottom w:val="nil"/>
              <w:right w:val="nil"/>
            </w:tcBorders>
            <w:shd w:val="clear" w:color="auto" w:fill="auto"/>
            <w:noWrap/>
            <w:vAlign w:val="center"/>
            <w:hideMark/>
          </w:tcPr>
          <w:p w14:paraId="6435F98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648</w:t>
            </w:r>
          </w:p>
        </w:tc>
        <w:tc>
          <w:tcPr>
            <w:tcW w:w="796" w:type="dxa"/>
            <w:tcBorders>
              <w:top w:val="nil"/>
              <w:left w:val="nil"/>
              <w:bottom w:val="nil"/>
              <w:right w:val="nil"/>
            </w:tcBorders>
            <w:shd w:val="clear" w:color="auto" w:fill="auto"/>
            <w:noWrap/>
            <w:vAlign w:val="center"/>
            <w:hideMark/>
          </w:tcPr>
          <w:p w14:paraId="05B2A09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122</w:t>
            </w:r>
          </w:p>
        </w:tc>
        <w:tc>
          <w:tcPr>
            <w:tcW w:w="541" w:type="dxa"/>
            <w:tcBorders>
              <w:top w:val="nil"/>
              <w:left w:val="nil"/>
              <w:bottom w:val="nil"/>
              <w:right w:val="nil"/>
            </w:tcBorders>
            <w:shd w:val="clear" w:color="auto" w:fill="auto"/>
            <w:noWrap/>
            <w:vAlign w:val="center"/>
            <w:hideMark/>
          </w:tcPr>
          <w:p w14:paraId="30C76D97"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44</w:t>
            </w:r>
          </w:p>
        </w:tc>
        <w:tc>
          <w:tcPr>
            <w:tcW w:w="541" w:type="dxa"/>
            <w:tcBorders>
              <w:top w:val="nil"/>
              <w:left w:val="nil"/>
              <w:bottom w:val="nil"/>
              <w:right w:val="single" w:sz="8" w:space="0" w:color="002060"/>
            </w:tcBorders>
            <w:shd w:val="clear" w:color="auto" w:fill="auto"/>
            <w:noWrap/>
            <w:vAlign w:val="center"/>
            <w:hideMark/>
          </w:tcPr>
          <w:p w14:paraId="6DC3FE30"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552</w:t>
            </w:r>
          </w:p>
        </w:tc>
      </w:tr>
      <w:tr w:rsidR="00AE564D" w:rsidRPr="00D94C50" w14:paraId="4F3995B6" w14:textId="77777777" w:rsidTr="00D94C50">
        <w:trPr>
          <w:trHeight w:val="255"/>
          <w:jc w:val="center"/>
        </w:trPr>
        <w:tc>
          <w:tcPr>
            <w:tcW w:w="743" w:type="dxa"/>
            <w:vMerge/>
            <w:tcBorders>
              <w:top w:val="single" w:sz="8" w:space="0" w:color="FFFFFF"/>
              <w:left w:val="single" w:sz="8" w:space="0" w:color="002060"/>
              <w:bottom w:val="single" w:sz="8" w:space="0" w:color="002060"/>
              <w:right w:val="single" w:sz="8" w:space="0" w:color="002060"/>
            </w:tcBorders>
            <w:vAlign w:val="center"/>
            <w:hideMark/>
          </w:tcPr>
          <w:p w14:paraId="522FB716"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1000" w:type="dxa"/>
            <w:vMerge/>
            <w:tcBorders>
              <w:top w:val="nil"/>
              <w:left w:val="single" w:sz="8" w:space="0" w:color="002060"/>
              <w:bottom w:val="single" w:sz="8" w:space="0" w:color="002060"/>
              <w:right w:val="single" w:sz="8" w:space="0" w:color="002060"/>
            </w:tcBorders>
            <w:vAlign w:val="center"/>
            <w:hideMark/>
          </w:tcPr>
          <w:p w14:paraId="0B8FA3C2" w14:textId="77777777" w:rsidR="00AE564D" w:rsidRPr="00D94C50" w:rsidRDefault="00AE564D" w:rsidP="00E26D3C">
            <w:pPr>
              <w:spacing w:after="0" w:line="240" w:lineRule="auto"/>
              <w:rPr>
                <w:rFonts w:eastAsia="Times New Roman" w:cstheme="minorHAnsi"/>
                <w:color w:val="000000"/>
                <w:sz w:val="18"/>
                <w:szCs w:val="18"/>
                <w:lang w:eastAsia="en-AU"/>
              </w:rPr>
            </w:pPr>
          </w:p>
        </w:tc>
        <w:tc>
          <w:tcPr>
            <w:tcW w:w="1008" w:type="dxa"/>
            <w:tcBorders>
              <w:top w:val="nil"/>
              <w:left w:val="nil"/>
              <w:bottom w:val="single" w:sz="8" w:space="0" w:color="002060"/>
              <w:right w:val="nil"/>
            </w:tcBorders>
            <w:shd w:val="clear" w:color="auto" w:fill="auto"/>
            <w:noWrap/>
            <w:vAlign w:val="center"/>
            <w:hideMark/>
          </w:tcPr>
          <w:p w14:paraId="2089F80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Med Fresh</w:t>
            </w:r>
          </w:p>
        </w:tc>
        <w:tc>
          <w:tcPr>
            <w:tcW w:w="536" w:type="dxa"/>
            <w:tcBorders>
              <w:top w:val="nil"/>
              <w:left w:val="nil"/>
              <w:bottom w:val="single" w:sz="8" w:space="0" w:color="002060"/>
              <w:right w:val="nil"/>
            </w:tcBorders>
            <w:shd w:val="clear" w:color="auto" w:fill="auto"/>
            <w:noWrap/>
            <w:vAlign w:val="center"/>
            <w:hideMark/>
          </w:tcPr>
          <w:p w14:paraId="67FC36D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w:t>
            </w:r>
          </w:p>
        </w:tc>
        <w:tc>
          <w:tcPr>
            <w:tcW w:w="656" w:type="dxa"/>
            <w:tcBorders>
              <w:top w:val="nil"/>
              <w:left w:val="nil"/>
              <w:bottom w:val="single" w:sz="8" w:space="0" w:color="002060"/>
              <w:right w:val="nil"/>
            </w:tcBorders>
            <w:shd w:val="clear" w:color="auto" w:fill="auto"/>
            <w:noWrap/>
            <w:vAlign w:val="center"/>
            <w:hideMark/>
          </w:tcPr>
          <w:p w14:paraId="51D0FFA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1571</w:t>
            </w:r>
          </w:p>
        </w:tc>
        <w:tc>
          <w:tcPr>
            <w:tcW w:w="776" w:type="dxa"/>
            <w:tcBorders>
              <w:top w:val="nil"/>
              <w:left w:val="nil"/>
              <w:bottom w:val="single" w:sz="8" w:space="0" w:color="002060"/>
              <w:right w:val="nil"/>
            </w:tcBorders>
            <w:shd w:val="clear" w:color="auto" w:fill="auto"/>
            <w:noWrap/>
            <w:vAlign w:val="center"/>
            <w:hideMark/>
          </w:tcPr>
          <w:p w14:paraId="59ED1EF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511</w:t>
            </w:r>
          </w:p>
        </w:tc>
        <w:tc>
          <w:tcPr>
            <w:tcW w:w="596" w:type="dxa"/>
            <w:tcBorders>
              <w:top w:val="nil"/>
              <w:left w:val="nil"/>
              <w:bottom w:val="single" w:sz="8" w:space="0" w:color="002060"/>
              <w:right w:val="nil"/>
            </w:tcBorders>
            <w:shd w:val="clear" w:color="auto" w:fill="auto"/>
            <w:noWrap/>
            <w:vAlign w:val="center"/>
            <w:hideMark/>
          </w:tcPr>
          <w:p w14:paraId="78CA778B"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265</w:t>
            </w:r>
          </w:p>
        </w:tc>
        <w:tc>
          <w:tcPr>
            <w:tcW w:w="636" w:type="dxa"/>
            <w:tcBorders>
              <w:top w:val="nil"/>
              <w:left w:val="nil"/>
              <w:bottom w:val="single" w:sz="8" w:space="0" w:color="002060"/>
              <w:right w:val="nil"/>
            </w:tcBorders>
            <w:shd w:val="clear" w:color="auto" w:fill="auto"/>
            <w:noWrap/>
            <w:vAlign w:val="center"/>
            <w:hideMark/>
          </w:tcPr>
          <w:p w14:paraId="0A59131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1970</w:t>
            </w:r>
          </w:p>
        </w:tc>
        <w:tc>
          <w:tcPr>
            <w:tcW w:w="776" w:type="dxa"/>
            <w:tcBorders>
              <w:top w:val="nil"/>
              <w:left w:val="nil"/>
              <w:bottom w:val="single" w:sz="8" w:space="0" w:color="002060"/>
              <w:right w:val="nil"/>
            </w:tcBorders>
            <w:shd w:val="clear" w:color="auto" w:fill="auto"/>
            <w:noWrap/>
            <w:vAlign w:val="center"/>
            <w:hideMark/>
          </w:tcPr>
          <w:p w14:paraId="163D71E2"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1794</w:t>
            </w:r>
          </w:p>
        </w:tc>
        <w:tc>
          <w:tcPr>
            <w:tcW w:w="588" w:type="dxa"/>
            <w:tcBorders>
              <w:top w:val="nil"/>
              <w:left w:val="nil"/>
              <w:bottom w:val="single" w:sz="8" w:space="0" w:color="002060"/>
              <w:right w:val="nil"/>
            </w:tcBorders>
            <w:shd w:val="clear" w:color="auto" w:fill="auto"/>
            <w:noWrap/>
            <w:vAlign w:val="center"/>
            <w:hideMark/>
          </w:tcPr>
          <w:p w14:paraId="4E46A47F"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1509</w:t>
            </w:r>
          </w:p>
        </w:tc>
        <w:tc>
          <w:tcPr>
            <w:tcW w:w="580" w:type="dxa"/>
            <w:tcBorders>
              <w:top w:val="nil"/>
              <w:left w:val="nil"/>
              <w:bottom w:val="single" w:sz="8" w:space="0" w:color="002060"/>
              <w:right w:val="single" w:sz="8" w:space="0" w:color="002060"/>
            </w:tcBorders>
            <w:shd w:val="clear" w:color="auto" w:fill="auto"/>
            <w:noWrap/>
            <w:vAlign w:val="center"/>
            <w:hideMark/>
          </w:tcPr>
          <w:p w14:paraId="07217B39"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1894</w:t>
            </w:r>
          </w:p>
        </w:tc>
        <w:tc>
          <w:tcPr>
            <w:tcW w:w="880" w:type="dxa"/>
            <w:vMerge/>
            <w:tcBorders>
              <w:top w:val="single" w:sz="8" w:space="0" w:color="FFFFFF"/>
              <w:left w:val="single" w:sz="8" w:space="0" w:color="002060"/>
              <w:bottom w:val="single" w:sz="8" w:space="0" w:color="002060"/>
              <w:right w:val="single" w:sz="8" w:space="0" w:color="002060"/>
            </w:tcBorders>
            <w:vAlign w:val="center"/>
            <w:hideMark/>
          </w:tcPr>
          <w:p w14:paraId="2A810071" w14:textId="77777777" w:rsidR="00AE564D" w:rsidRPr="00D94C50" w:rsidRDefault="00AE564D" w:rsidP="00E26D3C">
            <w:pPr>
              <w:spacing w:after="0" w:line="240" w:lineRule="auto"/>
              <w:rPr>
                <w:rFonts w:eastAsia="Times New Roman" w:cstheme="minorHAnsi"/>
                <w:color w:val="FFFFFF"/>
                <w:sz w:val="18"/>
                <w:szCs w:val="18"/>
                <w:lang w:eastAsia="en-AU"/>
              </w:rPr>
            </w:pPr>
          </w:p>
        </w:tc>
        <w:tc>
          <w:tcPr>
            <w:tcW w:w="528" w:type="dxa"/>
            <w:tcBorders>
              <w:top w:val="nil"/>
              <w:left w:val="nil"/>
              <w:bottom w:val="single" w:sz="8" w:space="0" w:color="002060"/>
              <w:right w:val="nil"/>
            </w:tcBorders>
            <w:shd w:val="clear" w:color="auto" w:fill="auto"/>
            <w:noWrap/>
            <w:vAlign w:val="center"/>
            <w:hideMark/>
          </w:tcPr>
          <w:p w14:paraId="31FAB483" w14:textId="77777777" w:rsidR="00AE564D" w:rsidRPr="00D94C50" w:rsidRDefault="00AE564D" w:rsidP="00E26D3C">
            <w:pPr>
              <w:spacing w:after="0" w:line="240" w:lineRule="auto"/>
              <w:jc w:val="center"/>
              <w:rPr>
                <w:rFonts w:eastAsia="Times New Roman" w:cstheme="minorHAnsi"/>
                <w:color w:val="000000"/>
                <w:sz w:val="18"/>
                <w:szCs w:val="18"/>
                <w:lang w:eastAsia="en-AU"/>
              </w:rPr>
            </w:pPr>
            <w:r w:rsidRPr="00D94C50">
              <w:rPr>
                <w:rFonts w:eastAsia="Times New Roman" w:cstheme="minorHAnsi"/>
                <w:color w:val="000000"/>
                <w:sz w:val="18"/>
                <w:szCs w:val="18"/>
                <w:lang w:eastAsia="en-AU"/>
              </w:rPr>
              <w:t>4</w:t>
            </w:r>
          </w:p>
        </w:tc>
        <w:tc>
          <w:tcPr>
            <w:tcW w:w="596" w:type="dxa"/>
            <w:tcBorders>
              <w:top w:val="nil"/>
              <w:left w:val="nil"/>
              <w:bottom w:val="single" w:sz="8" w:space="0" w:color="002060"/>
              <w:right w:val="nil"/>
            </w:tcBorders>
            <w:shd w:val="clear" w:color="auto" w:fill="auto"/>
            <w:noWrap/>
            <w:vAlign w:val="center"/>
            <w:hideMark/>
          </w:tcPr>
          <w:p w14:paraId="79EBC7AC"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c>
          <w:tcPr>
            <w:tcW w:w="716" w:type="dxa"/>
            <w:tcBorders>
              <w:top w:val="nil"/>
              <w:left w:val="nil"/>
              <w:bottom w:val="single" w:sz="8" w:space="0" w:color="002060"/>
              <w:right w:val="nil"/>
            </w:tcBorders>
            <w:shd w:val="clear" w:color="auto" w:fill="auto"/>
            <w:noWrap/>
            <w:vAlign w:val="center"/>
            <w:hideMark/>
          </w:tcPr>
          <w:p w14:paraId="655819A1"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c>
          <w:tcPr>
            <w:tcW w:w="556" w:type="dxa"/>
            <w:tcBorders>
              <w:top w:val="nil"/>
              <w:left w:val="nil"/>
              <w:bottom w:val="single" w:sz="8" w:space="0" w:color="002060"/>
              <w:right w:val="nil"/>
            </w:tcBorders>
            <w:shd w:val="clear" w:color="auto" w:fill="auto"/>
            <w:noWrap/>
            <w:vAlign w:val="center"/>
            <w:hideMark/>
          </w:tcPr>
          <w:p w14:paraId="7FDC10F9"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c>
          <w:tcPr>
            <w:tcW w:w="596" w:type="dxa"/>
            <w:tcBorders>
              <w:top w:val="nil"/>
              <w:left w:val="nil"/>
              <w:bottom w:val="single" w:sz="8" w:space="0" w:color="002060"/>
              <w:right w:val="nil"/>
            </w:tcBorders>
            <w:shd w:val="clear" w:color="auto" w:fill="auto"/>
            <w:noWrap/>
            <w:vAlign w:val="center"/>
            <w:hideMark/>
          </w:tcPr>
          <w:p w14:paraId="38841858"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c>
          <w:tcPr>
            <w:tcW w:w="796" w:type="dxa"/>
            <w:tcBorders>
              <w:top w:val="nil"/>
              <w:left w:val="nil"/>
              <w:bottom w:val="single" w:sz="8" w:space="0" w:color="002060"/>
              <w:right w:val="nil"/>
            </w:tcBorders>
            <w:shd w:val="clear" w:color="auto" w:fill="auto"/>
            <w:noWrap/>
            <w:vAlign w:val="center"/>
            <w:hideMark/>
          </w:tcPr>
          <w:p w14:paraId="3EA6B36C"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c>
          <w:tcPr>
            <w:tcW w:w="541" w:type="dxa"/>
            <w:tcBorders>
              <w:top w:val="nil"/>
              <w:left w:val="nil"/>
              <w:bottom w:val="single" w:sz="8" w:space="0" w:color="002060"/>
              <w:right w:val="nil"/>
            </w:tcBorders>
            <w:shd w:val="clear" w:color="auto" w:fill="auto"/>
            <w:noWrap/>
            <w:vAlign w:val="center"/>
            <w:hideMark/>
          </w:tcPr>
          <w:p w14:paraId="1C3E0CB4"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c>
          <w:tcPr>
            <w:tcW w:w="541" w:type="dxa"/>
            <w:tcBorders>
              <w:top w:val="nil"/>
              <w:left w:val="nil"/>
              <w:bottom w:val="single" w:sz="8" w:space="0" w:color="002060"/>
              <w:right w:val="single" w:sz="8" w:space="0" w:color="002060"/>
            </w:tcBorders>
            <w:shd w:val="clear" w:color="auto" w:fill="auto"/>
            <w:noWrap/>
            <w:vAlign w:val="center"/>
            <w:hideMark/>
          </w:tcPr>
          <w:p w14:paraId="137A2066" w14:textId="77777777" w:rsidR="00AE564D" w:rsidRPr="00D94C50" w:rsidRDefault="00AE564D" w:rsidP="00E26D3C">
            <w:pPr>
              <w:spacing w:after="0" w:line="240" w:lineRule="auto"/>
              <w:jc w:val="center"/>
              <w:rPr>
                <w:rFonts w:eastAsia="Times New Roman" w:cstheme="minorHAnsi"/>
                <w:color w:val="FF0000"/>
                <w:sz w:val="18"/>
                <w:szCs w:val="18"/>
                <w:lang w:eastAsia="en-AU"/>
              </w:rPr>
            </w:pPr>
            <w:r w:rsidRPr="00D94C50">
              <w:rPr>
                <w:rFonts w:eastAsia="Times New Roman" w:cstheme="minorHAnsi"/>
                <w:color w:val="FF0000"/>
                <w:sz w:val="18"/>
                <w:szCs w:val="18"/>
                <w:lang w:eastAsia="en-AU"/>
              </w:rPr>
              <w:t> </w:t>
            </w:r>
          </w:p>
        </w:tc>
      </w:tr>
    </w:tbl>
    <w:p w14:paraId="6F314AD8" w14:textId="77777777" w:rsidR="00AE564D" w:rsidRPr="00BA2632" w:rsidRDefault="00AE564D" w:rsidP="00AE564D">
      <w:pPr>
        <w:pStyle w:val="Para0"/>
        <w:rPr>
          <w:rFonts w:cstheme="minorBidi"/>
          <w:szCs w:val="24"/>
          <w:lang w:val="en-GB" w:eastAsia="en-US"/>
        </w:rPr>
      </w:pPr>
    </w:p>
    <w:p w14:paraId="5111379B" w14:textId="77777777" w:rsidR="00AE564D" w:rsidRDefault="00AE564D" w:rsidP="00AE564D">
      <w:pPr>
        <w:pStyle w:val="Para0"/>
        <w:rPr>
          <w:rFonts w:cstheme="minorBidi"/>
          <w:szCs w:val="24"/>
          <w:lang w:val="en-GB" w:eastAsia="en-US"/>
        </w:rPr>
      </w:pPr>
    </w:p>
    <w:p w14:paraId="09F4A3F0" w14:textId="77777777" w:rsidR="00054BC7" w:rsidRPr="00BA2632" w:rsidRDefault="00054BC7" w:rsidP="00AE564D">
      <w:pPr>
        <w:pStyle w:val="Para0"/>
        <w:rPr>
          <w:rFonts w:cstheme="minorBidi"/>
          <w:szCs w:val="24"/>
          <w:lang w:val="en-GB" w:eastAsia="en-US"/>
        </w:rPr>
      </w:pPr>
    </w:p>
    <w:p w14:paraId="7E0ADF3C" w14:textId="1D461ECC" w:rsidR="00054EF9" w:rsidRDefault="00054EF9" w:rsidP="00054EF9">
      <w:pPr>
        <w:pStyle w:val="Caption"/>
        <w:keepNext/>
      </w:pPr>
      <w:bookmarkStart w:id="297" w:name="_Ref83785070"/>
      <w:bookmarkStart w:id="298" w:name="_Toc95391478"/>
      <w:r>
        <w:lastRenderedPageBreak/>
        <w:t xml:space="preserve">Table </w:t>
      </w:r>
      <w:r w:rsidR="009A7194">
        <w:rPr>
          <w:noProof/>
        </w:rPr>
        <w:t>5</w:t>
      </w:r>
      <w:r w:rsidR="000B75AF">
        <w:noBreakHyphen/>
      </w:r>
      <w:r w:rsidR="009A7194">
        <w:rPr>
          <w:noProof/>
        </w:rPr>
        <w:t>17</w:t>
      </w:r>
      <w:bookmarkEnd w:id="297"/>
      <w:r>
        <w:t xml:space="preserve"> </w:t>
      </w:r>
      <w:r w:rsidRPr="00633679">
        <w:t>Summary Statistics for Daily Organic Carbon Load (kg Org C/Day) consumed by ER, stratified by Season, Site and Flow Category. All data from 2014-2021.</w:t>
      </w:r>
      <w:bookmarkEnd w:id="298"/>
    </w:p>
    <w:tbl>
      <w:tblPr>
        <w:tblW w:w="14024" w:type="dxa"/>
        <w:jc w:val="center"/>
        <w:tblLook w:val="04A0" w:firstRow="1" w:lastRow="0" w:firstColumn="1" w:lastColumn="0" w:noHBand="0" w:noVBand="1"/>
      </w:tblPr>
      <w:tblGrid>
        <w:gridCol w:w="808"/>
        <w:gridCol w:w="1000"/>
        <w:gridCol w:w="1002"/>
        <w:gridCol w:w="533"/>
        <w:gridCol w:w="673"/>
        <w:gridCol w:w="771"/>
        <w:gridCol w:w="593"/>
        <w:gridCol w:w="673"/>
        <w:gridCol w:w="777"/>
        <w:gridCol w:w="673"/>
        <w:gridCol w:w="673"/>
        <w:gridCol w:w="875"/>
        <w:gridCol w:w="525"/>
        <w:gridCol w:w="641"/>
        <w:gridCol w:w="712"/>
        <w:gridCol w:w="581"/>
        <w:gridCol w:w="673"/>
        <w:gridCol w:w="791"/>
        <w:gridCol w:w="581"/>
        <w:gridCol w:w="655"/>
      </w:tblGrid>
      <w:tr w:rsidR="00AE564D" w:rsidRPr="00054EF9" w14:paraId="370336A1" w14:textId="77777777" w:rsidTr="00054EF9">
        <w:trPr>
          <w:trHeight w:val="255"/>
          <w:jc w:val="center"/>
        </w:trPr>
        <w:tc>
          <w:tcPr>
            <w:tcW w:w="764" w:type="dxa"/>
            <w:tcBorders>
              <w:top w:val="single" w:sz="8" w:space="0" w:color="002060"/>
              <w:left w:val="single" w:sz="8" w:space="0" w:color="002060"/>
              <w:bottom w:val="nil"/>
              <w:right w:val="single" w:sz="8" w:space="0" w:color="002060"/>
            </w:tcBorders>
            <w:shd w:val="clear" w:color="000000" w:fill="002060"/>
            <w:noWrap/>
            <w:vAlign w:val="center"/>
            <w:hideMark/>
          </w:tcPr>
          <w:p w14:paraId="363102E5"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Season</w:t>
            </w:r>
          </w:p>
        </w:tc>
        <w:tc>
          <w:tcPr>
            <w:tcW w:w="995" w:type="dxa"/>
            <w:tcBorders>
              <w:top w:val="single" w:sz="8" w:space="0" w:color="002060"/>
              <w:left w:val="nil"/>
              <w:bottom w:val="single" w:sz="8" w:space="0" w:color="002060"/>
              <w:right w:val="single" w:sz="8" w:space="0" w:color="002060"/>
            </w:tcBorders>
            <w:shd w:val="clear" w:color="000000" w:fill="002060"/>
            <w:noWrap/>
            <w:vAlign w:val="center"/>
            <w:hideMark/>
          </w:tcPr>
          <w:p w14:paraId="1148CA36"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Site</w:t>
            </w:r>
          </w:p>
        </w:tc>
        <w:tc>
          <w:tcPr>
            <w:tcW w:w="1002" w:type="dxa"/>
            <w:tcBorders>
              <w:top w:val="single" w:sz="8" w:space="0" w:color="002060"/>
              <w:left w:val="nil"/>
              <w:bottom w:val="single" w:sz="8" w:space="0" w:color="002060"/>
              <w:right w:val="nil"/>
            </w:tcBorders>
            <w:shd w:val="clear" w:color="000000" w:fill="002060"/>
            <w:noWrap/>
            <w:vAlign w:val="center"/>
            <w:hideMark/>
          </w:tcPr>
          <w:p w14:paraId="308223E1"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Flow Cat</w:t>
            </w:r>
          </w:p>
        </w:tc>
        <w:tc>
          <w:tcPr>
            <w:tcW w:w="533" w:type="dxa"/>
            <w:tcBorders>
              <w:top w:val="single" w:sz="8" w:space="0" w:color="002060"/>
              <w:left w:val="nil"/>
              <w:bottom w:val="single" w:sz="8" w:space="0" w:color="002060"/>
              <w:right w:val="nil"/>
            </w:tcBorders>
            <w:shd w:val="clear" w:color="000000" w:fill="002060"/>
            <w:noWrap/>
            <w:vAlign w:val="center"/>
            <w:hideMark/>
          </w:tcPr>
          <w:p w14:paraId="0BA7334D"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n</w:t>
            </w:r>
          </w:p>
        </w:tc>
        <w:tc>
          <w:tcPr>
            <w:tcW w:w="657" w:type="dxa"/>
            <w:tcBorders>
              <w:top w:val="single" w:sz="8" w:space="0" w:color="002060"/>
              <w:left w:val="nil"/>
              <w:bottom w:val="single" w:sz="8" w:space="0" w:color="002060"/>
              <w:right w:val="nil"/>
            </w:tcBorders>
            <w:shd w:val="clear" w:color="000000" w:fill="002060"/>
            <w:noWrap/>
            <w:vAlign w:val="center"/>
            <w:hideMark/>
          </w:tcPr>
          <w:p w14:paraId="2867CC2B"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Mean</w:t>
            </w:r>
          </w:p>
        </w:tc>
        <w:tc>
          <w:tcPr>
            <w:tcW w:w="771" w:type="dxa"/>
            <w:tcBorders>
              <w:top w:val="single" w:sz="8" w:space="0" w:color="002060"/>
              <w:left w:val="nil"/>
              <w:bottom w:val="single" w:sz="8" w:space="0" w:color="002060"/>
              <w:right w:val="nil"/>
            </w:tcBorders>
            <w:shd w:val="clear" w:color="000000" w:fill="002060"/>
            <w:noWrap/>
            <w:vAlign w:val="center"/>
            <w:hideMark/>
          </w:tcPr>
          <w:p w14:paraId="31105421"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Std Dev</w:t>
            </w:r>
          </w:p>
        </w:tc>
        <w:tc>
          <w:tcPr>
            <w:tcW w:w="593" w:type="dxa"/>
            <w:tcBorders>
              <w:top w:val="single" w:sz="8" w:space="0" w:color="002060"/>
              <w:left w:val="nil"/>
              <w:bottom w:val="single" w:sz="8" w:space="0" w:color="002060"/>
              <w:right w:val="nil"/>
            </w:tcBorders>
            <w:shd w:val="clear" w:color="000000" w:fill="002060"/>
            <w:noWrap/>
            <w:vAlign w:val="center"/>
            <w:hideMark/>
          </w:tcPr>
          <w:p w14:paraId="5A784CE7"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Min</w:t>
            </w:r>
          </w:p>
        </w:tc>
        <w:tc>
          <w:tcPr>
            <w:tcW w:w="657" w:type="dxa"/>
            <w:tcBorders>
              <w:top w:val="single" w:sz="8" w:space="0" w:color="002060"/>
              <w:left w:val="nil"/>
              <w:bottom w:val="single" w:sz="8" w:space="0" w:color="002060"/>
              <w:right w:val="nil"/>
            </w:tcBorders>
            <w:shd w:val="clear" w:color="000000" w:fill="002060"/>
            <w:noWrap/>
            <w:vAlign w:val="center"/>
            <w:hideMark/>
          </w:tcPr>
          <w:p w14:paraId="542B2EBB"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Max</w:t>
            </w:r>
          </w:p>
        </w:tc>
        <w:tc>
          <w:tcPr>
            <w:tcW w:w="771" w:type="dxa"/>
            <w:tcBorders>
              <w:top w:val="single" w:sz="8" w:space="0" w:color="002060"/>
              <w:left w:val="nil"/>
              <w:bottom w:val="single" w:sz="8" w:space="0" w:color="002060"/>
              <w:right w:val="nil"/>
            </w:tcBorders>
            <w:shd w:val="clear" w:color="000000" w:fill="002060"/>
            <w:noWrap/>
            <w:vAlign w:val="center"/>
            <w:hideMark/>
          </w:tcPr>
          <w:p w14:paraId="17AC9C98"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Median</w:t>
            </w:r>
          </w:p>
        </w:tc>
        <w:tc>
          <w:tcPr>
            <w:tcW w:w="657" w:type="dxa"/>
            <w:tcBorders>
              <w:top w:val="single" w:sz="8" w:space="0" w:color="002060"/>
              <w:left w:val="nil"/>
              <w:bottom w:val="single" w:sz="8" w:space="0" w:color="002060"/>
              <w:right w:val="single" w:sz="8" w:space="0" w:color="002060"/>
            </w:tcBorders>
            <w:shd w:val="clear" w:color="000000" w:fill="002060"/>
            <w:noWrap/>
            <w:vAlign w:val="center"/>
            <w:hideMark/>
          </w:tcPr>
          <w:p w14:paraId="540032D5"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25%</w:t>
            </w:r>
          </w:p>
        </w:tc>
        <w:tc>
          <w:tcPr>
            <w:tcW w:w="657" w:type="dxa"/>
            <w:tcBorders>
              <w:top w:val="single" w:sz="8" w:space="0" w:color="002060"/>
              <w:left w:val="nil"/>
              <w:bottom w:val="single" w:sz="8" w:space="0" w:color="002060"/>
              <w:right w:val="single" w:sz="8" w:space="0" w:color="002060"/>
            </w:tcBorders>
            <w:shd w:val="clear" w:color="000000" w:fill="002060"/>
            <w:noWrap/>
            <w:vAlign w:val="center"/>
            <w:hideMark/>
          </w:tcPr>
          <w:p w14:paraId="26AAF763"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75%</w:t>
            </w:r>
          </w:p>
        </w:tc>
        <w:tc>
          <w:tcPr>
            <w:tcW w:w="875" w:type="dxa"/>
            <w:tcBorders>
              <w:top w:val="single" w:sz="8" w:space="0" w:color="002060"/>
              <w:left w:val="nil"/>
              <w:bottom w:val="nil"/>
              <w:right w:val="single" w:sz="8" w:space="0" w:color="002060"/>
            </w:tcBorders>
            <w:shd w:val="clear" w:color="000000" w:fill="002060"/>
            <w:noWrap/>
            <w:vAlign w:val="center"/>
            <w:hideMark/>
          </w:tcPr>
          <w:p w14:paraId="07E15AEC"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Season</w:t>
            </w:r>
          </w:p>
        </w:tc>
        <w:tc>
          <w:tcPr>
            <w:tcW w:w="525" w:type="dxa"/>
            <w:tcBorders>
              <w:top w:val="single" w:sz="8" w:space="0" w:color="002060"/>
              <w:left w:val="nil"/>
              <w:bottom w:val="single" w:sz="8" w:space="0" w:color="002060"/>
              <w:right w:val="nil"/>
            </w:tcBorders>
            <w:shd w:val="clear" w:color="000000" w:fill="002060"/>
            <w:noWrap/>
            <w:vAlign w:val="center"/>
            <w:hideMark/>
          </w:tcPr>
          <w:p w14:paraId="6B69CDEC"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n</w:t>
            </w:r>
          </w:p>
        </w:tc>
        <w:tc>
          <w:tcPr>
            <w:tcW w:w="614" w:type="dxa"/>
            <w:tcBorders>
              <w:top w:val="single" w:sz="8" w:space="0" w:color="002060"/>
              <w:left w:val="nil"/>
              <w:bottom w:val="single" w:sz="8" w:space="0" w:color="002060"/>
              <w:right w:val="nil"/>
            </w:tcBorders>
            <w:shd w:val="clear" w:color="000000" w:fill="002060"/>
            <w:noWrap/>
            <w:vAlign w:val="center"/>
            <w:hideMark/>
          </w:tcPr>
          <w:p w14:paraId="550DCDCB"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Mean</w:t>
            </w:r>
          </w:p>
        </w:tc>
        <w:tc>
          <w:tcPr>
            <w:tcW w:w="712" w:type="dxa"/>
            <w:tcBorders>
              <w:top w:val="single" w:sz="8" w:space="0" w:color="002060"/>
              <w:left w:val="nil"/>
              <w:bottom w:val="single" w:sz="8" w:space="0" w:color="002060"/>
              <w:right w:val="nil"/>
            </w:tcBorders>
            <w:shd w:val="clear" w:color="000000" w:fill="002060"/>
            <w:noWrap/>
            <w:vAlign w:val="center"/>
            <w:hideMark/>
          </w:tcPr>
          <w:p w14:paraId="0D9CD6B7"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Std Dev</w:t>
            </w:r>
          </w:p>
        </w:tc>
        <w:tc>
          <w:tcPr>
            <w:tcW w:w="569" w:type="dxa"/>
            <w:tcBorders>
              <w:top w:val="single" w:sz="8" w:space="0" w:color="002060"/>
              <w:left w:val="nil"/>
              <w:bottom w:val="single" w:sz="8" w:space="0" w:color="002060"/>
              <w:right w:val="nil"/>
            </w:tcBorders>
            <w:shd w:val="clear" w:color="000000" w:fill="002060"/>
            <w:noWrap/>
            <w:vAlign w:val="center"/>
            <w:hideMark/>
          </w:tcPr>
          <w:p w14:paraId="54E5E885"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Min</w:t>
            </w:r>
          </w:p>
        </w:tc>
        <w:tc>
          <w:tcPr>
            <w:tcW w:w="657" w:type="dxa"/>
            <w:tcBorders>
              <w:top w:val="single" w:sz="8" w:space="0" w:color="002060"/>
              <w:left w:val="nil"/>
              <w:bottom w:val="single" w:sz="8" w:space="0" w:color="002060"/>
              <w:right w:val="nil"/>
            </w:tcBorders>
            <w:shd w:val="clear" w:color="000000" w:fill="002060"/>
            <w:noWrap/>
            <w:vAlign w:val="center"/>
            <w:hideMark/>
          </w:tcPr>
          <w:p w14:paraId="13161F72"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Max</w:t>
            </w:r>
          </w:p>
        </w:tc>
        <w:tc>
          <w:tcPr>
            <w:tcW w:w="791" w:type="dxa"/>
            <w:tcBorders>
              <w:top w:val="single" w:sz="8" w:space="0" w:color="002060"/>
              <w:left w:val="nil"/>
              <w:bottom w:val="single" w:sz="8" w:space="0" w:color="002060"/>
              <w:right w:val="nil"/>
            </w:tcBorders>
            <w:shd w:val="clear" w:color="000000" w:fill="002060"/>
            <w:noWrap/>
            <w:vAlign w:val="center"/>
            <w:hideMark/>
          </w:tcPr>
          <w:p w14:paraId="52C105D2" w14:textId="26996F1B"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 xml:space="preserve">Median </w:t>
            </w:r>
          </w:p>
        </w:tc>
        <w:tc>
          <w:tcPr>
            <w:tcW w:w="569" w:type="dxa"/>
            <w:tcBorders>
              <w:top w:val="single" w:sz="8" w:space="0" w:color="002060"/>
              <w:left w:val="nil"/>
              <w:bottom w:val="single" w:sz="8" w:space="0" w:color="002060"/>
              <w:right w:val="single" w:sz="8" w:space="0" w:color="002060"/>
            </w:tcBorders>
            <w:shd w:val="clear" w:color="000000" w:fill="002060"/>
            <w:noWrap/>
            <w:vAlign w:val="center"/>
            <w:hideMark/>
          </w:tcPr>
          <w:p w14:paraId="520925F9"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25%</w:t>
            </w:r>
          </w:p>
        </w:tc>
        <w:tc>
          <w:tcPr>
            <w:tcW w:w="655" w:type="dxa"/>
            <w:tcBorders>
              <w:top w:val="single" w:sz="8" w:space="0" w:color="002060"/>
              <w:left w:val="nil"/>
              <w:bottom w:val="single" w:sz="8" w:space="0" w:color="002060"/>
              <w:right w:val="single" w:sz="8" w:space="0" w:color="002060"/>
            </w:tcBorders>
            <w:shd w:val="clear" w:color="000000" w:fill="002060"/>
            <w:noWrap/>
            <w:vAlign w:val="center"/>
            <w:hideMark/>
          </w:tcPr>
          <w:p w14:paraId="4402B5BF"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75%</w:t>
            </w:r>
          </w:p>
        </w:tc>
      </w:tr>
      <w:tr w:rsidR="00AE564D" w:rsidRPr="00054EF9" w14:paraId="703A4C76" w14:textId="77777777" w:rsidTr="00054EF9">
        <w:trPr>
          <w:trHeight w:val="255"/>
          <w:jc w:val="center"/>
        </w:trPr>
        <w:tc>
          <w:tcPr>
            <w:tcW w:w="764" w:type="dxa"/>
            <w:vMerge w:val="restart"/>
            <w:tcBorders>
              <w:top w:val="single" w:sz="8" w:space="0" w:color="002060"/>
              <w:left w:val="single" w:sz="8" w:space="0" w:color="002060"/>
              <w:bottom w:val="nil"/>
              <w:right w:val="single" w:sz="8" w:space="0" w:color="002060"/>
            </w:tcBorders>
            <w:shd w:val="clear" w:color="000000" w:fill="002060"/>
            <w:noWrap/>
            <w:vAlign w:val="center"/>
            <w:hideMark/>
          </w:tcPr>
          <w:p w14:paraId="11539AF4"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Spring</w:t>
            </w:r>
          </w:p>
        </w:tc>
        <w:tc>
          <w:tcPr>
            <w:tcW w:w="995"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4F6C3BA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Arcadia Downs / Darcy's Track</w:t>
            </w:r>
          </w:p>
        </w:tc>
        <w:tc>
          <w:tcPr>
            <w:tcW w:w="1002" w:type="dxa"/>
            <w:tcBorders>
              <w:top w:val="nil"/>
              <w:left w:val="nil"/>
              <w:bottom w:val="nil"/>
              <w:right w:val="nil"/>
            </w:tcBorders>
            <w:shd w:val="clear" w:color="auto" w:fill="auto"/>
            <w:noWrap/>
            <w:vAlign w:val="center"/>
            <w:hideMark/>
          </w:tcPr>
          <w:p w14:paraId="0639A50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Very Low</w:t>
            </w:r>
          </w:p>
        </w:tc>
        <w:tc>
          <w:tcPr>
            <w:tcW w:w="533" w:type="dxa"/>
            <w:tcBorders>
              <w:top w:val="nil"/>
              <w:left w:val="nil"/>
              <w:bottom w:val="nil"/>
              <w:right w:val="nil"/>
            </w:tcBorders>
            <w:shd w:val="clear" w:color="auto" w:fill="auto"/>
            <w:noWrap/>
            <w:vAlign w:val="center"/>
            <w:hideMark/>
          </w:tcPr>
          <w:p w14:paraId="6C7BCC5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37</w:t>
            </w:r>
          </w:p>
        </w:tc>
        <w:tc>
          <w:tcPr>
            <w:tcW w:w="657" w:type="dxa"/>
            <w:tcBorders>
              <w:top w:val="nil"/>
              <w:left w:val="nil"/>
              <w:bottom w:val="nil"/>
              <w:right w:val="nil"/>
            </w:tcBorders>
            <w:shd w:val="clear" w:color="auto" w:fill="auto"/>
            <w:noWrap/>
            <w:vAlign w:val="center"/>
            <w:hideMark/>
          </w:tcPr>
          <w:p w14:paraId="645AE93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1190</w:t>
            </w:r>
          </w:p>
        </w:tc>
        <w:tc>
          <w:tcPr>
            <w:tcW w:w="771" w:type="dxa"/>
            <w:tcBorders>
              <w:top w:val="nil"/>
              <w:left w:val="nil"/>
              <w:bottom w:val="nil"/>
              <w:right w:val="nil"/>
            </w:tcBorders>
            <w:shd w:val="clear" w:color="auto" w:fill="auto"/>
            <w:noWrap/>
            <w:vAlign w:val="center"/>
            <w:hideMark/>
          </w:tcPr>
          <w:p w14:paraId="0EB0D0A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894</w:t>
            </w:r>
          </w:p>
        </w:tc>
        <w:tc>
          <w:tcPr>
            <w:tcW w:w="593" w:type="dxa"/>
            <w:tcBorders>
              <w:top w:val="nil"/>
              <w:left w:val="nil"/>
              <w:bottom w:val="nil"/>
              <w:right w:val="nil"/>
            </w:tcBorders>
            <w:shd w:val="clear" w:color="auto" w:fill="auto"/>
            <w:noWrap/>
            <w:vAlign w:val="center"/>
            <w:hideMark/>
          </w:tcPr>
          <w:p w14:paraId="30412D9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373</w:t>
            </w:r>
          </w:p>
        </w:tc>
        <w:tc>
          <w:tcPr>
            <w:tcW w:w="657" w:type="dxa"/>
            <w:tcBorders>
              <w:top w:val="nil"/>
              <w:left w:val="nil"/>
              <w:bottom w:val="nil"/>
              <w:right w:val="nil"/>
            </w:tcBorders>
            <w:shd w:val="clear" w:color="auto" w:fill="auto"/>
            <w:noWrap/>
            <w:vAlign w:val="center"/>
            <w:hideMark/>
          </w:tcPr>
          <w:p w14:paraId="4F7F106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3009</w:t>
            </w:r>
          </w:p>
        </w:tc>
        <w:tc>
          <w:tcPr>
            <w:tcW w:w="771" w:type="dxa"/>
            <w:tcBorders>
              <w:top w:val="nil"/>
              <w:left w:val="nil"/>
              <w:bottom w:val="nil"/>
              <w:right w:val="nil"/>
            </w:tcBorders>
            <w:shd w:val="clear" w:color="auto" w:fill="auto"/>
            <w:noWrap/>
            <w:vAlign w:val="center"/>
            <w:hideMark/>
          </w:tcPr>
          <w:p w14:paraId="58A47C9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740</w:t>
            </w:r>
          </w:p>
        </w:tc>
        <w:tc>
          <w:tcPr>
            <w:tcW w:w="657" w:type="dxa"/>
            <w:tcBorders>
              <w:top w:val="nil"/>
              <w:left w:val="nil"/>
              <w:bottom w:val="nil"/>
              <w:right w:val="nil"/>
            </w:tcBorders>
            <w:shd w:val="clear" w:color="auto" w:fill="auto"/>
            <w:noWrap/>
            <w:vAlign w:val="center"/>
            <w:hideMark/>
          </w:tcPr>
          <w:p w14:paraId="394C391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548</w:t>
            </w:r>
          </w:p>
        </w:tc>
        <w:tc>
          <w:tcPr>
            <w:tcW w:w="657" w:type="dxa"/>
            <w:tcBorders>
              <w:top w:val="nil"/>
              <w:left w:val="nil"/>
              <w:bottom w:val="nil"/>
              <w:right w:val="single" w:sz="8" w:space="0" w:color="002060"/>
            </w:tcBorders>
            <w:shd w:val="clear" w:color="auto" w:fill="auto"/>
            <w:noWrap/>
            <w:vAlign w:val="center"/>
            <w:hideMark/>
          </w:tcPr>
          <w:p w14:paraId="3C36325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1876</w:t>
            </w:r>
          </w:p>
        </w:tc>
        <w:tc>
          <w:tcPr>
            <w:tcW w:w="875" w:type="dxa"/>
            <w:vMerge w:val="restart"/>
            <w:tcBorders>
              <w:top w:val="single" w:sz="8" w:space="0" w:color="002060"/>
              <w:left w:val="single" w:sz="8" w:space="0" w:color="002060"/>
              <w:bottom w:val="nil"/>
              <w:right w:val="single" w:sz="8" w:space="0" w:color="002060"/>
            </w:tcBorders>
            <w:shd w:val="clear" w:color="000000" w:fill="002060"/>
            <w:noWrap/>
            <w:vAlign w:val="center"/>
            <w:hideMark/>
          </w:tcPr>
          <w:p w14:paraId="063531E9"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Summer</w:t>
            </w:r>
          </w:p>
        </w:tc>
        <w:tc>
          <w:tcPr>
            <w:tcW w:w="525" w:type="dxa"/>
            <w:tcBorders>
              <w:top w:val="nil"/>
              <w:left w:val="nil"/>
              <w:bottom w:val="nil"/>
              <w:right w:val="nil"/>
            </w:tcBorders>
            <w:shd w:val="clear" w:color="auto" w:fill="auto"/>
            <w:noWrap/>
            <w:vAlign w:val="center"/>
            <w:hideMark/>
          </w:tcPr>
          <w:p w14:paraId="41C85B0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38</w:t>
            </w:r>
          </w:p>
        </w:tc>
        <w:tc>
          <w:tcPr>
            <w:tcW w:w="614" w:type="dxa"/>
            <w:tcBorders>
              <w:top w:val="nil"/>
              <w:left w:val="nil"/>
              <w:bottom w:val="nil"/>
              <w:right w:val="nil"/>
            </w:tcBorders>
            <w:shd w:val="clear" w:color="auto" w:fill="auto"/>
            <w:noWrap/>
            <w:vAlign w:val="center"/>
            <w:hideMark/>
          </w:tcPr>
          <w:p w14:paraId="3E5851B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1889</w:t>
            </w:r>
          </w:p>
        </w:tc>
        <w:tc>
          <w:tcPr>
            <w:tcW w:w="712" w:type="dxa"/>
            <w:tcBorders>
              <w:top w:val="nil"/>
              <w:left w:val="nil"/>
              <w:bottom w:val="nil"/>
              <w:right w:val="nil"/>
            </w:tcBorders>
            <w:shd w:val="clear" w:color="auto" w:fill="auto"/>
            <w:noWrap/>
            <w:vAlign w:val="center"/>
            <w:hideMark/>
          </w:tcPr>
          <w:p w14:paraId="5D449CB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1412</w:t>
            </w:r>
          </w:p>
        </w:tc>
        <w:tc>
          <w:tcPr>
            <w:tcW w:w="569" w:type="dxa"/>
            <w:tcBorders>
              <w:top w:val="nil"/>
              <w:left w:val="nil"/>
              <w:bottom w:val="nil"/>
              <w:right w:val="nil"/>
            </w:tcBorders>
            <w:shd w:val="clear" w:color="auto" w:fill="auto"/>
            <w:noWrap/>
            <w:vAlign w:val="center"/>
            <w:hideMark/>
          </w:tcPr>
          <w:p w14:paraId="2C3D2F9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519</w:t>
            </w:r>
          </w:p>
        </w:tc>
        <w:tc>
          <w:tcPr>
            <w:tcW w:w="657" w:type="dxa"/>
            <w:tcBorders>
              <w:top w:val="nil"/>
              <w:left w:val="nil"/>
              <w:bottom w:val="nil"/>
              <w:right w:val="nil"/>
            </w:tcBorders>
            <w:shd w:val="clear" w:color="auto" w:fill="auto"/>
            <w:noWrap/>
            <w:vAlign w:val="center"/>
            <w:hideMark/>
          </w:tcPr>
          <w:p w14:paraId="42585BA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6009</w:t>
            </w:r>
          </w:p>
        </w:tc>
        <w:tc>
          <w:tcPr>
            <w:tcW w:w="791" w:type="dxa"/>
            <w:tcBorders>
              <w:top w:val="nil"/>
              <w:left w:val="nil"/>
              <w:bottom w:val="nil"/>
              <w:right w:val="nil"/>
            </w:tcBorders>
            <w:shd w:val="clear" w:color="auto" w:fill="auto"/>
            <w:noWrap/>
            <w:vAlign w:val="center"/>
            <w:hideMark/>
          </w:tcPr>
          <w:p w14:paraId="52C1B3D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1597</w:t>
            </w:r>
          </w:p>
        </w:tc>
        <w:tc>
          <w:tcPr>
            <w:tcW w:w="569" w:type="dxa"/>
            <w:tcBorders>
              <w:top w:val="nil"/>
              <w:left w:val="nil"/>
              <w:bottom w:val="nil"/>
              <w:right w:val="nil"/>
            </w:tcBorders>
            <w:shd w:val="clear" w:color="auto" w:fill="auto"/>
            <w:noWrap/>
            <w:vAlign w:val="center"/>
            <w:hideMark/>
          </w:tcPr>
          <w:p w14:paraId="6C1C4D1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759</w:t>
            </w:r>
          </w:p>
        </w:tc>
        <w:tc>
          <w:tcPr>
            <w:tcW w:w="655" w:type="dxa"/>
            <w:tcBorders>
              <w:top w:val="nil"/>
              <w:left w:val="nil"/>
              <w:bottom w:val="nil"/>
              <w:right w:val="single" w:sz="8" w:space="0" w:color="002060"/>
            </w:tcBorders>
            <w:shd w:val="clear" w:color="auto" w:fill="auto"/>
            <w:noWrap/>
            <w:vAlign w:val="center"/>
            <w:hideMark/>
          </w:tcPr>
          <w:p w14:paraId="14C54D7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2301</w:t>
            </w:r>
          </w:p>
        </w:tc>
      </w:tr>
      <w:tr w:rsidR="00AE564D" w:rsidRPr="00054EF9" w14:paraId="7EE17F81" w14:textId="77777777" w:rsidTr="00054EF9">
        <w:trPr>
          <w:trHeight w:val="255"/>
          <w:jc w:val="center"/>
        </w:trPr>
        <w:tc>
          <w:tcPr>
            <w:tcW w:w="764" w:type="dxa"/>
            <w:vMerge/>
            <w:tcBorders>
              <w:top w:val="single" w:sz="8" w:space="0" w:color="002060"/>
              <w:left w:val="single" w:sz="8" w:space="0" w:color="002060"/>
              <w:bottom w:val="nil"/>
              <w:right w:val="single" w:sz="8" w:space="0" w:color="002060"/>
            </w:tcBorders>
            <w:vAlign w:val="center"/>
            <w:hideMark/>
          </w:tcPr>
          <w:p w14:paraId="07943079"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5B14511F"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3578F0D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Mod Low</w:t>
            </w:r>
          </w:p>
        </w:tc>
        <w:tc>
          <w:tcPr>
            <w:tcW w:w="533" w:type="dxa"/>
            <w:tcBorders>
              <w:top w:val="nil"/>
              <w:left w:val="nil"/>
              <w:bottom w:val="nil"/>
              <w:right w:val="nil"/>
            </w:tcBorders>
            <w:shd w:val="clear" w:color="auto" w:fill="auto"/>
            <w:noWrap/>
            <w:vAlign w:val="center"/>
            <w:hideMark/>
          </w:tcPr>
          <w:p w14:paraId="7BBB8AF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79</w:t>
            </w:r>
          </w:p>
        </w:tc>
        <w:tc>
          <w:tcPr>
            <w:tcW w:w="657" w:type="dxa"/>
            <w:tcBorders>
              <w:top w:val="nil"/>
              <w:left w:val="nil"/>
              <w:bottom w:val="nil"/>
              <w:right w:val="nil"/>
            </w:tcBorders>
            <w:shd w:val="clear" w:color="auto" w:fill="auto"/>
            <w:noWrap/>
            <w:vAlign w:val="center"/>
            <w:hideMark/>
          </w:tcPr>
          <w:p w14:paraId="64CF2E6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1420</w:t>
            </w:r>
          </w:p>
        </w:tc>
        <w:tc>
          <w:tcPr>
            <w:tcW w:w="771" w:type="dxa"/>
            <w:tcBorders>
              <w:top w:val="nil"/>
              <w:left w:val="nil"/>
              <w:bottom w:val="nil"/>
              <w:right w:val="nil"/>
            </w:tcBorders>
            <w:shd w:val="clear" w:color="auto" w:fill="auto"/>
            <w:noWrap/>
            <w:vAlign w:val="center"/>
            <w:hideMark/>
          </w:tcPr>
          <w:p w14:paraId="7B33E4E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1128</w:t>
            </w:r>
          </w:p>
        </w:tc>
        <w:tc>
          <w:tcPr>
            <w:tcW w:w="593" w:type="dxa"/>
            <w:tcBorders>
              <w:top w:val="nil"/>
              <w:left w:val="nil"/>
              <w:bottom w:val="nil"/>
              <w:right w:val="nil"/>
            </w:tcBorders>
            <w:shd w:val="clear" w:color="auto" w:fill="auto"/>
            <w:noWrap/>
            <w:vAlign w:val="center"/>
            <w:hideMark/>
          </w:tcPr>
          <w:p w14:paraId="10E0862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201</w:t>
            </w:r>
          </w:p>
        </w:tc>
        <w:tc>
          <w:tcPr>
            <w:tcW w:w="657" w:type="dxa"/>
            <w:tcBorders>
              <w:top w:val="nil"/>
              <w:left w:val="nil"/>
              <w:bottom w:val="nil"/>
              <w:right w:val="nil"/>
            </w:tcBorders>
            <w:shd w:val="clear" w:color="auto" w:fill="auto"/>
            <w:noWrap/>
            <w:vAlign w:val="center"/>
            <w:hideMark/>
          </w:tcPr>
          <w:p w14:paraId="1088185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4772</w:t>
            </w:r>
          </w:p>
        </w:tc>
        <w:tc>
          <w:tcPr>
            <w:tcW w:w="771" w:type="dxa"/>
            <w:tcBorders>
              <w:top w:val="nil"/>
              <w:left w:val="nil"/>
              <w:bottom w:val="nil"/>
              <w:right w:val="nil"/>
            </w:tcBorders>
            <w:shd w:val="clear" w:color="auto" w:fill="auto"/>
            <w:noWrap/>
            <w:vAlign w:val="center"/>
            <w:hideMark/>
          </w:tcPr>
          <w:p w14:paraId="501A404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1094</w:t>
            </w:r>
          </w:p>
        </w:tc>
        <w:tc>
          <w:tcPr>
            <w:tcW w:w="657" w:type="dxa"/>
            <w:tcBorders>
              <w:top w:val="nil"/>
              <w:left w:val="nil"/>
              <w:bottom w:val="nil"/>
              <w:right w:val="nil"/>
            </w:tcBorders>
            <w:shd w:val="clear" w:color="auto" w:fill="auto"/>
            <w:noWrap/>
            <w:vAlign w:val="center"/>
            <w:hideMark/>
          </w:tcPr>
          <w:p w14:paraId="1A1FF37A"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741</w:t>
            </w:r>
          </w:p>
        </w:tc>
        <w:tc>
          <w:tcPr>
            <w:tcW w:w="657" w:type="dxa"/>
            <w:tcBorders>
              <w:top w:val="nil"/>
              <w:left w:val="nil"/>
              <w:bottom w:val="nil"/>
              <w:right w:val="single" w:sz="8" w:space="0" w:color="002060"/>
            </w:tcBorders>
            <w:shd w:val="clear" w:color="auto" w:fill="auto"/>
            <w:noWrap/>
            <w:vAlign w:val="center"/>
            <w:hideMark/>
          </w:tcPr>
          <w:p w14:paraId="56CC5E7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1702</w:t>
            </w:r>
          </w:p>
        </w:tc>
        <w:tc>
          <w:tcPr>
            <w:tcW w:w="875" w:type="dxa"/>
            <w:vMerge/>
            <w:tcBorders>
              <w:top w:val="single" w:sz="8" w:space="0" w:color="002060"/>
              <w:left w:val="single" w:sz="8" w:space="0" w:color="002060"/>
              <w:bottom w:val="nil"/>
              <w:right w:val="single" w:sz="8" w:space="0" w:color="002060"/>
            </w:tcBorders>
            <w:vAlign w:val="center"/>
            <w:hideMark/>
          </w:tcPr>
          <w:p w14:paraId="79500E0F"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0F383CB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152</w:t>
            </w:r>
          </w:p>
        </w:tc>
        <w:tc>
          <w:tcPr>
            <w:tcW w:w="614" w:type="dxa"/>
            <w:tcBorders>
              <w:top w:val="nil"/>
              <w:left w:val="nil"/>
              <w:bottom w:val="nil"/>
              <w:right w:val="nil"/>
            </w:tcBorders>
            <w:shd w:val="clear" w:color="auto" w:fill="auto"/>
            <w:noWrap/>
            <w:vAlign w:val="center"/>
            <w:hideMark/>
          </w:tcPr>
          <w:p w14:paraId="7B7D848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1948</w:t>
            </w:r>
          </w:p>
        </w:tc>
        <w:tc>
          <w:tcPr>
            <w:tcW w:w="712" w:type="dxa"/>
            <w:tcBorders>
              <w:top w:val="nil"/>
              <w:left w:val="nil"/>
              <w:bottom w:val="nil"/>
              <w:right w:val="nil"/>
            </w:tcBorders>
            <w:shd w:val="clear" w:color="auto" w:fill="auto"/>
            <w:noWrap/>
            <w:vAlign w:val="center"/>
            <w:hideMark/>
          </w:tcPr>
          <w:p w14:paraId="19531A2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1659</w:t>
            </w:r>
          </w:p>
        </w:tc>
        <w:tc>
          <w:tcPr>
            <w:tcW w:w="569" w:type="dxa"/>
            <w:tcBorders>
              <w:top w:val="nil"/>
              <w:left w:val="nil"/>
              <w:bottom w:val="nil"/>
              <w:right w:val="nil"/>
            </w:tcBorders>
            <w:shd w:val="clear" w:color="auto" w:fill="auto"/>
            <w:noWrap/>
            <w:vAlign w:val="center"/>
            <w:hideMark/>
          </w:tcPr>
          <w:p w14:paraId="241EE04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355</w:t>
            </w:r>
          </w:p>
        </w:tc>
        <w:tc>
          <w:tcPr>
            <w:tcW w:w="657" w:type="dxa"/>
            <w:tcBorders>
              <w:top w:val="nil"/>
              <w:left w:val="nil"/>
              <w:bottom w:val="nil"/>
              <w:right w:val="nil"/>
            </w:tcBorders>
            <w:shd w:val="clear" w:color="auto" w:fill="auto"/>
            <w:noWrap/>
            <w:vAlign w:val="center"/>
            <w:hideMark/>
          </w:tcPr>
          <w:p w14:paraId="4F8EA74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16751</w:t>
            </w:r>
          </w:p>
        </w:tc>
        <w:tc>
          <w:tcPr>
            <w:tcW w:w="791" w:type="dxa"/>
            <w:tcBorders>
              <w:top w:val="nil"/>
              <w:left w:val="nil"/>
              <w:bottom w:val="nil"/>
              <w:right w:val="nil"/>
            </w:tcBorders>
            <w:shd w:val="clear" w:color="auto" w:fill="auto"/>
            <w:noWrap/>
            <w:vAlign w:val="center"/>
            <w:hideMark/>
          </w:tcPr>
          <w:p w14:paraId="2EB55F4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1670</w:t>
            </w:r>
          </w:p>
        </w:tc>
        <w:tc>
          <w:tcPr>
            <w:tcW w:w="569" w:type="dxa"/>
            <w:tcBorders>
              <w:top w:val="nil"/>
              <w:left w:val="nil"/>
              <w:bottom w:val="nil"/>
              <w:right w:val="nil"/>
            </w:tcBorders>
            <w:shd w:val="clear" w:color="auto" w:fill="auto"/>
            <w:noWrap/>
            <w:vAlign w:val="center"/>
            <w:hideMark/>
          </w:tcPr>
          <w:p w14:paraId="7F15485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1116</w:t>
            </w:r>
          </w:p>
        </w:tc>
        <w:tc>
          <w:tcPr>
            <w:tcW w:w="655" w:type="dxa"/>
            <w:tcBorders>
              <w:top w:val="nil"/>
              <w:left w:val="nil"/>
              <w:bottom w:val="nil"/>
              <w:right w:val="single" w:sz="8" w:space="0" w:color="002060"/>
            </w:tcBorders>
            <w:shd w:val="clear" w:color="auto" w:fill="auto"/>
            <w:noWrap/>
            <w:vAlign w:val="center"/>
            <w:hideMark/>
          </w:tcPr>
          <w:p w14:paraId="6E84FCC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2337</w:t>
            </w:r>
          </w:p>
        </w:tc>
      </w:tr>
      <w:tr w:rsidR="00AE564D" w:rsidRPr="00054EF9" w14:paraId="21307662" w14:textId="77777777" w:rsidTr="00054EF9">
        <w:trPr>
          <w:trHeight w:val="255"/>
          <w:jc w:val="center"/>
        </w:trPr>
        <w:tc>
          <w:tcPr>
            <w:tcW w:w="764" w:type="dxa"/>
            <w:vMerge/>
            <w:tcBorders>
              <w:top w:val="single" w:sz="8" w:space="0" w:color="002060"/>
              <w:left w:val="single" w:sz="8" w:space="0" w:color="002060"/>
              <w:bottom w:val="nil"/>
              <w:right w:val="single" w:sz="8" w:space="0" w:color="002060"/>
            </w:tcBorders>
            <w:vAlign w:val="center"/>
            <w:hideMark/>
          </w:tcPr>
          <w:p w14:paraId="2BE580C2"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1E8966EC"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183E3A6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Low Fresh</w:t>
            </w:r>
          </w:p>
        </w:tc>
        <w:tc>
          <w:tcPr>
            <w:tcW w:w="533" w:type="dxa"/>
            <w:tcBorders>
              <w:top w:val="nil"/>
              <w:left w:val="nil"/>
              <w:bottom w:val="nil"/>
              <w:right w:val="nil"/>
            </w:tcBorders>
            <w:shd w:val="clear" w:color="auto" w:fill="auto"/>
            <w:noWrap/>
            <w:vAlign w:val="center"/>
            <w:hideMark/>
          </w:tcPr>
          <w:p w14:paraId="26539D5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29</w:t>
            </w:r>
          </w:p>
        </w:tc>
        <w:tc>
          <w:tcPr>
            <w:tcW w:w="657" w:type="dxa"/>
            <w:tcBorders>
              <w:top w:val="nil"/>
              <w:left w:val="nil"/>
              <w:bottom w:val="nil"/>
              <w:right w:val="nil"/>
            </w:tcBorders>
            <w:shd w:val="clear" w:color="auto" w:fill="auto"/>
            <w:noWrap/>
            <w:vAlign w:val="center"/>
            <w:hideMark/>
          </w:tcPr>
          <w:p w14:paraId="70C8129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1410</w:t>
            </w:r>
          </w:p>
        </w:tc>
        <w:tc>
          <w:tcPr>
            <w:tcW w:w="771" w:type="dxa"/>
            <w:tcBorders>
              <w:top w:val="nil"/>
              <w:left w:val="nil"/>
              <w:bottom w:val="nil"/>
              <w:right w:val="nil"/>
            </w:tcBorders>
            <w:shd w:val="clear" w:color="auto" w:fill="auto"/>
            <w:noWrap/>
            <w:vAlign w:val="center"/>
            <w:hideMark/>
          </w:tcPr>
          <w:p w14:paraId="467DC14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591</w:t>
            </w:r>
          </w:p>
        </w:tc>
        <w:tc>
          <w:tcPr>
            <w:tcW w:w="593" w:type="dxa"/>
            <w:tcBorders>
              <w:top w:val="nil"/>
              <w:left w:val="nil"/>
              <w:bottom w:val="nil"/>
              <w:right w:val="nil"/>
            </w:tcBorders>
            <w:shd w:val="clear" w:color="auto" w:fill="auto"/>
            <w:noWrap/>
            <w:vAlign w:val="center"/>
            <w:hideMark/>
          </w:tcPr>
          <w:p w14:paraId="616BE6C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283</w:t>
            </w:r>
          </w:p>
        </w:tc>
        <w:tc>
          <w:tcPr>
            <w:tcW w:w="657" w:type="dxa"/>
            <w:tcBorders>
              <w:top w:val="nil"/>
              <w:left w:val="nil"/>
              <w:bottom w:val="nil"/>
              <w:right w:val="nil"/>
            </w:tcBorders>
            <w:shd w:val="clear" w:color="auto" w:fill="auto"/>
            <w:noWrap/>
            <w:vAlign w:val="center"/>
            <w:hideMark/>
          </w:tcPr>
          <w:p w14:paraId="038240E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2536</w:t>
            </w:r>
          </w:p>
        </w:tc>
        <w:tc>
          <w:tcPr>
            <w:tcW w:w="771" w:type="dxa"/>
            <w:tcBorders>
              <w:top w:val="nil"/>
              <w:left w:val="nil"/>
              <w:bottom w:val="nil"/>
              <w:right w:val="nil"/>
            </w:tcBorders>
            <w:shd w:val="clear" w:color="auto" w:fill="auto"/>
            <w:noWrap/>
            <w:vAlign w:val="center"/>
            <w:hideMark/>
          </w:tcPr>
          <w:p w14:paraId="3700D67A"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1333</w:t>
            </w:r>
          </w:p>
        </w:tc>
        <w:tc>
          <w:tcPr>
            <w:tcW w:w="657" w:type="dxa"/>
            <w:tcBorders>
              <w:top w:val="nil"/>
              <w:left w:val="nil"/>
              <w:bottom w:val="nil"/>
              <w:right w:val="nil"/>
            </w:tcBorders>
            <w:shd w:val="clear" w:color="auto" w:fill="auto"/>
            <w:noWrap/>
            <w:vAlign w:val="center"/>
            <w:hideMark/>
          </w:tcPr>
          <w:p w14:paraId="3630EA2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1031</w:t>
            </w:r>
          </w:p>
        </w:tc>
        <w:tc>
          <w:tcPr>
            <w:tcW w:w="657" w:type="dxa"/>
            <w:tcBorders>
              <w:top w:val="nil"/>
              <w:left w:val="nil"/>
              <w:bottom w:val="nil"/>
              <w:right w:val="single" w:sz="8" w:space="0" w:color="002060"/>
            </w:tcBorders>
            <w:shd w:val="clear" w:color="auto" w:fill="auto"/>
            <w:noWrap/>
            <w:vAlign w:val="center"/>
            <w:hideMark/>
          </w:tcPr>
          <w:p w14:paraId="0D92A55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1782</w:t>
            </w:r>
          </w:p>
        </w:tc>
        <w:tc>
          <w:tcPr>
            <w:tcW w:w="875" w:type="dxa"/>
            <w:vMerge/>
            <w:tcBorders>
              <w:top w:val="single" w:sz="8" w:space="0" w:color="002060"/>
              <w:left w:val="single" w:sz="8" w:space="0" w:color="002060"/>
              <w:bottom w:val="nil"/>
              <w:right w:val="single" w:sz="8" w:space="0" w:color="002060"/>
            </w:tcBorders>
            <w:vAlign w:val="center"/>
            <w:hideMark/>
          </w:tcPr>
          <w:p w14:paraId="4DDED586"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78B24F5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93</w:t>
            </w:r>
          </w:p>
        </w:tc>
        <w:tc>
          <w:tcPr>
            <w:tcW w:w="614" w:type="dxa"/>
            <w:tcBorders>
              <w:top w:val="nil"/>
              <w:left w:val="nil"/>
              <w:bottom w:val="nil"/>
              <w:right w:val="nil"/>
            </w:tcBorders>
            <w:shd w:val="clear" w:color="auto" w:fill="auto"/>
            <w:noWrap/>
            <w:vAlign w:val="center"/>
            <w:hideMark/>
          </w:tcPr>
          <w:p w14:paraId="6B9BB33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1875</w:t>
            </w:r>
          </w:p>
        </w:tc>
        <w:tc>
          <w:tcPr>
            <w:tcW w:w="712" w:type="dxa"/>
            <w:tcBorders>
              <w:top w:val="nil"/>
              <w:left w:val="nil"/>
              <w:bottom w:val="nil"/>
              <w:right w:val="nil"/>
            </w:tcBorders>
            <w:shd w:val="clear" w:color="auto" w:fill="auto"/>
            <w:noWrap/>
            <w:vAlign w:val="center"/>
            <w:hideMark/>
          </w:tcPr>
          <w:p w14:paraId="4F38598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990</w:t>
            </w:r>
          </w:p>
        </w:tc>
        <w:tc>
          <w:tcPr>
            <w:tcW w:w="569" w:type="dxa"/>
            <w:tcBorders>
              <w:top w:val="nil"/>
              <w:left w:val="nil"/>
              <w:bottom w:val="nil"/>
              <w:right w:val="nil"/>
            </w:tcBorders>
            <w:shd w:val="clear" w:color="auto" w:fill="auto"/>
            <w:noWrap/>
            <w:vAlign w:val="center"/>
            <w:hideMark/>
          </w:tcPr>
          <w:p w14:paraId="3FCF10D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715</w:t>
            </w:r>
          </w:p>
        </w:tc>
        <w:tc>
          <w:tcPr>
            <w:tcW w:w="657" w:type="dxa"/>
            <w:tcBorders>
              <w:top w:val="nil"/>
              <w:left w:val="nil"/>
              <w:bottom w:val="nil"/>
              <w:right w:val="nil"/>
            </w:tcBorders>
            <w:shd w:val="clear" w:color="auto" w:fill="auto"/>
            <w:noWrap/>
            <w:vAlign w:val="center"/>
            <w:hideMark/>
          </w:tcPr>
          <w:p w14:paraId="05C6EE6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6235</w:t>
            </w:r>
          </w:p>
        </w:tc>
        <w:tc>
          <w:tcPr>
            <w:tcW w:w="791" w:type="dxa"/>
            <w:tcBorders>
              <w:top w:val="nil"/>
              <w:left w:val="nil"/>
              <w:bottom w:val="nil"/>
              <w:right w:val="nil"/>
            </w:tcBorders>
            <w:shd w:val="clear" w:color="auto" w:fill="auto"/>
            <w:noWrap/>
            <w:vAlign w:val="center"/>
            <w:hideMark/>
          </w:tcPr>
          <w:p w14:paraId="3BB5233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1564</w:t>
            </w:r>
          </w:p>
        </w:tc>
        <w:tc>
          <w:tcPr>
            <w:tcW w:w="569" w:type="dxa"/>
            <w:tcBorders>
              <w:top w:val="nil"/>
              <w:left w:val="nil"/>
              <w:bottom w:val="nil"/>
              <w:right w:val="nil"/>
            </w:tcBorders>
            <w:shd w:val="clear" w:color="auto" w:fill="auto"/>
            <w:noWrap/>
            <w:vAlign w:val="center"/>
            <w:hideMark/>
          </w:tcPr>
          <w:p w14:paraId="2F14AC2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1234</w:t>
            </w:r>
          </w:p>
        </w:tc>
        <w:tc>
          <w:tcPr>
            <w:tcW w:w="655" w:type="dxa"/>
            <w:tcBorders>
              <w:top w:val="nil"/>
              <w:left w:val="nil"/>
              <w:bottom w:val="nil"/>
              <w:right w:val="single" w:sz="8" w:space="0" w:color="002060"/>
            </w:tcBorders>
            <w:shd w:val="clear" w:color="auto" w:fill="auto"/>
            <w:noWrap/>
            <w:vAlign w:val="center"/>
            <w:hideMark/>
          </w:tcPr>
          <w:p w14:paraId="471C3BD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2174</w:t>
            </w:r>
          </w:p>
        </w:tc>
      </w:tr>
      <w:tr w:rsidR="00AE564D" w:rsidRPr="00054EF9" w14:paraId="08BA6EE9" w14:textId="77777777" w:rsidTr="00054EF9">
        <w:trPr>
          <w:trHeight w:val="255"/>
          <w:jc w:val="center"/>
        </w:trPr>
        <w:tc>
          <w:tcPr>
            <w:tcW w:w="764" w:type="dxa"/>
            <w:vMerge/>
            <w:tcBorders>
              <w:top w:val="single" w:sz="8" w:space="0" w:color="002060"/>
              <w:left w:val="single" w:sz="8" w:space="0" w:color="002060"/>
              <w:bottom w:val="nil"/>
              <w:right w:val="single" w:sz="8" w:space="0" w:color="002060"/>
            </w:tcBorders>
            <w:vAlign w:val="center"/>
            <w:hideMark/>
          </w:tcPr>
          <w:p w14:paraId="5B3A47D2"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65E2224C"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2F4AA3B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Med Fresh</w:t>
            </w:r>
          </w:p>
        </w:tc>
        <w:tc>
          <w:tcPr>
            <w:tcW w:w="533" w:type="dxa"/>
            <w:tcBorders>
              <w:top w:val="nil"/>
              <w:left w:val="nil"/>
              <w:bottom w:val="nil"/>
              <w:right w:val="nil"/>
            </w:tcBorders>
            <w:shd w:val="clear" w:color="auto" w:fill="auto"/>
            <w:noWrap/>
            <w:vAlign w:val="center"/>
            <w:hideMark/>
          </w:tcPr>
          <w:p w14:paraId="5D78533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30</w:t>
            </w:r>
          </w:p>
        </w:tc>
        <w:tc>
          <w:tcPr>
            <w:tcW w:w="657" w:type="dxa"/>
            <w:tcBorders>
              <w:top w:val="nil"/>
              <w:left w:val="nil"/>
              <w:bottom w:val="nil"/>
              <w:right w:val="nil"/>
            </w:tcBorders>
            <w:shd w:val="clear" w:color="auto" w:fill="auto"/>
            <w:noWrap/>
            <w:vAlign w:val="center"/>
            <w:hideMark/>
          </w:tcPr>
          <w:p w14:paraId="6C1E333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1998</w:t>
            </w:r>
          </w:p>
        </w:tc>
        <w:tc>
          <w:tcPr>
            <w:tcW w:w="771" w:type="dxa"/>
            <w:tcBorders>
              <w:top w:val="nil"/>
              <w:left w:val="nil"/>
              <w:bottom w:val="nil"/>
              <w:right w:val="nil"/>
            </w:tcBorders>
            <w:shd w:val="clear" w:color="auto" w:fill="auto"/>
            <w:noWrap/>
            <w:vAlign w:val="center"/>
            <w:hideMark/>
          </w:tcPr>
          <w:p w14:paraId="5DA06A1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1551</w:t>
            </w:r>
          </w:p>
        </w:tc>
        <w:tc>
          <w:tcPr>
            <w:tcW w:w="593" w:type="dxa"/>
            <w:tcBorders>
              <w:top w:val="nil"/>
              <w:left w:val="nil"/>
              <w:bottom w:val="nil"/>
              <w:right w:val="nil"/>
            </w:tcBorders>
            <w:shd w:val="clear" w:color="auto" w:fill="auto"/>
            <w:noWrap/>
            <w:vAlign w:val="center"/>
            <w:hideMark/>
          </w:tcPr>
          <w:p w14:paraId="6E13311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78</w:t>
            </w:r>
          </w:p>
        </w:tc>
        <w:tc>
          <w:tcPr>
            <w:tcW w:w="657" w:type="dxa"/>
            <w:tcBorders>
              <w:top w:val="nil"/>
              <w:left w:val="nil"/>
              <w:bottom w:val="nil"/>
              <w:right w:val="nil"/>
            </w:tcBorders>
            <w:shd w:val="clear" w:color="auto" w:fill="auto"/>
            <w:noWrap/>
            <w:vAlign w:val="center"/>
            <w:hideMark/>
          </w:tcPr>
          <w:p w14:paraId="714F7B2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7039</w:t>
            </w:r>
          </w:p>
        </w:tc>
        <w:tc>
          <w:tcPr>
            <w:tcW w:w="771" w:type="dxa"/>
            <w:tcBorders>
              <w:top w:val="nil"/>
              <w:left w:val="nil"/>
              <w:bottom w:val="nil"/>
              <w:right w:val="nil"/>
            </w:tcBorders>
            <w:shd w:val="clear" w:color="auto" w:fill="auto"/>
            <w:noWrap/>
            <w:vAlign w:val="center"/>
            <w:hideMark/>
          </w:tcPr>
          <w:p w14:paraId="11335BF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1575</w:t>
            </w:r>
          </w:p>
        </w:tc>
        <w:tc>
          <w:tcPr>
            <w:tcW w:w="657" w:type="dxa"/>
            <w:tcBorders>
              <w:top w:val="nil"/>
              <w:left w:val="nil"/>
              <w:bottom w:val="nil"/>
              <w:right w:val="nil"/>
            </w:tcBorders>
            <w:shd w:val="clear" w:color="auto" w:fill="auto"/>
            <w:noWrap/>
            <w:vAlign w:val="center"/>
            <w:hideMark/>
          </w:tcPr>
          <w:p w14:paraId="7A5B9E0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883</w:t>
            </w:r>
          </w:p>
        </w:tc>
        <w:tc>
          <w:tcPr>
            <w:tcW w:w="657" w:type="dxa"/>
            <w:tcBorders>
              <w:top w:val="nil"/>
              <w:left w:val="nil"/>
              <w:bottom w:val="nil"/>
              <w:right w:val="single" w:sz="8" w:space="0" w:color="002060"/>
            </w:tcBorders>
            <w:shd w:val="clear" w:color="auto" w:fill="auto"/>
            <w:noWrap/>
            <w:vAlign w:val="center"/>
            <w:hideMark/>
          </w:tcPr>
          <w:p w14:paraId="27CAF63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3254</w:t>
            </w:r>
          </w:p>
        </w:tc>
        <w:tc>
          <w:tcPr>
            <w:tcW w:w="875" w:type="dxa"/>
            <w:vMerge/>
            <w:tcBorders>
              <w:top w:val="single" w:sz="8" w:space="0" w:color="002060"/>
              <w:left w:val="single" w:sz="8" w:space="0" w:color="002060"/>
              <w:bottom w:val="nil"/>
              <w:right w:val="single" w:sz="8" w:space="0" w:color="002060"/>
            </w:tcBorders>
            <w:vAlign w:val="center"/>
            <w:hideMark/>
          </w:tcPr>
          <w:p w14:paraId="3055983E"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5EBE55B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w:t>
            </w:r>
          </w:p>
        </w:tc>
        <w:tc>
          <w:tcPr>
            <w:tcW w:w="614" w:type="dxa"/>
            <w:tcBorders>
              <w:top w:val="nil"/>
              <w:left w:val="nil"/>
              <w:bottom w:val="nil"/>
              <w:right w:val="nil"/>
            </w:tcBorders>
            <w:shd w:val="clear" w:color="auto" w:fill="auto"/>
            <w:noWrap/>
            <w:vAlign w:val="center"/>
            <w:hideMark/>
          </w:tcPr>
          <w:p w14:paraId="46EA58F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4011</w:t>
            </w:r>
          </w:p>
        </w:tc>
        <w:tc>
          <w:tcPr>
            <w:tcW w:w="712" w:type="dxa"/>
            <w:tcBorders>
              <w:top w:val="nil"/>
              <w:left w:val="nil"/>
              <w:bottom w:val="nil"/>
              <w:right w:val="nil"/>
            </w:tcBorders>
            <w:shd w:val="clear" w:color="auto" w:fill="auto"/>
            <w:noWrap/>
            <w:vAlign w:val="center"/>
            <w:hideMark/>
          </w:tcPr>
          <w:p w14:paraId="2763EAA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4566</w:t>
            </w:r>
          </w:p>
        </w:tc>
        <w:tc>
          <w:tcPr>
            <w:tcW w:w="569" w:type="dxa"/>
            <w:tcBorders>
              <w:top w:val="nil"/>
              <w:left w:val="nil"/>
              <w:bottom w:val="nil"/>
              <w:right w:val="nil"/>
            </w:tcBorders>
            <w:shd w:val="clear" w:color="auto" w:fill="auto"/>
            <w:noWrap/>
            <w:vAlign w:val="center"/>
            <w:hideMark/>
          </w:tcPr>
          <w:p w14:paraId="3F2CCF5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1547</w:t>
            </w:r>
          </w:p>
        </w:tc>
        <w:tc>
          <w:tcPr>
            <w:tcW w:w="657" w:type="dxa"/>
            <w:tcBorders>
              <w:top w:val="nil"/>
              <w:left w:val="nil"/>
              <w:bottom w:val="nil"/>
              <w:right w:val="nil"/>
            </w:tcBorders>
            <w:shd w:val="clear" w:color="auto" w:fill="auto"/>
            <w:noWrap/>
            <w:vAlign w:val="center"/>
            <w:hideMark/>
          </w:tcPr>
          <w:p w14:paraId="351C41C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22520</w:t>
            </w:r>
          </w:p>
        </w:tc>
        <w:tc>
          <w:tcPr>
            <w:tcW w:w="791" w:type="dxa"/>
            <w:tcBorders>
              <w:top w:val="nil"/>
              <w:left w:val="nil"/>
              <w:bottom w:val="nil"/>
              <w:right w:val="nil"/>
            </w:tcBorders>
            <w:shd w:val="clear" w:color="auto" w:fill="auto"/>
            <w:noWrap/>
            <w:vAlign w:val="center"/>
            <w:hideMark/>
          </w:tcPr>
          <w:p w14:paraId="1814806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3170</w:t>
            </w:r>
          </w:p>
        </w:tc>
        <w:tc>
          <w:tcPr>
            <w:tcW w:w="569" w:type="dxa"/>
            <w:tcBorders>
              <w:top w:val="nil"/>
              <w:left w:val="nil"/>
              <w:bottom w:val="nil"/>
              <w:right w:val="nil"/>
            </w:tcBorders>
            <w:shd w:val="clear" w:color="auto" w:fill="auto"/>
            <w:noWrap/>
            <w:vAlign w:val="center"/>
            <w:hideMark/>
          </w:tcPr>
          <w:p w14:paraId="658FCF9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2218</w:t>
            </w:r>
          </w:p>
        </w:tc>
        <w:tc>
          <w:tcPr>
            <w:tcW w:w="655" w:type="dxa"/>
            <w:tcBorders>
              <w:top w:val="nil"/>
              <w:left w:val="nil"/>
              <w:bottom w:val="nil"/>
              <w:right w:val="single" w:sz="8" w:space="0" w:color="002060"/>
            </w:tcBorders>
            <w:shd w:val="clear" w:color="auto" w:fill="auto"/>
            <w:noWrap/>
            <w:vAlign w:val="center"/>
            <w:hideMark/>
          </w:tcPr>
          <w:p w14:paraId="591B55E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3739</w:t>
            </w:r>
          </w:p>
        </w:tc>
      </w:tr>
      <w:tr w:rsidR="00AE564D" w:rsidRPr="00054EF9" w14:paraId="4A70516F" w14:textId="77777777" w:rsidTr="00054EF9">
        <w:trPr>
          <w:trHeight w:val="255"/>
          <w:jc w:val="center"/>
        </w:trPr>
        <w:tc>
          <w:tcPr>
            <w:tcW w:w="764" w:type="dxa"/>
            <w:vMerge/>
            <w:tcBorders>
              <w:top w:val="single" w:sz="8" w:space="0" w:color="002060"/>
              <w:left w:val="single" w:sz="8" w:space="0" w:color="002060"/>
              <w:bottom w:val="nil"/>
              <w:right w:val="single" w:sz="8" w:space="0" w:color="002060"/>
            </w:tcBorders>
            <w:vAlign w:val="center"/>
            <w:hideMark/>
          </w:tcPr>
          <w:p w14:paraId="733D8FC6"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1BC1827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McCoy's Bridge</w:t>
            </w:r>
          </w:p>
        </w:tc>
        <w:tc>
          <w:tcPr>
            <w:tcW w:w="1002" w:type="dxa"/>
            <w:tcBorders>
              <w:top w:val="single" w:sz="8" w:space="0" w:color="002060"/>
              <w:left w:val="nil"/>
              <w:bottom w:val="nil"/>
              <w:right w:val="nil"/>
            </w:tcBorders>
            <w:shd w:val="clear" w:color="auto" w:fill="auto"/>
            <w:noWrap/>
            <w:vAlign w:val="center"/>
            <w:hideMark/>
          </w:tcPr>
          <w:p w14:paraId="69B5BE8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Very Low</w:t>
            </w:r>
          </w:p>
        </w:tc>
        <w:tc>
          <w:tcPr>
            <w:tcW w:w="533" w:type="dxa"/>
            <w:tcBorders>
              <w:top w:val="single" w:sz="8" w:space="0" w:color="002060"/>
              <w:left w:val="nil"/>
              <w:bottom w:val="nil"/>
              <w:right w:val="nil"/>
            </w:tcBorders>
            <w:shd w:val="clear" w:color="auto" w:fill="auto"/>
            <w:noWrap/>
            <w:vAlign w:val="center"/>
            <w:hideMark/>
          </w:tcPr>
          <w:p w14:paraId="7C5C2C7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97</w:t>
            </w:r>
          </w:p>
        </w:tc>
        <w:tc>
          <w:tcPr>
            <w:tcW w:w="657" w:type="dxa"/>
            <w:tcBorders>
              <w:top w:val="single" w:sz="8" w:space="0" w:color="002060"/>
              <w:left w:val="nil"/>
              <w:bottom w:val="nil"/>
              <w:right w:val="nil"/>
            </w:tcBorders>
            <w:shd w:val="clear" w:color="auto" w:fill="auto"/>
            <w:noWrap/>
            <w:vAlign w:val="center"/>
            <w:hideMark/>
          </w:tcPr>
          <w:p w14:paraId="7721E99A"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1241</w:t>
            </w:r>
          </w:p>
        </w:tc>
        <w:tc>
          <w:tcPr>
            <w:tcW w:w="771" w:type="dxa"/>
            <w:tcBorders>
              <w:top w:val="single" w:sz="8" w:space="0" w:color="002060"/>
              <w:left w:val="nil"/>
              <w:bottom w:val="nil"/>
              <w:right w:val="nil"/>
            </w:tcBorders>
            <w:shd w:val="clear" w:color="auto" w:fill="auto"/>
            <w:noWrap/>
            <w:vAlign w:val="center"/>
            <w:hideMark/>
          </w:tcPr>
          <w:p w14:paraId="6B0BB13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721</w:t>
            </w:r>
          </w:p>
        </w:tc>
        <w:tc>
          <w:tcPr>
            <w:tcW w:w="593" w:type="dxa"/>
            <w:tcBorders>
              <w:top w:val="single" w:sz="8" w:space="0" w:color="002060"/>
              <w:left w:val="nil"/>
              <w:bottom w:val="nil"/>
              <w:right w:val="nil"/>
            </w:tcBorders>
            <w:shd w:val="clear" w:color="auto" w:fill="auto"/>
            <w:noWrap/>
            <w:vAlign w:val="center"/>
            <w:hideMark/>
          </w:tcPr>
          <w:p w14:paraId="3A9A064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214</w:t>
            </w:r>
          </w:p>
        </w:tc>
        <w:tc>
          <w:tcPr>
            <w:tcW w:w="657" w:type="dxa"/>
            <w:tcBorders>
              <w:top w:val="single" w:sz="8" w:space="0" w:color="002060"/>
              <w:left w:val="nil"/>
              <w:bottom w:val="nil"/>
              <w:right w:val="nil"/>
            </w:tcBorders>
            <w:shd w:val="clear" w:color="auto" w:fill="auto"/>
            <w:noWrap/>
            <w:vAlign w:val="center"/>
            <w:hideMark/>
          </w:tcPr>
          <w:p w14:paraId="41EF013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4774</w:t>
            </w:r>
          </w:p>
        </w:tc>
        <w:tc>
          <w:tcPr>
            <w:tcW w:w="771" w:type="dxa"/>
            <w:tcBorders>
              <w:top w:val="single" w:sz="8" w:space="0" w:color="002060"/>
              <w:left w:val="nil"/>
              <w:bottom w:val="nil"/>
              <w:right w:val="nil"/>
            </w:tcBorders>
            <w:shd w:val="clear" w:color="auto" w:fill="auto"/>
            <w:noWrap/>
            <w:vAlign w:val="center"/>
            <w:hideMark/>
          </w:tcPr>
          <w:p w14:paraId="090F9D9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1045</w:t>
            </w:r>
          </w:p>
        </w:tc>
        <w:tc>
          <w:tcPr>
            <w:tcW w:w="657" w:type="dxa"/>
            <w:tcBorders>
              <w:top w:val="single" w:sz="8" w:space="0" w:color="002060"/>
              <w:left w:val="nil"/>
              <w:bottom w:val="nil"/>
              <w:right w:val="nil"/>
            </w:tcBorders>
            <w:shd w:val="clear" w:color="auto" w:fill="auto"/>
            <w:noWrap/>
            <w:vAlign w:val="center"/>
            <w:hideMark/>
          </w:tcPr>
          <w:p w14:paraId="371E4DB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848</w:t>
            </w:r>
          </w:p>
        </w:tc>
        <w:tc>
          <w:tcPr>
            <w:tcW w:w="657" w:type="dxa"/>
            <w:tcBorders>
              <w:top w:val="single" w:sz="8" w:space="0" w:color="002060"/>
              <w:left w:val="nil"/>
              <w:bottom w:val="nil"/>
              <w:right w:val="single" w:sz="8" w:space="0" w:color="002060"/>
            </w:tcBorders>
            <w:shd w:val="clear" w:color="auto" w:fill="auto"/>
            <w:noWrap/>
            <w:vAlign w:val="center"/>
            <w:hideMark/>
          </w:tcPr>
          <w:p w14:paraId="2097B8A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1470</w:t>
            </w:r>
          </w:p>
        </w:tc>
        <w:tc>
          <w:tcPr>
            <w:tcW w:w="875" w:type="dxa"/>
            <w:vMerge/>
            <w:tcBorders>
              <w:top w:val="single" w:sz="8" w:space="0" w:color="002060"/>
              <w:left w:val="single" w:sz="8" w:space="0" w:color="002060"/>
              <w:bottom w:val="nil"/>
              <w:right w:val="single" w:sz="8" w:space="0" w:color="002060"/>
            </w:tcBorders>
            <w:vAlign w:val="center"/>
            <w:hideMark/>
          </w:tcPr>
          <w:p w14:paraId="779486DB"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single" w:sz="8" w:space="0" w:color="002060"/>
              <w:left w:val="nil"/>
              <w:bottom w:val="nil"/>
              <w:right w:val="nil"/>
            </w:tcBorders>
            <w:shd w:val="clear" w:color="auto" w:fill="auto"/>
            <w:noWrap/>
            <w:vAlign w:val="center"/>
            <w:hideMark/>
          </w:tcPr>
          <w:p w14:paraId="180680B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97</w:t>
            </w:r>
          </w:p>
        </w:tc>
        <w:tc>
          <w:tcPr>
            <w:tcW w:w="614" w:type="dxa"/>
            <w:tcBorders>
              <w:top w:val="single" w:sz="8" w:space="0" w:color="002060"/>
              <w:left w:val="nil"/>
              <w:bottom w:val="nil"/>
              <w:right w:val="nil"/>
            </w:tcBorders>
            <w:shd w:val="clear" w:color="auto" w:fill="auto"/>
            <w:noWrap/>
            <w:vAlign w:val="center"/>
            <w:hideMark/>
          </w:tcPr>
          <w:p w14:paraId="4C858BD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1611</w:t>
            </w:r>
          </w:p>
        </w:tc>
        <w:tc>
          <w:tcPr>
            <w:tcW w:w="712" w:type="dxa"/>
            <w:tcBorders>
              <w:top w:val="single" w:sz="8" w:space="0" w:color="002060"/>
              <w:left w:val="nil"/>
              <w:bottom w:val="nil"/>
              <w:right w:val="nil"/>
            </w:tcBorders>
            <w:shd w:val="clear" w:color="auto" w:fill="auto"/>
            <w:noWrap/>
            <w:vAlign w:val="center"/>
            <w:hideMark/>
          </w:tcPr>
          <w:p w14:paraId="3A52348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1061</w:t>
            </w:r>
          </w:p>
        </w:tc>
        <w:tc>
          <w:tcPr>
            <w:tcW w:w="569" w:type="dxa"/>
            <w:tcBorders>
              <w:top w:val="single" w:sz="8" w:space="0" w:color="002060"/>
              <w:left w:val="nil"/>
              <w:bottom w:val="nil"/>
              <w:right w:val="nil"/>
            </w:tcBorders>
            <w:shd w:val="clear" w:color="auto" w:fill="auto"/>
            <w:noWrap/>
            <w:vAlign w:val="center"/>
            <w:hideMark/>
          </w:tcPr>
          <w:p w14:paraId="7EB7250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475</w:t>
            </w:r>
          </w:p>
        </w:tc>
        <w:tc>
          <w:tcPr>
            <w:tcW w:w="657" w:type="dxa"/>
            <w:tcBorders>
              <w:top w:val="single" w:sz="8" w:space="0" w:color="002060"/>
              <w:left w:val="nil"/>
              <w:bottom w:val="nil"/>
              <w:right w:val="nil"/>
            </w:tcBorders>
            <w:shd w:val="clear" w:color="auto" w:fill="auto"/>
            <w:noWrap/>
            <w:vAlign w:val="center"/>
            <w:hideMark/>
          </w:tcPr>
          <w:p w14:paraId="531501B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7974</w:t>
            </w:r>
          </w:p>
        </w:tc>
        <w:tc>
          <w:tcPr>
            <w:tcW w:w="791" w:type="dxa"/>
            <w:tcBorders>
              <w:top w:val="single" w:sz="8" w:space="0" w:color="002060"/>
              <w:left w:val="nil"/>
              <w:bottom w:val="nil"/>
              <w:right w:val="nil"/>
            </w:tcBorders>
            <w:shd w:val="clear" w:color="auto" w:fill="auto"/>
            <w:noWrap/>
            <w:vAlign w:val="center"/>
            <w:hideMark/>
          </w:tcPr>
          <w:p w14:paraId="67EED65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1323</w:t>
            </w:r>
          </w:p>
        </w:tc>
        <w:tc>
          <w:tcPr>
            <w:tcW w:w="569" w:type="dxa"/>
            <w:tcBorders>
              <w:top w:val="single" w:sz="8" w:space="0" w:color="002060"/>
              <w:left w:val="nil"/>
              <w:bottom w:val="nil"/>
              <w:right w:val="nil"/>
            </w:tcBorders>
            <w:shd w:val="clear" w:color="auto" w:fill="auto"/>
            <w:noWrap/>
            <w:vAlign w:val="center"/>
            <w:hideMark/>
          </w:tcPr>
          <w:p w14:paraId="50A0B44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879</w:t>
            </w:r>
          </w:p>
        </w:tc>
        <w:tc>
          <w:tcPr>
            <w:tcW w:w="655" w:type="dxa"/>
            <w:tcBorders>
              <w:top w:val="single" w:sz="8" w:space="0" w:color="002060"/>
              <w:left w:val="nil"/>
              <w:bottom w:val="nil"/>
              <w:right w:val="single" w:sz="8" w:space="0" w:color="002060"/>
            </w:tcBorders>
            <w:shd w:val="clear" w:color="auto" w:fill="auto"/>
            <w:noWrap/>
            <w:vAlign w:val="center"/>
            <w:hideMark/>
          </w:tcPr>
          <w:p w14:paraId="40319D6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2065</w:t>
            </w:r>
          </w:p>
        </w:tc>
      </w:tr>
      <w:tr w:rsidR="00AE564D" w:rsidRPr="00054EF9" w14:paraId="520224A4" w14:textId="77777777" w:rsidTr="00054EF9">
        <w:trPr>
          <w:trHeight w:val="255"/>
          <w:jc w:val="center"/>
        </w:trPr>
        <w:tc>
          <w:tcPr>
            <w:tcW w:w="764" w:type="dxa"/>
            <w:vMerge/>
            <w:tcBorders>
              <w:top w:val="single" w:sz="8" w:space="0" w:color="002060"/>
              <w:left w:val="single" w:sz="8" w:space="0" w:color="002060"/>
              <w:bottom w:val="nil"/>
              <w:right w:val="single" w:sz="8" w:space="0" w:color="002060"/>
            </w:tcBorders>
            <w:vAlign w:val="center"/>
            <w:hideMark/>
          </w:tcPr>
          <w:p w14:paraId="51F0E112"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20F74FE6"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4AC0F4A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Mod Low</w:t>
            </w:r>
          </w:p>
        </w:tc>
        <w:tc>
          <w:tcPr>
            <w:tcW w:w="533" w:type="dxa"/>
            <w:tcBorders>
              <w:top w:val="nil"/>
              <w:left w:val="nil"/>
              <w:bottom w:val="nil"/>
              <w:right w:val="nil"/>
            </w:tcBorders>
            <w:shd w:val="clear" w:color="auto" w:fill="auto"/>
            <w:noWrap/>
            <w:vAlign w:val="center"/>
            <w:hideMark/>
          </w:tcPr>
          <w:p w14:paraId="6776C38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120</w:t>
            </w:r>
          </w:p>
        </w:tc>
        <w:tc>
          <w:tcPr>
            <w:tcW w:w="657" w:type="dxa"/>
            <w:tcBorders>
              <w:top w:val="nil"/>
              <w:left w:val="nil"/>
              <w:bottom w:val="nil"/>
              <w:right w:val="nil"/>
            </w:tcBorders>
            <w:shd w:val="clear" w:color="auto" w:fill="auto"/>
            <w:noWrap/>
            <w:vAlign w:val="center"/>
            <w:hideMark/>
          </w:tcPr>
          <w:p w14:paraId="5237B42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1079</w:t>
            </w:r>
          </w:p>
        </w:tc>
        <w:tc>
          <w:tcPr>
            <w:tcW w:w="771" w:type="dxa"/>
            <w:tcBorders>
              <w:top w:val="nil"/>
              <w:left w:val="nil"/>
              <w:bottom w:val="nil"/>
              <w:right w:val="nil"/>
            </w:tcBorders>
            <w:shd w:val="clear" w:color="auto" w:fill="auto"/>
            <w:noWrap/>
            <w:vAlign w:val="center"/>
            <w:hideMark/>
          </w:tcPr>
          <w:p w14:paraId="3E066EF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625</w:t>
            </w:r>
          </w:p>
        </w:tc>
        <w:tc>
          <w:tcPr>
            <w:tcW w:w="593" w:type="dxa"/>
            <w:tcBorders>
              <w:top w:val="nil"/>
              <w:left w:val="nil"/>
              <w:bottom w:val="nil"/>
              <w:right w:val="nil"/>
            </w:tcBorders>
            <w:shd w:val="clear" w:color="auto" w:fill="auto"/>
            <w:noWrap/>
            <w:vAlign w:val="center"/>
            <w:hideMark/>
          </w:tcPr>
          <w:p w14:paraId="17DCDCA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32</w:t>
            </w:r>
          </w:p>
        </w:tc>
        <w:tc>
          <w:tcPr>
            <w:tcW w:w="657" w:type="dxa"/>
            <w:tcBorders>
              <w:top w:val="nil"/>
              <w:left w:val="nil"/>
              <w:bottom w:val="nil"/>
              <w:right w:val="nil"/>
            </w:tcBorders>
            <w:shd w:val="clear" w:color="auto" w:fill="auto"/>
            <w:noWrap/>
            <w:vAlign w:val="center"/>
            <w:hideMark/>
          </w:tcPr>
          <w:p w14:paraId="0F0A502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3000</w:t>
            </w:r>
          </w:p>
        </w:tc>
        <w:tc>
          <w:tcPr>
            <w:tcW w:w="771" w:type="dxa"/>
            <w:tcBorders>
              <w:top w:val="nil"/>
              <w:left w:val="nil"/>
              <w:bottom w:val="nil"/>
              <w:right w:val="nil"/>
            </w:tcBorders>
            <w:shd w:val="clear" w:color="auto" w:fill="auto"/>
            <w:noWrap/>
            <w:vAlign w:val="center"/>
            <w:hideMark/>
          </w:tcPr>
          <w:p w14:paraId="19B1E5A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1046</w:t>
            </w:r>
          </w:p>
        </w:tc>
        <w:tc>
          <w:tcPr>
            <w:tcW w:w="657" w:type="dxa"/>
            <w:tcBorders>
              <w:top w:val="nil"/>
              <w:left w:val="nil"/>
              <w:bottom w:val="nil"/>
              <w:right w:val="nil"/>
            </w:tcBorders>
            <w:shd w:val="clear" w:color="auto" w:fill="auto"/>
            <w:noWrap/>
            <w:vAlign w:val="center"/>
            <w:hideMark/>
          </w:tcPr>
          <w:p w14:paraId="58C4DAD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645</w:t>
            </w:r>
          </w:p>
        </w:tc>
        <w:tc>
          <w:tcPr>
            <w:tcW w:w="657" w:type="dxa"/>
            <w:tcBorders>
              <w:top w:val="nil"/>
              <w:left w:val="nil"/>
              <w:bottom w:val="nil"/>
              <w:right w:val="single" w:sz="8" w:space="0" w:color="002060"/>
            </w:tcBorders>
            <w:shd w:val="clear" w:color="auto" w:fill="auto"/>
            <w:noWrap/>
            <w:vAlign w:val="center"/>
            <w:hideMark/>
          </w:tcPr>
          <w:p w14:paraId="130C3E6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1410</w:t>
            </w:r>
          </w:p>
        </w:tc>
        <w:tc>
          <w:tcPr>
            <w:tcW w:w="875" w:type="dxa"/>
            <w:vMerge/>
            <w:tcBorders>
              <w:top w:val="single" w:sz="8" w:space="0" w:color="002060"/>
              <w:left w:val="single" w:sz="8" w:space="0" w:color="002060"/>
              <w:bottom w:val="nil"/>
              <w:right w:val="single" w:sz="8" w:space="0" w:color="002060"/>
            </w:tcBorders>
            <w:vAlign w:val="center"/>
            <w:hideMark/>
          </w:tcPr>
          <w:p w14:paraId="57C2B628"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63D2F3F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226</w:t>
            </w:r>
          </w:p>
        </w:tc>
        <w:tc>
          <w:tcPr>
            <w:tcW w:w="614" w:type="dxa"/>
            <w:tcBorders>
              <w:top w:val="nil"/>
              <w:left w:val="nil"/>
              <w:bottom w:val="nil"/>
              <w:right w:val="nil"/>
            </w:tcBorders>
            <w:shd w:val="clear" w:color="auto" w:fill="auto"/>
            <w:noWrap/>
            <w:vAlign w:val="center"/>
            <w:hideMark/>
          </w:tcPr>
          <w:p w14:paraId="2EE6705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2104</w:t>
            </w:r>
          </w:p>
        </w:tc>
        <w:tc>
          <w:tcPr>
            <w:tcW w:w="712" w:type="dxa"/>
            <w:tcBorders>
              <w:top w:val="nil"/>
              <w:left w:val="nil"/>
              <w:bottom w:val="nil"/>
              <w:right w:val="nil"/>
            </w:tcBorders>
            <w:shd w:val="clear" w:color="auto" w:fill="auto"/>
            <w:noWrap/>
            <w:vAlign w:val="center"/>
            <w:hideMark/>
          </w:tcPr>
          <w:p w14:paraId="596FE3F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1276</w:t>
            </w:r>
          </w:p>
        </w:tc>
        <w:tc>
          <w:tcPr>
            <w:tcW w:w="569" w:type="dxa"/>
            <w:tcBorders>
              <w:top w:val="nil"/>
              <w:left w:val="nil"/>
              <w:bottom w:val="nil"/>
              <w:right w:val="nil"/>
            </w:tcBorders>
            <w:shd w:val="clear" w:color="auto" w:fill="auto"/>
            <w:noWrap/>
            <w:vAlign w:val="center"/>
            <w:hideMark/>
          </w:tcPr>
          <w:p w14:paraId="34893CF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534</w:t>
            </w:r>
          </w:p>
        </w:tc>
        <w:tc>
          <w:tcPr>
            <w:tcW w:w="657" w:type="dxa"/>
            <w:tcBorders>
              <w:top w:val="nil"/>
              <w:left w:val="nil"/>
              <w:bottom w:val="nil"/>
              <w:right w:val="nil"/>
            </w:tcBorders>
            <w:shd w:val="clear" w:color="auto" w:fill="auto"/>
            <w:noWrap/>
            <w:vAlign w:val="center"/>
            <w:hideMark/>
          </w:tcPr>
          <w:p w14:paraId="0FF4BF7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11558</w:t>
            </w:r>
          </w:p>
        </w:tc>
        <w:tc>
          <w:tcPr>
            <w:tcW w:w="791" w:type="dxa"/>
            <w:tcBorders>
              <w:top w:val="nil"/>
              <w:left w:val="nil"/>
              <w:bottom w:val="nil"/>
              <w:right w:val="nil"/>
            </w:tcBorders>
            <w:shd w:val="clear" w:color="auto" w:fill="auto"/>
            <w:noWrap/>
            <w:vAlign w:val="center"/>
            <w:hideMark/>
          </w:tcPr>
          <w:p w14:paraId="3B6171F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1845</w:t>
            </w:r>
          </w:p>
        </w:tc>
        <w:tc>
          <w:tcPr>
            <w:tcW w:w="569" w:type="dxa"/>
            <w:tcBorders>
              <w:top w:val="nil"/>
              <w:left w:val="nil"/>
              <w:bottom w:val="nil"/>
              <w:right w:val="nil"/>
            </w:tcBorders>
            <w:shd w:val="clear" w:color="auto" w:fill="auto"/>
            <w:noWrap/>
            <w:vAlign w:val="center"/>
            <w:hideMark/>
          </w:tcPr>
          <w:p w14:paraId="245D429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1431</w:t>
            </w:r>
          </w:p>
        </w:tc>
        <w:tc>
          <w:tcPr>
            <w:tcW w:w="655" w:type="dxa"/>
            <w:tcBorders>
              <w:top w:val="nil"/>
              <w:left w:val="nil"/>
              <w:bottom w:val="nil"/>
              <w:right w:val="single" w:sz="8" w:space="0" w:color="002060"/>
            </w:tcBorders>
            <w:shd w:val="clear" w:color="auto" w:fill="auto"/>
            <w:noWrap/>
            <w:vAlign w:val="center"/>
            <w:hideMark/>
          </w:tcPr>
          <w:p w14:paraId="28D016A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2394</w:t>
            </w:r>
          </w:p>
        </w:tc>
      </w:tr>
      <w:tr w:rsidR="00AE564D" w:rsidRPr="00054EF9" w14:paraId="55B81C6C" w14:textId="77777777" w:rsidTr="00054EF9">
        <w:trPr>
          <w:trHeight w:val="255"/>
          <w:jc w:val="center"/>
        </w:trPr>
        <w:tc>
          <w:tcPr>
            <w:tcW w:w="764" w:type="dxa"/>
            <w:vMerge/>
            <w:tcBorders>
              <w:top w:val="single" w:sz="8" w:space="0" w:color="002060"/>
              <w:left w:val="single" w:sz="8" w:space="0" w:color="002060"/>
              <w:bottom w:val="nil"/>
              <w:right w:val="single" w:sz="8" w:space="0" w:color="002060"/>
            </w:tcBorders>
            <w:vAlign w:val="center"/>
            <w:hideMark/>
          </w:tcPr>
          <w:p w14:paraId="374479DA"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5903649B"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723761E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Low Fresh</w:t>
            </w:r>
          </w:p>
        </w:tc>
        <w:tc>
          <w:tcPr>
            <w:tcW w:w="533" w:type="dxa"/>
            <w:tcBorders>
              <w:top w:val="nil"/>
              <w:left w:val="nil"/>
              <w:bottom w:val="nil"/>
              <w:right w:val="nil"/>
            </w:tcBorders>
            <w:shd w:val="clear" w:color="auto" w:fill="auto"/>
            <w:noWrap/>
            <w:vAlign w:val="center"/>
            <w:hideMark/>
          </w:tcPr>
          <w:p w14:paraId="51B4B63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49</w:t>
            </w:r>
          </w:p>
        </w:tc>
        <w:tc>
          <w:tcPr>
            <w:tcW w:w="657" w:type="dxa"/>
            <w:tcBorders>
              <w:top w:val="nil"/>
              <w:left w:val="nil"/>
              <w:bottom w:val="nil"/>
              <w:right w:val="nil"/>
            </w:tcBorders>
            <w:shd w:val="clear" w:color="auto" w:fill="auto"/>
            <w:noWrap/>
            <w:vAlign w:val="center"/>
            <w:hideMark/>
          </w:tcPr>
          <w:p w14:paraId="1CBF0BD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1550</w:t>
            </w:r>
          </w:p>
        </w:tc>
        <w:tc>
          <w:tcPr>
            <w:tcW w:w="771" w:type="dxa"/>
            <w:tcBorders>
              <w:top w:val="nil"/>
              <w:left w:val="nil"/>
              <w:bottom w:val="nil"/>
              <w:right w:val="nil"/>
            </w:tcBorders>
            <w:shd w:val="clear" w:color="auto" w:fill="auto"/>
            <w:noWrap/>
            <w:vAlign w:val="center"/>
            <w:hideMark/>
          </w:tcPr>
          <w:p w14:paraId="6836D36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959</w:t>
            </w:r>
          </w:p>
        </w:tc>
        <w:tc>
          <w:tcPr>
            <w:tcW w:w="593" w:type="dxa"/>
            <w:tcBorders>
              <w:top w:val="nil"/>
              <w:left w:val="nil"/>
              <w:bottom w:val="nil"/>
              <w:right w:val="nil"/>
            </w:tcBorders>
            <w:shd w:val="clear" w:color="auto" w:fill="auto"/>
            <w:noWrap/>
            <w:vAlign w:val="center"/>
            <w:hideMark/>
          </w:tcPr>
          <w:p w14:paraId="1A5835F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154</w:t>
            </w:r>
          </w:p>
        </w:tc>
        <w:tc>
          <w:tcPr>
            <w:tcW w:w="657" w:type="dxa"/>
            <w:tcBorders>
              <w:top w:val="nil"/>
              <w:left w:val="nil"/>
              <w:bottom w:val="nil"/>
              <w:right w:val="nil"/>
            </w:tcBorders>
            <w:shd w:val="clear" w:color="auto" w:fill="auto"/>
            <w:noWrap/>
            <w:vAlign w:val="center"/>
            <w:hideMark/>
          </w:tcPr>
          <w:p w14:paraId="451BE72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5419</w:t>
            </w:r>
          </w:p>
        </w:tc>
        <w:tc>
          <w:tcPr>
            <w:tcW w:w="771" w:type="dxa"/>
            <w:tcBorders>
              <w:top w:val="nil"/>
              <w:left w:val="nil"/>
              <w:bottom w:val="nil"/>
              <w:right w:val="nil"/>
            </w:tcBorders>
            <w:shd w:val="clear" w:color="auto" w:fill="auto"/>
            <w:noWrap/>
            <w:vAlign w:val="center"/>
            <w:hideMark/>
          </w:tcPr>
          <w:p w14:paraId="5A7F9E8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1377</w:t>
            </w:r>
          </w:p>
        </w:tc>
        <w:tc>
          <w:tcPr>
            <w:tcW w:w="657" w:type="dxa"/>
            <w:tcBorders>
              <w:top w:val="nil"/>
              <w:left w:val="nil"/>
              <w:bottom w:val="nil"/>
              <w:right w:val="nil"/>
            </w:tcBorders>
            <w:shd w:val="clear" w:color="auto" w:fill="auto"/>
            <w:noWrap/>
            <w:vAlign w:val="center"/>
            <w:hideMark/>
          </w:tcPr>
          <w:p w14:paraId="6CF0A4C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1075</w:t>
            </w:r>
          </w:p>
        </w:tc>
        <w:tc>
          <w:tcPr>
            <w:tcW w:w="657" w:type="dxa"/>
            <w:tcBorders>
              <w:top w:val="nil"/>
              <w:left w:val="nil"/>
              <w:bottom w:val="nil"/>
              <w:right w:val="single" w:sz="8" w:space="0" w:color="002060"/>
            </w:tcBorders>
            <w:shd w:val="clear" w:color="auto" w:fill="auto"/>
            <w:noWrap/>
            <w:vAlign w:val="center"/>
            <w:hideMark/>
          </w:tcPr>
          <w:p w14:paraId="66EF934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1845</w:t>
            </w:r>
          </w:p>
        </w:tc>
        <w:tc>
          <w:tcPr>
            <w:tcW w:w="875" w:type="dxa"/>
            <w:vMerge/>
            <w:tcBorders>
              <w:top w:val="single" w:sz="8" w:space="0" w:color="002060"/>
              <w:left w:val="single" w:sz="8" w:space="0" w:color="002060"/>
              <w:bottom w:val="nil"/>
              <w:right w:val="single" w:sz="8" w:space="0" w:color="002060"/>
            </w:tcBorders>
            <w:vAlign w:val="center"/>
            <w:hideMark/>
          </w:tcPr>
          <w:p w14:paraId="0FF120C6"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3082FE9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169</w:t>
            </w:r>
          </w:p>
        </w:tc>
        <w:tc>
          <w:tcPr>
            <w:tcW w:w="614" w:type="dxa"/>
            <w:tcBorders>
              <w:top w:val="nil"/>
              <w:left w:val="nil"/>
              <w:bottom w:val="nil"/>
              <w:right w:val="nil"/>
            </w:tcBorders>
            <w:shd w:val="clear" w:color="auto" w:fill="auto"/>
            <w:noWrap/>
            <w:vAlign w:val="center"/>
            <w:hideMark/>
          </w:tcPr>
          <w:p w14:paraId="2C6D6BE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2135</w:t>
            </w:r>
          </w:p>
        </w:tc>
        <w:tc>
          <w:tcPr>
            <w:tcW w:w="712" w:type="dxa"/>
            <w:tcBorders>
              <w:top w:val="nil"/>
              <w:left w:val="nil"/>
              <w:bottom w:val="nil"/>
              <w:right w:val="nil"/>
            </w:tcBorders>
            <w:shd w:val="clear" w:color="auto" w:fill="auto"/>
            <w:noWrap/>
            <w:vAlign w:val="center"/>
            <w:hideMark/>
          </w:tcPr>
          <w:p w14:paraId="7CD050B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854</w:t>
            </w:r>
          </w:p>
        </w:tc>
        <w:tc>
          <w:tcPr>
            <w:tcW w:w="569" w:type="dxa"/>
            <w:tcBorders>
              <w:top w:val="nil"/>
              <w:left w:val="nil"/>
              <w:bottom w:val="nil"/>
              <w:right w:val="nil"/>
            </w:tcBorders>
            <w:shd w:val="clear" w:color="auto" w:fill="auto"/>
            <w:noWrap/>
            <w:vAlign w:val="center"/>
            <w:hideMark/>
          </w:tcPr>
          <w:p w14:paraId="5EB6066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99</w:t>
            </w:r>
          </w:p>
        </w:tc>
        <w:tc>
          <w:tcPr>
            <w:tcW w:w="657" w:type="dxa"/>
            <w:tcBorders>
              <w:top w:val="nil"/>
              <w:left w:val="nil"/>
              <w:bottom w:val="nil"/>
              <w:right w:val="nil"/>
            </w:tcBorders>
            <w:shd w:val="clear" w:color="auto" w:fill="auto"/>
            <w:noWrap/>
            <w:vAlign w:val="center"/>
            <w:hideMark/>
          </w:tcPr>
          <w:p w14:paraId="082069A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5498</w:t>
            </w:r>
          </w:p>
        </w:tc>
        <w:tc>
          <w:tcPr>
            <w:tcW w:w="791" w:type="dxa"/>
            <w:tcBorders>
              <w:top w:val="nil"/>
              <w:left w:val="nil"/>
              <w:bottom w:val="nil"/>
              <w:right w:val="nil"/>
            </w:tcBorders>
            <w:shd w:val="clear" w:color="auto" w:fill="auto"/>
            <w:noWrap/>
            <w:vAlign w:val="center"/>
            <w:hideMark/>
          </w:tcPr>
          <w:p w14:paraId="5E80C82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2111</w:t>
            </w:r>
          </w:p>
        </w:tc>
        <w:tc>
          <w:tcPr>
            <w:tcW w:w="569" w:type="dxa"/>
            <w:tcBorders>
              <w:top w:val="nil"/>
              <w:left w:val="nil"/>
              <w:bottom w:val="nil"/>
              <w:right w:val="nil"/>
            </w:tcBorders>
            <w:shd w:val="clear" w:color="auto" w:fill="auto"/>
            <w:noWrap/>
            <w:vAlign w:val="center"/>
            <w:hideMark/>
          </w:tcPr>
          <w:p w14:paraId="0D8CA19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1592</w:t>
            </w:r>
          </w:p>
        </w:tc>
        <w:tc>
          <w:tcPr>
            <w:tcW w:w="655" w:type="dxa"/>
            <w:tcBorders>
              <w:top w:val="nil"/>
              <w:left w:val="nil"/>
              <w:bottom w:val="nil"/>
              <w:right w:val="single" w:sz="8" w:space="0" w:color="002060"/>
            </w:tcBorders>
            <w:shd w:val="clear" w:color="auto" w:fill="auto"/>
            <w:noWrap/>
            <w:vAlign w:val="center"/>
            <w:hideMark/>
          </w:tcPr>
          <w:p w14:paraId="67201AF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2570</w:t>
            </w:r>
          </w:p>
        </w:tc>
      </w:tr>
      <w:tr w:rsidR="00AE564D" w:rsidRPr="00054EF9" w14:paraId="0D56924D" w14:textId="77777777" w:rsidTr="00054EF9">
        <w:trPr>
          <w:trHeight w:val="255"/>
          <w:jc w:val="center"/>
        </w:trPr>
        <w:tc>
          <w:tcPr>
            <w:tcW w:w="764" w:type="dxa"/>
            <w:vMerge/>
            <w:tcBorders>
              <w:top w:val="single" w:sz="8" w:space="0" w:color="002060"/>
              <w:left w:val="single" w:sz="8" w:space="0" w:color="002060"/>
              <w:bottom w:val="nil"/>
              <w:right w:val="single" w:sz="8" w:space="0" w:color="002060"/>
            </w:tcBorders>
            <w:vAlign w:val="center"/>
            <w:hideMark/>
          </w:tcPr>
          <w:p w14:paraId="13274423"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646DB194"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5F4263D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Med Fresh</w:t>
            </w:r>
          </w:p>
        </w:tc>
        <w:tc>
          <w:tcPr>
            <w:tcW w:w="533" w:type="dxa"/>
            <w:tcBorders>
              <w:top w:val="nil"/>
              <w:left w:val="nil"/>
              <w:bottom w:val="nil"/>
              <w:right w:val="nil"/>
            </w:tcBorders>
            <w:shd w:val="clear" w:color="auto" w:fill="auto"/>
            <w:noWrap/>
            <w:vAlign w:val="center"/>
            <w:hideMark/>
          </w:tcPr>
          <w:p w14:paraId="10FC15B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85</w:t>
            </w:r>
          </w:p>
        </w:tc>
        <w:tc>
          <w:tcPr>
            <w:tcW w:w="657" w:type="dxa"/>
            <w:tcBorders>
              <w:top w:val="nil"/>
              <w:left w:val="nil"/>
              <w:bottom w:val="nil"/>
              <w:right w:val="nil"/>
            </w:tcBorders>
            <w:shd w:val="clear" w:color="auto" w:fill="auto"/>
            <w:noWrap/>
            <w:vAlign w:val="center"/>
            <w:hideMark/>
          </w:tcPr>
          <w:p w14:paraId="31DA616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2152</w:t>
            </w:r>
          </w:p>
        </w:tc>
        <w:tc>
          <w:tcPr>
            <w:tcW w:w="771" w:type="dxa"/>
            <w:tcBorders>
              <w:top w:val="nil"/>
              <w:left w:val="nil"/>
              <w:bottom w:val="nil"/>
              <w:right w:val="nil"/>
            </w:tcBorders>
            <w:shd w:val="clear" w:color="auto" w:fill="auto"/>
            <w:noWrap/>
            <w:vAlign w:val="center"/>
            <w:hideMark/>
          </w:tcPr>
          <w:p w14:paraId="21D693C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1332</w:t>
            </w:r>
          </w:p>
        </w:tc>
        <w:tc>
          <w:tcPr>
            <w:tcW w:w="593" w:type="dxa"/>
            <w:tcBorders>
              <w:top w:val="nil"/>
              <w:left w:val="nil"/>
              <w:bottom w:val="nil"/>
              <w:right w:val="nil"/>
            </w:tcBorders>
            <w:shd w:val="clear" w:color="auto" w:fill="auto"/>
            <w:noWrap/>
            <w:vAlign w:val="center"/>
            <w:hideMark/>
          </w:tcPr>
          <w:p w14:paraId="3FF0862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316</w:t>
            </w:r>
          </w:p>
        </w:tc>
        <w:tc>
          <w:tcPr>
            <w:tcW w:w="657" w:type="dxa"/>
            <w:tcBorders>
              <w:top w:val="nil"/>
              <w:left w:val="nil"/>
              <w:bottom w:val="nil"/>
              <w:right w:val="nil"/>
            </w:tcBorders>
            <w:shd w:val="clear" w:color="auto" w:fill="auto"/>
            <w:noWrap/>
            <w:vAlign w:val="center"/>
            <w:hideMark/>
          </w:tcPr>
          <w:p w14:paraId="09572A8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7337</w:t>
            </w:r>
          </w:p>
        </w:tc>
        <w:tc>
          <w:tcPr>
            <w:tcW w:w="771" w:type="dxa"/>
            <w:tcBorders>
              <w:top w:val="nil"/>
              <w:left w:val="nil"/>
              <w:bottom w:val="nil"/>
              <w:right w:val="nil"/>
            </w:tcBorders>
            <w:shd w:val="clear" w:color="auto" w:fill="auto"/>
            <w:noWrap/>
            <w:vAlign w:val="center"/>
            <w:hideMark/>
          </w:tcPr>
          <w:p w14:paraId="70069AB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1902</w:t>
            </w:r>
          </w:p>
        </w:tc>
        <w:tc>
          <w:tcPr>
            <w:tcW w:w="657" w:type="dxa"/>
            <w:tcBorders>
              <w:top w:val="nil"/>
              <w:left w:val="nil"/>
              <w:bottom w:val="nil"/>
              <w:right w:val="nil"/>
            </w:tcBorders>
            <w:shd w:val="clear" w:color="auto" w:fill="auto"/>
            <w:noWrap/>
            <w:vAlign w:val="center"/>
            <w:hideMark/>
          </w:tcPr>
          <w:p w14:paraId="486B128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1215</w:t>
            </w:r>
          </w:p>
        </w:tc>
        <w:tc>
          <w:tcPr>
            <w:tcW w:w="657" w:type="dxa"/>
            <w:tcBorders>
              <w:top w:val="nil"/>
              <w:left w:val="nil"/>
              <w:bottom w:val="nil"/>
              <w:right w:val="single" w:sz="8" w:space="0" w:color="002060"/>
            </w:tcBorders>
            <w:shd w:val="clear" w:color="auto" w:fill="auto"/>
            <w:noWrap/>
            <w:vAlign w:val="center"/>
            <w:hideMark/>
          </w:tcPr>
          <w:p w14:paraId="4EB1FAF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2756</w:t>
            </w:r>
          </w:p>
        </w:tc>
        <w:tc>
          <w:tcPr>
            <w:tcW w:w="875" w:type="dxa"/>
            <w:vMerge/>
            <w:tcBorders>
              <w:top w:val="single" w:sz="8" w:space="0" w:color="002060"/>
              <w:left w:val="single" w:sz="8" w:space="0" w:color="002060"/>
              <w:bottom w:val="nil"/>
              <w:right w:val="single" w:sz="8" w:space="0" w:color="002060"/>
            </w:tcBorders>
            <w:vAlign w:val="center"/>
            <w:hideMark/>
          </w:tcPr>
          <w:p w14:paraId="1CF4B0BE"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722D1D8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w:t>
            </w:r>
          </w:p>
        </w:tc>
        <w:tc>
          <w:tcPr>
            <w:tcW w:w="614" w:type="dxa"/>
            <w:tcBorders>
              <w:top w:val="nil"/>
              <w:left w:val="nil"/>
              <w:bottom w:val="nil"/>
              <w:right w:val="nil"/>
            </w:tcBorders>
            <w:shd w:val="clear" w:color="auto" w:fill="auto"/>
            <w:noWrap/>
            <w:vAlign w:val="center"/>
            <w:hideMark/>
          </w:tcPr>
          <w:p w14:paraId="47D36A5C" w14:textId="77777777" w:rsidR="00AE564D" w:rsidRPr="00054EF9" w:rsidRDefault="00AE564D" w:rsidP="00E26D3C">
            <w:pPr>
              <w:spacing w:after="0" w:line="240" w:lineRule="auto"/>
              <w:jc w:val="center"/>
              <w:rPr>
                <w:rFonts w:eastAsia="Times New Roman" w:cstheme="minorHAnsi"/>
                <w:color w:val="000000"/>
                <w:sz w:val="18"/>
                <w:szCs w:val="18"/>
                <w:lang w:eastAsia="en-AU"/>
              </w:rPr>
            </w:pPr>
          </w:p>
        </w:tc>
        <w:tc>
          <w:tcPr>
            <w:tcW w:w="712" w:type="dxa"/>
            <w:tcBorders>
              <w:top w:val="nil"/>
              <w:left w:val="nil"/>
              <w:bottom w:val="nil"/>
              <w:right w:val="nil"/>
            </w:tcBorders>
            <w:shd w:val="clear" w:color="auto" w:fill="auto"/>
            <w:noWrap/>
            <w:vAlign w:val="center"/>
            <w:hideMark/>
          </w:tcPr>
          <w:p w14:paraId="14A437D9" w14:textId="77777777" w:rsidR="00AE564D" w:rsidRPr="00054EF9" w:rsidRDefault="00AE564D" w:rsidP="00E26D3C">
            <w:pPr>
              <w:spacing w:after="0" w:line="240" w:lineRule="auto"/>
              <w:jc w:val="center"/>
              <w:rPr>
                <w:rFonts w:eastAsia="Times New Roman" w:cstheme="minorHAnsi"/>
                <w:sz w:val="18"/>
                <w:szCs w:val="18"/>
                <w:lang w:eastAsia="en-AU"/>
              </w:rPr>
            </w:pPr>
          </w:p>
        </w:tc>
        <w:tc>
          <w:tcPr>
            <w:tcW w:w="569" w:type="dxa"/>
            <w:tcBorders>
              <w:top w:val="nil"/>
              <w:left w:val="nil"/>
              <w:bottom w:val="nil"/>
              <w:right w:val="nil"/>
            </w:tcBorders>
            <w:shd w:val="clear" w:color="auto" w:fill="auto"/>
            <w:noWrap/>
            <w:vAlign w:val="center"/>
            <w:hideMark/>
          </w:tcPr>
          <w:p w14:paraId="7AFF2CF0" w14:textId="77777777" w:rsidR="00AE564D" w:rsidRPr="00054EF9" w:rsidRDefault="00AE564D" w:rsidP="00E26D3C">
            <w:pPr>
              <w:spacing w:after="0" w:line="240" w:lineRule="auto"/>
              <w:jc w:val="center"/>
              <w:rPr>
                <w:rFonts w:eastAsia="Times New Roman" w:cstheme="minorHAnsi"/>
                <w:sz w:val="18"/>
                <w:szCs w:val="18"/>
                <w:lang w:eastAsia="en-AU"/>
              </w:rPr>
            </w:pPr>
          </w:p>
        </w:tc>
        <w:tc>
          <w:tcPr>
            <w:tcW w:w="657" w:type="dxa"/>
            <w:tcBorders>
              <w:top w:val="nil"/>
              <w:left w:val="nil"/>
              <w:bottom w:val="nil"/>
              <w:right w:val="nil"/>
            </w:tcBorders>
            <w:shd w:val="clear" w:color="auto" w:fill="auto"/>
            <w:noWrap/>
            <w:vAlign w:val="center"/>
            <w:hideMark/>
          </w:tcPr>
          <w:p w14:paraId="2A6BDA5E" w14:textId="77777777" w:rsidR="00AE564D" w:rsidRPr="00054EF9" w:rsidRDefault="00AE564D" w:rsidP="00E26D3C">
            <w:pPr>
              <w:spacing w:after="0" w:line="240" w:lineRule="auto"/>
              <w:jc w:val="center"/>
              <w:rPr>
                <w:rFonts w:eastAsia="Times New Roman" w:cstheme="minorHAnsi"/>
                <w:sz w:val="18"/>
                <w:szCs w:val="18"/>
                <w:lang w:eastAsia="en-AU"/>
              </w:rPr>
            </w:pPr>
          </w:p>
        </w:tc>
        <w:tc>
          <w:tcPr>
            <w:tcW w:w="791" w:type="dxa"/>
            <w:tcBorders>
              <w:top w:val="nil"/>
              <w:left w:val="nil"/>
              <w:bottom w:val="nil"/>
              <w:right w:val="nil"/>
            </w:tcBorders>
            <w:shd w:val="clear" w:color="auto" w:fill="auto"/>
            <w:noWrap/>
            <w:vAlign w:val="center"/>
            <w:hideMark/>
          </w:tcPr>
          <w:p w14:paraId="06A50046" w14:textId="77777777" w:rsidR="00AE564D" w:rsidRPr="00054EF9" w:rsidRDefault="00AE564D" w:rsidP="00E26D3C">
            <w:pPr>
              <w:spacing w:after="0" w:line="240" w:lineRule="auto"/>
              <w:jc w:val="center"/>
              <w:rPr>
                <w:rFonts w:eastAsia="Times New Roman" w:cstheme="minorHAnsi"/>
                <w:sz w:val="18"/>
                <w:szCs w:val="18"/>
                <w:lang w:eastAsia="en-AU"/>
              </w:rPr>
            </w:pPr>
          </w:p>
        </w:tc>
        <w:tc>
          <w:tcPr>
            <w:tcW w:w="569" w:type="dxa"/>
            <w:tcBorders>
              <w:top w:val="nil"/>
              <w:left w:val="nil"/>
              <w:bottom w:val="nil"/>
              <w:right w:val="nil"/>
            </w:tcBorders>
            <w:shd w:val="clear" w:color="auto" w:fill="auto"/>
            <w:noWrap/>
            <w:vAlign w:val="center"/>
            <w:hideMark/>
          </w:tcPr>
          <w:p w14:paraId="030832C8" w14:textId="77777777" w:rsidR="00AE564D" w:rsidRPr="00054EF9" w:rsidRDefault="00AE564D" w:rsidP="00E26D3C">
            <w:pPr>
              <w:spacing w:after="0" w:line="240" w:lineRule="auto"/>
              <w:jc w:val="center"/>
              <w:rPr>
                <w:rFonts w:eastAsia="Times New Roman" w:cstheme="minorHAnsi"/>
                <w:sz w:val="18"/>
                <w:szCs w:val="18"/>
                <w:lang w:eastAsia="en-AU"/>
              </w:rPr>
            </w:pPr>
          </w:p>
        </w:tc>
        <w:tc>
          <w:tcPr>
            <w:tcW w:w="655" w:type="dxa"/>
            <w:tcBorders>
              <w:top w:val="nil"/>
              <w:left w:val="nil"/>
              <w:bottom w:val="nil"/>
              <w:right w:val="single" w:sz="8" w:space="0" w:color="002060"/>
            </w:tcBorders>
            <w:shd w:val="clear" w:color="auto" w:fill="auto"/>
            <w:noWrap/>
            <w:vAlign w:val="center"/>
            <w:hideMark/>
          </w:tcPr>
          <w:p w14:paraId="6C90E2B8" w14:textId="77777777" w:rsidR="00AE564D" w:rsidRPr="00054EF9" w:rsidRDefault="00AE564D" w:rsidP="00E26D3C">
            <w:pPr>
              <w:spacing w:after="0" w:line="240" w:lineRule="auto"/>
              <w:jc w:val="center"/>
              <w:rPr>
                <w:rFonts w:eastAsia="Times New Roman" w:cstheme="minorHAnsi"/>
                <w:color w:val="FF0000"/>
                <w:sz w:val="18"/>
                <w:szCs w:val="18"/>
                <w:lang w:eastAsia="en-AU"/>
              </w:rPr>
            </w:pPr>
            <w:r w:rsidRPr="00054EF9">
              <w:rPr>
                <w:rFonts w:eastAsia="Times New Roman" w:cstheme="minorHAnsi"/>
                <w:color w:val="FF0000"/>
                <w:sz w:val="18"/>
                <w:szCs w:val="18"/>
                <w:lang w:eastAsia="en-AU"/>
              </w:rPr>
              <w:t> </w:t>
            </w:r>
          </w:p>
        </w:tc>
      </w:tr>
      <w:tr w:rsidR="00AE564D" w:rsidRPr="00054EF9" w14:paraId="4873B6C8" w14:textId="77777777" w:rsidTr="00054EF9">
        <w:trPr>
          <w:trHeight w:val="255"/>
          <w:jc w:val="center"/>
        </w:trPr>
        <w:tc>
          <w:tcPr>
            <w:tcW w:w="764" w:type="dxa"/>
            <w:vMerge/>
            <w:tcBorders>
              <w:top w:val="single" w:sz="8" w:space="0" w:color="002060"/>
              <w:left w:val="single" w:sz="8" w:space="0" w:color="002060"/>
              <w:bottom w:val="nil"/>
              <w:right w:val="single" w:sz="8" w:space="0" w:color="002060"/>
            </w:tcBorders>
            <w:vAlign w:val="center"/>
            <w:hideMark/>
          </w:tcPr>
          <w:p w14:paraId="4D375C47"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5FDBF47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Moss Rd / Day Rd / Murchison</w:t>
            </w:r>
          </w:p>
        </w:tc>
        <w:tc>
          <w:tcPr>
            <w:tcW w:w="1002" w:type="dxa"/>
            <w:tcBorders>
              <w:top w:val="single" w:sz="8" w:space="0" w:color="002060"/>
              <w:left w:val="nil"/>
              <w:bottom w:val="nil"/>
              <w:right w:val="nil"/>
            </w:tcBorders>
            <w:shd w:val="clear" w:color="auto" w:fill="auto"/>
            <w:noWrap/>
            <w:vAlign w:val="center"/>
            <w:hideMark/>
          </w:tcPr>
          <w:p w14:paraId="143F8AC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Very Low</w:t>
            </w:r>
          </w:p>
        </w:tc>
        <w:tc>
          <w:tcPr>
            <w:tcW w:w="533" w:type="dxa"/>
            <w:tcBorders>
              <w:top w:val="single" w:sz="8" w:space="0" w:color="002060"/>
              <w:left w:val="nil"/>
              <w:bottom w:val="nil"/>
              <w:right w:val="nil"/>
            </w:tcBorders>
            <w:shd w:val="clear" w:color="auto" w:fill="auto"/>
            <w:noWrap/>
            <w:vAlign w:val="center"/>
            <w:hideMark/>
          </w:tcPr>
          <w:p w14:paraId="64BB913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42</w:t>
            </w:r>
          </w:p>
        </w:tc>
        <w:tc>
          <w:tcPr>
            <w:tcW w:w="657" w:type="dxa"/>
            <w:tcBorders>
              <w:top w:val="single" w:sz="8" w:space="0" w:color="002060"/>
              <w:left w:val="nil"/>
              <w:bottom w:val="nil"/>
              <w:right w:val="nil"/>
            </w:tcBorders>
            <w:shd w:val="clear" w:color="auto" w:fill="auto"/>
            <w:noWrap/>
            <w:vAlign w:val="center"/>
            <w:hideMark/>
          </w:tcPr>
          <w:p w14:paraId="0ABEC92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1681</w:t>
            </w:r>
          </w:p>
        </w:tc>
        <w:tc>
          <w:tcPr>
            <w:tcW w:w="771" w:type="dxa"/>
            <w:tcBorders>
              <w:top w:val="single" w:sz="8" w:space="0" w:color="002060"/>
              <w:left w:val="nil"/>
              <w:bottom w:val="nil"/>
              <w:right w:val="nil"/>
            </w:tcBorders>
            <w:shd w:val="clear" w:color="auto" w:fill="auto"/>
            <w:noWrap/>
            <w:vAlign w:val="center"/>
            <w:hideMark/>
          </w:tcPr>
          <w:p w14:paraId="5438367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1361</w:t>
            </w:r>
          </w:p>
        </w:tc>
        <w:tc>
          <w:tcPr>
            <w:tcW w:w="593" w:type="dxa"/>
            <w:tcBorders>
              <w:top w:val="single" w:sz="8" w:space="0" w:color="002060"/>
              <w:left w:val="nil"/>
              <w:bottom w:val="nil"/>
              <w:right w:val="nil"/>
            </w:tcBorders>
            <w:shd w:val="clear" w:color="auto" w:fill="auto"/>
            <w:noWrap/>
            <w:vAlign w:val="center"/>
            <w:hideMark/>
          </w:tcPr>
          <w:p w14:paraId="0B8E1D6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257</w:t>
            </w:r>
          </w:p>
        </w:tc>
        <w:tc>
          <w:tcPr>
            <w:tcW w:w="657" w:type="dxa"/>
            <w:tcBorders>
              <w:top w:val="single" w:sz="8" w:space="0" w:color="002060"/>
              <w:left w:val="nil"/>
              <w:bottom w:val="nil"/>
              <w:right w:val="nil"/>
            </w:tcBorders>
            <w:shd w:val="clear" w:color="auto" w:fill="auto"/>
            <w:noWrap/>
            <w:vAlign w:val="center"/>
            <w:hideMark/>
          </w:tcPr>
          <w:p w14:paraId="660B4F7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4558</w:t>
            </w:r>
          </w:p>
        </w:tc>
        <w:tc>
          <w:tcPr>
            <w:tcW w:w="771" w:type="dxa"/>
            <w:tcBorders>
              <w:top w:val="single" w:sz="8" w:space="0" w:color="002060"/>
              <w:left w:val="nil"/>
              <w:bottom w:val="nil"/>
              <w:right w:val="nil"/>
            </w:tcBorders>
            <w:shd w:val="clear" w:color="auto" w:fill="auto"/>
            <w:noWrap/>
            <w:vAlign w:val="center"/>
            <w:hideMark/>
          </w:tcPr>
          <w:p w14:paraId="5AF4478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1115</w:t>
            </w:r>
          </w:p>
        </w:tc>
        <w:tc>
          <w:tcPr>
            <w:tcW w:w="657" w:type="dxa"/>
            <w:tcBorders>
              <w:top w:val="single" w:sz="8" w:space="0" w:color="002060"/>
              <w:left w:val="nil"/>
              <w:bottom w:val="nil"/>
              <w:right w:val="nil"/>
            </w:tcBorders>
            <w:shd w:val="clear" w:color="auto" w:fill="auto"/>
            <w:noWrap/>
            <w:vAlign w:val="center"/>
            <w:hideMark/>
          </w:tcPr>
          <w:p w14:paraId="68698BF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474</w:t>
            </w:r>
          </w:p>
        </w:tc>
        <w:tc>
          <w:tcPr>
            <w:tcW w:w="657" w:type="dxa"/>
            <w:tcBorders>
              <w:top w:val="single" w:sz="8" w:space="0" w:color="002060"/>
              <w:left w:val="nil"/>
              <w:bottom w:val="nil"/>
              <w:right w:val="single" w:sz="8" w:space="0" w:color="002060"/>
            </w:tcBorders>
            <w:shd w:val="clear" w:color="auto" w:fill="auto"/>
            <w:noWrap/>
            <w:vAlign w:val="center"/>
            <w:hideMark/>
          </w:tcPr>
          <w:p w14:paraId="342C69B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2912</w:t>
            </w:r>
          </w:p>
        </w:tc>
        <w:tc>
          <w:tcPr>
            <w:tcW w:w="875" w:type="dxa"/>
            <w:vMerge/>
            <w:tcBorders>
              <w:top w:val="single" w:sz="8" w:space="0" w:color="002060"/>
              <w:left w:val="single" w:sz="8" w:space="0" w:color="002060"/>
              <w:bottom w:val="nil"/>
              <w:right w:val="single" w:sz="8" w:space="0" w:color="002060"/>
            </w:tcBorders>
            <w:vAlign w:val="center"/>
            <w:hideMark/>
          </w:tcPr>
          <w:p w14:paraId="26E04E2D"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single" w:sz="8" w:space="0" w:color="002060"/>
              <w:left w:val="nil"/>
              <w:bottom w:val="nil"/>
              <w:right w:val="nil"/>
            </w:tcBorders>
            <w:shd w:val="clear" w:color="auto" w:fill="auto"/>
            <w:noWrap/>
            <w:vAlign w:val="center"/>
            <w:hideMark/>
          </w:tcPr>
          <w:p w14:paraId="0623CCC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30</w:t>
            </w:r>
          </w:p>
        </w:tc>
        <w:tc>
          <w:tcPr>
            <w:tcW w:w="614" w:type="dxa"/>
            <w:tcBorders>
              <w:top w:val="single" w:sz="8" w:space="0" w:color="002060"/>
              <w:left w:val="nil"/>
              <w:bottom w:val="nil"/>
              <w:right w:val="nil"/>
            </w:tcBorders>
            <w:shd w:val="clear" w:color="auto" w:fill="auto"/>
            <w:noWrap/>
            <w:vAlign w:val="center"/>
            <w:hideMark/>
          </w:tcPr>
          <w:p w14:paraId="267372CA"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1943</w:t>
            </w:r>
          </w:p>
        </w:tc>
        <w:tc>
          <w:tcPr>
            <w:tcW w:w="712" w:type="dxa"/>
            <w:tcBorders>
              <w:top w:val="single" w:sz="8" w:space="0" w:color="002060"/>
              <w:left w:val="nil"/>
              <w:bottom w:val="nil"/>
              <w:right w:val="nil"/>
            </w:tcBorders>
            <w:shd w:val="clear" w:color="auto" w:fill="auto"/>
            <w:noWrap/>
            <w:vAlign w:val="center"/>
            <w:hideMark/>
          </w:tcPr>
          <w:p w14:paraId="3607855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1785</w:t>
            </w:r>
          </w:p>
        </w:tc>
        <w:tc>
          <w:tcPr>
            <w:tcW w:w="569" w:type="dxa"/>
            <w:tcBorders>
              <w:top w:val="single" w:sz="8" w:space="0" w:color="002060"/>
              <w:left w:val="nil"/>
              <w:bottom w:val="nil"/>
              <w:right w:val="nil"/>
            </w:tcBorders>
            <w:shd w:val="clear" w:color="auto" w:fill="auto"/>
            <w:noWrap/>
            <w:vAlign w:val="center"/>
            <w:hideMark/>
          </w:tcPr>
          <w:p w14:paraId="5992A81A"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445</w:t>
            </w:r>
          </w:p>
        </w:tc>
        <w:tc>
          <w:tcPr>
            <w:tcW w:w="657" w:type="dxa"/>
            <w:tcBorders>
              <w:top w:val="single" w:sz="8" w:space="0" w:color="002060"/>
              <w:left w:val="nil"/>
              <w:bottom w:val="nil"/>
              <w:right w:val="nil"/>
            </w:tcBorders>
            <w:shd w:val="clear" w:color="auto" w:fill="auto"/>
            <w:noWrap/>
            <w:vAlign w:val="center"/>
            <w:hideMark/>
          </w:tcPr>
          <w:p w14:paraId="6A47DD5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6702</w:t>
            </w:r>
          </w:p>
        </w:tc>
        <w:tc>
          <w:tcPr>
            <w:tcW w:w="791" w:type="dxa"/>
            <w:tcBorders>
              <w:top w:val="single" w:sz="8" w:space="0" w:color="002060"/>
              <w:left w:val="nil"/>
              <w:bottom w:val="nil"/>
              <w:right w:val="nil"/>
            </w:tcBorders>
            <w:shd w:val="clear" w:color="auto" w:fill="auto"/>
            <w:noWrap/>
            <w:vAlign w:val="center"/>
            <w:hideMark/>
          </w:tcPr>
          <w:p w14:paraId="6202272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1060</w:t>
            </w:r>
          </w:p>
        </w:tc>
        <w:tc>
          <w:tcPr>
            <w:tcW w:w="569" w:type="dxa"/>
            <w:tcBorders>
              <w:top w:val="single" w:sz="8" w:space="0" w:color="002060"/>
              <w:left w:val="nil"/>
              <w:bottom w:val="nil"/>
              <w:right w:val="nil"/>
            </w:tcBorders>
            <w:shd w:val="clear" w:color="auto" w:fill="auto"/>
            <w:noWrap/>
            <w:vAlign w:val="center"/>
            <w:hideMark/>
          </w:tcPr>
          <w:p w14:paraId="07A5860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649</w:t>
            </w:r>
          </w:p>
        </w:tc>
        <w:tc>
          <w:tcPr>
            <w:tcW w:w="655" w:type="dxa"/>
            <w:tcBorders>
              <w:top w:val="single" w:sz="8" w:space="0" w:color="002060"/>
              <w:left w:val="nil"/>
              <w:bottom w:val="nil"/>
              <w:right w:val="single" w:sz="8" w:space="0" w:color="002060"/>
            </w:tcBorders>
            <w:shd w:val="clear" w:color="auto" w:fill="auto"/>
            <w:noWrap/>
            <w:vAlign w:val="center"/>
            <w:hideMark/>
          </w:tcPr>
          <w:p w14:paraId="741443A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2612</w:t>
            </w:r>
          </w:p>
        </w:tc>
      </w:tr>
      <w:tr w:rsidR="00AE564D" w:rsidRPr="00054EF9" w14:paraId="42F16708" w14:textId="77777777" w:rsidTr="00054EF9">
        <w:trPr>
          <w:trHeight w:val="255"/>
          <w:jc w:val="center"/>
        </w:trPr>
        <w:tc>
          <w:tcPr>
            <w:tcW w:w="764" w:type="dxa"/>
            <w:vMerge/>
            <w:tcBorders>
              <w:top w:val="single" w:sz="8" w:space="0" w:color="002060"/>
              <w:left w:val="single" w:sz="8" w:space="0" w:color="002060"/>
              <w:bottom w:val="nil"/>
              <w:right w:val="single" w:sz="8" w:space="0" w:color="002060"/>
            </w:tcBorders>
            <w:vAlign w:val="center"/>
            <w:hideMark/>
          </w:tcPr>
          <w:p w14:paraId="1A37E628"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6D855BA7"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301A0EA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Mod Low</w:t>
            </w:r>
          </w:p>
        </w:tc>
        <w:tc>
          <w:tcPr>
            <w:tcW w:w="533" w:type="dxa"/>
            <w:tcBorders>
              <w:top w:val="nil"/>
              <w:left w:val="nil"/>
              <w:bottom w:val="nil"/>
              <w:right w:val="nil"/>
            </w:tcBorders>
            <w:shd w:val="clear" w:color="auto" w:fill="auto"/>
            <w:noWrap/>
            <w:vAlign w:val="center"/>
            <w:hideMark/>
          </w:tcPr>
          <w:p w14:paraId="72B1EA2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33</w:t>
            </w:r>
          </w:p>
        </w:tc>
        <w:tc>
          <w:tcPr>
            <w:tcW w:w="657" w:type="dxa"/>
            <w:tcBorders>
              <w:top w:val="nil"/>
              <w:left w:val="nil"/>
              <w:bottom w:val="nil"/>
              <w:right w:val="nil"/>
            </w:tcBorders>
            <w:shd w:val="clear" w:color="auto" w:fill="auto"/>
            <w:noWrap/>
            <w:vAlign w:val="center"/>
            <w:hideMark/>
          </w:tcPr>
          <w:p w14:paraId="2E71865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2898</w:t>
            </w:r>
          </w:p>
        </w:tc>
        <w:tc>
          <w:tcPr>
            <w:tcW w:w="771" w:type="dxa"/>
            <w:tcBorders>
              <w:top w:val="nil"/>
              <w:left w:val="nil"/>
              <w:bottom w:val="nil"/>
              <w:right w:val="nil"/>
            </w:tcBorders>
            <w:shd w:val="clear" w:color="auto" w:fill="auto"/>
            <w:noWrap/>
            <w:vAlign w:val="center"/>
            <w:hideMark/>
          </w:tcPr>
          <w:p w14:paraId="543B378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2326</w:t>
            </w:r>
          </w:p>
        </w:tc>
        <w:tc>
          <w:tcPr>
            <w:tcW w:w="593" w:type="dxa"/>
            <w:tcBorders>
              <w:top w:val="nil"/>
              <w:left w:val="nil"/>
              <w:bottom w:val="nil"/>
              <w:right w:val="nil"/>
            </w:tcBorders>
            <w:shd w:val="clear" w:color="auto" w:fill="auto"/>
            <w:noWrap/>
            <w:vAlign w:val="center"/>
            <w:hideMark/>
          </w:tcPr>
          <w:p w14:paraId="7ECE2F4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377</w:t>
            </w:r>
          </w:p>
        </w:tc>
        <w:tc>
          <w:tcPr>
            <w:tcW w:w="657" w:type="dxa"/>
            <w:tcBorders>
              <w:top w:val="nil"/>
              <w:left w:val="nil"/>
              <w:bottom w:val="nil"/>
              <w:right w:val="nil"/>
            </w:tcBorders>
            <w:shd w:val="clear" w:color="auto" w:fill="auto"/>
            <w:noWrap/>
            <w:vAlign w:val="center"/>
            <w:hideMark/>
          </w:tcPr>
          <w:p w14:paraId="46F88C9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9364</w:t>
            </w:r>
          </w:p>
        </w:tc>
        <w:tc>
          <w:tcPr>
            <w:tcW w:w="771" w:type="dxa"/>
            <w:tcBorders>
              <w:top w:val="nil"/>
              <w:left w:val="nil"/>
              <w:bottom w:val="nil"/>
              <w:right w:val="nil"/>
            </w:tcBorders>
            <w:shd w:val="clear" w:color="auto" w:fill="auto"/>
            <w:noWrap/>
            <w:vAlign w:val="center"/>
            <w:hideMark/>
          </w:tcPr>
          <w:p w14:paraId="48362F9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1945</w:t>
            </w:r>
          </w:p>
        </w:tc>
        <w:tc>
          <w:tcPr>
            <w:tcW w:w="657" w:type="dxa"/>
            <w:tcBorders>
              <w:top w:val="nil"/>
              <w:left w:val="nil"/>
              <w:bottom w:val="nil"/>
              <w:right w:val="nil"/>
            </w:tcBorders>
            <w:shd w:val="clear" w:color="auto" w:fill="auto"/>
            <w:noWrap/>
            <w:vAlign w:val="center"/>
            <w:hideMark/>
          </w:tcPr>
          <w:p w14:paraId="61CC3FD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1409</w:t>
            </w:r>
          </w:p>
        </w:tc>
        <w:tc>
          <w:tcPr>
            <w:tcW w:w="657" w:type="dxa"/>
            <w:tcBorders>
              <w:top w:val="nil"/>
              <w:left w:val="nil"/>
              <w:bottom w:val="nil"/>
              <w:right w:val="single" w:sz="8" w:space="0" w:color="002060"/>
            </w:tcBorders>
            <w:shd w:val="clear" w:color="auto" w:fill="auto"/>
            <w:noWrap/>
            <w:vAlign w:val="center"/>
            <w:hideMark/>
          </w:tcPr>
          <w:p w14:paraId="73BA1DB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4618</w:t>
            </w:r>
          </w:p>
        </w:tc>
        <w:tc>
          <w:tcPr>
            <w:tcW w:w="875" w:type="dxa"/>
            <w:vMerge/>
            <w:tcBorders>
              <w:top w:val="single" w:sz="8" w:space="0" w:color="002060"/>
              <w:left w:val="single" w:sz="8" w:space="0" w:color="002060"/>
              <w:bottom w:val="nil"/>
              <w:right w:val="single" w:sz="8" w:space="0" w:color="002060"/>
            </w:tcBorders>
            <w:vAlign w:val="center"/>
            <w:hideMark/>
          </w:tcPr>
          <w:p w14:paraId="4612733C"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4CDB8D8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164</w:t>
            </w:r>
          </w:p>
        </w:tc>
        <w:tc>
          <w:tcPr>
            <w:tcW w:w="614" w:type="dxa"/>
            <w:tcBorders>
              <w:top w:val="nil"/>
              <w:left w:val="nil"/>
              <w:bottom w:val="nil"/>
              <w:right w:val="nil"/>
            </w:tcBorders>
            <w:shd w:val="clear" w:color="auto" w:fill="auto"/>
            <w:noWrap/>
            <w:vAlign w:val="center"/>
            <w:hideMark/>
          </w:tcPr>
          <w:p w14:paraId="1DD2426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2954</w:t>
            </w:r>
          </w:p>
        </w:tc>
        <w:tc>
          <w:tcPr>
            <w:tcW w:w="712" w:type="dxa"/>
            <w:tcBorders>
              <w:top w:val="nil"/>
              <w:left w:val="nil"/>
              <w:bottom w:val="nil"/>
              <w:right w:val="nil"/>
            </w:tcBorders>
            <w:shd w:val="clear" w:color="auto" w:fill="auto"/>
            <w:noWrap/>
            <w:vAlign w:val="center"/>
            <w:hideMark/>
          </w:tcPr>
          <w:p w14:paraId="264922C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2990</w:t>
            </w:r>
          </w:p>
        </w:tc>
        <w:tc>
          <w:tcPr>
            <w:tcW w:w="569" w:type="dxa"/>
            <w:tcBorders>
              <w:top w:val="nil"/>
              <w:left w:val="nil"/>
              <w:bottom w:val="nil"/>
              <w:right w:val="nil"/>
            </w:tcBorders>
            <w:shd w:val="clear" w:color="auto" w:fill="auto"/>
            <w:noWrap/>
            <w:vAlign w:val="center"/>
            <w:hideMark/>
          </w:tcPr>
          <w:p w14:paraId="5EC83E8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379</w:t>
            </w:r>
          </w:p>
        </w:tc>
        <w:tc>
          <w:tcPr>
            <w:tcW w:w="657" w:type="dxa"/>
            <w:tcBorders>
              <w:top w:val="nil"/>
              <w:left w:val="nil"/>
              <w:bottom w:val="nil"/>
              <w:right w:val="nil"/>
            </w:tcBorders>
            <w:shd w:val="clear" w:color="auto" w:fill="auto"/>
            <w:noWrap/>
            <w:vAlign w:val="center"/>
            <w:hideMark/>
          </w:tcPr>
          <w:p w14:paraId="431496A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18426</w:t>
            </w:r>
          </w:p>
        </w:tc>
        <w:tc>
          <w:tcPr>
            <w:tcW w:w="791" w:type="dxa"/>
            <w:tcBorders>
              <w:top w:val="nil"/>
              <w:left w:val="nil"/>
              <w:bottom w:val="nil"/>
              <w:right w:val="nil"/>
            </w:tcBorders>
            <w:shd w:val="clear" w:color="auto" w:fill="auto"/>
            <w:noWrap/>
            <w:vAlign w:val="center"/>
            <w:hideMark/>
          </w:tcPr>
          <w:p w14:paraId="07E3EF3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1970</w:t>
            </w:r>
          </w:p>
        </w:tc>
        <w:tc>
          <w:tcPr>
            <w:tcW w:w="569" w:type="dxa"/>
            <w:tcBorders>
              <w:top w:val="nil"/>
              <w:left w:val="nil"/>
              <w:bottom w:val="nil"/>
              <w:right w:val="nil"/>
            </w:tcBorders>
            <w:shd w:val="clear" w:color="auto" w:fill="auto"/>
            <w:noWrap/>
            <w:vAlign w:val="center"/>
            <w:hideMark/>
          </w:tcPr>
          <w:p w14:paraId="4E5DD2F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1380</w:t>
            </w:r>
          </w:p>
        </w:tc>
        <w:tc>
          <w:tcPr>
            <w:tcW w:w="655" w:type="dxa"/>
            <w:tcBorders>
              <w:top w:val="nil"/>
              <w:left w:val="nil"/>
              <w:bottom w:val="nil"/>
              <w:right w:val="single" w:sz="8" w:space="0" w:color="002060"/>
            </w:tcBorders>
            <w:shd w:val="clear" w:color="auto" w:fill="auto"/>
            <w:noWrap/>
            <w:vAlign w:val="center"/>
            <w:hideMark/>
          </w:tcPr>
          <w:p w14:paraId="00727B5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3112</w:t>
            </w:r>
          </w:p>
        </w:tc>
      </w:tr>
      <w:tr w:rsidR="00AE564D" w:rsidRPr="00054EF9" w14:paraId="1FA2D5E8" w14:textId="77777777" w:rsidTr="00054EF9">
        <w:trPr>
          <w:trHeight w:val="255"/>
          <w:jc w:val="center"/>
        </w:trPr>
        <w:tc>
          <w:tcPr>
            <w:tcW w:w="764" w:type="dxa"/>
            <w:vMerge/>
            <w:tcBorders>
              <w:top w:val="single" w:sz="8" w:space="0" w:color="002060"/>
              <w:left w:val="single" w:sz="8" w:space="0" w:color="002060"/>
              <w:bottom w:val="nil"/>
              <w:right w:val="single" w:sz="8" w:space="0" w:color="002060"/>
            </w:tcBorders>
            <w:vAlign w:val="center"/>
            <w:hideMark/>
          </w:tcPr>
          <w:p w14:paraId="420A75E0"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2658DAC2"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39CD09C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Low Fresh</w:t>
            </w:r>
          </w:p>
        </w:tc>
        <w:tc>
          <w:tcPr>
            <w:tcW w:w="533" w:type="dxa"/>
            <w:tcBorders>
              <w:top w:val="nil"/>
              <w:left w:val="nil"/>
              <w:bottom w:val="nil"/>
              <w:right w:val="nil"/>
            </w:tcBorders>
            <w:shd w:val="clear" w:color="auto" w:fill="auto"/>
            <w:noWrap/>
            <w:vAlign w:val="center"/>
            <w:hideMark/>
          </w:tcPr>
          <w:p w14:paraId="09FD3E8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29</w:t>
            </w:r>
          </w:p>
        </w:tc>
        <w:tc>
          <w:tcPr>
            <w:tcW w:w="657" w:type="dxa"/>
            <w:tcBorders>
              <w:top w:val="nil"/>
              <w:left w:val="nil"/>
              <w:bottom w:val="nil"/>
              <w:right w:val="nil"/>
            </w:tcBorders>
            <w:shd w:val="clear" w:color="auto" w:fill="auto"/>
            <w:noWrap/>
            <w:vAlign w:val="center"/>
            <w:hideMark/>
          </w:tcPr>
          <w:p w14:paraId="5354D16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4961</w:t>
            </w:r>
          </w:p>
        </w:tc>
        <w:tc>
          <w:tcPr>
            <w:tcW w:w="771" w:type="dxa"/>
            <w:tcBorders>
              <w:top w:val="nil"/>
              <w:left w:val="nil"/>
              <w:bottom w:val="nil"/>
              <w:right w:val="nil"/>
            </w:tcBorders>
            <w:shd w:val="clear" w:color="auto" w:fill="auto"/>
            <w:noWrap/>
            <w:vAlign w:val="center"/>
            <w:hideMark/>
          </w:tcPr>
          <w:p w14:paraId="77F3439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4466</w:t>
            </w:r>
          </w:p>
        </w:tc>
        <w:tc>
          <w:tcPr>
            <w:tcW w:w="593" w:type="dxa"/>
            <w:tcBorders>
              <w:top w:val="nil"/>
              <w:left w:val="nil"/>
              <w:bottom w:val="nil"/>
              <w:right w:val="nil"/>
            </w:tcBorders>
            <w:shd w:val="clear" w:color="auto" w:fill="auto"/>
            <w:noWrap/>
            <w:vAlign w:val="center"/>
            <w:hideMark/>
          </w:tcPr>
          <w:p w14:paraId="4A7622B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173</w:t>
            </w:r>
          </w:p>
        </w:tc>
        <w:tc>
          <w:tcPr>
            <w:tcW w:w="657" w:type="dxa"/>
            <w:tcBorders>
              <w:top w:val="nil"/>
              <w:left w:val="nil"/>
              <w:bottom w:val="nil"/>
              <w:right w:val="nil"/>
            </w:tcBorders>
            <w:shd w:val="clear" w:color="auto" w:fill="auto"/>
            <w:noWrap/>
            <w:vAlign w:val="center"/>
            <w:hideMark/>
          </w:tcPr>
          <w:p w14:paraId="311EE5B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12978</w:t>
            </w:r>
          </w:p>
        </w:tc>
        <w:tc>
          <w:tcPr>
            <w:tcW w:w="771" w:type="dxa"/>
            <w:tcBorders>
              <w:top w:val="nil"/>
              <w:left w:val="nil"/>
              <w:bottom w:val="nil"/>
              <w:right w:val="nil"/>
            </w:tcBorders>
            <w:shd w:val="clear" w:color="auto" w:fill="auto"/>
            <w:noWrap/>
            <w:vAlign w:val="center"/>
            <w:hideMark/>
          </w:tcPr>
          <w:p w14:paraId="095F03B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3786</w:t>
            </w:r>
          </w:p>
        </w:tc>
        <w:tc>
          <w:tcPr>
            <w:tcW w:w="657" w:type="dxa"/>
            <w:tcBorders>
              <w:top w:val="nil"/>
              <w:left w:val="nil"/>
              <w:bottom w:val="nil"/>
              <w:right w:val="nil"/>
            </w:tcBorders>
            <w:shd w:val="clear" w:color="auto" w:fill="auto"/>
            <w:noWrap/>
            <w:vAlign w:val="center"/>
            <w:hideMark/>
          </w:tcPr>
          <w:p w14:paraId="1D1DFE0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642</w:t>
            </w:r>
          </w:p>
        </w:tc>
        <w:tc>
          <w:tcPr>
            <w:tcW w:w="657" w:type="dxa"/>
            <w:tcBorders>
              <w:top w:val="nil"/>
              <w:left w:val="nil"/>
              <w:bottom w:val="nil"/>
              <w:right w:val="single" w:sz="8" w:space="0" w:color="002060"/>
            </w:tcBorders>
            <w:shd w:val="clear" w:color="auto" w:fill="auto"/>
            <w:noWrap/>
            <w:vAlign w:val="center"/>
            <w:hideMark/>
          </w:tcPr>
          <w:p w14:paraId="22A688F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8921</w:t>
            </w:r>
          </w:p>
        </w:tc>
        <w:tc>
          <w:tcPr>
            <w:tcW w:w="875" w:type="dxa"/>
            <w:vMerge/>
            <w:tcBorders>
              <w:top w:val="single" w:sz="8" w:space="0" w:color="002060"/>
              <w:left w:val="single" w:sz="8" w:space="0" w:color="002060"/>
              <w:bottom w:val="nil"/>
              <w:right w:val="single" w:sz="8" w:space="0" w:color="002060"/>
            </w:tcBorders>
            <w:vAlign w:val="center"/>
            <w:hideMark/>
          </w:tcPr>
          <w:p w14:paraId="69E13755"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00149C4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84</w:t>
            </w:r>
          </w:p>
        </w:tc>
        <w:tc>
          <w:tcPr>
            <w:tcW w:w="614" w:type="dxa"/>
            <w:tcBorders>
              <w:top w:val="nil"/>
              <w:left w:val="nil"/>
              <w:bottom w:val="nil"/>
              <w:right w:val="nil"/>
            </w:tcBorders>
            <w:shd w:val="clear" w:color="auto" w:fill="auto"/>
            <w:noWrap/>
            <w:vAlign w:val="center"/>
            <w:hideMark/>
          </w:tcPr>
          <w:p w14:paraId="31BC5F4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4289</w:t>
            </w:r>
          </w:p>
        </w:tc>
        <w:tc>
          <w:tcPr>
            <w:tcW w:w="712" w:type="dxa"/>
            <w:tcBorders>
              <w:top w:val="nil"/>
              <w:left w:val="nil"/>
              <w:bottom w:val="nil"/>
              <w:right w:val="nil"/>
            </w:tcBorders>
            <w:shd w:val="clear" w:color="auto" w:fill="auto"/>
            <w:noWrap/>
            <w:vAlign w:val="center"/>
            <w:hideMark/>
          </w:tcPr>
          <w:p w14:paraId="22A020E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4066</w:t>
            </w:r>
          </w:p>
        </w:tc>
        <w:tc>
          <w:tcPr>
            <w:tcW w:w="569" w:type="dxa"/>
            <w:tcBorders>
              <w:top w:val="nil"/>
              <w:left w:val="nil"/>
              <w:bottom w:val="nil"/>
              <w:right w:val="nil"/>
            </w:tcBorders>
            <w:shd w:val="clear" w:color="auto" w:fill="auto"/>
            <w:noWrap/>
            <w:vAlign w:val="center"/>
            <w:hideMark/>
          </w:tcPr>
          <w:p w14:paraId="741C0E6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255</w:t>
            </w:r>
          </w:p>
        </w:tc>
        <w:tc>
          <w:tcPr>
            <w:tcW w:w="657" w:type="dxa"/>
            <w:tcBorders>
              <w:top w:val="nil"/>
              <w:left w:val="nil"/>
              <w:bottom w:val="nil"/>
              <w:right w:val="nil"/>
            </w:tcBorders>
            <w:shd w:val="clear" w:color="auto" w:fill="auto"/>
            <w:noWrap/>
            <w:vAlign w:val="center"/>
            <w:hideMark/>
          </w:tcPr>
          <w:p w14:paraId="7362156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16357</w:t>
            </w:r>
          </w:p>
        </w:tc>
        <w:tc>
          <w:tcPr>
            <w:tcW w:w="791" w:type="dxa"/>
            <w:tcBorders>
              <w:top w:val="nil"/>
              <w:left w:val="nil"/>
              <w:bottom w:val="nil"/>
              <w:right w:val="nil"/>
            </w:tcBorders>
            <w:shd w:val="clear" w:color="auto" w:fill="auto"/>
            <w:noWrap/>
            <w:vAlign w:val="center"/>
            <w:hideMark/>
          </w:tcPr>
          <w:p w14:paraId="14DC1E6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2414</w:t>
            </w:r>
          </w:p>
        </w:tc>
        <w:tc>
          <w:tcPr>
            <w:tcW w:w="569" w:type="dxa"/>
            <w:tcBorders>
              <w:top w:val="nil"/>
              <w:left w:val="nil"/>
              <w:bottom w:val="nil"/>
              <w:right w:val="nil"/>
            </w:tcBorders>
            <w:shd w:val="clear" w:color="auto" w:fill="auto"/>
            <w:noWrap/>
            <w:vAlign w:val="center"/>
            <w:hideMark/>
          </w:tcPr>
          <w:p w14:paraId="5B875DB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1126</w:t>
            </w:r>
          </w:p>
        </w:tc>
        <w:tc>
          <w:tcPr>
            <w:tcW w:w="655" w:type="dxa"/>
            <w:tcBorders>
              <w:top w:val="nil"/>
              <w:left w:val="nil"/>
              <w:bottom w:val="nil"/>
              <w:right w:val="single" w:sz="8" w:space="0" w:color="002060"/>
            </w:tcBorders>
            <w:shd w:val="clear" w:color="auto" w:fill="auto"/>
            <w:noWrap/>
            <w:vAlign w:val="center"/>
            <w:hideMark/>
          </w:tcPr>
          <w:p w14:paraId="7322F87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5724</w:t>
            </w:r>
          </w:p>
        </w:tc>
      </w:tr>
      <w:tr w:rsidR="00AE564D" w:rsidRPr="00054EF9" w14:paraId="778921F3" w14:textId="77777777" w:rsidTr="00054EF9">
        <w:trPr>
          <w:trHeight w:val="255"/>
          <w:jc w:val="center"/>
        </w:trPr>
        <w:tc>
          <w:tcPr>
            <w:tcW w:w="764" w:type="dxa"/>
            <w:vMerge/>
            <w:tcBorders>
              <w:top w:val="single" w:sz="8" w:space="0" w:color="002060"/>
              <w:left w:val="single" w:sz="8" w:space="0" w:color="002060"/>
              <w:bottom w:val="nil"/>
              <w:right w:val="single" w:sz="8" w:space="0" w:color="002060"/>
            </w:tcBorders>
            <w:vAlign w:val="center"/>
            <w:hideMark/>
          </w:tcPr>
          <w:p w14:paraId="44F4F5AE"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0481EA3C"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single" w:sz="8" w:space="0" w:color="002060"/>
              <w:right w:val="nil"/>
            </w:tcBorders>
            <w:shd w:val="clear" w:color="auto" w:fill="auto"/>
            <w:noWrap/>
            <w:vAlign w:val="center"/>
            <w:hideMark/>
          </w:tcPr>
          <w:p w14:paraId="0703A0F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Med Fresh</w:t>
            </w:r>
          </w:p>
        </w:tc>
        <w:tc>
          <w:tcPr>
            <w:tcW w:w="533" w:type="dxa"/>
            <w:tcBorders>
              <w:top w:val="nil"/>
              <w:left w:val="nil"/>
              <w:bottom w:val="single" w:sz="8" w:space="0" w:color="002060"/>
              <w:right w:val="nil"/>
            </w:tcBorders>
            <w:shd w:val="clear" w:color="auto" w:fill="auto"/>
            <w:noWrap/>
            <w:vAlign w:val="center"/>
            <w:hideMark/>
          </w:tcPr>
          <w:p w14:paraId="3143F5A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22</w:t>
            </w:r>
          </w:p>
        </w:tc>
        <w:tc>
          <w:tcPr>
            <w:tcW w:w="657" w:type="dxa"/>
            <w:tcBorders>
              <w:top w:val="nil"/>
              <w:left w:val="nil"/>
              <w:bottom w:val="single" w:sz="8" w:space="0" w:color="002060"/>
              <w:right w:val="nil"/>
            </w:tcBorders>
            <w:shd w:val="clear" w:color="auto" w:fill="auto"/>
            <w:noWrap/>
            <w:vAlign w:val="center"/>
            <w:hideMark/>
          </w:tcPr>
          <w:p w14:paraId="17340F8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23662</w:t>
            </w:r>
          </w:p>
        </w:tc>
        <w:tc>
          <w:tcPr>
            <w:tcW w:w="771" w:type="dxa"/>
            <w:tcBorders>
              <w:top w:val="nil"/>
              <w:left w:val="nil"/>
              <w:bottom w:val="single" w:sz="8" w:space="0" w:color="002060"/>
              <w:right w:val="nil"/>
            </w:tcBorders>
            <w:shd w:val="clear" w:color="auto" w:fill="auto"/>
            <w:noWrap/>
            <w:vAlign w:val="center"/>
            <w:hideMark/>
          </w:tcPr>
          <w:p w14:paraId="4343FA7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14842</w:t>
            </w:r>
          </w:p>
        </w:tc>
        <w:tc>
          <w:tcPr>
            <w:tcW w:w="593" w:type="dxa"/>
            <w:tcBorders>
              <w:top w:val="nil"/>
              <w:left w:val="nil"/>
              <w:bottom w:val="single" w:sz="8" w:space="0" w:color="002060"/>
              <w:right w:val="nil"/>
            </w:tcBorders>
            <w:shd w:val="clear" w:color="auto" w:fill="auto"/>
            <w:noWrap/>
            <w:vAlign w:val="center"/>
            <w:hideMark/>
          </w:tcPr>
          <w:p w14:paraId="21ED8ED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2279</w:t>
            </w:r>
          </w:p>
        </w:tc>
        <w:tc>
          <w:tcPr>
            <w:tcW w:w="657" w:type="dxa"/>
            <w:tcBorders>
              <w:top w:val="nil"/>
              <w:left w:val="nil"/>
              <w:bottom w:val="single" w:sz="8" w:space="0" w:color="002060"/>
              <w:right w:val="nil"/>
            </w:tcBorders>
            <w:shd w:val="clear" w:color="auto" w:fill="auto"/>
            <w:noWrap/>
            <w:vAlign w:val="center"/>
            <w:hideMark/>
          </w:tcPr>
          <w:p w14:paraId="318C8FA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49225</w:t>
            </w:r>
          </w:p>
        </w:tc>
        <w:tc>
          <w:tcPr>
            <w:tcW w:w="771" w:type="dxa"/>
            <w:tcBorders>
              <w:top w:val="nil"/>
              <w:left w:val="nil"/>
              <w:bottom w:val="single" w:sz="8" w:space="0" w:color="002060"/>
              <w:right w:val="nil"/>
            </w:tcBorders>
            <w:shd w:val="clear" w:color="auto" w:fill="auto"/>
            <w:noWrap/>
            <w:vAlign w:val="center"/>
            <w:hideMark/>
          </w:tcPr>
          <w:p w14:paraId="786F446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18860</w:t>
            </w:r>
          </w:p>
        </w:tc>
        <w:tc>
          <w:tcPr>
            <w:tcW w:w="657" w:type="dxa"/>
            <w:tcBorders>
              <w:top w:val="nil"/>
              <w:left w:val="nil"/>
              <w:bottom w:val="single" w:sz="8" w:space="0" w:color="002060"/>
              <w:right w:val="nil"/>
            </w:tcBorders>
            <w:shd w:val="clear" w:color="auto" w:fill="auto"/>
            <w:noWrap/>
            <w:vAlign w:val="center"/>
            <w:hideMark/>
          </w:tcPr>
          <w:p w14:paraId="5F9FAAE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12044</w:t>
            </w:r>
          </w:p>
        </w:tc>
        <w:tc>
          <w:tcPr>
            <w:tcW w:w="657" w:type="dxa"/>
            <w:tcBorders>
              <w:top w:val="nil"/>
              <w:left w:val="nil"/>
              <w:bottom w:val="single" w:sz="8" w:space="0" w:color="002060"/>
              <w:right w:val="single" w:sz="8" w:space="0" w:color="002060"/>
            </w:tcBorders>
            <w:shd w:val="clear" w:color="auto" w:fill="auto"/>
            <w:noWrap/>
            <w:vAlign w:val="center"/>
            <w:hideMark/>
          </w:tcPr>
          <w:p w14:paraId="0B6C8CC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37715</w:t>
            </w:r>
          </w:p>
        </w:tc>
        <w:tc>
          <w:tcPr>
            <w:tcW w:w="875" w:type="dxa"/>
            <w:vMerge/>
            <w:tcBorders>
              <w:top w:val="single" w:sz="8" w:space="0" w:color="002060"/>
              <w:left w:val="single" w:sz="8" w:space="0" w:color="002060"/>
              <w:bottom w:val="nil"/>
              <w:right w:val="single" w:sz="8" w:space="0" w:color="002060"/>
            </w:tcBorders>
            <w:vAlign w:val="center"/>
            <w:hideMark/>
          </w:tcPr>
          <w:p w14:paraId="5E6189DB"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single" w:sz="8" w:space="0" w:color="002060"/>
              <w:right w:val="nil"/>
            </w:tcBorders>
            <w:shd w:val="clear" w:color="auto" w:fill="auto"/>
            <w:noWrap/>
            <w:vAlign w:val="center"/>
            <w:hideMark/>
          </w:tcPr>
          <w:p w14:paraId="5EF26F0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w:t>
            </w:r>
          </w:p>
        </w:tc>
        <w:tc>
          <w:tcPr>
            <w:tcW w:w="614" w:type="dxa"/>
            <w:tcBorders>
              <w:top w:val="nil"/>
              <w:left w:val="nil"/>
              <w:bottom w:val="single" w:sz="8" w:space="0" w:color="002060"/>
              <w:right w:val="nil"/>
            </w:tcBorders>
            <w:shd w:val="clear" w:color="auto" w:fill="auto"/>
            <w:noWrap/>
            <w:vAlign w:val="center"/>
            <w:hideMark/>
          </w:tcPr>
          <w:p w14:paraId="159B0D0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1269</w:t>
            </w:r>
          </w:p>
        </w:tc>
        <w:tc>
          <w:tcPr>
            <w:tcW w:w="712" w:type="dxa"/>
            <w:tcBorders>
              <w:top w:val="nil"/>
              <w:left w:val="nil"/>
              <w:bottom w:val="single" w:sz="8" w:space="0" w:color="002060"/>
              <w:right w:val="nil"/>
            </w:tcBorders>
            <w:shd w:val="clear" w:color="auto" w:fill="auto"/>
            <w:noWrap/>
            <w:vAlign w:val="center"/>
            <w:hideMark/>
          </w:tcPr>
          <w:p w14:paraId="7850A8E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981</w:t>
            </w:r>
          </w:p>
        </w:tc>
        <w:tc>
          <w:tcPr>
            <w:tcW w:w="569" w:type="dxa"/>
            <w:tcBorders>
              <w:top w:val="nil"/>
              <w:left w:val="nil"/>
              <w:bottom w:val="single" w:sz="8" w:space="0" w:color="002060"/>
              <w:right w:val="nil"/>
            </w:tcBorders>
            <w:shd w:val="clear" w:color="auto" w:fill="auto"/>
            <w:noWrap/>
            <w:vAlign w:val="center"/>
            <w:hideMark/>
          </w:tcPr>
          <w:p w14:paraId="496D79F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260</w:t>
            </w:r>
          </w:p>
        </w:tc>
        <w:tc>
          <w:tcPr>
            <w:tcW w:w="657" w:type="dxa"/>
            <w:tcBorders>
              <w:top w:val="nil"/>
              <w:left w:val="nil"/>
              <w:bottom w:val="single" w:sz="8" w:space="0" w:color="002060"/>
              <w:right w:val="nil"/>
            </w:tcBorders>
            <w:shd w:val="clear" w:color="auto" w:fill="auto"/>
            <w:noWrap/>
            <w:vAlign w:val="center"/>
            <w:hideMark/>
          </w:tcPr>
          <w:p w14:paraId="07EBF77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3466</w:t>
            </w:r>
          </w:p>
        </w:tc>
        <w:tc>
          <w:tcPr>
            <w:tcW w:w="791" w:type="dxa"/>
            <w:tcBorders>
              <w:top w:val="nil"/>
              <w:left w:val="nil"/>
              <w:bottom w:val="single" w:sz="8" w:space="0" w:color="002060"/>
              <w:right w:val="nil"/>
            </w:tcBorders>
            <w:shd w:val="clear" w:color="auto" w:fill="auto"/>
            <w:noWrap/>
            <w:vAlign w:val="center"/>
            <w:hideMark/>
          </w:tcPr>
          <w:p w14:paraId="0281F6D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990</w:t>
            </w:r>
          </w:p>
        </w:tc>
        <w:tc>
          <w:tcPr>
            <w:tcW w:w="569" w:type="dxa"/>
            <w:tcBorders>
              <w:top w:val="nil"/>
              <w:left w:val="nil"/>
              <w:bottom w:val="single" w:sz="8" w:space="0" w:color="002060"/>
              <w:right w:val="nil"/>
            </w:tcBorders>
            <w:shd w:val="clear" w:color="auto" w:fill="auto"/>
            <w:noWrap/>
            <w:vAlign w:val="center"/>
            <w:hideMark/>
          </w:tcPr>
          <w:p w14:paraId="4EE8333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616</w:t>
            </w:r>
          </w:p>
        </w:tc>
        <w:tc>
          <w:tcPr>
            <w:tcW w:w="655" w:type="dxa"/>
            <w:tcBorders>
              <w:top w:val="nil"/>
              <w:left w:val="nil"/>
              <w:bottom w:val="single" w:sz="8" w:space="0" w:color="002060"/>
              <w:right w:val="single" w:sz="8" w:space="0" w:color="002060"/>
            </w:tcBorders>
            <w:shd w:val="clear" w:color="auto" w:fill="auto"/>
            <w:noWrap/>
            <w:vAlign w:val="center"/>
            <w:hideMark/>
          </w:tcPr>
          <w:p w14:paraId="3D01579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1772</w:t>
            </w:r>
          </w:p>
        </w:tc>
      </w:tr>
      <w:tr w:rsidR="00AE564D" w:rsidRPr="00054EF9" w14:paraId="11443520" w14:textId="77777777" w:rsidTr="00054EF9">
        <w:trPr>
          <w:trHeight w:val="255"/>
          <w:jc w:val="center"/>
        </w:trPr>
        <w:tc>
          <w:tcPr>
            <w:tcW w:w="764" w:type="dxa"/>
            <w:vMerge w:val="restart"/>
            <w:tcBorders>
              <w:top w:val="single" w:sz="8" w:space="0" w:color="FFFFFF"/>
              <w:left w:val="single" w:sz="8" w:space="0" w:color="002060"/>
              <w:bottom w:val="single" w:sz="8" w:space="0" w:color="002060"/>
              <w:right w:val="single" w:sz="8" w:space="0" w:color="002060"/>
            </w:tcBorders>
            <w:shd w:val="clear" w:color="000000" w:fill="002060"/>
            <w:noWrap/>
            <w:vAlign w:val="center"/>
            <w:hideMark/>
          </w:tcPr>
          <w:p w14:paraId="62E86408"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Autumn</w:t>
            </w:r>
          </w:p>
        </w:tc>
        <w:tc>
          <w:tcPr>
            <w:tcW w:w="995"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0852716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Arcadia Downs / Darcy's Track</w:t>
            </w:r>
          </w:p>
        </w:tc>
        <w:tc>
          <w:tcPr>
            <w:tcW w:w="1002" w:type="dxa"/>
            <w:tcBorders>
              <w:top w:val="nil"/>
              <w:left w:val="nil"/>
              <w:bottom w:val="nil"/>
              <w:right w:val="nil"/>
            </w:tcBorders>
            <w:shd w:val="clear" w:color="auto" w:fill="auto"/>
            <w:noWrap/>
            <w:vAlign w:val="center"/>
            <w:hideMark/>
          </w:tcPr>
          <w:p w14:paraId="5DD4745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Very Low</w:t>
            </w:r>
          </w:p>
        </w:tc>
        <w:tc>
          <w:tcPr>
            <w:tcW w:w="533" w:type="dxa"/>
            <w:tcBorders>
              <w:top w:val="nil"/>
              <w:left w:val="nil"/>
              <w:bottom w:val="nil"/>
              <w:right w:val="nil"/>
            </w:tcBorders>
            <w:shd w:val="clear" w:color="auto" w:fill="auto"/>
            <w:noWrap/>
            <w:vAlign w:val="center"/>
            <w:hideMark/>
          </w:tcPr>
          <w:p w14:paraId="3A80599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w:t>
            </w:r>
          </w:p>
        </w:tc>
        <w:tc>
          <w:tcPr>
            <w:tcW w:w="657" w:type="dxa"/>
            <w:tcBorders>
              <w:top w:val="nil"/>
              <w:left w:val="nil"/>
              <w:bottom w:val="nil"/>
              <w:right w:val="nil"/>
            </w:tcBorders>
            <w:shd w:val="clear" w:color="auto" w:fill="auto"/>
            <w:noWrap/>
            <w:vAlign w:val="center"/>
            <w:hideMark/>
          </w:tcPr>
          <w:p w14:paraId="68F8E458" w14:textId="77777777" w:rsidR="00AE564D" w:rsidRPr="00054EF9" w:rsidRDefault="00AE564D" w:rsidP="00E26D3C">
            <w:pPr>
              <w:spacing w:after="0" w:line="240" w:lineRule="auto"/>
              <w:jc w:val="center"/>
              <w:rPr>
                <w:rFonts w:eastAsia="Times New Roman" w:cstheme="minorHAnsi"/>
                <w:color w:val="FF0000"/>
                <w:sz w:val="18"/>
                <w:szCs w:val="18"/>
                <w:lang w:eastAsia="en-AU"/>
              </w:rPr>
            </w:pPr>
            <w:r w:rsidRPr="00054EF9">
              <w:rPr>
                <w:rFonts w:eastAsia="Times New Roman" w:cstheme="minorHAnsi"/>
                <w:color w:val="FF0000"/>
                <w:sz w:val="18"/>
                <w:szCs w:val="18"/>
                <w:lang w:eastAsia="en-AU"/>
              </w:rPr>
              <w:t> </w:t>
            </w:r>
          </w:p>
        </w:tc>
        <w:tc>
          <w:tcPr>
            <w:tcW w:w="771" w:type="dxa"/>
            <w:tcBorders>
              <w:top w:val="nil"/>
              <w:left w:val="nil"/>
              <w:bottom w:val="nil"/>
              <w:right w:val="nil"/>
            </w:tcBorders>
            <w:shd w:val="clear" w:color="auto" w:fill="auto"/>
            <w:noWrap/>
            <w:vAlign w:val="center"/>
            <w:hideMark/>
          </w:tcPr>
          <w:p w14:paraId="2F5CE78D" w14:textId="77777777" w:rsidR="00AE564D" w:rsidRPr="00054EF9" w:rsidRDefault="00AE564D" w:rsidP="00E26D3C">
            <w:pPr>
              <w:spacing w:after="0" w:line="240" w:lineRule="auto"/>
              <w:jc w:val="center"/>
              <w:rPr>
                <w:rFonts w:eastAsia="Times New Roman" w:cstheme="minorHAnsi"/>
                <w:color w:val="FF0000"/>
                <w:sz w:val="18"/>
                <w:szCs w:val="18"/>
                <w:lang w:eastAsia="en-AU"/>
              </w:rPr>
            </w:pPr>
            <w:r w:rsidRPr="00054EF9">
              <w:rPr>
                <w:rFonts w:eastAsia="Times New Roman" w:cstheme="minorHAnsi"/>
                <w:color w:val="FF0000"/>
                <w:sz w:val="18"/>
                <w:szCs w:val="18"/>
                <w:lang w:eastAsia="en-AU"/>
              </w:rPr>
              <w:t> </w:t>
            </w:r>
          </w:p>
        </w:tc>
        <w:tc>
          <w:tcPr>
            <w:tcW w:w="593" w:type="dxa"/>
            <w:tcBorders>
              <w:top w:val="nil"/>
              <w:left w:val="nil"/>
              <w:bottom w:val="nil"/>
              <w:right w:val="nil"/>
            </w:tcBorders>
            <w:shd w:val="clear" w:color="auto" w:fill="auto"/>
            <w:noWrap/>
            <w:vAlign w:val="center"/>
            <w:hideMark/>
          </w:tcPr>
          <w:p w14:paraId="1A2BCF10" w14:textId="77777777" w:rsidR="00AE564D" w:rsidRPr="00054EF9" w:rsidRDefault="00AE564D" w:rsidP="00E26D3C">
            <w:pPr>
              <w:spacing w:after="0" w:line="240" w:lineRule="auto"/>
              <w:jc w:val="center"/>
              <w:rPr>
                <w:rFonts w:eastAsia="Times New Roman" w:cstheme="minorHAnsi"/>
                <w:color w:val="FF0000"/>
                <w:sz w:val="18"/>
                <w:szCs w:val="18"/>
                <w:lang w:eastAsia="en-AU"/>
              </w:rPr>
            </w:pPr>
            <w:r w:rsidRPr="00054EF9">
              <w:rPr>
                <w:rFonts w:eastAsia="Times New Roman" w:cstheme="minorHAnsi"/>
                <w:color w:val="FF0000"/>
                <w:sz w:val="18"/>
                <w:szCs w:val="18"/>
                <w:lang w:eastAsia="en-AU"/>
              </w:rPr>
              <w:t> </w:t>
            </w:r>
          </w:p>
        </w:tc>
        <w:tc>
          <w:tcPr>
            <w:tcW w:w="657" w:type="dxa"/>
            <w:tcBorders>
              <w:top w:val="nil"/>
              <w:left w:val="nil"/>
              <w:bottom w:val="nil"/>
              <w:right w:val="nil"/>
            </w:tcBorders>
            <w:shd w:val="clear" w:color="auto" w:fill="auto"/>
            <w:noWrap/>
            <w:vAlign w:val="center"/>
            <w:hideMark/>
          </w:tcPr>
          <w:p w14:paraId="1DB34D31" w14:textId="77777777" w:rsidR="00AE564D" w:rsidRPr="00054EF9" w:rsidRDefault="00AE564D" w:rsidP="00E26D3C">
            <w:pPr>
              <w:spacing w:after="0" w:line="240" w:lineRule="auto"/>
              <w:jc w:val="center"/>
              <w:rPr>
                <w:rFonts w:eastAsia="Times New Roman" w:cstheme="minorHAnsi"/>
                <w:color w:val="FF0000"/>
                <w:sz w:val="18"/>
                <w:szCs w:val="18"/>
                <w:lang w:eastAsia="en-AU"/>
              </w:rPr>
            </w:pPr>
            <w:r w:rsidRPr="00054EF9">
              <w:rPr>
                <w:rFonts w:eastAsia="Times New Roman" w:cstheme="minorHAnsi"/>
                <w:color w:val="FF0000"/>
                <w:sz w:val="18"/>
                <w:szCs w:val="18"/>
                <w:lang w:eastAsia="en-AU"/>
              </w:rPr>
              <w:t> </w:t>
            </w:r>
          </w:p>
        </w:tc>
        <w:tc>
          <w:tcPr>
            <w:tcW w:w="771" w:type="dxa"/>
            <w:tcBorders>
              <w:top w:val="nil"/>
              <w:left w:val="nil"/>
              <w:bottom w:val="nil"/>
              <w:right w:val="nil"/>
            </w:tcBorders>
            <w:shd w:val="clear" w:color="auto" w:fill="auto"/>
            <w:noWrap/>
            <w:vAlign w:val="center"/>
            <w:hideMark/>
          </w:tcPr>
          <w:p w14:paraId="02A50302" w14:textId="77777777" w:rsidR="00AE564D" w:rsidRPr="00054EF9" w:rsidRDefault="00AE564D" w:rsidP="00E26D3C">
            <w:pPr>
              <w:spacing w:after="0" w:line="240" w:lineRule="auto"/>
              <w:jc w:val="center"/>
              <w:rPr>
                <w:rFonts w:eastAsia="Times New Roman" w:cstheme="minorHAnsi"/>
                <w:color w:val="FF0000"/>
                <w:sz w:val="18"/>
                <w:szCs w:val="18"/>
                <w:lang w:eastAsia="en-AU"/>
              </w:rPr>
            </w:pPr>
            <w:r w:rsidRPr="00054EF9">
              <w:rPr>
                <w:rFonts w:eastAsia="Times New Roman" w:cstheme="minorHAnsi"/>
                <w:color w:val="FF0000"/>
                <w:sz w:val="18"/>
                <w:szCs w:val="18"/>
                <w:lang w:eastAsia="en-AU"/>
              </w:rPr>
              <w:t> </w:t>
            </w:r>
          </w:p>
        </w:tc>
        <w:tc>
          <w:tcPr>
            <w:tcW w:w="657" w:type="dxa"/>
            <w:tcBorders>
              <w:top w:val="nil"/>
              <w:left w:val="nil"/>
              <w:bottom w:val="nil"/>
              <w:right w:val="nil"/>
            </w:tcBorders>
            <w:shd w:val="clear" w:color="auto" w:fill="auto"/>
            <w:noWrap/>
            <w:vAlign w:val="center"/>
            <w:hideMark/>
          </w:tcPr>
          <w:p w14:paraId="0F710BAB" w14:textId="77777777" w:rsidR="00AE564D" w:rsidRPr="00054EF9" w:rsidRDefault="00AE564D" w:rsidP="00E26D3C">
            <w:pPr>
              <w:spacing w:after="0" w:line="240" w:lineRule="auto"/>
              <w:jc w:val="center"/>
              <w:rPr>
                <w:rFonts w:eastAsia="Times New Roman" w:cstheme="minorHAnsi"/>
                <w:color w:val="FF0000"/>
                <w:sz w:val="18"/>
                <w:szCs w:val="18"/>
                <w:lang w:eastAsia="en-AU"/>
              </w:rPr>
            </w:pPr>
            <w:r w:rsidRPr="00054EF9">
              <w:rPr>
                <w:rFonts w:eastAsia="Times New Roman" w:cstheme="minorHAnsi"/>
                <w:color w:val="FF0000"/>
                <w:sz w:val="18"/>
                <w:szCs w:val="18"/>
                <w:lang w:eastAsia="en-AU"/>
              </w:rPr>
              <w:t> </w:t>
            </w:r>
          </w:p>
        </w:tc>
        <w:tc>
          <w:tcPr>
            <w:tcW w:w="657" w:type="dxa"/>
            <w:tcBorders>
              <w:top w:val="nil"/>
              <w:left w:val="nil"/>
              <w:bottom w:val="nil"/>
              <w:right w:val="single" w:sz="8" w:space="0" w:color="002060"/>
            </w:tcBorders>
            <w:shd w:val="clear" w:color="auto" w:fill="auto"/>
            <w:noWrap/>
            <w:vAlign w:val="center"/>
            <w:hideMark/>
          </w:tcPr>
          <w:p w14:paraId="7ED94B7A" w14:textId="77777777" w:rsidR="00AE564D" w:rsidRPr="00054EF9" w:rsidRDefault="00AE564D" w:rsidP="00E26D3C">
            <w:pPr>
              <w:spacing w:after="0" w:line="240" w:lineRule="auto"/>
              <w:jc w:val="center"/>
              <w:rPr>
                <w:rFonts w:eastAsia="Times New Roman" w:cstheme="minorHAnsi"/>
                <w:color w:val="FF0000"/>
                <w:sz w:val="18"/>
                <w:szCs w:val="18"/>
                <w:lang w:eastAsia="en-AU"/>
              </w:rPr>
            </w:pPr>
            <w:r w:rsidRPr="00054EF9">
              <w:rPr>
                <w:rFonts w:eastAsia="Times New Roman" w:cstheme="minorHAnsi"/>
                <w:color w:val="FF0000"/>
                <w:sz w:val="18"/>
                <w:szCs w:val="18"/>
                <w:lang w:eastAsia="en-AU"/>
              </w:rPr>
              <w:t> </w:t>
            </w:r>
          </w:p>
        </w:tc>
        <w:tc>
          <w:tcPr>
            <w:tcW w:w="875" w:type="dxa"/>
            <w:vMerge w:val="restart"/>
            <w:tcBorders>
              <w:top w:val="single" w:sz="8" w:space="0" w:color="FFFFFF"/>
              <w:left w:val="single" w:sz="8" w:space="0" w:color="002060"/>
              <w:bottom w:val="single" w:sz="8" w:space="0" w:color="002060"/>
              <w:right w:val="single" w:sz="8" w:space="0" w:color="002060"/>
            </w:tcBorders>
            <w:shd w:val="clear" w:color="000000" w:fill="002060"/>
            <w:noWrap/>
            <w:vAlign w:val="center"/>
            <w:hideMark/>
          </w:tcPr>
          <w:p w14:paraId="71318C8A" w14:textId="77777777" w:rsidR="00AE564D" w:rsidRPr="00054EF9" w:rsidRDefault="00AE564D" w:rsidP="00E26D3C">
            <w:pPr>
              <w:spacing w:after="0" w:line="240" w:lineRule="auto"/>
              <w:jc w:val="center"/>
              <w:rPr>
                <w:rFonts w:eastAsia="Times New Roman" w:cstheme="minorHAnsi"/>
                <w:color w:val="FFFFFF"/>
                <w:sz w:val="18"/>
                <w:szCs w:val="18"/>
                <w:lang w:eastAsia="en-AU"/>
              </w:rPr>
            </w:pPr>
            <w:r w:rsidRPr="00054EF9">
              <w:rPr>
                <w:rFonts w:eastAsia="Times New Roman" w:cstheme="minorHAnsi"/>
                <w:color w:val="FFFFFF"/>
                <w:sz w:val="18"/>
                <w:szCs w:val="18"/>
                <w:lang w:eastAsia="en-AU"/>
              </w:rPr>
              <w:t>Winter</w:t>
            </w:r>
          </w:p>
        </w:tc>
        <w:tc>
          <w:tcPr>
            <w:tcW w:w="525" w:type="dxa"/>
            <w:tcBorders>
              <w:top w:val="nil"/>
              <w:left w:val="nil"/>
              <w:bottom w:val="nil"/>
              <w:right w:val="nil"/>
            </w:tcBorders>
            <w:shd w:val="clear" w:color="auto" w:fill="auto"/>
            <w:noWrap/>
            <w:vAlign w:val="center"/>
            <w:hideMark/>
          </w:tcPr>
          <w:p w14:paraId="14E988D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w:t>
            </w:r>
          </w:p>
        </w:tc>
        <w:tc>
          <w:tcPr>
            <w:tcW w:w="614" w:type="dxa"/>
            <w:tcBorders>
              <w:top w:val="nil"/>
              <w:left w:val="nil"/>
              <w:bottom w:val="nil"/>
              <w:right w:val="nil"/>
            </w:tcBorders>
            <w:shd w:val="clear" w:color="auto" w:fill="auto"/>
            <w:noWrap/>
            <w:vAlign w:val="center"/>
            <w:hideMark/>
          </w:tcPr>
          <w:p w14:paraId="5E33599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c>
          <w:tcPr>
            <w:tcW w:w="712" w:type="dxa"/>
            <w:tcBorders>
              <w:top w:val="nil"/>
              <w:left w:val="nil"/>
              <w:bottom w:val="nil"/>
              <w:right w:val="nil"/>
            </w:tcBorders>
            <w:shd w:val="clear" w:color="auto" w:fill="auto"/>
            <w:noWrap/>
            <w:vAlign w:val="center"/>
            <w:hideMark/>
          </w:tcPr>
          <w:p w14:paraId="7300427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c>
          <w:tcPr>
            <w:tcW w:w="569" w:type="dxa"/>
            <w:tcBorders>
              <w:top w:val="nil"/>
              <w:left w:val="nil"/>
              <w:bottom w:val="nil"/>
              <w:right w:val="nil"/>
            </w:tcBorders>
            <w:shd w:val="clear" w:color="auto" w:fill="auto"/>
            <w:noWrap/>
            <w:vAlign w:val="center"/>
            <w:hideMark/>
          </w:tcPr>
          <w:p w14:paraId="6C02451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c>
          <w:tcPr>
            <w:tcW w:w="657" w:type="dxa"/>
            <w:tcBorders>
              <w:top w:val="nil"/>
              <w:left w:val="nil"/>
              <w:bottom w:val="nil"/>
              <w:right w:val="nil"/>
            </w:tcBorders>
            <w:shd w:val="clear" w:color="auto" w:fill="auto"/>
            <w:noWrap/>
            <w:vAlign w:val="center"/>
            <w:hideMark/>
          </w:tcPr>
          <w:p w14:paraId="2E2255C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c>
          <w:tcPr>
            <w:tcW w:w="791" w:type="dxa"/>
            <w:tcBorders>
              <w:top w:val="nil"/>
              <w:left w:val="nil"/>
              <w:bottom w:val="nil"/>
              <w:right w:val="nil"/>
            </w:tcBorders>
            <w:shd w:val="clear" w:color="auto" w:fill="auto"/>
            <w:noWrap/>
            <w:vAlign w:val="center"/>
            <w:hideMark/>
          </w:tcPr>
          <w:p w14:paraId="7642ABC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c>
          <w:tcPr>
            <w:tcW w:w="569" w:type="dxa"/>
            <w:tcBorders>
              <w:top w:val="nil"/>
              <w:left w:val="nil"/>
              <w:bottom w:val="nil"/>
              <w:right w:val="nil"/>
            </w:tcBorders>
            <w:shd w:val="clear" w:color="auto" w:fill="auto"/>
            <w:noWrap/>
            <w:vAlign w:val="center"/>
            <w:hideMark/>
          </w:tcPr>
          <w:p w14:paraId="76C5F43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c>
          <w:tcPr>
            <w:tcW w:w="655" w:type="dxa"/>
            <w:tcBorders>
              <w:top w:val="nil"/>
              <w:left w:val="nil"/>
              <w:bottom w:val="nil"/>
              <w:right w:val="single" w:sz="8" w:space="0" w:color="002060"/>
            </w:tcBorders>
            <w:shd w:val="clear" w:color="auto" w:fill="auto"/>
            <w:noWrap/>
            <w:vAlign w:val="center"/>
            <w:hideMark/>
          </w:tcPr>
          <w:p w14:paraId="2337084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r>
      <w:tr w:rsidR="00AE564D" w:rsidRPr="00054EF9" w14:paraId="00E3F9D2" w14:textId="77777777" w:rsidTr="00054EF9">
        <w:trPr>
          <w:trHeight w:val="255"/>
          <w:jc w:val="center"/>
        </w:trPr>
        <w:tc>
          <w:tcPr>
            <w:tcW w:w="764" w:type="dxa"/>
            <w:vMerge/>
            <w:tcBorders>
              <w:top w:val="single" w:sz="8" w:space="0" w:color="FFFFFF"/>
              <w:left w:val="single" w:sz="8" w:space="0" w:color="002060"/>
              <w:bottom w:val="single" w:sz="8" w:space="0" w:color="002060"/>
              <w:right w:val="single" w:sz="8" w:space="0" w:color="002060"/>
            </w:tcBorders>
            <w:vAlign w:val="center"/>
            <w:hideMark/>
          </w:tcPr>
          <w:p w14:paraId="00B6D71C"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0166EF6B"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64FB8FB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Mod Low</w:t>
            </w:r>
          </w:p>
        </w:tc>
        <w:tc>
          <w:tcPr>
            <w:tcW w:w="533" w:type="dxa"/>
            <w:tcBorders>
              <w:top w:val="nil"/>
              <w:left w:val="nil"/>
              <w:bottom w:val="nil"/>
              <w:right w:val="nil"/>
            </w:tcBorders>
            <w:shd w:val="clear" w:color="auto" w:fill="auto"/>
            <w:noWrap/>
            <w:vAlign w:val="center"/>
            <w:hideMark/>
          </w:tcPr>
          <w:p w14:paraId="21C585D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69</w:t>
            </w:r>
          </w:p>
        </w:tc>
        <w:tc>
          <w:tcPr>
            <w:tcW w:w="657" w:type="dxa"/>
            <w:tcBorders>
              <w:top w:val="nil"/>
              <w:left w:val="nil"/>
              <w:bottom w:val="nil"/>
              <w:right w:val="nil"/>
            </w:tcBorders>
            <w:shd w:val="clear" w:color="auto" w:fill="auto"/>
            <w:noWrap/>
            <w:vAlign w:val="center"/>
            <w:hideMark/>
          </w:tcPr>
          <w:p w14:paraId="31AD056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928</w:t>
            </w:r>
          </w:p>
        </w:tc>
        <w:tc>
          <w:tcPr>
            <w:tcW w:w="771" w:type="dxa"/>
            <w:tcBorders>
              <w:top w:val="nil"/>
              <w:left w:val="nil"/>
              <w:bottom w:val="nil"/>
              <w:right w:val="nil"/>
            </w:tcBorders>
            <w:shd w:val="clear" w:color="auto" w:fill="auto"/>
            <w:noWrap/>
            <w:vAlign w:val="center"/>
            <w:hideMark/>
          </w:tcPr>
          <w:p w14:paraId="55B4973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1097</w:t>
            </w:r>
          </w:p>
        </w:tc>
        <w:tc>
          <w:tcPr>
            <w:tcW w:w="593" w:type="dxa"/>
            <w:tcBorders>
              <w:top w:val="nil"/>
              <w:left w:val="nil"/>
              <w:bottom w:val="nil"/>
              <w:right w:val="nil"/>
            </w:tcBorders>
            <w:shd w:val="clear" w:color="auto" w:fill="auto"/>
            <w:noWrap/>
            <w:vAlign w:val="center"/>
            <w:hideMark/>
          </w:tcPr>
          <w:p w14:paraId="0C19A9D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193</w:t>
            </w:r>
          </w:p>
        </w:tc>
        <w:tc>
          <w:tcPr>
            <w:tcW w:w="657" w:type="dxa"/>
            <w:tcBorders>
              <w:top w:val="nil"/>
              <w:left w:val="nil"/>
              <w:bottom w:val="nil"/>
              <w:right w:val="nil"/>
            </w:tcBorders>
            <w:shd w:val="clear" w:color="auto" w:fill="auto"/>
            <w:noWrap/>
            <w:vAlign w:val="center"/>
            <w:hideMark/>
          </w:tcPr>
          <w:p w14:paraId="4F9571E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6984</w:t>
            </w:r>
          </w:p>
        </w:tc>
        <w:tc>
          <w:tcPr>
            <w:tcW w:w="771" w:type="dxa"/>
            <w:tcBorders>
              <w:top w:val="nil"/>
              <w:left w:val="nil"/>
              <w:bottom w:val="nil"/>
              <w:right w:val="nil"/>
            </w:tcBorders>
            <w:shd w:val="clear" w:color="auto" w:fill="auto"/>
            <w:noWrap/>
            <w:vAlign w:val="center"/>
            <w:hideMark/>
          </w:tcPr>
          <w:p w14:paraId="33405C4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570</w:t>
            </w:r>
          </w:p>
        </w:tc>
        <w:tc>
          <w:tcPr>
            <w:tcW w:w="657" w:type="dxa"/>
            <w:tcBorders>
              <w:top w:val="nil"/>
              <w:left w:val="nil"/>
              <w:bottom w:val="nil"/>
              <w:right w:val="nil"/>
            </w:tcBorders>
            <w:shd w:val="clear" w:color="auto" w:fill="auto"/>
            <w:noWrap/>
            <w:vAlign w:val="center"/>
            <w:hideMark/>
          </w:tcPr>
          <w:p w14:paraId="471FE43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412</w:t>
            </w:r>
          </w:p>
        </w:tc>
        <w:tc>
          <w:tcPr>
            <w:tcW w:w="657" w:type="dxa"/>
            <w:tcBorders>
              <w:top w:val="nil"/>
              <w:left w:val="nil"/>
              <w:bottom w:val="nil"/>
              <w:right w:val="single" w:sz="8" w:space="0" w:color="002060"/>
            </w:tcBorders>
            <w:shd w:val="clear" w:color="auto" w:fill="auto"/>
            <w:noWrap/>
            <w:vAlign w:val="center"/>
            <w:hideMark/>
          </w:tcPr>
          <w:p w14:paraId="2D82A0B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991</w:t>
            </w:r>
          </w:p>
        </w:tc>
        <w:tc>
          <w:tcPr>
            <w:tcW w:w="875" w:type="dxa"/>
            <w:vMerge/>
            <w:tcBorders>
              <w:top w:val="single" w:sz="8" w:space="0" w:color="FFFFFF"/>
              <w:left w:val="single" w:sz="8" w:space="0" w:color="002060"/>
              <w:bottom w:val="single" w:sz="8" w:space="0" w:color="002060"/>
              <w:right w:val="single" w:sz="8" w:space="0" w:color="002060"/>
            </w:tcBorders>
            <w:vAlign w:val="center"/>
            <w:hideMark/>
          </w:tcPr>
          <w:p w14:paraId="075D6A8D"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25CD485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13</w:t>
            </w:r>
          </w:p>
        </w:tc>
        <w:tc>
          <w:tcPr>
            <w:tcW w:w="614" w:type="dxa"/>
            <w:tcBorders>
              <w:top w:val="nil"/>
              <w:left w:val="nil"/>
              <w:bottom w:val="nil"/>
              <w:right w:val="nil"/>
            </w:tcBorders>
            <w:shd w:val="clear" w:color="auto" w:fill="auto"/>
            <w:noWrap/>
            <w:vAlign w:val="center"/>
            <w:hideMark/>
          </w:tcPr>
          <w:p w14:paraId="4F5BFB8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1243</w:t>
            </w:r>
          </w:p>
        </w:tc>
        <w:tc>
          <w:tcPr>
            <w:tcW w:w="712" w:type="dxa"/>
            <w:tcBorders>
              <w:top w:val="nil"/>
              <w:left w:val="nil"/>
              <w:bottom w:val="nil"/>
              <w:right w:val="nil"/>
            </w:tcBorders>
            <w:shd w:val="clear" w:color="auto" w:fill="auto"/>
            <w:noWrap/>
            <w:vAlign w:val="center"/>
            <w:hideMark/>
          </w:tcPr>
          <w:p w14:paraId="16CD5B6A"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822</w:t>
            </w:r>
          </w:p>
        </w:tc>
        <w:tc>
          <w:tcPr>
            <w:tcW w:w="569" w:type="dxa"/>
            <w:tcBorders>
              <w:top w:val="nil"/>
              <w:left w:val="nil"/>
              <w:bottom w:val="nil"/>
              <w:right w:val="nil"/>
            </w:tcBorders>
            <w:shd w:val="clear" w:color="auto" w:fill="auto"/>
            <w:noWrap/>
            <w:vAlign w:val="center"/>
            <w:hideMark/>
          </w:tcPr>
          <w:p w14:paraId="5F389E2A"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192</w:t>
            </w:r>
          </w:p>
        </w:tc>
        <w:tc>
          <w:tcPr>
            <w:tcW w:w="657" w:type="dxa"/>
            <w:tcBorders>
              <w:top w:val="nil"/>
              <w:left w:val="nil"/>
              <w:bottom w:val="nil"/>
              <w:right w:val="nil"/>
            </w:tcBorders>
            <w:shd w:val="clear" w:color="auto" w:fill="auto"/>
            <w:noWrap/>
            <w:vAlign w:val="center"/>
            <w:hideMark/>
          </w:tcPr>
          <w:p w14:paraId="1A1894F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2805</w:t>
            </w:r>
          </w:p>
        </w:tc>
        <w:tc>
          <w:tcPr>
            <w:tcW w:w="791" w:type="dxa"/>
            <w:tcBorders>
              <w:top w:val="nil"/>
              <w:left w:val="nil"/>
              <w:bottom w:val="nil"/>
              <w:right w:val="nil"/>
            </w:tcBorders>
            <w:shd w:val="clear" w:color="auto" w:fill="auto"/>
            <w:noWrap/>
            <w:vAlign w:val="center"/>
            <w:hideMark/>
          </w:tcPr>
          <w:p w14:paraId="3C187EA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1086</w:t>
            </w:r>
          </w:p>
        </w:tc>
        <w:tc>
          <w:tcPr>
            <w:tcW w:w="569" w:type="dxa"/>
            <w:tcBorders>
              <w:top w:val="nil"/>
              <w:left w:val="nil"/>
              <w:bottom w:val="nil"/>
              <w:right w:val="nil"/>
            </w:tcBorders>
            <w:shd w:val="clear" w:color="auto" w:fill="auto"/>
            <w:noWrap/>
            <w:vAlign w:val="center"/>
            <w:hideMark/>
          </w:tcPr>
          <w:p w14:paraId="12C0D21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694</w:t>
            </w:r>
          </w:p>
        </w:tc>
        <w:tc>
          <w:tcPr>
            <w:tcW w:w="655" w:type="dxa"/>
            <w:tcBorders>
              <w:top w:val="nil"/>
              <w:left w:val="nil"/>
              <w:bottom w:val="nil"/>
              <w:right w:val="single" w:sz="8" w:space="0" w:color="002060"/>
            </w:tcBorders>
            <w:shd w:val="clear" w:color="auto" w:fill="auto"/>
            <w:noWrap/>
            <w:vAlign w:val="center"/>
            <w:hideMark/>
          </w:tcPr>
          <w:p w14:paraId="0A47D5D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1743</w:t>
            </w:r>
          </w:p>
        </w:tc>
      </w:tr>
      <w:tr w:rsidR="00AE564D" w:rsidRPr="00054EF9" w14:paraId="477741F0" w14:textId="77777777" w:rsidTr="00054EF9">
        <w:trPr>
          <w:trHeight w:val="255"/>
          <w:jc w:val="center"/>
        </w:trPr>
        <w:tc>
          <w:tcPr>
            <w:tcW w:w="764" w:type="dxa"/>
            <w:vMerge/>
            <w:tcBorders>
              <w:top w:val="single" w:sz="8" w:space="0" w:color="FFFFFF"/>
              <w:left w:val="single" w:sz="8" w:space="0" w:color="002060"/>
              <w:bottom w:val="single" w:sz="8" w:space="0" w:color="002060"/>
              <w:right w:val="single" w:sz="8" w:space="0" w:color="002060"/>
            </w:tcBorders>
            <w:vAlign w:val="center"/>
            <w:hideMark/>
          </w:tcPr>
          <w:p w14:paraId="44F396CD"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4FED0213"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527582C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Low Fresh</w:t>
            </w:r>
          </w:p>
        </w:tc>
        <w:tc>
          <w:tcPr>
            <w:tcW w:w="533" w:type="dxa"/>
            <w:tcBorders>
              <w:top w:val="nil"/>
              <w:left w:val="nil"/>
              <w:bottom w:val="nil"/>
              <w:right w:val="nil"/>
            </w:tcBorders>
            <w:shd w:val="clear" w:color="auto" w:fill="auto"/>
            <w:noWrap/>
            <w:vAlign w:val="center"/>
            <w:hideMark/>
          </w:tcPr>
          <w:p w14:paraId="0126A0A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w:t>
            </w:r>
          </w:p>
        </w:tc>
        <w:tc>
          <w:tcPr>
            <w:tcW w:w="657" w:type="dxa"/>
            <w:tcBorders>
              <w:top w:val="nil"/>
              <w:left w:val="nil"/>
              <w:bottom w:val="nil"/>
              <w:right w:val="nil"/>
            </w:tcBorders>
            <w:shd w:val="clear" w:color="auto" w:fill="auto"/>
            <w:noWrap/>
            <w:vAlign w:val="center"/>
            <w:hideMark/>
          </w:tcPr>
          <w:p w14:paraId="41EECFE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1090</w:t>
            </w:r>
          </w:p>
        </w:tc>
        <w:tc>
          <w:tcPr>
            <w:tcW w:w="771" w:type="dxa"/>
            <w:tcBorders>
              <w:top w:val="nil"/>
              <w:left w:val="nil"/>
              <w:bottom w:val="nil"/>
              <w:right w:val="nil"/>
            </w:tcBorders>
            <w:shd w:val="clear" w:color="auto" w:fill="auto"/>
            <w:noWrap/>
            <w:vAlign w:val="center"/>
            <w:hideMark/>
          </w:tcPr>
          <w:p w14:paraId="01AAE6E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1048</w:t>
            </w:r>
          </w:p>
        </w:tc>
        <w:tc>
          <w:tcPr>
            <w:tcW w:w="593" w:type="dxa"/>
            <w:tcBorders>
              <w:top w:val="nil"/>
              <w:left w:val="nil"/>
              <w:bottom w:val="nil"/>
              <w:right w:val="nil"/>
            </w:tcBorders>
            <w:shd w:val="clear" w:color="auto" w:fill="auto"/>
            <w:noWrap/>
            <w:vAlign w:val="center"/>
            <w:hideMark/>
          </w:tcPr>
          <w:p w14:paraId="1469E9C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389</w:t>
            </w:r>
          </w:p>
        </w:tc>
        <w:tc>
          <w:tcPr>
            <w:tcW w:w="657" w:type="dxa"/>
            <w:tcBorders>
              <w:top w:val="nil"/>
              <w:left w:val="nil"/>
              <w:bottom w:val="nil"/>
              <w:right w:val="nil"/>
            </w:tcBorders>
            <w:shd w:val="clear" w:color="auto" w:fill="auto"/>
            <w:noWrap/>
            <w:vAlign w:val="center"/>
            <w:hideMark/>
          </w:tcPr>
          <w:p w14:paraId="3E39CB9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4498</w:t>
            </w:r>
          </w:p>
        </w:tc>
        <w:tc>
          <w:tcPr>
            <w:tcW w:w="771" w:type="dxa"/>
            <w:tcBorders>
              <w:top w:val="nil"/>
              <w:left w:val="nil"/>
              <w:bottom w:val="nil"/>
              <w:right w:val="nil"/>
            </w:tcBorders>
            <w:shd w:val="clear" w:color="auto" w:fill="auto"/>
            <w:noWrap/>
            <w:vAlign w:val="center"/>
            <w:hideMark/>
          </w:tcPr>
          <w:p w14:paraId="4A45147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852</w:t>
            </w:r>
          </w:p>
        </w:tc>
        <w:tc>
          <w:tcPr>
            <w:tcW w:w="657" w:type="dxa"/>
            <w:tcBorders>
              <w:top w:val="nil"/>
              <w:left w:val="nil"/>
              <w:bottom w:val="nil"/>
              <w:right w:val="nil"/>
            </w:tcBorders>
            <w:shd w:val="clear" w:color="auto" w:fill="auto"/>
            <w:noWrap/>
            <w:vAlign w:val="center"/>
            <w:hideMark/>
          </w:tcPr>
          <w:p w14:paraId="572FB9B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510</w:t>
            </w:r>
          </w:p>
        </w:tc>
        <w:tc>
          <w:tcPr>
            <w:tcW w:w="657" w:type="dxa"/>
            <w:tcBorders>
              <w:top w:val="nil"/>
              <w:left w:val="nil"/>
              <w:bottom w:val="nil"/>
              <w:right w:val="single" w:sz="8" w:space="0" w:color="002060"/>
            </w:tcBorders>
            <w:shd w:val="clear" w:color="auto" w:fill="auto"/>
            <w:noWrap/>
            <w:vAlign w:val="center"/>
            <w:hideMark/>
          </w:tcPr>
          <w:p w14:paraId="5CF4145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1253</w:t>
            </w:r>
          </w:p>
        </w:tc>
        <w:tc>
          <w:tcPr>
            <w:tcW w:w="875" w:type="dxa"/>
            <w:vMerge/>
            <w:tcBorders>
              <w:top w:val="single" w:sz="8" w:space="0" w:color="FFFFFF"/>
              <w:left w:val="single" w:sz="8" w:space="0" w:color="002060"/>
              <w:bottom w:val="single" w:sz="8" w:space="0" w:color="002060"/>
              <w:right w:val="single" w:sz="8" w:space="0" w:color="002060"/>
            </w:tcBorders>
            <w:vAlign w:val="center"/>
            <w:hideMark/>
          </w:tcPr>
          <w:p w14:paraId="1ABE3C28"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0F16947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w:t>
            </w:r>
          </w:p>
        </w:tc>
        <w:tc>
          <w:tcPr>
            <w:tcW w:w="614" w:type="dxa"/>
            <w:tcBorders>
              <w:top w:val="nil"/>
              <w:left w:val="nil"/>
              <w:bottom w:val="nil"/>
              <w:right w:val="nil"/>
            </w:tcBorders>
            <w:shd w:val="clear" w:color="auto" w:fill="auto"/>
            <w:noWrap/>
            <w:vAlign w:val="center"/>
            <w:hideMark/>
          </w:tcPr>
          <w:p w14:paraId="704B3D9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2009</w:t>
            </w:r>
          </w:p>
        </w:tc>
        <w:tc>
          <w:tcPr>
            <w:tcW w:w="712" w:type="dxa"/>
            <w:tcBorders>
              <w:top w:val="nil"/>
              <w:left w:val="nil"/>
              <w:bottom w:val="nil"/>
              <w:right w:val="nil"/>
            </w:tcBorders>
            <w:shd w:val="clear" w:color="auto" w:fill="auto"/>
            <w:noWrap/>
            <w:vAlign w:val="center"/>
            <w:hideMark/>
          </w:tcPr>
          <w:p w14:paraId="11870DA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1215</w:t>
            </w:r>
          </w:p>
        </w:tc>
        <w:tc>
          <w:tcPr>
            <w:tcW w:w="569" w:type="dxa"/>
            <w:tcBorders>
              <w:top w:val="nil"/>
              <w:left w:val="nil"/>
              <w:bottom w:val="nil"/>
              <w:right w:val="nil"/>
            </w:tcBorders>
            <w:shd w:val="clear" w:color="auto" w:fill="auto"/>
            <w:noWrap/>
            <w:vAlign w:val="center"/>
            <w:hideMark/>
          </w:tcPr>
          <w:p w14:paraId="05233E8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759</w:t>
            </w:r>
          </w:p>
        </w:tc>
        <w:tc>
          <w:tcPr>
            <w:tcW w:w="657" w:type="dxa"/>
            <w:tcBorders>
              <w:top w:val="nil"/>
              <w:left w:val="nil"/>
              <w:bottom w:val="nil"/>
              <w:right w:val="nil"/>
            </w:tcBorders>
            <w:shd w:val="clear" w:color="auto" w:fill="auto"/>
            <w:noWrap/>
            <w:vAlign w:val="center"/>
            <w:hideMark/>
          </w:tcPr>
          <w:p w14:paraId="34233EE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5307</w:t>
            </w:r>
          </w:p>
        </w:tc>
        <w:tc>
          <w:tcPr>
            <w:tcW w:w="791" w:type="dxa"/>
            <w:tcBorders>
              <w:top w:val="nil"/>
              <w:left w:val="nil"/>
              <w:bottom w:val="nil"/>
              <w:right w:val="nil"/>
            </w:tcBorders>
            <w:shd w:val="clear" w:color="auto" w:fill="auto"/>
            <w:noWrap/>
            <w:vAlign w:val="center"/>
            <w:hideMark/>
          </w:tcPr>
          <w:p w14:paraId="4730E6A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1525</w:t>
            </w:r>
          </w:p>
        </w:tc>
        <w:tc>
          <w:tcPr>
            <w:tcW w:w="569" w:type="dxa"/>
            <w:tcBorders>
              <w:top w:val="nil"/>
              <w:left w:val="nil"/>
              <w:bottom w:val="nil"/>
              <w:right w:val="nil"/>
            </w:tcBorders>
            <w:shd w:val="clear" w:color="auto" w:fill="auto"/>
            <w:noWrap/>
            <w:vAlign w:val="center"/>
            <w:hideMark/>
          </w:tcPr>
          <w:p w14:paraId="3A0E74F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1302</w:t>
            </w:r>
          </w:p>
        </w:tc>
        <w:tc>
          <w:tcPr>
            <w:tcW w:w="655" w:type="dxa"/>
            <w:tcBorders>
              <w:top w:val="nil"/>
              <w:left w:val="nil"/>
              <w:bottom w:val="nil"/>
              <w:right w:val="single" w:sz="8" w:space="0" w:color="002060"/>
            </w:tcBorders>
            <w:shd w:val="clear" w:color="auto" w:fill="auto"/>
            <w:noWrap/>
            <w:vAlign w:val="center"/>
            <w:hideMark/>
          </w:tcPr>
          <w:p w14:paraId="57AA9DD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2596</w:t>
            </w:r>
          </w:p>
        </w:tc>
      </w:tr>
      <w:tr w:rsidR="00AE564D" w:rsidRPr="00054EF9" w14:paraId="5600CFE9" w14:textId="77777777" w:rsidTr="00054EF9">
        <w:trPr>
          <w:trHeight w:val="255"/>
          <w:jc w:val="center"/>
        </w:trPr>
        <w:tc>
          <w:tcPr>
            <w:tcW w:w="764" w:type="dxa"/>
            <w:vMerge/>
            <w:tcBorders>
              <w:top w:val="single" w:sz="8" w:space="0" w:color="FFFFFF"/>
              <w:left w:val="single" w:sz="8" w:space="0" w:color="002060"/>
              <w:bottom w:val="single" w:sz="8" w:space="0" w:color="002060"/>
              <w:right w:val="single" w:sz="8" w:space="0" w:color="002060"/>
            </w:tcBorders>
            <w:vAlign w:val="center"/>
            <w:hideMark/>
          </w:tcPr>
          <w:p w14:paraId="45296A6E"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60E4DA6C"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469C409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Med Fresh</w:t>
            </w:r>
          </w:p>
        </w:tc>
        <w:tc>
          <w:tcPr>
            <w:tcW w:w="533" w:type="dxa"/>
            <w:tcBorders>
              <w:top w:val="nil"/>
              <w:left w:val="nil"/>
              <w:bottom w:val="nil"/>
              <w:right w:val="nil"/>
            </w:tcBorders>
            <w:shd w:val="clear" w:color="auto" w:fill="auto"/>
            <w:noWrap/>
            <w:vAlign w:val="center"/>
            <w:hideMark/>
          </w:tcPr>
          <w:p w14:paraId="7367D00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18</w:t>
            </w:r>
          </w:p>
        </w:tc>
        <w:tc>
          <w:tcPr>
            <w:tcW w:w="657" w:type="dxa"/>
            <w:tcBorders>
              <w:top w:val="nil"/>
              <w:left w:val="nil"/>
              <w:bottom w:val="nil"/>
              <w:right w:val="nil"/>
            </w:tcBorders>
            <w:shd w:val="clear" w:color="auto" w:fill="auto"/>
            <w:noWrap/>
            <w:vAlign w:val="center"/>
            <w:hideMark/>
          </w:tcPr>
          <w:p w14:paraId="70A391B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1873</w:t>
            </w:r>
          </w:p>
        </w:tc>
        <w:tc>
          <w:tcPr>
            <w:tcW w:w="771" w:type="dxa"/>
            <w:tcBorders>
              <w:top w:val="nil"/>
              <w:left w:val="nil"/>
              <w:bottom w:val="nil"/>
              <w:right w:val="nil"/>
            </w:tcBorders>
            <w:shd w:val="clear" w:color="auto" w:fill="auto"/>
            <w:noWrap/>
            <w:vAlign w:val="center"/>
            <w:hideMark/>
          </w:tcPr>
          <w:p w14:paraId="4E196A0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1226</w:t>
            </w:r>
          </w:p>
        </w:tc>
        <w:tc>
          <w:tcPr>
            <w:tcW w:w="593" w:type="dxa"/>
            <w:tcBorders>
              <w:top w:val="nil"/>
              <w:left w:val="nil"/>
              <w:bottom w:val="nil"/>
              <w:right w:val="nil"/>
            </w:tcBorders>
            <w:shd w:val="clear" w:color="auto" w:fill="auto"/>
            <w:noWrap/>
            <w:vAlign w:val="center"/>
            <w:hideMark/>
          </w:tcPr>
          <w:p w14:paraId="40064F7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441</w:t>
            </w:r>
          </w:p>
        </w:tc>
        <w:tc>
          <w:tcPr>
            <w:tcW w:w="657" w:type="dxa"/>
            <w:tcBorders>
              <w:top w:val="nil"/>
              <w:left w:val="nil"/>
              <w:bottom w:val="nil"/>
              <w:right w:val="nil"/>
            </w:tcBorders>
            <w:shd w:val="clear" w:color="auto" w:fill="auto"/>
            <w:noWrap/>
            <w:vAlign w:val="center"/>
            <w:hideMark/>
          </w:tcPr>
          <w:p w14:paraId="4D233A6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5342</w:t>
            </w:r>
          </w:p>
        </w:tc>
        <w:tc>
          <w:tcPr>
            <w:tcW w:w="771" w:type="dxa"/>
            <w:tcBorders>
              <w:top w:val="nil"/>
              <w:left w:val="nil"/>
              <w:bottom w:val="nil"/>
              <w:right w:val="nil"/>
            </w:tcBorders>
            <w:shd w:val="clear" w:color="auto" w:fill="auto"/>
            <w:noWrap/>
            <w:vAlign w:val="center"/>
            <w:hideMark/>
          </w:tcPr>
          <w:p w14:paraId="5B85829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1648</w:t>
            </w:r>
          </w:p>
        </w:tc>
        <w:tc>
          <w:tcPr>
            <w:tcW w:w="657" w:type="dxa"/>
            <w:tcBorders>
              <w:top w:val="nil"/>
              <w:left w:val="nil"/>
              <w:bottom w:val="nil"/>
              <w:right w:val="nil"/>
            </w:tcBorders>
            <w:shd w:val="clear" w:color="auto" w:fill="auto"/>
            <w:noWrap/>
            <w:vAlign w:val="center"/>
            <w:hideMark/>
          </w:tcPr>
          <w:p w14:paraId="2BF106D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1010</w:t>
            </w:r>
          </w:p>
        </w:tc>
        <w:tc>
          <w:tcPr>
            <w:tcW w:w="657" w:type="dxa"/>
            <w:tcBorders>
              <w:top w:val="nil"/>
              <w:left w:val="nil"/>
              <w:bottom w:val="nil"/>
              <w:right w:val="single" w:sz="8" w:space="0" w:color="002060"/>
            </w:tcBorders>
            <w:shd w:val="clear" w:color="auto" w:fill="auto"/>
            <w:noWrap/>
            <w:vAlign w:val="center"/>
            <w:hideMark/>
          </w:tcPr>
          <w:p w14:paraId="58A07AB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2466</w:t>
            </w:r>
          </w:p>
        </w:tc>
        <w:tc>
          <w:tcPr>
            <w:tcW w:w="875" w:type="dxa"/>
            <w:vMerge/>
            <w:tcBorders>
              <w:top w:val="single" w:sz="8" w:space="0" w:color="FFFFFF"/>
              <w:left w:val="single" w:sz="8" w:space="0" w:color="002060"/>
              <w:bottom w:val="single" w:sz="8" w:space="0" w:color="002060"/>
              <w:right w:val="single" w:sz="8" w:space="0" w:color="002060"/>
            </w:tcBorders>
            <w:vAlign w:val="center"/>
            <w:hideMark/>
          </w:tcPr>
          <w:p w14:paraId="1F8F9332"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620EB62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w:t>
            </w:r>
          </w:p>
        </w:tc>
        <w:tc>
          <w:tcPr>
            <w:tcW w:w="614" w:type="dxa"/>
            <w:tcBorders>
              <w:top w:val="nil"/>
              <w:left w:val="nil"/>
              <w:bottom w:val="nil"/>
              <w:right w:val="nil"/>
            </w:tcBorders>
            <w:shd w:val="clear" w:color="auto" w:fill="auto"/>
            <w:noWrap/>
            <w:vAlign w:val="center"/>
            <w:hideMark/>
          </w:tcPr>
          <w:p w14:paraId="696F2A4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2868</w:t>
            </w:r>
          </w:p>
        </w:tc>
        <w:tc>
          <w:tcPr>
            <w:tcW w:w="712" w:type="dxa"/>
            <w:tcBorders>
              <w:top w:val="nil"/>
              <w:left w:val="nil"/>
              <w:bottom w:val="nil"/>
              <w:right w:val="nil"/>
            </w:tcBorders>
            <w:shd w:val="clear" w:color="auto" w:fill="auto"/>
            <w:noWrap/>
            <w:vAlign w:val="center"/>
            <w:hideMark/>
          </w:tcPr>
          <w:p w14:paraId="68B6728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1404</w:t>
            </w:r>
          </w:p>
        </w:tc>
        <w:tc>
          <w:tcPr>
            <w:tcW w:w="569" w:type="dxa"/>
            <w:tcBorders>
              <w:top w:val="nil"/>
              <w:left w:val="nil"/>
              <w:bottom w:val="nil"/>
              <w:right w:val="nil"/>
            </w:tcBorders>
            <w:shd w:val="clear" w:color="auto" w:fill="auto"/>
            <w:noWrap/>
            <w:vAlign w:val="center"/>
            <w:hideMark/>
          </w:tcPr>
          <w:p w14:paraId="3A55C6B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1085</w:t>
            </w:r>
          </w:p>
        </w:tc>
        <w:tc>
          <w:tcPr>
            <w:tcW w:w="657" w:type="dxa"/>
            <w:tcBorders>
              <w:top w:val="nil"/>
              <w:left w:val="nil"/>
              <w:bottom w:val="nil"/>
              <w:right w:val="nil"/>
            </w:tcBorders>
            <w:shd w:val="clear" w:color="auto" w:fill="auto"/>
            <w:noWrap/>
            <w:vAlign w:val="center"/>
            <w:hideMark/>
          </w:tcPr>
          <w:p w14:paraId="07B45FFA"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5586</w:t>
            </w:r>
          </w:p>
        </w:tc>
        <w:tc>
          <w:tcPr>
            <w:tcW w:w="791" w:type="dxa"/>
            <w:tcBorders>
              <w:top w:val="nil"/>
              <w:left w:val="nil"/>
              <w:bottom w:val="nil"/>
              <w:right w:val="nil"/>
            </w:tcBorders>
            <w:shd w:val="clear" w:color="auto" w:fill="auto"/>
            <w:noWrap/>
            <w:vAlign w:val="center"/>
            <w:hideMark/>
          </w:tcPr>
          <w:p w14:paraId="2DD2ADF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2434</w:t>
            </w:r>
          </w:p>
        </w:tc>
        <w:tc>
          <w:tcPr>
            <w:tcW w:w="569" w:type="dxa"/>
            <w:tcBorders>
              <w:top w:val="nil"/>
              <w:left w:val="nil"/>
              <w:bottom w:val="nil"/>
              <w:right w:val="nil"/>
            </w:tcBorders>
            <w:shd w:val="clear" w:color="auto" w:fill="auto"/>
            <w:noWrap/>
            <w:vAlign w:val="center"/>
            <w:hideMark/>
          </w:tcPr>
          <w:p w14:paraId="0668ED1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1911</w:t>
            </w:r>
          </w:p>
        </w:tc>
        <w:tc>
          <w:tcPr>
            <w:tcW w:w="655" w:type="dxa"/>
            <w:tcBorders>
              <w:top w:val="nil"/>
              <w:left w:val="nil"/>
              <w:bottom w:val="nil"/>
              <w:right w:val="single" w:sz="8" w:space="0" w:color="002060"/>
            </w:tcBorders>
            <w:shd w:val="clear" w:color="auto" w:fill="auto"/>
            <w:noWrap/>
            <w:vAlign w:val="center"/>
            <w:hideMark/>
          </w:tcPr>
          <w:p w14:paraId="025D729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3730</w:t>
            </w:r>
          </w:p>
        </w:tc>
      </w:tr>
      <w:tr w:rsidR="00AE564D" w:rsidRPr="00054EF9" w14:paraId="64DD0938" w14:textId="77777777" w:rsidTr="00054EF9">
        <w:trPr>
          <w:trHeight w:val="255"/>
          <w:jc w:val="center"/>
        </w:trPr>
        <w:tc>
          <w:tcPr>
            <w:tcW w:w="764" w:type="dxa"/>
            <w:vMerge/>
            <w:tcBorders>
              <w:top w:val="single" w:sz="8" w:space="0" w:color="FFFFFF"/>
              <w:left w:val="single" w:sz="8" w:space="0" w:color="002060"/>
              <w:bottom w:val="single" w:sz="8" w:space="0" w:color="002060"/>
              <w:right w:val="single" w:sz="8" w:space="0" w:color="002060"/>
            </w:tcBorders>
            <w:vAlign w:val="center"/>
            <w:hideMark/>
          </w:tcPr>
          <w:p w14:paraId="7834F011"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21EAA58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McCoy's Bridge</w:t>
            </w:r>
          </w:p>
        </w:tc>
        <w:tc>
          <w:tcPr>
            <w:tcW w:w="1002" w:type="dxa"/>
            <w:tcBorders>
              <w:top w:val="single" w:sz="8" w:space="0" w:color="002060"/>
              <w:left w:val="nil"/>
              <w:bottom w:val="nil"/>
              <w:right w:val="nil"/>
            </w:tcBorders>
            <w:shd w:val="clear" w:color="auto" w:fill="auto"/>
            <w:noWrap/>
            <w:vAlign w:val="center"/>
            <w:hideMark/>
          </w:tcPr>
          <w:p w14:paraId="41DCEE8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Very Low</w:t>
            </w:r>
          </w:p>
        </w:tc>
        <w:tc>
          <w:tcPr>
            <w:tcW w:w="533" w:type="dxa"/>
            <w:tcBorders>
              <w:top w:val="single" w:sz="8" w:space="0" w:color="002060"/>
              <w:left w:val="nil"/>
              <w:bottom w:val="nil"/>
              <w:right w:val="nil"/>
            </w:tcBorders>
            <w:shd w:val="clear" w:color="auto" w:fill="auto"/>
            <w:noWrap/>
            <w:vAlign w:val="center"/>
            <w:hideMark/>
          </w:tcPr>
          <w:p w14:paraId="53B6A91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100</w:t>
            </w:r>
          </w:p>
        </w:tc>
        <w:tc>
          <w:tcPr>
            <w:tcW w:w="657" w:type="dxa"/>
            <w:tcBorders>
              <w:top w:val="single" w:sz="8" w:space="0" w:color="002060"/>
              <w:left w:val="nil"/>
              <w:bottom w:val="nil"/>
              <w:right w:val="nil"/>
            </w:tcBorders>
            <w:shd w:val="clear" w:color="auto" w:fill="auto"/>
            <w:noWrap/>
            <w:vAlign w:val="center"/>
            <w:hideMark/>
          </w:tcPr>
          <w:p w14:paraId="2182F76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965</w:t>
            </w:r>
          </w:p>
        </w:tc>
        <w:tc>
          <w:tcPr>
            <w:tcW w:w="771" w:type="dxa"/>
            <w:tcBorders>
              <w:top w:val="single" w:sz="8" w:space="0" w:color="002060"/>
              <w:left w:val="nil"/>
              <w:bottom w:val="nil"/>
              <w:right w:val="nil"/>
            </w:tcBorders>
            <w:shd w:val="clear" w:color="auto" w:fill="auto"/>
            <w:noWrap/>
            <w:vAlign w:val="center"/>
            <w:hideMark/>
          </w:tcPr>
          <w:p w14:paraId="385B29C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464</w:t>
            </w:r>
          </w:p>
        </w:tc>
        <w:tc>
          <w:tcPr>
            <w:tcW w:w="593" w:type="dxa"/>
            <w:tcBorders>
              <w:top w:val="single" w:sz="8" w:space="0" w:color="002060"/>
              <w:left w:val="nil"/>
              <w:bottom w:val="nil"/>
              <w:right w:val="nil"/>
            </w:tcBorders>
            <w:shd w:val="clear" w:color="auto" w:fill="auto"/>
            <w:noWrap/>
            <w:vAlign w:val="center"/>
            <w:hideMark/>
          </w:tcPr>
          <w:p w14:paraId="1C5D8F1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266</w:t>
            </w:r>
          </w:p>
        </w:tc>
        <w:tc>
          <w:tcPr>
            <w:tcW w:w="657" w:type="dxa"/>
            <w:tcBorders>
              <w:top w:val="single" w:sz="8" w:space="0" w:color="002060"/>
              <w:left w:val="nil"/>
              <w:bottom w:val="nil"/>
              <w:right w:val="nil"/>
            </w:tcBorders>
            <w:shd w:val="clear" w:color="auto" w:fill="auto"/>
            <w:noWrap/>
            <w:vAlign w:val="center"/>
            <w:hideMark/>
          </w:tcPr>
          <w:p w14:paraId="4C46D46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2325</w:t>
            </w:r>
          </w:p>
        </w:tc>
        <w:tc>
          <w:tcPr>
            <w:tcW w:w="771" w:type="dxa"/>
            <w:tcBorders>
              <w:top w:val="single" w:sz="8" w:space="0" w:color="002060"/>
              <w:left w:val="nil"/>
              <w:bottom w:val="nil"/>
              <w:right w:val="nil"/>
            </w:tcBorders>
            <w:shd w:val="clear" w:color="auto" w:fill="auto"/>
            <w:noWrap/>
            <w:vAlign w:val="center"/>
            <w:hideMark/>
          </w:tcPr>
          <w:p w14:paraId="54500B2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828</w:t>
            </w:r>
          </w:p>
        </w:tc>
        <w:tc>
          <w:tcPr>
            <w:tcW w:w="657" w:type="dxa"/>
            <w:tcBorders>
              <w:top w:val="single" w:sz="8" w:space="0" w:color="002060"/>
              <w:left w:val="nil"/>
              <w:bottom w:val="nil"/>
              <w:right w:val="nil"/>
            </w:tcBorders>
            <w:shd w:val="clear" w:color="auto" w:fill="auto"/>
            <w:noWrap/>
            <w:vAlign w:val="center"/>
            <w:hideMark/>
          </w:tcPr>
          <w:p w14:paraId="1DC7A6F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587</w:t>
            </w:r>
          </w:p>
        </w:tc>
        <w:tc>
          <w:tcPr>
            <w:tcW w:w="657" w:type="dxa"/>
            <w:tcBorders>
              <w:top w:val="single" w:sz="8" w:space="0" w:color="002060"/>
              <w:left w:val="nil"/>
              <w:bottom w:val="nil"/>
              <w:right w:val="single" w:sz="8" w:space="0" w:color="002060"/>
            </w:tcBorders>
            <w:shd w:val="clear" w:color="auto" w:fill="auto"/>
            <w:noWrap/>
            <w:vAlign w:val="center"/>
            <w:hideMark/>
          </w:tcPr>
          <w:p w14:paraId="0F5C16A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1299</w:t>
            </w:r>
          </w:p>
        </w:tc>
        <w:tc>
          <w:tcPr>
            <w:tcW w:w="875" w:type="dxa"/>
            <w:vMerge/>
            <w:tcBorders>
              <w:top w:val="single" w:sz="8" w:space="0" w:color="FFFFFF"/>
              <w:left w:val="single" w:sz="8" w:space="0" w:color="002060"/>
              <w:bottom w:val="single" w:sz="8" w:space="0" w:color="002060"/>
              <w:right w:val="single" w:sz="8" w:space="0" w:color="002060"/>
            </w:tcBorders>
            <w:vAlign w:val="center"/>
            <w:hideMark/>
          </w:tcPr>
          <w:p w14:paraId="5ADD2FB3"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single" w:sz="8" w:space="0" w:color="002060"/>
              <w:left w:val="nil"/>
              <w:bottom w:val="nil"/>
              <w:right w:val="nil"/>
            </w:tcBorders>
            <w:shd w:val="clear" w:color="auto" w:fill="auto"/>
            <w:noWrap/>
            <w:vAlign w:val="center"/>
            <w:hideMark/>
          </w:tcPr>
          <w:p w14:paraId="727BC09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w:t>
            </w:r>
          </w:p>
        </w:tc>
        <w:tc>
          <w:tcPr>
            <w:tcW w:w="614" w:type="dxa"/>
            <w:tcBorders>
              <w:top w:val="single" w:sz="8" w:space="0" w:color="002060"/>
              <w:left w:val="nil"/>
              <w:bottom w:val="nil"/>
              <w:right w:val="nil"/>
            </w:tcBorders>
            <w:shd w:val="clear" w:color="auto" w:fill="auto"/>
            <w:noWrap/>
            <w:vAlign w:val="center"/>
            <w:hideMark/>
          </w:tcPr>
          <w:p w14:paraId="1099380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1525</w:t>
            </w:r>
          </w:p>
        </w:tc>
        <w:tc>
          <w:tcPr>
            <w:tcW w:w="712" w:type="dxa"/>
            <w:tcBorders>
              <w:top w:val="single" w:sz="8" w:space="0" w:color="002060"/>
              <w:left w:val="nil"/>
              <w:bottom w:val="nil"/>
              <w:right w:val="nil"/>
            </w:tcBorders>
            <w:shd w:val="clear" w:color="auto" w:fill="auto"/>
            <w:noWrap/>
            <w:vAlign w:val="center"/>
            <w:hideMark/>
          </w:tcPr>
          <w:p w14:paraId="61073B1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1274</w:t>
            </w:r>
          </w:p>
        </w:tc>
        <w:tc>
          <w:tcPr>
            <w:tcW w:w="569" w:type="dxa"/>
            <w:tcBorders>
              <w:top w:val="single" w:sz="8" w:space="0" w:color="002060"/>
              <w:left w:val="nil"/>
              <w:bottom w:val="nil"/>
              <w:right w:val="nil"/>
            </w:tcBorders>
            <w:shd w:val="clear" w:color="auto" w:fill="auto"/>
            <w:noWrap/>
            <w:vAlign w:val="center"/>
            <w:hideMark/>
          </w:tcPr>
          <w:p w14:paraId="6D728CF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299</w:t>
            </w:r>
          </w:p>
        </w:tc>
        <w:tc>
          <w:tcPr>
            <w:tcW w:w="657" w:type="dxa"/>
            <w:tcBorders>
              <w:top w:val="single" w:sz="8" w:space="0" w:color="002060"/>
              <w:left w:val="nil"/>
              <w:bottom w:val="nil"/>
              <w:right w:val="nil"/>
            </w:tcBorders>
            <w:shd w:val="clear" w:color="auto" w:fill="auto"/>
            <w:noWrap/>
            <w:vAlign w:val="center"/>
            <w:hideMark/>
          </w:tcPr>
          <w:p w14:paraId="5E96AEA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3727</w:t>
            </w:r>
          </w:p>
        </w:tc>
        <w:tc>
          <w:tcPr>
            <w:tcW w:w="791" w:type="dxa"/>
            <w:tcBorders>
              <w:top w:val="single" w:sz="8" w:space="0" w:color="002060"/>
              <w:left w:val="nil"/>
              <w:bottom w:val="nil"/>
              <w:right w:val="nil"/>
            </w:tcBorders>
            <w:shd w:val="clear" w:color="auto" w:fill="auto"/>
            <w:noWrap/>
            <w:vAlign w:val="center"/>
            <w:hideMark/>
          </w:tcPr>
          <w:p w14:paraId="55B63AA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991</w:t>
            </w:r>
          </w:p>
        </w:tc>
        <w:tc>
          <w:tcPr>
            <w:tcW w:w="569" w:type="dxa"/>
            <w:tcBorders>
              <w:top w:val="single" w:sz="8" w:space="0" w:color="002060"/>
              <w:left w:val="nil"/>
              <w:bottom w:val="nil"/>
              <w:right w:val="nil"/>
            </w:tcBorders>
            <w:shd w:val="clear" w:color="auto" w:fill="auto"/>
            <w:noWrap/>
            <w:vAlign w:val="center"/>
            <w:hideMark/>
          </w:tcPr>
          <w:p w14:paraId="4AF5865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565</w:t>
            </w:r>
          </w:p>
        </w:tc>
        <w:tc>
          <w:tcPr>
            <w:tcW w:w="655" w:type="dxa"/>
            <w:tcBorders>
              <w:top w:val="single" w:sz="8" w:space="0" w:color="002060"/>
              <w:left w:val="nil"/>
              <w:bottom w:val="nil"/>
              <w:right w:val="single" w:sz="8" w:space="0" w:color="002060"/>
            </w:tcBorders>
            <w:shd w:val="clear" w:color="auto" w:fill="auto"/>
            <w:noWrap/>
            <w:vAlign w:val="center"/>
            <w:hideMark/>
          </w:tcPr>
          <w:p w14:paraId="482F97B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3025</w:t>
            </w:r>
          </w:p>
        </w:tc>
      </w:tr>
      <w:tr w:rsidR="00AE564D" w:rsidRPr="00054EF9" w14:paraId="75CD6771" w14:textId="77777777" w:rsidTr="00054EF9">
        <w:trPr>
          <w:trHeight w:val="255"/>
          <w:jc w:val="center"/>
        </w:trPr>
        <w:tc>
          <w:tcPr>
            <w:tcW w:w="764" w:type="dxa"/>
            <w:vMerge/>
            <w:tcBorders>
              <w:top w:val="single" w:sz="8" w:space="0" w:color="FFFFFF"/>
              <w:left w:val="single" w:sz="8" w:space="0" w:color="002060"/>
              <w:bottom w:val="single" w:sz="8" w:space="0" w:color="002060"/>
              <w:right w:val="single" w:sz="8" w:space="0" w:color="002060"/>
            </w:tcBorders>
            <w:vAlign w:val="center"/>
            <w:hideMark/>
          </w:tcPr>
          <w:p w14:paraId="0EB7A833"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36BC73DC"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76B595C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Mod Low</w:t>
            </w:r>
          </w:p>
        </w:tc>
        <w:tc>
          <w:tcPr>
            <w:tcW w:w="533" w:type="dxa"/>
            <w:tcBorders>
              <w:top w:val="nil"/>
              <w:left w:val="nil"/>
              <w:bottom w:val="nil"/>
              <w:right w:val="nil"/>
            </w:tcBorders>
            <w:shd w:val="clear" w:color="auto" w:fill="auto"/>
            <w:noWrap/>
            <w:vAlign w:val="center"/>
            <w:hideMark/>
          </w:tcPr>
          <w:p w14:paraId="2F3F47B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188</w:t>
            </w:r>
          </w:p>
        </w:tc>
        <w:tc>
          <w:tcPr>
            <w:tcW w:w="657" w:type="dxa"/>
            <w:tcBorders>
              <w:top w:val="nil"/>
              <w:left w:val="nil"/>
              <w:bottom w:val="nil"/>
              <w:right w:val="nil"/>
            </w:tcBorders>
            <w:shd w:val="clear" w:color="auto" w:fill="auto"/>
            <w:noWrap/>
            <w:vAlign w:val="center"/>
            <w:hideMark/>
          </w:tcPr>
          <w:p w14:paraId="29ADE98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1283</w:t>
            </w:r>
          </w:p>
        </w:tc>
        <w:tc>
          <w:tcPr>
            <w:tcW w:w="771" w:type="dxa"/>
            <w:tcBorders>
              <w:top w:val="nil"/>
              <w:left w:val="nil"/>
              <w:bottom w:val="nil"/>
              <w:right w:val="nil"/>
            </w:tcBorders>
            <w:shd w:val="clear" w:color="auto" w:fill="auto"/>
            <w:noWrap/>
            <w:vAlign w:val="center"/>
            <w:hideMark/>
          </w:tcPr>
          <w:p w14:paraId="0FE3C70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780</w:t>
            </w:r>
          </w:p>
        </w:tc>
        <w:tc>
          <w:tcPr>
            <w:tcW w:w="593" w:type="dxa"/>
            <w:tcBorders>
              <w:top w:val="nil"/>
              <w:left w:val="nil"/>
              <w:bottom w:val="nil"/>
              <w:right w:val="nil"/>
            </w:tcBorders>
            <w:shd w:val="clear" w:color="auto" w:fill="auto"/>
            <w:noWrap/>
            <w:vAlign w:val="center"/>
            <w:hideMark/>
          </w:tcPr>
          <w:p w14:paraId="3057A7E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198</w:t>
            </w:r>
          </w:p>
        </w:tc>
        <w:tc>
          <w:tcPr>
            <w:tcW w:w="657" w:type="dxa"/>
            <w:tcBorders>
              <w:top w:val="nil"/>
              <w:left w:val="nil"/>
              <w:bottom w:val="nil"/>
              <w:right w:val="nil"/>
            </w:tcBorders>
            <w:shd w:val="clear" w:color="auto" w:fill="auto"/>
            <w:noWrap/>
            <w:vAlign w:val="center"/>
            <w:hideMark/>
          </w:tcPr>
          <w:p w14:paraId="2DD1C1A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5883</w:t>
            </w:r>
          </w:p>
        </w:tc>
        <w:tc>
          <w:tcPr>
            <w:tcW w:w="771" w:type="dxa"/>
            <w:tcBorders>
              <w:top w:val="nil"/>
              <w:left w:val="nil"/>
              <w:bottom w:val="nil"/>
              <w:right w:val="nil"/>
            </w:tcBorders>
            <w:shd w:val="clear" w:color="auto" w:fill="auto"/>
            <w:noWrap/>
            <w:vAlign w:val="center"/>
            <w:hideMark/>
          </w:tcPr>
          <w:p w14:paraId="63000BD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1091</w:t>
            </w:r>
          </w:p>
        </w:tc>
        <w:tc>
          <w:tcPr>
            <w:tcW w:w="657" w:type="dxa"/>
            <w:tcBorders>
              <w:top w:val="nil"/>
              <w:left w:val="nil"/>
              <w:bottom w:val="nil"/>
              <w:right w:val="nil"/>
            </w:tcBorders>
            <w:shd w:val="clear" w:color="auto" w:fill="auto"/>
            <w:noWrap/>
            <w:vAlign w:val="center"/>
            <w:hideMark/>
          </w:tcPr>
          <w:p w14:paraId="13D3634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769</w:t>
            </w:r>
          </w:p>
        </w:tc>
        <w:tc>
          <w:tcPr>
            <w:tcW w:w="657" w:type="dxa"/>
            <w:tcBorders>
              <w:top w:val="nil"/>
              <w:left w:val="nil"/>
              <w:bottom w:val="nil"/>
              <w:right w:val="single" w:sz="8" w:space="0" w:color="002060"/>
            </w:tcBorders>
            <w:shd w:val="clear" w:color="auto" w:fill="auto"/>
            <w:noWrap/>
            <w:vAlign w:val="center"/>
            <w:hideMark/>
          </w:tcPr>
          <w:p w14:paraId="2F94F77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1573</w:t>
            </w:r>
          </w:p>
        </w:tc>
        <w:tc>
          <w:tcPr>
            <w:tcW w:w="875" w:type="dxa"/>
            <w:vMerge/>
            <w:tcBorders>
              <w:top w:val="single" w:sz="8" w:space="0" w:color="FFFFFF"/>
              <w:left w:val="single" w:sz="8" w:space="0" w:color="002060"/>
              <w:bottom w:val="single" w:sz="8" w:space="0" w:color="002060"/>
              <w:right w:val="single" w:sz="8" w:space="0" w:color="002060"/>
            </w:tcBorders>
            <w:vAlign w:val="center"/>
            <w:hideMark/>
          </w:tcPr>
          <w:p w14:paraId="00E61ABA"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169BEF2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100</w:t>
            </w:r>
          </w:p>
        </w:tc>
        <w:tc>
          <w:tcPr>
            <w:tcW w:w="614" w:type="dxa"/>
            <w:tcBorders>
              <w:top w:val="nil"/>
              <w:left w:val="nil"/>
              <w:bottom w:val="nil"/>
              <w:right w:val="nil"/>
            </w:tcBorders>
            <w:shd w:val="clear" w:color="auto" w:fill="auto"/>
            <w:noWrap/>
            <w:vAlign w:val="center"/>
            <w:hideMark/>
          </w:tcPr>
          <w:p w14:paraId="773314C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1512</w:t>
            </w:r>
          </w:p>
        </w:tc>
        <w:tc>
          <w:tcPr>
            <w:tcW w:w="712" w:type="dxa"/>
            <w:tcBorders>
              <w:top w:val="nil"/>
              <w:left w:val="nil"/>
              <w:bottom w:val="nil"/>
              <w:right w:val="nil"/>
            </w:tcBorders>
            <w:shd w:val="clear" w:color="auto" w:fill="auto"/>
            <w:noWrap/>
            <w:vAlign w:val="center"/>
            <w:hideMark/>
          </w:tcPr>
          <w:p w14:paraId="7DB1A2B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1079</w:t>
            </w:r>
          </w:p>
        </w:tc>
        <w:tc>
          <w:tcPr>
            <w:tcW w:w="569" w:type="dxa"/>
            <w:tcBorders>
              <w:top w:val="nil"/>
              <w:left w:val="nil"/>
              <w:bottom w:val="nil"/>
              <w:right w:val="nil"/>
            </w:tcBorders>
            <w:shd w:val="clear" w:color="auto" w:fill="auto"/>
            <w:noWrap/>
            <w:vAlign w:val="center"/>
            <w:hideMark/>
          </w:tcPr>
          <w:p w14:paraId="22BC75E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63</w:t>
            </w:r>
          </w:p>
        </w:tc>
        <w:tc>
          <w:tcPr>
            <w:tcW w:w="657" w:type="dxa"/>
            <w:tcBorders>
              <w:top w:val="nil"/>
              <w:left w:val="nil"/>
              <w:bottom w:val="nil"/>
              <w:right w:val="nil"/>
            </w:tcBorders>
            <w:shd w:val="clear" w:color="auto" w:fill="auto"/>
            <w:noWrap/>
            <w:vAlign w:val="center"/>
            <w:hideMark/>
          </w:tcPr>
          <w:p w14:paraId="330367D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4383</w:t>
            </w:r>
          </w:p>
        </w:tc>
        <w:tc>
          <w:tcPr>
            <w:tcW w:w="791" w:type="dxa"/>
            <w:tcBorders>
              <w:top w:val="nil"/>
              <w:left w:val="nil"/>
              <w:bottom w:val="nil"/>
              <w:right w:val="nil"/>
            </w:tcBorders>
            <w:shd w:val="clear" w:color="auto" w:fill="auto"/>
            <w:noWrap/>
            <w:vAlign w:val="center"/>
            <w:hideMark/>
          </w:tcPr>
          <w:p w14:paraId="24B3B64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1028</w:t>
            </w:r>
          </w:p>
        </w:tc>
        <w:tc>
          <w:tcPr>
            <w:tcW w:w="569" w:type="dxa"/>
            <w:tcBorders>
              <w:top w:val="nil"/>
              <w:left w:val="nil"/>
              <w:bottom w:val="nil"/>
              <w:right w:val="nil"/>
            </w:tcBorders>
            <w:shd w:val="clear" w:color="auto" w:fill="auto"/>
            <w:noWrap/>
            <w:vAlign w:val="center"/>
            <w:hideMark/>
          </w:tcPr>
          <w:p w14:paraId="1D641EA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693</w:t>
            </w:r>
          </w:p>
        </w:tc>
        <w:tc>
          <w:tcPr>
            <w:tcW w:w="655" w:type="dxa"/>
            <w:tcBorders>
              <w:top w:val="nil"/>
              <w:left w:val="nil"/>
              <w:bottom w:val="nil"/>
              <w:right w:val="single" w:sz="8" w:space="0" w:color="002060"/>
            </w:tcBorders>
            <w:shd w:val="clear" w:color="auto" w:fill="auto"/>
            <w:noWrap/>
            <w:vAlign w:val="center"/>
            <w:hideMark/>
          </w:tcPr>
          <w:p w14:paraId="24F8BF3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2415</w:t>
            </w:r>
          </w:p>
        </w:tc>
      </w:tr>
      <w:tr w:rsidR="00AE564D" w:rsidRPr="00054EF9" w14:paraId="754E3333" w14:textId="77777777" w:rsidTr="00054EF9">
        <w:trPr>
          <w:trHeight w:val="255"/>
          <w:jc w:val="center"/>
        </w:trPr>
        <w:tc>
          <w:tcPr>
            <w:tcW w:w="764" w:type="dxa"/>
            <w:vMerge/>
            <w:tcBorders>
              <w:top w:val="single" w:sz="8" w:space="0" w:color="FFFFFF"/>
              <w:left w:val="single" w:sz="8" w:space="0" w:color="002060"/>
              <w:bottom w:val="single" w:sz="8" w:space="0" w:color="002060"/>
              <w:right w:val="single" w:sz="8" w:space="0" w:color="002060"/>
            </w:tcBorders>
            <w:vAlign w:val="center"/>
            <w:hideMark/>
          </w:tcPr>
          <w:p w14:paraId="6406438C"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5F5A4878"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259B120A"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Low Fresh</w:t>
            </w:r>
          </w:p>
        </w:tc>
        <w:tc>
          <w:tcPr>
            <w:tcW w:w="533" w:type="dxa"/>
            <w:tcBorders>
              <w:top w:val="nil"/>
              <w:left w:val="nil"/>
              <w:bottom w:val="nil"/>
              <w:right w:val="nil"/>
            </w:tcBorders>
            <w:shd w:val="clear" w:color="auto" w:fill="auto"/>
            <w:noWrap/>
            <w:vAlign w:val="center"/>
            <w:hideMark/>
          </w:tcPr>
          <w:p w14:paraId="490FD96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121</w:t>
            </w:r>
          </w:p>
        </w:tc>
        <w:tc>
          <w:tcPr>
            <w:tcW w:w="657" w:type="dxa"/>
            <w:tcBorders>
              <w:top w:val="nil"/>
              <w:left w:val="nil"/>
              <w:bottom w:val="nil"/>
              <w:right w:val="nil"/>
            </w:tcBorders>
            <w:shd w:val="clear" w:color="auto" w:fill="auto"/>
            <w:noWrap/>
            <w:vAlign w:val="center"/>
            <w:hideMark/>
          </w:tcPr>
          <w:p w14:paraId="00153BF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1538</w:t>
            </w:r>
          </w:p>
        </w:tc>
        <w:tc>
          <w:tcPr>
            <w:tcW w:w="771" w:type="dxa"/>
            <w:tcBorders>
              <w:top w:val="nil"/>
              <w:left w:val="nil"/>
              <w:bottom w:val="nil"/>
              <w:right w:val="nil"/>
            </w:tcBorders>
            <w:shd w:val="clear" w:color="auto" w:fill="auto"/>
            <w:noWrap/>
            <w:vAlign w:val="center"/>
            <w:hideMark/>
          </w:tcPr>
          <w:p w14:paraId="49AA0E8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506</w:t>
            </w:r>
          </w:p>
        </w:tc>
        <w:tc>
          <w:tcPr>
            <w:tcW w:w="593" w:type="dxa"/>
            <w:tcBorders>
              <w:top w:val="nil"/>
              <w:left w:val="nil"/>
              <w:bottom w:val="nil"/>
              <w:right w:val="nil"/>
            </w:tcBorders>
            <w:shd w:val="clear" w:color="auto" w:fill="auto"/>
            <w:noWrap/>
            <w:vAlign w:val="center"/>
            <w:hideMark/>
          </w:tcPr>
          <w:p w14:paraId="1BFC39C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361</w:t>
            </w:r>
          </w:p>
        </w:tc>
        <w:tc>
          <w:tcPr>
            <w:tcW w:w="657" w:type="dxa"/>
            <w:tcBorders>
              <w:top w:val="nil"/>
              <w:left w:val="nil"/>
              <w:bottom w:val="nil"/>
              <w:right w:val="nil"/>
            </w:tcBorders>
            <w:shd w:val="clear" w:color="auto" w:fill="auto"/>
            <w:noWrap/>
            <w:vAlign w:val="center"/>
            <w:hideMark/>
          </w:tcPr>
          <w:p w14:paraId="364205A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2773</w:t>
            </w:r>
          </w:p>
        </w:tc>
        <w:tc>
          <w:tcPr>
            <w:tcW w:w="771" w:type="dxa"/>
            <w:tcBorders>
              <w:top w:val="nil"/>
              <w:left w:val="nil"/>
              <w:bottom w:val="nil"/>
              <w:right w:val="nil"/>
            </w:tcBorders>
            <w:shd w:val="clear" w:color="auto" w:fill="auto"/>
            <w:noWrap/>
            <w:vAlign w:val="center"/>
            <w:hideMark/>
          </w:tcPr>
          <w:p w14:paraId="1DE08B0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1384</w:t>
            </w:r>
          </w:p>
        </w:tc>
        <w:tc>
          <w:tcPr>
            <w:tcW w:w="657" w:type="dxa"/>
            <w:tcBorders>
              <w:top w:val="nil"/>
              <w:left w:val="nil"/>
              <w:bottom w:val="nil"/>
              <w:right w:val="nil"/>
            </w:tcBorders>
            <w:shd w:val="clear" w:color="auto" w:fill="auto"/>
            <w:noWrap/>
            <w:vAlign w:val="center"/>
            <w:hideMark/>
          </w:tcPr>
          <w:p w14:paraId="4A42427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1197</w:t>
            </w:r>
          </w:p>
        </w:tc>
        <w:tc>
          <w:tcPr>
            <w:tcW w:w="657" w:type="dxa"/>
            <w:tcBorders>
              <w:top w:val="nil"/>
              <w:left w:val="nil"/>
              <w:bottom w:val="nil"/>
              <w:right w:val="single" w:sz="8" w:space="0" w:color="002060"/>
            </w:tcBorders>
            <w:shd w:val="clear" w:color="auto" w:fill="auto"/>
            <w:noWrap/>
            <w:vAlign w:val="center"/>
            <w:hideMark/>
          </w:tcPr>
          <w:p w14:paraId="6AFCAE8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1935</w:t>
            </w:r>
          </w:p>
        </w:tc>
        <w:tc>
          <w:tcPr>
            <w:tcW w:w="875" w:type="dxa"/>
            <w:vMerge/>
            <w:tcBorders>
              <w:top w:val="single" w:sz="8" w:space="0" w:color="FFFFFF"/>
              <w:left w:val="single" w:sz="8" w:space="0" w:color="002060"/>
              <w:bottom w:val="single" w:sz="8" w:space="0" w:color="002060"/>
              <w:right w:val="single" w:sz="8" w:space="0" w:color="002060"/>
            </w:tcBorders>
            <w:vAlign w:val="center"/>
            <w:hideMark/>
          </w:tcPr>
          <w:p w14:paraId="7AC0BFC4"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4F89C81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w:t>
            </w:r>
          </w:p>
        </w:tc>
        <w:tc>
          <w:tcPr>
            <w:tcW w:w="614" w:type="dxa"/>
            <w:tcBorders>
              <w:top w:val="nil"/>
              <w:left w:val="nil"/>
              <w:bottom w:val="nil"/>
              <w:right w:val="nil"/>
            </w:tcBorders>
            <w:shd w:val="clear" w:color="auto" w:fill="auto"/>
            <w:noWrap/>
            <w:vAlign w:val="center"/>
            <w:hideMark/>
          </w:tcPr>
          <w:p w14:paraId="73CE57B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2036</w:t>
            </w:r>
          </w:p>
        </w:tc>
        <w:tc>
          <w:tcPr>
            <w:tcW w:w="712" w:type="dxa"/>
            <w:tcBorders>
              <w:top w:val="nil"/>
              <w:left w:val="nil"/>
              <w:bottom w:val="nil"/>
              <w:right w:val="nil"/>
            </w:tcBorders>
            <w:shd w:val="clear" w:color="auto" w:fill="auto"/>
            <w:noWrap/>
            <w:vAlign w:val="center"/>
            <w:hideMark/>
          </w:tcPr>
          <w:p w14:paraId="4E07481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1475</w:t>
            </w:r>
          </w:p>
        </w:tc>
        <w:tc>
          <w:tcPr>
            <w:tcW w:w="569" w:type="dxa"/>
            <w:tcBorders>
              <w:top w:val="nil"/>
              <w:left w:val="nil"/>
              <w:bottom w:val="nil"/>
              <w:right w:val="nil"/>
            </w:tcBorders>
            <w:shd w:val="clear" w:color="auto" w:fill="auto"/>
            <w:noWrap/>
            <w:vAlign w:val="center"/>
            <w:hideMark/>
          </w:tcPr>
          <w:p w14:paraId="0865811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638</w:t>
            </w:r>
          </w:p>
        </w:tc>
        <w:tc>
          <w:tcPr>
            <w:tcW w:w="657" w:type="dxa"/>
            <w:tcBorders>
              <w:top w:val="nil"/>
              <w:left w:val="nil"/>
              <w:bottom w:val="nil"/>
              <w:right w:val="nil"/>
            </w:tcBorders>
            <w:shd w:val="clear" w:color="auto" w:fill="auto"/>
            <w:noWrap/>
            <w:vAlign w:val="center"/>
            <w:hideMark/>
          </w:tcPr>
          <w:p w14:paraId="3915DD9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5309</w:t>
            </w:r>
          </w:p>
        </w:tc>
        <w:tc>
          <w:tcPr>
            <w:tcW w:w="791" w:type="dxa"/>
            <w:tcBorders>
              <w:top w:val="nil"/>
              <w:left w:val="nil"/>
              <w:bottom w:val="nil"/>
              <w:right w:val="nil"/>
            </w:tcBorders>
            <w:shd w:val="clear" w:color="auto" w:fill="auto"/>
            <w:noWrap/>
            <w:vAlign w:val="center"/>
            <w:hideMark/>
          </w:tcPr>
          <w:p w14:paraId="16E2D75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1490</w:t>
            </w:r>
          </w:p>
        </w:tc>
        <w:tc>
          <w:tcPr>
            <w:tcW w:w="569" w:type="dxa"/>
            <w:tcBorders>
              <w:top w:val="nil"/>
              <w:left w:val="nil"/>
              <w:bottom w:val="nil"/>
              <w:right w:val="nil"/>
            </w:tcBorders>
            <w:shd w:val="clear" w:color="auto" w:fill="auto"/>
            <w:noWrap/>
            <w:vAlign w:val="center"/>
            <w:hideMark/>
          </w:tcPr>
          <w:p w14:paraId="176B737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1139</w:t>
            </w:r>
          </w:p>
        </w:tc>
        <w:tc>
          <w:tcPr>
            <w:tcW w:w="655" w:type="dxa"/>
            <w:tcBorders>
              <w:top w:val="nil"/>
              <w:left w:val="nil"/>
              <w:bottom w:val="nil"/>
              <w:right w:val="single" w:sz="8" w:space="0" w:color="002060"/>
            </w:tcBorders>
            <w:shd w:val="clear" w:color="auto" w:fill="auto"/>
            <w:noWrap/>
            <w:vAlign w:val="center"/>
            <w:hideMark/>
          </w:tcPr>
          <w:p w14:paraId="1038FCF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2538</w:t>
            </w:r>
          </w:p>
        </w:tc>
      </w:tr>
      <w:tr w:rsidR="00AE564D" w:rsidRPr="00054EF9" w14:paraId="315972C0" w14:textId="77777777" w:rsidTr="00054EF9">
        <w:trPr>
          <w:trHeight w:val="255"/>
          <w:jc w:val="center"/>
        </w:trPr>
        <w:tc>
          <w:tcPr>
            <w:tcW w:w="764" w:type="dxa"/>
            <w:vMerge/>
            <w:tcBorders>
              <w:top w:val="single" w:sz="8" w:space="0" w:color="FFFFFF"/>
              <w:left w:val="single" w:sz="8" w:space="0" w:color="002060"/>
              <w:bottom w:val="single" w:sz="8" w:space="0" w:color="002060"/>
              <w:right w:val="single" w:sz="8" w:space="0" w:color="002060"/>
            </w:tcBorders>
            <w:vAlign w:val="center"/>
            <w:hideMark/>
          </w:tcPr>
          <w:p w14:paraId="540F1BB2"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62A6525B"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21B24CF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Med Fresh</w:t>
            </w:r>
          </w:p>
        </w:tc>
        <w:tc>
          <w:tcPr>
            <w:tcW w:w="533" w:type="dxa"/>
            <w:tcBorders>
              <w:top w:val="nil"/>
              <w:left w:val="nil"/>
              <w:bottom w:val="nil"/>
              <w:right w:val="nil"/>
            </w:tcBorders>
            <w:shd w:val="clear" w:color="auto" w:fill="auto"/>
            <w:noWrap/>
            <w:vAlign w:val="center"/>
            <w:hideMark/>
          </w:tcPr>
          <w:p w14:paraId="503F8CC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29</w:t>
            </w:r>
          </w:p>
        </w:tc>
        <w:tc>
          <w:tcPr>
            <w:tcW w:w="657" w:type="dxa"/>
            <w:tcBorders>
              <w:top w:val="nil"/>
              <w:left w:val="nil"/>
              <w:bottom w:val="nil"/>
              <w:right w:val="nil"/>
            </w:tcBorders>
            <w:shd w:val="clear" w:color="auto" w:fill="auto"/>
            <w:noWrap/>
            <w:vAlign w:val="center"/>
            <w:hideMark/>
          </w:tcPr>
          <w:p w14:paraId="3107869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2064</w:t>
            </w:r>
          </w:p>
        </w:tc>
        <w:tc>
          <w:tcPr>
            <w:tcW w:w="771" w:type="dxa"/>
            <w:tcBorders>
              <w:top w:val="nil"/>
              <w:left w:val="nil"/>
              <w:bottom w:val="nil"/>
              <w:right w:val="nil"/>
            </w:tcBorders>
            <w:shd w:val="clear" w:color="auto" w:fill="auto"/>
            <w:noWrap/>
            <w:vAlign w:val="center"/>
            <w:hideMark/>
          </w:tcPr>
          <w:p w14:paraId="08C3AE8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766</w:t>
            </w:r>
          </w:p>
        </w:tc>
        <w:tc>
          <w:tcPr>
            <w:tcW w:w="593" w:type="dxa"/>
            <w:tcBorders>
              <w:top w:val="nil"/>
              <w:left w:val="nil"/>
              <w:bottom w:val="nil"/>
              <w:right w:val="nil"/>
            </w:tcBorders>
            <w:shd w:val="clear" w:color="auto" w:fill="auto"/>
            <w:noWrap/>
            <w:vAlign w:val="center"/>
            <w:hideMark/>
          </w:tcPr>
          <w:p w14:paraId="560ADF5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633</w:t>
            </w:r>
          </w:p>
        </w:tc>
        <w:tc>
          <w:tcPr>
            <w:tcW w:w="657" w:type="dxa"/>
            <w:tcBorders>
              <w:top w:val="nil"/>
              <w:left w:val="nil"/>
              <w:bottom w:val="nil"/>
              <w:right w:val="nil"/>
            </w:tcBorders>
            <w:shd w:val="clear" w:color="auto" w:fill="auto"/>
            <w:noWrap/>
            <w:vAlign w:val="center"/>
            <w:hideMark/>
          </w:tcPr>
          <w:p w14:paraId="7A27AB5A"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3271</w:t>
            </w:r>
          </w:p>
        </w:tc>
        <w:tc>
          <w:tcPr>
            <w:tcW w:w="771" w:type="dxa"/>
            <w:tcBorders>
              <w:top w:val="nil"/>
              <w:left w:val="nil"/>
              <w:bottom w:val="nil"/>
              <w:right w:val="nil"/>
            </w:tcBorders>
            <w:shd w:val="clear" w:color="auto" w:fill="auto"/>
            <w:noWrap/>
            <w:vAlign w:val="center"/>
            <w:hideMark/>
          </w:tcPr>
          <w:p w14:paraId="5EE5A13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2250</w:t>
            </w:r>
          </w:p>
        </w:tc>
        <w:tc>
          <w:tcPr>
            <w:tcW w:w="657" w:type="dxa"/>
            <w:tcBorders>
              <w:top w:val="nil"/>
              <w:left w:val="nil"/>
              <w:bottom w:val="nil"/>
              <w:right w:val="nil"/>
            </w:tcBorders>
            <w:shd w:val="clear" w:color="auto" w:fill="auto"/>
            <w:noWrap/>
            <w:vAlign w:val="center"/>
            <w:hideMark/>
          </w:tcPr>
          <w:p w14:paraId="2A66AF3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1219</w:t>
            </w:r>
          </w:p>
        </w:tc>
        <w:tc>
          <w:tcPr>
            <w:tcW w:w="657" w:type="dxa"/>
            <w:tcBorders>
              <w:top w:val="nil"/>
              <w:left w:val="nil"/>
              <w:bottom w:val="nil"/>
              <w:right w:val="single" w:sz="8" w:space="0" w:color="002060"/>
            </w:tcBorders>
            <w:shd w:val="clear" w:color="auto" w:fill="auto"/>
            <w:noWrap/>
            <w:vAlign w:val="center"/>
            <w:hideMark/>
          </w:tcPr>
          <w:p w14:paraId="405BE07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2723</w:t>
            </w:r>
          </w:p>
        </w:tc>
        <w:tc>
          <w:tcPr>
            <w:tcW w:w="875" w:type="dxa"/>
            <w:vMerge/>
            <w:tcBorders>
              <w:top w:val="single" w:sz="8" w:space="0" w:color="FFFFFF"/>
              <w:left w:val="single" w:sz="8" w:space="0" w:color="002060"/>
              <w:bottom w:val="single" w:sz="8" w:space="0" w:color="002060"/>
              <w:right w:val="single" w:sz="8" w:space="0" w:color="002060"/>
            </w:tcBorders>
            <w:vAlign w:val="center"/>
            <w:hideMark/>
          </w:tcPr>
          <w:p w14:paraId="1FBE0946"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58767B1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w:t>
            </w:r>
          </w:p>
        </w:tc>
        <w:tc>
          <w:tcPr>
            <w:tcW w:w="614" w:type="dxa"/>
            <w:tcBorders>
              <w:top w:val="nil"/>
              <w:left w:val="nil"/>
              <w:bottom w:val="nil"/>
              <w:right w:val="nil"/>
            </w:tcBorders>
            <w:shd w:val="clear" w:color="auto" w:fill="auto"/>
            <w:noWrap/>
            <w:vAlign w:val="center"/>
            <w:hideMark/>
          </w:tcPr>
          <w:p w14:paraId="545C6E0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3086</w:t>
            </w:r>
          </w:p>
        </w:tc>
        <w:tc>
          <w:tcPr>
            <w:tcW w:w="712" w:type="dxa"/>
            <w:tcBorders>
              <w:top w:val="nil"/>
              <w:left w:val="nil"/>
              <w:bottom w:val="nil"/>
              <w:right w:val="nil"/>
            </w:tcBorders>
            <w:shd w:val="clear" w:color="auto" w:fill="auto"/>
            <w:noWrap/>
            <w:vAlign w:val="center"/>
            <w:hideMark/>
          </w:tcPr>
          <w:p w14:paraId="78F5F27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1689</w:t>
            </w:r>
          </w:p>
        </w:tc>
        <w:tc>
          <w:tcPr>
            <w:tcW w:w="569" w:type="dxa"/>
            <w:tcBorders>
              <w:top w:val="nil"/>
              <w:left w:val="nil"/>
              <w:bottom w:val="nil"/>
              <w:right w:val="nil"/>
            </w:tcBorders>
            <w:shd w:val="clear" w:color="auto" w:fill="auto"/>
            <w:noWrap/>
            <w:vAlign w:val="center"/>
            <w:hideMark/>
          </w:tcPr>
          <w:p w14:paraId="0E64672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1421</w:t>
            </w:r>
          </w:p>
        </w:tc>
        <w:tc>
          <w:tcPr>
            <w:tcW w:w="657" w:type="dxa"/>
            <w:tcBorders>
              <w:top w:val="nil"/>
              <w:left w:val="nil"/>
              <w:bottom w:val="nil"/>
              <w:right w:val="nil"/>
            </w:tcBorders>
            <w:shd w:val="clear" w:color="auto" w:fill="auto"/>
            <w:noWrap/>
            <w:vAlign w:val="center"/>
            <w:hideMark/>
          </w:tcPr>
          <w:p w14:paraId="3CD4F5A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5296</w:t>
            </w:r>
          </w:p>
        </w:tc>
        <w:tc>
          <w:tcPr>
            <w:tcW w:w="791" w:type="dxa"/>
            <w:tcBorders>
              <w:top w:val="nil"/>
              <w:left w:val="nil"/>
              <w:bottom w:val="nil"/>
              <w:right w:val="nil"/>
            </w:tcBorders>
            <w:shd w:val="clear" w:color="auto" w:fill="auto"/>
            <w:noWrap/>
            <w:vAlign w:val="center"/>
            <w:hideMark/>
          </w:tcPr>
          <w:p w14:paraId="50E0653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3045</w:t>
            </w:r>
          </w:p>
        </w:tc>
        <w:tc>
          <w:tcPr>
            <w:tcW w:w="569" w:type="dxa"/>
            <w:tcBorders>
              <w:top w:val="nil"/>
              <w:left w:val="nil"/>
              <w:bottom w:val="nil"/>
              <w:right w:val="nil"/>
            </w:tcBorders>
            <w:shd w:val="clear" w:color="auto" w:fill="auto"/>
            <w:noWrap/>
            <w:vAlign w:val="center"/>
            <w:hideMark/>
          </w:tcPr>
          <w:p w14:paraId="4B97407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1454</w:t>
            </w:r>
          </w:p>
        </w:tc>
        <w:tc>
          <w:tcPr>
            <w:tcW w:w="655" w:type="dxa"/>
            <w:tcBorders>
              <w:top w:val="nil"/>
              <w:left w:val="nil"/>
              <w:bottom w:val="nil"/>
              <w:right w:val="single" w:sz="8" w:space="0" w:color="002060"/>
            </w:tcBorders>
            <w:shd w:val="clear" w:color="auto" w:fill="auto"/>
            <w:noWrap/>
            <w:vAlign w:val="center"/>
            <w:hideMark/>
          </w:tcPr>
          <w:p w14:paraId="04905D5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4738</w:t>
            </w:r>
          </w:p>
        </w:tc>
      </w:tr>
      <w:tr w:rsidR="00AE564D" w:rsidRPr="00054EF9" w14:paraId="47636362" w14:textId="77777777" w:rsidTr="00054EF9">
        <w:trPr>
          <w:trHeight w:val="255"/>
          <w:jc w:val="center"/>
        </w:trPr>
        <w:tc>
          <w:tcPr>
            <w:tcW w:w="764" w:type="dxa"/>
            <w:vMerge/>
            <w:tcBorders>
              <w:top w:val="single" w:sz="8" w:space="0" w:color="FFFFFF"/>
              <w:left w:val="single" w:sz="8" w:space="0" w:color="002060"/>
              <w:bottom w:val="single" w:sz="8" w:space="0" w:color="002060"/>
              <w:right w:val="single" w:sz="8" w:space="0" w:color="002060"/>
            </w:tcBorders>
            <w:vAlign w:val="center"/>
            <w:hideMark/>
          </w:tcPr>
          <w:p w14:paraId="4F9406AB"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val="restart"/>
            <w:tcBorders>
              <w:top w:val="nil"/>
              <w:left w:val="single" w:sz="8" w:space="0" w:color="002060"/>
              <w:bottom w:val="single" w:sz="8" w:space="0" w:color="002060"/>
              <w:right w:val="single" w:sz="8" w:space="0" w:color="002060"/>
            </w:tcBorders>
            <w:shd w:val="clear" w:color="auto" w:fill="auto"/>
            <w:vAlign w:val="center"/>
            <w:hideMark/>
          </w:tcPr>
          <w:p w14:paraId="7CD09C9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Moss Rd / Day Rd / Murchison</w:t>
            </w:r>
          </w:p>
        </w:tc>
        <w:tc>
          <w:tcPr>
            <w:tcW w:w="1002" w:type="dxa"/>
            <w:tcBorders>
              <w:top w:val="single" w:sz="8" w:space="0" w:color="002060"/>
              <w:left w:val="nil"/>
              <w:bottom w:val="nil"/>
              <w:right w:val="nil"/>
            </w:tcBorders>
            <w:shd w:val="clear" w:color="auto" w:fill="auto"/>
            <w:noWrap/>
            <w:vAlign w:val="center"/>
            <w:hideMark/>
          </w:tcPr>
          <w:p w14:paraId="6A136DB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Very Low</w:t>
            </w:r>
          </w:p>
        </w:tc>
        <w:tc>
          <w:tcPr>
            <w:tcW w:w="533" w:type="dxa"/>
            <w:tcBorders>
              <w:top w:val="single" w:sz="8" w:space="0" w:color="002060"/>
              <w:left w:val="nil"/>
              <w:bottom w:val="nil"/>
              <w:right w:val="nil"/>
            </w:tcBorders>
            <w:shd w:val="clear" w:color="auto" w:fill="auto"/>
            <w:noWrap/>
            <w:vAlign w:val="center"/>
            <w:hideMark/>
          </w:tcPr>
          <w:p w14:paraId="06642BC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12</w:t>
            </w:r>
          </w:p>
        </w:tc>
        <w:tc>
          <w:tcPr>
            <w:tcW w:w="657" w:type="dxa"/>
            <w:tcBorders>
              <w:top w:val="single" w:sz="8" w:space="0" w:color="002060"/>
              <w:left w:val="nil"/>
              <w:bottom w:val="nil"/>
              <w:right w:val="nil"/>
            </w:tcBorders>
            <w:shd w:val="clear" w:color="auto" w:fill="auto"/>
            <w:noWrap/>
            <w:vAlign w:val="center"/>
            <w:hideMark/>
          </w:tcPr>
          <w:p w14:paraId="4BF0D45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2327</w:t>
            </w:r>
          </w:p>
        </w:tc>
        <w:tc>
          <w:tcPr>
            <w:tcW w:w="771" w:type="dxa"/>
            <w:tcBorders>
              <w:top w:val="single" w:sz="8" w:space="0" w:color="002060"/>
              <w:left w:val="nil"/>
              <w:bottom w:val="nil"/>
              <w:right w:val="nil"/>
            </w:tcBorders>
            <w:shd w:val="clear" w:color="auto" w:fill="auto"/>
            <w:noWrap/>
            <w:vAlign w:val="center"/>
            <w:hideMark/>
          </w:tcPr>
          <w:p w14:paraId="710E5C3A"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1384</w:t>
            </w:r>
          </w:p>
        </w:tc>
        <w:tc>
          <w:tcPr>
            <w:tcW w:w="593" w:type="dxa"/>
            <w:tcBorders>
              <w:top w:val="single" w:sz="8" w:space="0" w:color="002060"/>
              <w:left w:val="nil"/>
              <w:bottom w:val="nil"/>
              <w:right w:val="nil"/>
            </w:tcBorders>
            <w:shd w:val="clear" w:color="auto" w:fill="auto"/>
            <w:noWrap/>
            <w:vAlign w:val="center"/>
            <w:hideMark/>
          </w:tcPr>
          <w:p w14:paraId="4EF5025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888</w:t>
            </w:r>
          </w:p>
        </w:tc>
        <w:tc>
          <w:tcPr>
            <w:tcW w:w="657" w:type="dxa"/>
            <w:tcBorders>
              <w:top w:val="single" w:sz="8" w:space="0" w:color="002060"/>
              <w:left w:val="nil"/>
              <w:bottom w:val="nil"/>
              <w:right w:val="nil"/>
            </w:tcBorders>
            <w:shd w:val="clear" w:color="auto" w:fill="auto"/>
            <w:noWrap/>
            <w:vAlign w:val="center"/>
            <w:hideMark/>
          </w:tcPr>
          <w:p w14:paraId="2868E68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5728</w:t>
            </w:r>
          </w:p>
        </w:tc>
        <w:tc>
          <w:tcPr>
            <w:tcW w:w="771" w:type="dxa"/>
            <w:tcBorders>
              <w:top w:val="single" w:sz="8" w:space="0" w:color="002060"/>
              <w:left w:val="nil"/>
              <w:bottom w:val="nil"/>
              <w:right w:val="nil"/>
            </w:tcBorders>
            <w:shd w:val="clear" w:color="auto" w:fill="auto"/>
            <w:noWrap/>
            <w:vAlign w:val="center"/>
            <w:hideMark/>
          </w:tcPr>
          <w:p w14:paraId="5B60B81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1982</w:t>
            </w:r>
          </w:p>
        </w:tc>
        <w:tc>
          <w:tcPr>
            <w:tcW w:w="657" w:type="dxa"/>
            <w:tcBorders>
              <w:top w:val="single" w:sz="8" w:space="0" w:color="002060"/>
              <w:left w:val="nil"/>
              <w:bottom w:val="nil"/>
              <w:right w:val="nil"/>
            </w:tcBorders>
            <w:shd w:val="clear" w:color="auto" w:fill="auto"/>
            <w:noWrap/>
            <w:vAlign w:val="center"/>
            <w:hideMark/>
          </w:tcPr>
          <w:p w14:paraId="2883052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1375</w:t>
            </w:r>
          </w:p>
        </w:tc>
        <w:tc>
          <w:tcPr>
            <w:tcW w:w="657" w:type="dxa"/>
            <w:tcBorders>
              <w:top w:val="single" w:sz="8" w:space="0" w:color="002060"/>
              <w:left w:val="nil"/>
              <w:bottom w:val="nil"/>
              <w:right w:val="single" w:sz="8" w:space="0" w:color="002060"/>
            </w:tcBorders>
            <w:shd w:val="clear" w:color="auto" w:fill="auto"/>
            <w:noWrap/>
            <w:vAlign w:val="center"/>
            <w:hideMark/>
          </w:tcPr>
          <w:p w14:paraId="456A596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2678</w:t>
            </w:r>
          </w:p>
        </w:tc>
        <w:tc>
          <w:tcPr>
            <w:tcW w:w="875" w:type="dxa"/>
            <w:vMerge/>
            <w:tcBorders>
              <w:top w:val="single" w:sz="8" w:space="0" w:color="FFFFFF"/>
              <w:left w:val="single" w:sz="8" w:space="0" w:color="002060"/>
              <w:bottom w:val="single" w:sz="8" w:space="0" w:color="002060"/>
              <w:right w:val="single" w:sz="8" w:space="0" w:color="002060"/>
            </w:tcBorders>
            <w:vAlign w:val="center"/>
            <w:hideMark/>
          </w:tcPr>
          <w:p w14:paraId="1BF3A366"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single" w:sz="8" w:space="0" w:color="002060"/>
              <w:left w:val="nil"/>
              <w:bottom w:val="nil"/>
              <w:right w:val="nil"/>
            </w:tcBorders>
            <w:shd w:val="clear" w:color="auto" w:fill="auto"/>
            <w:noWrap/>
            <w:vAlign w:val="center"/>
            <w:hideMark/>
          </w:tcPr>
          <w:p w14:paraId="6CD04CA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w:t>
            </w:r>
          </w:p>
        </w:tc>
        <w:tc>
          <w:tcPr>
            <w:tcW w:w="614" w:type="dxa"/>
            <w:tcBorders>
              <w:top w:val="single" w:sz="8" w:space="0" w:color="002060"/>
              <w:left w:val="nil"/>
              <w:bottom w:val="nil"/>
              <w:right w:val="nil"/>
            </w:tcBorders>
            <w:shd w:val="clear" w:color="auto" w:fill="auto"/>
            <w:noWrap/>
            <w:vAlign w:val="center"/>
            <w:hideMark/>
          </w:tcPr>
          <w:p w14:paraId="0E18AEC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1742</w:t>
            </w:r>
          </w:p>
        </w:tc>
        <w:tc>
          <w:tcPr>
            <w:tcW w:w="712" w:type="dxa"/>
            <w:tcBorders>
              <w:top w:val="single" w:sz="8" w:space="0" w:color="002060"/>
              <w:left w:val="nil"/>
              <w:bottom w:val="nil"/>
              <w:right w:val="nil"/>
            </w:tcBorders>
            <w:shd w:val="clear" w:color="auto" w:fill="auto"/>
            <w:noWrap/>
            <w:vAlign w:val="center"/>
            <w:hideMark/>
          </w:tcPr>
          <w:p w14:paraId="63F4FC1A"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761</w:t>
            </w:r>
          </w:p>
        </w:tc>
        <w:tc>
          <w:tcPr>
            <w:tcW w:w="569" w:type="dxa"/>
            <w:tcBorders>
              <w:top w:val="single" w:sz="8" w:space="0" w:color="002060"/>
              <w:left w:val="nil"/>
              <w:bottom w:val="nil"/>
              <w:right w:val="nil"/>
            </w:tcBorders>
            <w:shd w:val="clear" w:color="auto" w:fill="auto"/>
            <w:noWrap/>
            <w:vAlign w:val="center"/>
            <w:hideMark/>
          </w:tcPr>
          <w:p w14:paraId="4878510E"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893</w:t>
            </w:r>
          </w:p>
        </w:tc>
        <w:tc>
          <w:tcPr>
            <w:tcW w:w="657" w:type="dxa"/>
            <w:tcBorders>
              <w:top w:val="single" w:sz="8" w:space="0" w:color="002060"/>
              <w:left w:val="nil"/>
              <w:bottom w:val="nil"/>
              <w:right w:val="nil"/>
            </w:tcBorders>
            <w:shd w:val="clear" w:color="auto" w:fill="auto"/>
            <w:noWrap/>
            <w:vAlign w:val="center"/>
            <w:hideMark/>
          </w:tcPr>
          <w:p w14:paraId="4ACA573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2793</w:t>
            </w:r>
          </w:p>
        </w:tc>
        <w:tc>
          <w:tcPr>
            <w:tcW w:w="791" w:type="dxa"/>
            <w:tcBorders>
              <w:top w:val="single" w:sz="8" w:space="0" w:color="002060"/>
              <w:left w:val="nil"/>
              <w:bottom w:val="nil"/>
              <w:right w:val="nil"/>
            </w:tcBorders>
            <w:shd w:val="clear" w:color="auto" w:fill="auto"/>
            <w:noWrap/>
            <w:vAlign w:val="center"/>
            <w:hideMark/>
          </w:tcPr>
          <w:p w14:paraId="4F8167C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1661</w:t>
            </w:r>
          </w:p>
        </w:tc>
        <w:tc>
          <w:tcPr>
            <w:tcW w:w="569" w:type="dxa"/>
            <w:tcBorders>
              <w:top w:val="single" w:sz="8" w:space="0" w:color="002060"/>
              <w:left w:val="nil"/>
              <w:bottom w:val="nil"/>
              <w:right w:val="nil"/>
            </w:tcBorders>
            <w:shd w:val="clear" w:color="auto" w:fill="auto"/>
            <w:noWrap/>
            <w:vAlign w:val="center"/>
            <w:hideMark/>
          </w:tcPr>
          <w:p w14:paraId="3276DBA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1092</w:t>
            </w:r>
          </w:p>
        </w:tc>
        <w:tc>
          <w:tcPr>
            <w:tcW w:w="655" w:type="dxa"/>
            <w:tcBorders>
              <w:top w:val="single" w:sz="8" w:space="0" w:color="002060"/>
              <w:left w:val="nil"/>
              <w:bottom w:val="nil"/>
              <w:right w:val="single" w:sz="8" w:space="0" w:color="002060"/>
            </w:tcBorders>
            <w:shd w:val="clear" w:color="auto" w:fill="auto"/>
            <w:noWrap/>
            <w:vAlign w:val="center"/>
            <w:hideMark/>
          </w:tcPr>
          <w:p w14:paraId="14D4EBB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2412</w:t>
            </w:r>
          </w:p>
        </w:tc>
      </w:tr>
      <w:tr w:rsidR="00AE564D" w:rsidRPr="00054EF9" w14:paraId="69F3004F" w14:textId="77777777" w:rsidTr="00054EF9">
        <w:trPr>
          <w:trHeight w:val="255"/>
          <w:jc w:val="center"/>
        </w:trPr>
        <w:tc>
          <w:tcPr>
            <w:tcW w:w="764" w:type="dxa"/>
            <w:vMerge/>
            <w:tcBorders>
              <w:top w:val="single" w:sz="8" w:space="0" w:color="FFFFFF"/>
              <w:left w:val="single" w:sz="8" w:space="0" w:color="002060"/>
              <w:bottom w:val="single" w:sz="8" w:space="0" w:color="002060"/>
              <w:right w:val="single" w:sz="8" w:space="0" w:color="002060"/>
            </w:tcBorders>
            <w:vAlign w:val="center"/>
            <w:hideMark/>
          </w:tcPr>
          <w:p w14:paraId="4AE87E44"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5440E479"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5889D3C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Mod Low</w:t>
            </w:r>
          </w:p>
        </w:tc>
        <w:tc>
          <w:tcPr>
            <w:tcW w:w="533" w:type="dxa"/>
            <w:tcBorders>
              <w:top w:val="nil"/>
              <w:left w:val="nil"/>
              <w:bottom w:val="nil"/>
              <w:right w:val="nil"/>
            </w:tcBorders>
            <w:shd w:val="clear" w:color="auto" w:fill="auto"/>
            <w:noWrap/>
            <w:vAlign w:val="center"/>
            <w:hideMark/>
          </w:tcPr>
          <w:p w14:paraId="3A8DEFE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53</w:t>
            </w:r>
          </w:p>
        </w:tc>
        <w:tc>
          <w:tcPr>
            <w:tcW w:w="657" w:type="dxa"/>
            <w:tcBorders>
              <w:top w:val="nil"/>
              <w:left w:val="nil"/>
              <w:bottom w:val="nil"/>
              <w:right w:val="nil"/>
            </w:tcBorders>
            <w:shd w:val="clear" w:color="auto" w:fill="auto"/>
            <w:noWrap/>
            <w:vAlign w:val="center"/>
            <w:hideMark/>
          </w:tcPr>
          <w:p w14:paraId="723A3C4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2181</w:t>
            </w:r>
          </w:p>
        </w:tc>
        <w:tc>
          <w:tcPr>
            <w:tcW w:w="771" w:type="dxa"/>
            <w:tcBorders>
              <w:top w:val="nil"/>
              <w:left w:val="nil"/>
              <w:bottom w:val="nil"/>
              <w:right w:val="nil"/>
            </w:tcBorders>
            <w:shd w:val="clear" w:color="auto" w:fill="auto"/>
            <w:noWrap/>
            <w:vAlign w:val="center"/>
            <w:hideMark/>
          </w:tcPr>
          <w:p w14:paraId="3F26455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3694</w:t>
            </w:r>
          </w:p>
        </w:tc>
        <w:tc>
          <w:tcPr>
            <w:tcW w:w="593" w:type="dxa"/>
            <w:tcBorders>
              <w:top w:val="nil"/>
              <w:left w:val="nil"/>
              <w:bottom w:val="nil"/>
              <w:right w:val="nil"/>
            </w:tcBorders>
            <w:shd w:val="clear" w:color="auto" w:fill="auto"/>
            <w:noWrap/>
            <w:vAlign w:val="center"/>
            <w:hideMark/>
          </w:tcPr>
          <w:p w14:paraId="3A3E9EE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343</w:t>
            </w:r>
          </w:p>
        </w:tc>
        <w:tc>
          <w:tcPr>
            <w:tcW w:w="657" w:type="dxa"/>
            <w:tcBorders>
              <w:top w:val="nil"/>
              <w:left w:val="nil"/>
              <w:bottom w:val="nil"/>
              <w:right w:val="nil"/>
            </w:tcBorders>
            <w:shd w:val="clear" w:color="auto" w:fill="auto"/>
            <w:noWrap/>
            <w:vAlign w:val="center"/>
            <w:hideMark/>
          </w:tcPr>
          <w:p w14:paraId="0F61DEC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22756</w:t>
            </w:r>
          </w:p>
        </w:tc>
        <w:tc>
          <w:tcPr>
            <w:tcW w:w="771" w:type="dxa"/>
            <w:tcBorders>
              <w:top w:val="nil"/>
              <w:left w:val="nil"/>
              <w:bottom w:val="nil"/>
              <w:right w:val="nil"/>
            </w:tcBorders>
            <w:shd w:val="clear" w:color="auto" w:fill="auto"/>
            <w:noWrap/>
            <w:vAlign w:val="center"/>
            <w:hideMark/>
          </w:tcPr>
          <w:p w14:paraId="38AC453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887</w:t>
            </w:r>
          </w:p>
        </w:tc>
        <w:tc>
          <w:tcPr>
            <w:tcW w:w="657" w:type="dxa"/>
            <w:tcBorders>
              <w:top w:val="nil"/>
              <w:left w:val="nil"/>
              <w:bottom w:val="nil"/>
              <w:right w:val="nil"/>
            </w:tcBorders>
            <w:shd w:val="clear" w:color="auto" w:fill="auto"/>
            <w:noWrap/>
            <w:vAlign w:val="center"/>
            <w:hideMark/>
          </w:tcPr>
          <w:p w14:paraId="43E94A4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582</w:t>
            </w:r>
          </w:p>
        </w:tc>
        <w:tc>
          <w:tcPr>
            <w:tcW w:w="657" w:type="dxa"/>
            <w:tcBorders>
              <w:top w:val="nil"/>
              <w:left w:val="nil"/>
              <w:bottom w:val="nil"/>
              <w:right w:val="single" w:sz="8" w:space="0" w:color="002060"/>
            </w:tcBorders>
            <w:shd w:val="clear" w:color="auto" w:fill="auto"/>
            <w:noWrap/>
            <w:vAlign w:val="center"/>
            <w:hideMark/>
          </w:tcPr>
          <w:p w14:paraId="67D2FE5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1863</w:t>
            </w:r>
          </w:p>
        </w:tc>
        <w:tc>
          <w:tcPr>
            <w:tcW w:w="875" w:type="dxa"/>
            <w:vMerge/>
            <w:tcBorders>
              <w:top w:val="single" w:sz="8" w:space="0" w:color="FFFFFF"/>
              <w:left w:val="single" w:sz="8" w:space="0" w:color="002060"/>
              <w:bottom w:val="single" w:sz="8" w:space="0" w:color="002060"/>
              <w:right w:val="single" w:sz="8" w:space="0" w:color="002060"/>
            </w:tcBorders>
            <w:vAlign w:val="center"/>
            <w:hideMark/>
          </w:tcPr>
          <w:p w14:paraId="24758364"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4B3E56F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w:t>
            </w:r>
          </w:p>
        </w:tc>
        <w:tc>
          <w:tcPr>
            <w:tcW w:w="614" w:type="dxa"/>
            <w:tcBorders>
              <w:top w:val="nil"/>
              <w:left w:val="nil"/>
              <w:bottom w:val="nil"/>
              <w:right w:val="nil"/>
            </w:tcBorders>
            <w:shd w:val="clear" w:color="auto" w:fill="auto"/>
            <w:noWrap/>
            <w:vAlign w:val="center"/>
            <w:hideMark/>
          </w:tcPr>
          <w:p w14:paraId="319C029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737</w:t>
            </w:r>
          </w:p>
        </w:tc>
        <w:tc>
          <w:tcPr>
            <w:tcW w:w="712" w:type="dxa"/>
            <w:tcBorders>
              <w:top w:val="nil"/>
              <w:left w:val="nil"/>
              <w:bottom w:val="nil"/>
              <w:right w:val="nil"/>
            </w:tcBorders>
            <w:shd w:val="clear" w:color="auto" w:fill="auto"/>
            <w:noWrap/>
            <w:vAlign w:val="center"/>
            <w:hideMark/>
          </w:tcPr>
          <w:p w14:paraId="491B930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487</w:t>
            </w:r>
          </w:p>
        </w:tc>
        <w:tc>
          <w:tcPr>
            <w:tcW w:w="569" w:type="dxa"/>
            <w:tcBorders>
              <w:top w:val="nil"/>
              <w:left w:val="nil"/>
              <w:bottom w:val="nil"/>
              <w:right w:val="nil"/>
            </w:tcBorders>
            <w:shd w:val="clear" w:color="auto" w:fill="auto"/>
            <w:noWrap/>
            <w:vAlign w:val="center"/>
            <w:hideMark/>
          </w:tcPr>
          <w:p w14:paraId="41E3396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266</w:t>
            </w:r>
          </w:p>
        </w:tc>
        <w:tc>
          <w:tcPr>
            <w:tcW w:w="657" w:type="dxa"/>
            <w:tcBorders>
              <w:top w:val="nil"/>
              <w:left w:val="nil"/>
              <w:bottom w:val="nil"/>
              <w:right w:val="nil"/>
            </w:tcBorders>
            <w:shd w:val="clear" w:color="auto" w:fill="auto"/>
            <w:noWrap/>
            <w:vAlign w:val="center"/>
            <w:hideMark/>
          </w:tcPr>
          <w:p w14:paraId="451EB695"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1575</w:t>
            </w:r>
          </w:p>
        </w:tc>
        <w:tc>
          <w:tcPr>
            <w:tcW w:w="791" w:type="dxa"/>
            <w:tcBorders>
              <w:top w:val="nil"/>
              <w:left w:val="nil"/>
              <w:bottom w:val="nil"/>
              <w:right w:val="nil"/>
            </w:tcBorders>
            <w:shd w:val="clear" w:color="auto" w:fill="auto"/>
            <w:noWrap/>
            <w:vAlign w:val="center"/>
            <w:hideMark/>
          </w:tcPr>
          <w:p w14:paraId="464F3D8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466</w:t>
            </w:r>
          </w:p>
        </w:tc>
        <w:tc>
          <w:tcPr>
            <w:tcW w:w="569" w:type="dxa"/>
            <w:tcBorders>
              <w:top w:val="nil"/>
              <w:left w:val="nil"/>
              <w:bottom w:val="nil"/>
              <w:right w:val="nil"/>
            </w:tcBorders>
            <w:shd w:val="clear" w:color="auto" w:fill="auto"/>
            <w:noWrap/>
            <w:vAlign w:val="center"/>
            <w:hideMark/>
          </w:tcPr>
          <w:p w14:paraId="68F773B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344</w:t>
            </w:r>
          </w:p>
        </w:tc>
        <w:tc>
          <w:tcPr>
            <w:tcW w:w="655" w:type="dxa"/>
            <w:tcBorders>
              <w:top w:val="nil"/>
              <w:left w:val="nil"/>
              <w:bottom w:val="nil"/>
              <w:right w:val="single" w:sz="8" w:space="0" w:color="002060"/>
            </w:tcBorders>
            <w:shd w:val="clear" w:color="auto" w:fill="auto"/>
            <w:noWrap/>
            <w:vAlign w:val="center"/>
            <w:hideMark/>
          </w:tcPr>
          <w:p w14:paraId="781F75B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1112</w:t>
            </w:r>
          </w:p>
        </w:tc>
      </w:tr>
      <w:tr w:rsidR="00AE564D" w:rsidRPr="00054EF9" w14:paraId="41B1A215" w14:textId="77777777" w:rsidTr="00054EF9">
        <w:trPr>
          <w:trHeight w:val="255"/>
          <w:jc w:val="center"/>
        </w:trPr>
        <w:tc>
          <w:tcPr>
            <w:tcW w:w="764" w:type="dxa"/>
            <w:vMerge/>
            <w:tcBorders>
              <w:top w:val="single" w:sz="8" w:space="0" w:color="FFFFFF"/>
              <w:left w:val="single" w:sz="8" w:space="0" w:color="002060"/>
              <w:bottom w:val="single" w:sz="8" w:space="0" w:color="002060"/>
              <w:right w:val="single" w:sz="8" w:space="0" w:color="002060"/>
            </w:tcBorders>
            <w:vAlign w:val="center"/>
            <w:hideMark/>
          </w:tcPr>
          <w:p w14:paraId="2A5FBE07"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3609D887"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nil"/>
              <w:right w:val="nil"/>
            </w:tcBorders>
            <w:shd w:val="clear" w:color="auto" w:fill="auto"/>
            <w:noWrap/>
            <w:vAlign w:val="center"/>
            <w:hideMark/>
          </w:tcPr>
          <w:p w14:paraId="32C47F8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Low Fresh</w:t>
            </w:r>
          </w:p>
        </w:tc>
        <w:tc>
          <w:tcPr>
            <w:tcW w:w="533" w:type="dxa"/>
            <w:tcBorders>
              <w:top w:val="nil"/>
              <w:left w:val="nil"/>
              <w:bottom w:val="nil"/>
              <w:right w:val="nil"/>
            </w:tcBorders>
            <w:shd w:val="clear" w:color="auto" w:fill="auto"/>
            <w:noWrap/>
            <w:vAlign w:val="center"/>
            <w:hideMark/>
          </w:tcPr>
          <w:p w14:paraId="375DE2C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24</w:t>
            </w:r>
          </w:p>
        </w:tc>
        <w:tc>
          <w:tcPr>
            <w:tcW w:w="657" w:type="dxa"/>
            <w:tcBorders>
              <w:top w:val="nil"/>
              <w:left w:val="nil"/>
              <w:bottom w:val="nil"/>
              <w:right w:val="nil"/>
            </w:tcBorders>
            <w:shd w:val="clear" w:color="auto" w:fill="auto"/>
            <w:noWrap/>
            <w:vAlign w:val="center"/>
            <w:hideMark/>
          </w:tcPr>
          <w:p w14:paraId="27D263C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7356</w:t>
            </w:r>
          </w:p>
        </w:tc>
        <w:tc>
          <w:tcPr>
            <w:tcW w:w="771" w:type="dxa"/>
            <w:tcBorders>
              <w:top w:val="nil"/>
              <w:left w:val="nil"/>
              <w:bottom w:val="nil"/>
              <w:right w:val="nil"/>
            </w:tcBorders>
            <w:shd w:val="clear" w:color="auto" w:fill="auto"/>
            <w:noWrap/>
            <w:vAlign w:val="center"/>
            <w:hideMark/>
          </w:tcPr>
          <w:p w14:paraId="4D4AC7E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4300</w:t>
            </w:r>
          </w:p>
        </w:tc>
        <w:tc>
          <w:tcPr>
            <w:tcW w:w="593" w:type="dxa"/>
            <w:tcBorders>
              <w:top w:val="nil"/>
              <w:left w:val="nil"/>
              <w:bottom w:val="nil"/>
              <w:right w:val="nil"/>
            </w:tcBorders>
            <w:shd w:val="clear" w:color="auto" w:fill="auto"/>
            <w:noWrap/>
            <w:vAlign w:val="center"/>
            <w:hideMark/>
          </w:tcPr>
          <w:p w14:paraId="48E4818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271</w:t>
            </w:r>
          </w:p>
        </w:tc>
        <w:tc>
          <w:tcPr>
            <w:tcW w:w="657" w:type="dxa"/>
            <w:tcBorders>
              <w:top w:val="nil"/>
              <w:left w:val="nil"/>
              <w:bottom w:val="nil"/>
              <w:right w:val="nil"/>
            </w:tcBorders>
            <w:shd w:val="clear" w:color="auto" w:fill="auto"/>
            <w:noWrap/>
            <w:vAlign w:val="center"/>
            <w:hideMark/>
          </w:tcPr>
          <w:p w14:paraId="0149D4E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17179</w:t>
            </w:r>
          </w:p>
        </w:tc>
        <w:tc>
          <w:tcPr>
            <w:tcW w:w="771" w:type="dxa"/>
            <w:tcBorders>
              <w:top w:val="nil"/>
              <w:left w:val="nil"/>
              <w:bottom w:val="nil"/>
              <w:right w:val="nil"/>
            </w:tcBorders>
            <w:shd w:val="clear" w:color="auto" w:fill="auto"/>
            <w:noWrap/>
            <w:vAlign w:val="center"/>
            <w:hideMark/>
          </w:tcPr>
          <w:p w14:paraId="0878CED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8778</w:t>
            </w:r>
          </w:p>
        </w:tc>
        <w:tc>
          <w:tcPr>
            <w:tcW w:w="657" w:type="dxa"/>
            <w:tcBorders>
              <w:top w:val="nil"/>
              <w:left w:val="nil"/>
              <w:bottom w:val="nil"/>
              <w:right w:val="nil"/>
            </w:tcBorders>
            <w:shd w:val="clear" w:color="auto" w:fill="auto"/>
            <w:noWrap/>
            <w:vAlign w:val="center"/>
            <w:hideMark/>
          </w:tcPr>
          <w:p w14:paraId="1DA33DA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4051</w:t>
            </w:r>
          </w:p>
        </w:tc>
        <w:tc>
          <w:tcPr>
            <w:tcW w:w="657" w:type="dxa"/>
            <w:tcBorders>
              <w:top w:val="nil"/>
              <w:left w:val="nil"/>
              <w:bottom w:val="nil"/>
              <w:right w:val="single" w:sz="8" w:space="0" w:color="002060"/>
            </w:tcBorders>
            <w:shd w:val="clear" w:color="auto" w:fill="auto"/>
            <w:noWrap/>
            <w:vAlign w:val="center"/>
            <w:hideMark/>
          </w:tcPr>
          <w:p w14:paraId="1A80520C"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9770</w:t>
            </w:r>
          </w:p>
        </w:tc>
        <w:tc>
          <w:tcPr>
            <w:tcW w:w="875" w:type="dxa"/>
            <w:vMerge/>
            <w:tcBorders>
              <w:top w:val="single" w:sz="8" w:space="0" w:color="FFFFFF"/>
              <w:left w:val="single" w:sz="8" w:space="0" w:color="002060"/>
              <w:bottom w:val="single" w:sz="8" w:space="0" w:color="002060"/>
              <w:right w:val="single" w:sz="8" w:space="0" w:color="002060"/>
            </w:tcBorders>
            <w:vAlign w:val="center"/>
            <w:hideMark/>
          </w:tcPr>
          <w:p w14:paraId="47D85E8D"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nil"/>
              <w:right w:val="nil"/>
            </w:tcBorders>
            <w:shd w:val="clear" w:color="auto" w:fill="auto"/>
            <w:noWrap/>
            <w:vAlign w:val="center"/>
            <w:hideMark/>
          </w:tcPr>
          <w:p w14:paraId="52B034A8"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w:t>
            </w:r>
          </w:p>
        </w:tc>
        <w:tc>
          <w:tcPr>
            <w:tcW w:w="614" w:type="dxa"/>
            <w:tcBorders>
              <w:top w:val="nil"/>
              <w:left w:val="nil"/>
              <w:bottom w:val="nil"/>
              <w:right w:val="nil"/>
            </w:tcBorders>
            <w:shd w:val="clear" w:color="auto" w:fill="auto"/>
            <w:noWrap/>
            <w:vAlign w:val="center"/>
            <w:hideMark/>
          </w:tcPr>
          <w:p w14:paraId="4CE0E2B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2415</w:t>
            </w:r>
          </w:p>
        </w:tc>
        <w:tc>
          <w:tcPr>
            <w:tcW w:w="712" w:type="dxa"/>
            <w:tcBorders>
              <w:top w:val="nil"/>
              <w:left w:val="nil"/>
              <w:bottom w:val="nil"/>
              <w:right w:val="nil"/>
            </w:tcBorders>
            <w:shd w:val="clear" w:color="auto" w:fill="auto"/>
            <w:noWrap/>
            <w:vAlign w:val="center"/>
            <w:hideMark/>
          </w:tcPr>
          <w:p w14:paraId="6A65ECC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2181</w:t>
            </w:r>
          </w:p>
        </w:tc>
        <w:tc>
          <w:tcPr>
            <w:tcW w:w="569" w:type="dxa"/>
            <w:tcBorders>
              <w:top w:val="nil"/>
              <w:left w:val="nil"/>
              <w:bottom w:val="nil"/>
              <w:right w:val="nil"/>
            </w:tcBorders>
            <w:shd w:val="clear" w:color="auto" w:fill="auto"/>
            <w:noWrap/>
            <w:vAlign w:val="center"/>
            <w:hideMark/>
          </w:tcPr>
          <w:p w14:paraId="633982E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567</w:t>
            </w:r>
          </w:p>
        </w:tc>
        <w:tc>
          <w:tcPr>
            <w:tcW w:w="657" w:type="dxa"/>
            <w:tcBorders>
              <w:top w:val="nil"/>
              <w:left w:val="nil"/>
              <w:bottom w:val="nil"/>
              <w:right w:val="nil"/>
            </w:tcBorders>
            <w:shd w:val="clear" w:color="auto" w:fill="auto"/>
            <w:noWrap/>
            <w:vAlign w:val="center"/>
            <w:hideMark/>
          </w:tcPr>
          <w:p w14:paraId="305EE3DB"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5848</w:t>
            </w:r>
          </w:p>
        </w:tc>
        <w:tc>
          <w:tcPr>
            <w:tcW w:w="791" w:type="dxa"/>
            <w:tcBorders>
              <w:top w:val="nil"/>
              <w:left w:val="nil"/>
              <w:bottom w:val="nil"/>
              <w:right w:val="nil"/>
            </w:tcBorders>
            <w:shd w:val="clear" w:color="auto" w:fill="auto"/>
            <w:noWrap/>
            <w:vAlign w:val="center"/>
            <w:hideMark/>
          </w:tcPr>
          <w:p w14:paraId="4358148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1601</w:t>
            </w:r>
          </w:p>
        </w:tc>
        <w:tc>
          <w:tcPr>
            <w:tcW w:w="569" w:type="dxa"/>
            <w:tcBorders>
              <w:top w:val="nil"/>
              <w:left w:val="nil"/>
              <w:bottom w:val="nil"/>
              <w:right w:val="nil"/>
            </w:tcBorders>
            <w:shd w:val="clear" w:color="auto" w:fill="auto"/>
            <w:noWrap/>
            <w:vAlign w:val="center"/>
            <w:hideMark/>
          </w:tcPr>
          <w:p w14:paraId="2518ACA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863</w:t>
            </w:r>
          </w:p>
        </w:tc>
        <w:tc>
          <w:tcPr>
            <w:tcW w:w="655" w:type="dxa"/>
            <w:tcBorders>
              <w:top w:val="nil"/>
              <w:left w:val="nil"/>
              <w:bottom w:val="nil"/>
              <w:right w:val="single" w:sz="8" w:space="0" w:color="002060"/>
            </w:tcBorders>
            <w:shd w:val="clear" w:color="auto" w:fill="auto"/>
            <w:noWrap/>
            <w:vAlign w:val="center"/>
            <w:hideMark/>
          </w:tcPr>
          <w:p w14:paraId="3EA4573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5242</w:t>
            </w:r>
          </w:p>
        </w:tc>
      </w:tr>
      <w:tr w:rsidR="00AE564D" w:rsidRPr="00054EF9" w14:paraId="7F750EA5" w14:textId="77777777" w:rsidTr="00054EF9">
        <w:trPr>
          <w:trHeight w:val="255"/>
          <w:jc w:val="center"/>
        </w:trPr>
        <w:tc>
          <w:tcPr>
            <w:tcW w:w="764" w:type="dxa"/>
            <w:vMerge/>
            <w:tcBorders>
              <w:top w:val="single" w:sz="8" w:space="0" w:color="FFFFFF"/>
              <w:left w:val="single" w:sz="8" w:space="0" w:color="002060"/>
              <w:bottom w:val="single" w:sz="8" w:space="0" w:color="002060"/>
              <w:right w:val="single" w:sz="8" w:space="0" w:color="002060"/>
            </w:tcBorders>
            <w:vAlign w:val="center"/>
            <w:hideMark/>
          </w:tcPr>
          <w:p w14:paraId="56A3CAB5"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995" w:type="dxa"/>
            <w:vMerge/>
            <w:tcBorders>
              <w:top w:val="nil"/>
              <w:left w:val="single" w:sz="8" w:space="0" w:color="002060"/>
              <w:bottom w:val="single" w:sz="8" w:space="0" w:color="002060"/>
              <w:right w:val="single" w:sz="8" w:space="0" w:color="002060"/>
            </w:tcBorders>
            <w:vAlign w:val="center"/>
            <w:hideMark/>
          </w:tcPr>
          <w:p w14:paraId="64A45BBE" w14:textId="77777777" w:rsidR="00AE564D" w:rsidRPr="00054EF9" w:rsidRDefault="00AE564D" w:rsidP="00E26D3C">
            <w:pPr>
              <w:spacing w:after="0" w:line="240" w:lineRule="auto"/>
              <w:rPr>
                <w:rFonts w:eastAsia="Times New Roman" w:cstheme="minorHAnsi"/>
                <w:color w:val="000000"/>
                <w:sz w:val="18"/>
                <w:szCs w:val="18"/>
                <w:lang w:eastAsia="en-AU"/>
              </w:rPr>
            </w:pPr>
          </w:p>
        </w:tc>
        <w:tc>
          <w:tcPr>
            <w:tcW w:w="1002" w:type="dxa"/>
            <w:tcBorders>
              <w:top w:val="nil"/>
              <w:left w:val="nil"/>
              <w:bottom w:val="single" w:sz="8" w:space="0" w:color="002060"/>
              <w:right w:val="nil"/>
            </w:tcBorders>
            <w:shd w:val="clear" w:color="auto" w:fill="auto"/>
            <w:noWrap/>
            <w:vAlign w:val="center"/>
            <w:hideMark/>
          </w:tcPr>
          <w:p w14:paraId="106067A3"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Med Fresh</w:t>
            </w:r>
          </w:p>
        </w:tc>
        <w:tc>
          <w:tcPr>
            <w:tcW w:w="533" w:type="dxa"/>
            <w:tcBorders>
              <w:top w:val="nil"/>
              <w:left w:val="nil"/>
              <w:bottom w:val="single" w:sz="8" w:space="0" w:color="002060"/>
              <w:right w:val="nil"/>
            </w:tcBorders>
            <w:shd w:val="clear" w:color="auto" w:fill="auto"/>
            <w:noWrap/>
            <w:vAlign w:val="center"/>
            <w:hideMark/>
          </w:tcPr>
          <w:p w14:paraId="5D7482FF"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15</w:t>
            </w:r>
          </w:p>
        </w:tc>
        <w:tc>
          <w:tcPr>
            <w:tcW w:w="657" w:type="dxa"/>
            <w:tcBorders>
              <w:top w:val="nil"/>
              <w:left w:val="nil"/>
              <w:bottom w:val="single" w:sz="8" w:space="0" w:color="002060"/>
              <w:right w:val="nil"/>
            </w:tcBorders>
            <w:shd w:val="clear" w:color="auto" w:fill="auto"/>
            <w:noWrap/>
            <w:vAlign w:val="center"/>
            <w:hideMark/>
          </w:tcPr>
          <w:p w14:paraId="59D265F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4991</w:t>
            </w:r>
          </w:p>
        </w:tc>
        <w:tc>
          <w:tcPr>
            <w:tcW w:w="771" w:type="dxa"/>
            <w:tcBorders>
              <w:top w:val="nil"/>
              <w:left w:val="nil"/>
              <w:bottom w:val="single" w:sz="8" w:space="0" w:color="002060"/>
              <w:right w:val="nil"/>
            </w:tcBorders>
            <w:shd w:val="clear" w:color="auto" w:fill="auto"/>
            <w:noWrap/>
            <w:vAlign w:val="center"/>
            <w:hideMark/>
          </w:tcPr>
          <w:p w14:paraId="779EEC87"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1998</w:t>
            </w:r>
          </w:p>
        </w:tc>
        <w:tc>
          <w:tcPr>
            <w:tcW w:w="593" w:type="dxa"/>
            <w:tcBorders>
              <w:top w:val="nil"/>
              <w:left w:val="nil"/>
              <w:bottom w:val="single" w:sz="8" w:space="0" w:color="002060"/>
              <w:right w:val="nil"/>
            </w:tcBorders>
            <w:shd w:val="clear" w:color="auto" w:fill="auto"/>
            <w:noWrap/>
            <w:vAlign w:val="center"/>
            <w:hideMark/>
          </w:tcPr>
          <w:p w14:paraId="26E4E68A"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487</w:t>
            </w:r>
          </w:p>
        </w:tc>
        <w:tc>
          <w:tcPr>
            <w:tcW w:w="657" w:type="dxa"/>
            <w:tcBorders>
              <w:top w:val="nil"/>
              <w:left w:val="nil"/>
              <w:bottom w:val="single" w:sz="8" w:space="0" w:color="002060"/>
              <w:right w:val="nil"/>
            </w:tcBorders>
            <w:shd w:val="clear" w:color="auto" w:fill="auto"/>
            <w:noWrap/>
            <w:vAlign w:val="center"/>
            <w:hideMark/>
          </w:tcPr>
          <w:p w14:paraId="366CFA66"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7453</w:t>
            </w:r>
          </w:p>
        </w:tc>
        <w:tc>
          <w:tcPr>
            <w:tcW w:w="771" w:type="dxa"/>
            <w:tcBorders>
              <w:top w:val="nil"/>
              <w:left w:val="nil"/>
              <w:bottom w:val="single" w:sz="8" w:space="0" w:color="002060"/>
              <w:right w:val="nil"/>
            </w:tcBorders>
            <w:shd w:val="clear" w:color="auto" w:fill="auto"/>
            <w:noWrap/>
            <w:vAlign w:val="center"/>
            <w:hideMark/>
          </w:tcPr>
          <w:p w14:paraId="0DCEF2B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5127</w:t>
            </w:r>
          </w:p>
        </w:tc>
        <w:tc>
          <w:tcPr>
            <w:tcW w:w="657" w:type="dxa"/>
            <w:tcBorders>
              <w:top w:val="nil"/>
              <w:left w:val="nil"/>
              <w:bottom w:val="single" w:sz="8" w:space="0" w:color="002060"/>
              <w:right w:val="nil"/>
            </w:tcBorders>
            <w:shd w:val="clear" w:color="auto" w:fill="auto"/>
            <w:noWrap/>
            <w:vAlign w:val="center"/>
            <w:hideMark/>
          </w:tcPr>
          <w:p w14:paraId="57426A9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4722</w:t>
            </w:r>
          </w:p>
        </w:tc>
        <w:tc>
          <w:tcPr>
            <w:tcW w:w="657" w:type="dxa"/>
            <w:tcBorders>
              <w:top w:val="nil"/>
              <w:left w:val="nil"/>
              <w:bottom w:val="single" w:sz="8" w:space="0" w:color="002060"/>
              <w:right w:val="single" w:sz="8" w:space="0" w:color="002060"/>
            </w:tcBorders>
            <w:shd w:val="clear" w:color="auto" w:fill="auto"/>
            <w:noWrap/>
            <w:vAlign w:val="center"/>
            <w:hideMark/>
          </w:tcPr>
          <w:p w14:paraId="2A00E6D9"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6544</w:t>
            </w:r>
          </w:p>
        </w:tc>
        <w:tc>
          <w:tcPr>
            <w:tcW w:w="875" w:type="dxa"/>
            <w:vMerge/>
            <w:tcBorders>
              <w:top w:val="single" w:sz="8" w:space="0" w:color="FFFFFF"/>
              <w:left w:val="single" w:sz="8" w:space="0" w:color="002060"/>
              <w:bottom w:val="single" w:sz="8" w:space="0" w:color="002060"/>
              <w:right w:val="single" w:sz="8" w:space="0" w:color="002060"/>
            </w:tcBorders>
            <w:vAlign w:val="center"/>
            <w:hideMark/>
          </w:tcPr>
          <w:p w14:paraId="7FA4D630" w14:textId="77777777" w:rsidR="00AE564D" w:rsidRPr="00054EF9" w:rsidRDefault="00AE564D" w:rsidP="00E26D3C">
            <w:pPr>
              <w:spacing w:after="0" w:line="240" w:lineRule="auto"/>
              <w:rPr>
                <w:rFonts w:eastAsia="Times New Roman" w:cstheme="minorHAnsi"/>
                <w:color w:val="FFFFFF"/>
                <w:sz w:val="18"/>
                <w:szCs w:val="18"/>
                <w:lang w:eastAsia="en-AU"/>
              </w:rPr>
            </w:pPr>
          </w:p>
        </w:tc>
        <w:tc>
          <w:tcPr>
            <w:tcW w:w="525" w:type="dxa"/>
            <w:tcBorders>
              <w:top w:val="nil"/>
              <w:left w:val="nil"/>
              <w:bottom w:val="single" w:sz="8" w:space="0" w:color="002060"/>
              <w:right w:val="nil"/>
            </w:tcBorders>
            <w:shd w:val="clear" w:color="auto" w:fill="auto"/>
            <w:noWrap/>
            <w:vAlign w:val="center"/>
            <w:hideMark/>
          </w:tcPr>
          <w:p w14:paraId="71B9FAF4"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4</w:t>
            </w:r>
          </w:p>
        </w:tc>
        <w:tc>
          <w:tcPr>
            <w:tcW w:w="614" w:type="dxa"/>
            <w:tcBorders>
              <w:top w:val="nil"/>
              <w:left w:val="nil"/>
              <w:bottom w:val="single" w:sz="8" w:space="0" w:color="002060"/>
              <w:right w:val="nil"/>
            </w:tcBorders>
            <w:shd w:val="clear" w:color="auto" w:fill="auto"/>
            <w:noWrap/>
            <w:vAlign w:val="center"/>
            <w:hideMark/>
          </w:tcPr>
          <w:p w14:paraId="06DD44E0"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c>
          <w:tcPr>
            <w:tcW w:w="712" w:type="dxa"/>
            <w:tcBorders>
              <w:top w:val="nil"/>
              <w:left w:val="nil"/>
              <w:bottom w:val="single" w:sz="8" w:space="0" w:color="002060"/>
              <w:right w:val="nil"/>
            </w:tcBorders>
            <w:shd w:val="clear" w:color="auto" w:fill="auto"/>
            <w:noWrap/>
            <w:vAlign w:val="center"/>
            <w:hideMark/>
          </w:tcPr>
          <w:p w14:paraId="71A7FDF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c>
          <w:tcPr>
            <w:tcW w:w="569" w:type="dxa"/>
            <w:tcBorders>
              <w:top w:val="nil"/>
              <w:left w:val="nil"/>
              <w:bottom w:val="single" w:sz="8" w:space="0" w:color="002060"/>
              <w:right w:val="nil"/>
            </w:tcBorders>
            <w:shd w:val="clear" w:color="auto" w:fill="auto"/>
            <w:noWrap/>
            <w:vAlign w:val="center"/>
            <w:hideMark/>
          </w:tcPr>
          <w:p w14:paraId="54C60C1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c>
          <w:tcPr>
            <w:tcW w:w="657" w:type="dxa"/>
            <w:tcBorders>
              <w:top w:val="nil"/>
              <w:left w:val="nil"/>
              <w:bottom w:val="single" w:sz="8" w:space="0" w:color="002060"/>
              <w:right w:val="nil"/>
            </w:tcBorders>
            <w:shd w:val="clear" w:color="auto" w:fill="auto"/>
            <w:noWrap/>
            <w:vAlign w:val="center"/>
            <w:hideMark/>
          </w:tcPr>
          <w:p w14:paraId="4CCA02C1"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c>
          <w:tcPr>
            <w:tcW w:w="791" w:type="dxa"/>
            <w:tcBorders>
              <w:top w:val="nil"/>
              <w:left w:val="nil"/>
              <w:bottom w:val="single" w:sz="8" w:space="0" w:color="002060"/>
              <w:right w:val="nil"/>
            </w:tcBorders>
            <w:shd w:val="clear" w:color="auto" w:fill="auto"/>
            <w:noWrap/>
            <w:vAlign w:val="center"/>
            <w:hideMark/>
          </w:tcPr>
          <w:p w14:paraId="7CD8756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c>
          <w:tcPr>
            <w:tcW w:w="569" w:type="dxa"/>
            <w:tcBorders>
              <w:top w:val="nil"/>
              <w:left w:val="nil"/>
              <w:bottom w:val="single" w:sz="8" w:space="0" w:color="002060"/>
              <w:right w:val="nil"/>
            </w:tcBorders>
            <w:shd w:val="clear" w:color="auto" w:fill="auto"/>
            <w:noWrap/>
            <w:vAlign w:val="center"/>
            <w:hideMark/>
          </w:tcPr>
          <w:p w14:paraId="171C378D"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c>
          <w:tcPr>
            <w:tcW w:w="655" w:type="dxa"/>
            <w:tcBorders>
              <w:top w:val="nil"/>
              <w:left w:val="nil"/>
              <w:bottom w:val="single" w:sz="8" w:space="0" w:color="002060"/>
              <w:right w:val="single" w:sz="8" w:space="0" w:color="002060"/>
            </w:tcBorders>
            <w:shd w:val="clear" w:color="auto" w:fill="auto"/>
            <w:noWrap/>
            <w:vAlign w:val="center"/>
            <w:hideMark/>
          </w:tcPr>
          <w:p w14:paraId="308BD4F2" w14:textId="77777777" w:rsidR="00AE564D" w:rsidRPr="00054EF9" w:rsidRDefault="00AE564D" w:rsidP="00E26D3C">
            <w:pPr>
              <w:spacing w:after="0" w:line="240" w:lineRule="auto"/>
              <w:jc w:val="center"/>
              <w:rPr>
                <w:rFonts w:eastAsia="Times New Roman" w:cstheme="minorHAnsi"/>
                <w:color w:val="000000"/>
                <w:sz w:val="18"/>
                <w:szCs w:val="18"/>
                <w:lang w:eastAsia="en-AU"/>
              </w:rPr>
            </w:pPr>
            <w:r w:rsidRPr="00054EF9">
              <w:rPr>
                <w:rFonts w:eastAsia="Times New Roman" w:cstheme="minorHAnsi"/>
                <w:color w:val="000000"/>
                <w:sz w:val="18"/>
                <w:szCs w:val="18"/>
                <w:lang w:eastAsia="en-AU"/>
              </w:rPr>
              <w:t> </w:t>
            </w:r>
          </w:p>
        </w:tc>
      </w:tr>
    </w:tbl>
    <w:p w14:paraId="48BFBBC3" w14:textId="77777777" w:rsidR="00AE564D" w:rsidRDefault="00AE564D" w:rsidP="00AE564D">
      <w:pPr>
        <w:spacing w:after="0" w:line="240" w:lineRule="auto"/>
      </w:pPr>
    </w:p>
    <w:p w14:paraId="7E93105C" w14:textId="77777777" w:rsidR="00AE564D" w:rsidRDefault="00AE564D" w:rsidP="00AE564D">
      <w:r>
        <w:br w:type="page"/>
      </w:r>
    </w:p>
    <w:p w14:paraId="6AE7A888" w14:textId="77777777" w:rsidR="00AE564D" w:rsidRPr="00BA2632" w:rsidRDefault="00AE564D" w:rsidP="00AE564D">
      <w:pPr>
        <w:spacing w:after="0" w:line="240" w:lineRule="auto"/>
        <w:sectPr w:rsidR="00AE564D" w:rsidRPr="00BA2632" w:rsidSect="00054BC7">
          <w:pgSz w:w="16838" w:h="11906" w:orient="landscape"/>
          <w:pgMar w:top="567" w:right="851" w:bottom="851" w:left="1134" w:header="709" w:footer="709" w:gutter="0"/>
          <w:cols w:space="720"/>
        </w:sectPr>
      </w:pPr>
    </w:p>
    <w:p w14:paraId="1EFC6616" w14:textId="5C795CE8" w:rsidR="00DC4ABC" w:rsidRDefault="00E70377" w:rsidP="00DC4ABC">
      <w:pPr>
        <w:pStyle w:val="Para0"/>
        <w:keepNext/>
        <w:jc w:val="center"/>
      </w:pPr>
      <w:r w:rsidRPr="00E70377">
        <w:rPr>
          <w:noProof/>
        </w:rPr>
        <w:lastRenderedPageBreak/>
        <w:drawing>
          <wp:inline distT="0" distB="0" distL="0" distR="0" wp14:anchorId="16EB8272" wp14:editId="5B516415">
            <wp:extent cx="6127750" cy="4626610"/>
            <wp:effectExtent l="0" t="0" r="635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6127750" cy="4626610"/>
                    </a:xfrm>
                    <a:prstGeom prst="rect">
                      <a:avLst/>
                    </a:prstGeom>
                    <a:noFill/>
                    <a:ln>
                      <a:noFill/>
                    </a:ln>
                  </pic:spPr>
                </pic:pic>
              </a:graphicData>
            </a:graphic>
          </wp:inline>
        </w:drawing>
      </w:r>
    </w:p>
    <w:p w14:paraId="6F1BE1CC" w14:textId="7908AA28" w:rsidR="00DC4ABC" w:rsidRPr="00BA2632" w:rsidRDefault="00DC4ABC" w:rsidP="00DC4ABC">
      <w:pPr>
        <w:pStyle w:val="Caption"/>
      </w:pPr>
      <w:bookmarkStart w:id="299" w:name="_Ref83785202"/>
      <w:bookmarkStart w:id="300" w:name="_Toc83907757"/>
      <w:bookmarkStart w:id="301" w:name="_Toc84475658"/>
      <w:r>
        <w:t xml:space="preserve">Figure </w:t>
      </w:r>
      <w:r w:rsidR="009A7194">
        <w:rPr>
          <w:noProof/>
        </w:rPr>
        <w:t>5</w:t>
      </w:r>
      <w:r w:rsidR="00B85158">
        <w:noBreakHyphen/>
      </w:r>
      <w:r w:rsidR="009A7194">
        <w:rPr>
          <w:noProof/>
        </w:rPr>
        <w:t>13</w:t>
      </w:r>
      <w:bookmarkEnd w:id="299"/>
      <w:r>
        <w:t xml:space="preserve"> </w:t>
      </w:r>
      <w:r w:rsidRPr="00FA482F">
        <w:t xml:space="preserve">Box plot showing the Daily Organic Carbon Load (Tonnes/Day) created by GPP for the combined 7-year LTIM-MER data set, stratified by season and flow category: Very Low Flow, Moderately Low Flow, Low Fresh Flow and Medium Fresh Flow. </w:t>
      </w:r>
      <w:bookmarkStart w:id="302" w:name="_Ref52392549"/>
      <w:r w:rsidRPr="00BA2632">
        <w:t>Summary statistics are presented in</w:t>
      </w:r>
      <w:r>
        <w:t xml:space="preserve"> </w:t>
      </w:r>
      <w:r w:rsidR="009A7194">
        <w:t xml:space="preserve">Table </w:t>
      </w:r>
      <w:r w:rsidR="009A7194">
        <w:rPr>
          <w:noProof/>
        </w:rPr>
        <w:t>5</w:t>
      </w:r>
      <w:r w:rsidR="009A7194">
        <w:noBreakHyphen/>
      </w:r>
      <w:r w:rsidR="009A7194">
        <w:rPr>
          <w:noProof/>
        </w:rPr>
        <w:t>16</w:t>
      </w:r>
      <w:r w:rsidRPr="00BA2632">
        <w:rPr>
          <w:b w:val="0"/>
        </w:rPr>
        <w:t>.</w:t>
      </w:r>
      <w:r w:rsidRPr="00BA2632">
        <w:t xml:space="preserve"> Note the log scale for the Y-axis.</w:t>
      </w:r>
      <w:bookmarkEnd w:id="300"/>
      <w:bookmarkEnd w:id="301"/>
    </w:p>
    <w:bookmarkEnd w:id="302"/>
    <w:p w14:paraId="687A47BA" w14:textId="4A6D9747" w:rsidR="00AE564D" w:rsidRPr="00DF0969" w:rsidRDefault="00AE564D" w:rsidP="00AE564D">
      <w:r w:rsidRPr="00CD60D2">
        <w:t>Statistical analysis was preformed to determine the significance (</w:t>
      </w:r>
      <w:r>
        <w:t xml:space="preserve">at </w:t>
      </w:r>
      <w:r w:rsidRPr="00CD60D2">
        <w:rPr>
          <w:rFonts w:cs="Arial"/>
          <w:szCs w:val="20"/>
        </w:rPr>
        <w:t>α</w:t>
      </w:r>
      <w:r w:rsidRPr="00CD60D2">
        <w:t xml:space="preserve"> = 0.05) of any differences in carbon load with flow category within each season. Differences between seasons were not examined as these would provide very little useful information for management. As a starting point, Wilks-Shapiro tests on both raw data and common transformations (square root, log) of the raw GPP load data indicated failure of normality. Consequently, Mann-Whitney Rank Sum tests </w:t>
      </w:r>
      <w:r w:rsidRPr="00DF0969">
        <w:t xml:space="preserve">were performed between each pair of flow categories (VL-ML, ML-LF, LF-MF) within each season. The results of all tests are summarized in </w:t>
      </w:r>
      <w:r w:rsidR="009A7194">
        <w:t xml:space="preserve">Table </w:t>
      </w:r>
      <w:r w:rsidR="009A7194">
        <w:rPr>
          <w:noProof/>
        </w:rPr>
        <w:t>5</w:t>
      </w:r>
      <w:r w:rsidR="009A7194">
        <w:noBreakHyphen/>
      </w:r>
      <w:r w:rsidR="009A7194">
        <w:rPr>
          <w:noProof/>
        </w:rPr>
        <w:t>18</w:t>
      </w:r>
      <w:r w:rsidRPr="00DF0969">
        <w:t xml:space="preserve">. Bold text indicates a statistically significant increase in GPP load when moving from one flow category to the next higher category. A bold red text value indicates a statistically significant decrease in GPP load with increasing flow category. </w:t>
      </w:r>
    </w:p>
    <w:p w14:paraId="5DD86423" w14:textId="237009A5" w:rsidR="007724F1" w:rsidRDefault="007724F1" w:rsidP="007724F1">
      <w:pPr>
        <w:pStyle w:val="Caption"/>
        <w:keepNext/>
      </w:pPr>
      <w:bookmarkStart w:id="303" w:name="_Ref83785120"/>
      <w:bookmarkStart w:id="304" w:name="_Toc95391479"/>
      <w:r>
        <w:t xml:space="preserve">Table </w:t>
      </w:r>
      <w:r w:rsidR="009A7194">
        <w:rPr>
          <w:noProof/>
        </w:rPr>
        <w:t>5</w:t>
      </w:r>
      <w:r w:rsidR="000B75AF">
        <w:noBreakHyphen/>
      </w:r>
      <w:r w:rsidR="009A7194">
        <w:rPr>
          <w:noProof/>
        </w:rPr>
        <w:t>18</w:t>
      </w:r>
      <w:bookmarkEnd w:id="303"/>
      <w:r>
        <w:t xml:space="preserve"> </w:t>
      </w:r>
      <w:r w:rsidRPr="00694A91">
        <w:t xml:space="preserve">Results of Pair-wise Comparisons of GPP and ER Load Increases with increasing discharge categories, stratified by season. The data are pooled across the sites presented in </w:t>
      </w:r>
      <w:r w:rsidR="009A7194">
        <w:t xml:space="preserve">Table </w:t>
      </w:r>
      <w:r w:rsidR="009A7194">
        <w:rPr>
          <w:noProof/>
        </w:rPr>
        <w:t>5</w:t>
      </w:r>
      <w:r w:rsidR="009A7194">
        <w:noBreakHyphen/>
      </w:r>
      <w:r w:rsidR="009A7194">
        <w:rPr>
          <w:noProof/>
        </w:rPr>
        <w:t>16</w:t>
      </w:r>
      <w:r>
        <w:t xml:space="preserve"> </w:t>
      </w:r>
      <w:r w:rsidRPr="00694A91">
        <w:t xml:space="preserve">and </w:t>
      </w:r>
      <w:r w:rsidR="009A7194">
        <w:t xml:space="preserve">Table </w:t>
      </w:r>
      <w:r w:rsidR="009A7194">
        <w:rPr>
          <w:noProof/>
        </w:rPr>
        <w:t>5</w:t>
      </w:r>
      <w:r w:rsidR="009A7194">
        <w:noBreakHyphen/>
      </w:r>
      <w:r w:rsidR="009A7194">
        <w:rPr>
          <w:noProof/>
        </w:rPr>
        <w:t>17</w:t>
      </w:r>
      <w:r w:rsidRPr="00694A91">
        <w:t xml:space="preserve">. Statistically significant differences (based on α = 0.05) </w:t>
      </w:r>
      <w:r w:rsidRPr="007724F1">
        <w:t>are shown in bold text. Red text indicates a significant decline in load on increasing discharge.</w:t>
      </w:r>
      <w:bookmarkEnd w:id="304"/>
    </w:p>
    <w:tbl>
      <w:tblPr>
        <w:tblW w:w="67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975"/>
        <w:gridCol w:w="944"/>
        <w:gridCol w:w="961"/>
        <w:gridCol w:w="975"/>
        <w:gridCol w:w="944"/>
        <w:gridCol w:w="961"/>
      </w:tblGrid>
      <w:tr w:rsidR="00AE564D" w:rsidRPr="007724F1" w14:paraId="31F0C2ED" w14:textId="77777777" w:rsidTr="007724F1">
        <w:trPr>
          <w:trHeight w:val="315"/>
          <w:jc w:val="center"/>
        </w:trPr>
        <w:tc>
          <w:tcPr>
            <w:tcW w:w="976" w:type="dxa"/>
            <w:shd w:val="clear" w:color="auto" w:fill="auto"/>
            <w:noWrap/>
            <w:vAlign w:val="bottom"/>
            <w:hideMark/>
          </w:tcPr>
          <w:p w14:paraId="5DF1C4CA" w14:textId="77777777" w:rsidR="00AE564D" w:rsidRPr="007724F1" w:rsidRDefault="00AE564D" w:rsidP="00E26D3C">
            <w:pPr>
              <w:spacing w:after="0" w:line="240" w:lineRule="auto"/>
              <w:jc w:val="center"/>
              <w:rPr>
                <w:rFonts w:ascii="Times New Roman" w:eastAsia="Times New Roman" w:hAnsi="Times New Roman" w:cs="Times New Roman"/>
                <w:sz w:val="18"/>
                <w:szCs w:val="18"/>
                <w:lang w:eastAsia="en-AU"/>
              </w:rPr>
            </w:pPr>
          </w:p>
        </w:tc>
        <w:tc>
          <w:tcPr>
            <w:tcW w:w="2880" w:type="dxa"/>
            <w:gridSpan w:val="3"/>
            <w:shd w:val="clear" w:color="000000" w:fill="003399"/>
            <w:noWrap/>
            <w:vAlign w:val="center"/>
            <w:hideMark/>
          </w:tcPr>
          <w:p w14:paraId="1F175672" w14:textId="77777777" w:rsidR="00AE564D" w:rsidRPr="007724F1" w:rsidRDefault="00AE564D" w:rsidP="00E26D3C">
            <w:pPr>
              <w:spacing w:after="0" w:line="240" w:lineRule="auto"/>
              <w:jc w:val="center"/>
              <w:rPr>
                <w:rFonts w:eastAsia="Times New Roman" w:cs="Arial"/>
                <w:b/>
                <w:bCs/>
                <w:color w:val="FFFFFF"/>
                <w:sz w:val="18"/>
                <w:szCs w:val="18"/>
                <w:lang w:eastAsia="en-AU"/>
              </w:rPr>
            </w:pPr>
            <w:r w:rsidRPr="007724F1">
              <w:rPr>
                <w:rFonts w:eastAsia="Times New Roman" w:cs="Arial"/>
                <w:b/>
                <w:bCs/>
                <w:color w:val="FFFFFF"/>
                <w:sz w:val="18"/>
                <w:szCs w:val="18"/>
                <w:lang w:eastAsia="en-AU"/>
              </w:rPr>
              <w:t>GPP Load Comparisons</w:t>
            </w:r>
          </w:p>
        </w:tc>
        <w:tc>
          <w:tcPr>
            <w:tcW w:w="2880" w:type="dxa"/>
            <w:gridSpan w:val="3"/>
            <w:shd w:val="clear" w:color="000000" w:fill="003399"/>
            <w:noWrap/>
            <w:vAlign w:val="center"/>
            <w:hideMark/>
          </w:tcPr>
          <w:p w14:paraId="5D5C1DD1" w14:textId="77777777" w:rsidR="00AE564D" w:rsidRPr="007724F1" w:rsidRDefault="00AE564D" w:rsidP="00E26D3C">
            <w:pPr>
              <w:spacing w:after="0" w:line="240" w:lineRule="auto"/>
              <w:jc w:val="center"/>
              <w:rPr>
                <w:rFonts w:eastAsia="Times New Roman" w:cs="Arial"/>
                <w:b/>
                <w:bCs/>
                <w:color w:val="FFFFFF"/>
                <w:sz w:val="18"/>
                <w:szCs w:val="18"/>
                <w:lang w:eastAsia="en-AU"/>
              </w:rPr>
            </w:pPr>
            <w:r w:rsidRPr="007724F1">
              <w:rPr>
                <w:rFonts w:eastAsia="Times New Roman" w:cs="Arial"/>
                <w:b/>
                <w:bCs/>
                <w:color w:val="FFFFFF"/>
                <w:sz w:val="18"/>
                <w:szCs w:val="18"/>
                <w:lang w:eastAsia="en-AU"/>
              </w:rPr>
              <w:t>ER Load Comparisons</w:t>
            </w:r>
          </w:p>
        </w:tc>
      </w:tr>
      <w:tr w:rsidR="00AE564D" w:rsidRPr="007724F1" w14:paraId="05570B98" w14:textId="77777777" w:rsidTr="007724F1">
        <w:trPr>
          <w:trHeight w:val="315"/>
          <w:jc w:val="center"/>
        </w:trPr>
        <w:tc>
          <w:tcPr>
            <w:tcW w:w="976" w:type="dxa"/>
            <w:shd w:val="clear" w:color="000000" w:fill="003399"/>
            <w:noWrap/>
            <w:vAlign w:val="center"/>
            <w:hideMark/>
          </w:tcPr>
          <w:p w14:paraId="7C72DC6E" w14:textId="77777777" w:rsidR="00AE564D" w:rsidRPr="007724F1" w:rsidRDefault="00AE564D" w:rsidP="00E26D3C">
            <w:pPr>
              <w:spacing w:after="0" w:line="240" w:lineRule="auto"/>
              <w:jc w:val="center"/>
              <w:rPr>
                <w:rFonts w:eastAsia="Times New Roman" w:cs="Arial"/>
                <w:b/>
                <w:bCs/>
                <w:color w:val="FFFFFF"/>
                <w:sz w:val="18"/>
                <w:szCs w:val="18"/>
                <w:lang w:eastAsia="en-AU"/>
              </w:rPr>
            </w:pPr>
            <w:r w:rsidRPr="007724F1">
              <w:rPr>
                <w:rFonts w:eastAsia="Times New Roman" w:cs="Arial"/>
                <w:b/>
                <w:bCs/>
                <w:color w:val="FFFFFF"/>
                <w:sz w:val="18"/>
                <w:szCs w:val="18"/>
                <w:lang w:eastAsia="en-AU"/>
              </w:rPr>
              <w:t>Season</w:t>
            </w:r>
          </w:p>
        </w:tc>
        <w:tc>
          <w:tcPr>
            <w:tcW w:w="975" w:type="dxa"/>
            <w:shd w:val="clear" w:color="000000" w:fill="003399"/>
            <w:noWrap/>
            <w:vAlign w:val="center"/>
            <w:hideMark/>
          </w:tcPr>
          <w:p w14:paraId="5D7F5C19" w14:textId="77777777" w:rsidR="00AE564D" w:rsidRPr="007724F1" w:rsidRDefault="00AE564D" w:rsidP="00E26D3C">
            <w:pPr>
              <w:spacing w:after="0" w:line="240" w:lineRule="auto"/>
              <w:jc w:val="center"/>
              <w:rPr>
                <w:rFonts w:eastAsia="Times New Roman" w:cs="Arial"/>
                <w:b/>
                <w:bCs/>
                <w:color w:val="FFFFFF"/>
                <w:sz w:val="18"/>
                <w:szCs w:val="18"/>
                <w:lang w:eastAsia="en-AU"/>
              </w:rPr>
            </w:pPr>
            <w:r w:rsidRPr="007724F1">
              <w:rPr>
                <w:rFonts w:eastAsia="Times New Roman" w:cs="Arial"/>
                <w:b/>
                <w:bCs/>
                <w:color w:val="FFFFFF"/>
                <w:sz w:val="18"/>
                <w:szCs w:val="18"/>
                <w:lang w:eastAsia="en-AU"/>
              </w:rPr>
              <w:t>VL - ML</w:t>
            </w:r>
          </w:p>
        </w:tc>
        <w:tc>
          <w:tcPr>
            <w:tcW w:w="944" w:type="dxa"/>
            <w:shd w:val="clear" w:color="000000" w:fill="003399"/>
            <w:noWrap/>
            <w:vAlign w:val="center"/>
            <w:hideMark/>
          </w:tcPr>
          <w:p w14:paraId="79FD19E6" w14:textId="77777777" w:rsidR="00AE564D" w:rsidRPr="007724F1" w:rsidRDefault="00AE564D" w:rsidP="00E26D3C">
            <w:pPr>
              <w:spacing w:after="0" w:line="240" w:lineRule="auto"/>
              <w:jc w:val="center"/>
              <w:rPr>
                <w:rFonts w:eastAsia="Times New Roman" w:cs="Arial"/>
                <w:b/>
                <w:bCs/>
                <w:color w:val="FFFFFF"/>
                <w:sz w:val="18"/>
                <w:szCs w:val="18"/>
                <w:lang w:eastAsia="en-AU"/>
              </w:rPr>
            </w:pPr>
            <w:r w:rsidRPr="007724F1">
              <w:rPr>
                <w:rFonts w:eastAsia="Times New Roman" w:cs="Arial"/>
                <w:b/>
                <w:bCs/>
                <w:color w:val="FFFFFF"/>
                <w:sz w:val="18"/>
                <w:szCs w:val="18"/>
                <w:lang w:eastAsia="en-AU"/>
              </w:rPr>
              <w:t>ML - LF</w:t>
            </w:r>
          </w:p>
        </w:tc>
        <w:tc>
          <w:tcPr>
            <w:tcW w:w="961" w:type="dxa"/>
            <w:shd w:val="clear" w:color="000000" w:fill="003399"/>
            <w:noWrap/>
            <w:vAlign w:val="center"/>
            <w:hideMark/>
          </w:tcPr>
          <w:p w14:paraId="7DD77F31" w14:textId="77777777" w:rsidR="00AE564D" w:rsidRPr="007724F1" w:rsidRDefault="00AE564D" w:rsidP="00E26D3C">
            <w:pPr>
              <w:spacing w:after="0" w:line="240" w:lineRule="auto"/>
              <w:jc w:val="center"/>
              <w:rPr>
                <w:rFonts w:eastAsia="Times New Roman" w:cs="Arial"/>
                <w:b/>
                <w:bCs/>
                <w:color w:val="FFFFFF"/>
                <w:sz w:val="18"/>
                <w:szCs w:val="18"/>
                <w:lang w:eastAsia="en-AU"/>
              </w:rPr>
            </w:pPr>
            <w:r w:rsidRPr="007724F1">
              <w:rPr>
                <w:rFonts w:eastAsia="Times New Roman" w:cs="Arial"/>
                <w:b/>
                <w:bCs/>
                <w:color w:val="FFFFFF"/>
                <w:sz w:val="18"/>
                <w:szCs w:val="18"/>
                <w:lang w:eastAsia="en-AU"/>
              </w:rPr>
              <w:t>LF - MF</w:t>
            </w:r>
          </w:p>
        </w:tc>
        <w:tc>
          <w:tcPr>
            <w:tcW w:w="975" w:type="dxa"/>
            <w:shd w:val="clear" w:color="000000" w:fill="003399"/>
            <w:noWrap/>
            <w:vAlign w:val="center"/>
            <w:hideMark/>
          </w:tcPr>
          <w:p w14:paraId="4F3777B5" w14:textId="77777777" w:rsidR="00AE564D" w:rsidRPr="007724F1" w:rsidRDefault="00AE564D" w:rsidP="00E26D3C">
            <w:pPr>
              <w:spacing w:after="0" w:line="240" w:lineRule="auto"/>
              <w:jc w:val="center"/>
              <w:rPr>
                <w:rFonts w:eastAsia="Times New Roman" w:cs="Arial"/>
                <w:b/>
                <w:bCs/>
                <w:color w:val="FFFFFF"/>
                <w:sz w:val="18"/>
                <w:szCs w:val="18"/>
                <w:lang w:eastAsia="en-AU"/>
              </w:rPr>
            </w:pPr>
            <w:r w:rsidRPr="007724F1">
              <w:rPr>
                <w:rFonts w:eastAsia="Times New Roman" w:cs="Arial"/>
                <w:b/>
                <w:bCs/>
                <w:color w:val="FFFFFF"/>
                <w:sz w:val="18"/>
                <w:szCs w:val="18"/>
                <w:lang w:eastAsia="en-AU"/>
              </w:rPr>
              <w:t>VL - ML</w:t>
            </w:r>
          </w:p>
        </w:tc>
        <w:tc>
          <w:tcPr>
            <w:tcW w:w="944" w:type="dxa"/>
            <w:shd w:val="clear" w:color="000000" w:fill="003399"/>
            <w:noWrap/>
            <w:vAlign w:val="center"/>
            <w:hideMark/>
          </w:tcPr>
          <w:p w14:paraId="1DF82CCE" w14:textId="77777777" w:rsidR="00AE564D" w:rsidRPr="007724F1" w:rsidRDefault="00AE564D" w:rsidP="00E26D3C">
            <w:pPr>
              <w:spacing w:after="0" w:line="240" w:lineRule="auto"/>
              <w:jc w:val="center"/>
              <w:rPr>
                <w:rFonts w:eastAsia="Times New Roman" w:cs="Arial"/>
                <w:b/>
                <w:bCs/>
                <w:color w:val="FFFFFF"/>
                <w:sz w:val="18"/>
                <w:szCs w:val="18"/>
                <w:lang w:eastAsia="en-AU"/>
              </w:rPr>
            </w:pPr>
            <w:r w:rsidRPr="007724F1">
              <w:rPr>
                <w:rFonts w:eastAsia="Times New Roman" w:cs="Arial"/>
                <w:b/>
                <w:bCs/>
                <w:color w:val="FFFFFF"/>
                <w:sz w:val="18"/>
                <w:szCs w:val="18"/>
                <w:lang w:eastAsia="en-AU"/>
              </w:rPr>
              <w:t>ML - LF</w:t>
            </w:r>
          </w:p>
        </w:tc>
        <w:tc>
          <w:tcPr>
            <w:tcW w:w="961" w:type="dxa"/>
            <w:shd w:val="clear" w:color="000000" w:fill="003399"/>
            <w:noWrap/>
            <w:vAlign w:val="center"/>
            <w:hideMark/>
          </w:tcPr>
          <w:p w14:paraId="54DB8A57" w14:textId="77777777" w:rsidR="00AE564D" w:rsidRPr="007724F1" w:rsidRDefault="00AE564D" w:rsidP="00E26D3C">
            <w:pPr>
              <w:spacing w:after="0" w:line="240" w:lineRule="auto"/>
              <w:jc w:val="center"/>
              <w:rPr>
                <w:rFonts w:eastAsia="Times New Roman" w:cs="Arial"/>
                <w:b/>
                <w:bCs/>
                <w:color w:val="FFFFFF"/>
                <w:sz w:val="18"/>
                <w:szCs w:val="18"/>
                <w:lang w:eastAsia="en-AU"/>
              </w:rPr>
            </w:pPr>
            <w:r w:rsidRPr="007724F1">
              <w:rPr>
                <w:rFonts w:eastAsia="Times New Roman" w:cs="Arial"/>
                <w:b/>
                <w:bCs/>
                <w:color w:val="FFFFFF"/>
                <w:sz w:val="18"/>
                <w:szCs w:val="18"/>
                <w:lang w:eastAsia="en-AU"/>
              </w:rPr>
              <w:t>LF - MF</w:t>
            </w:r>
          </w:p>
        </w:tc>
      </w:tr>
      <w:tr w:rsidR="00AE564D" w:rsidRPr="007724F1" w14:paraId="7F273F72" w14:textId="77777777" w:rsidTr="007724F1">
        <w:trPr>
          <w:trHeight w:val="300"/>
          <w:jc w:val="center"/>
        </w:trPr>
        <w:tc>
          <w:tcPr>
            <w:tcW w:w="976" w:type="dxa"/>
            <w:shd w:val="clear" w:color="auto" w:fill="auto"/>
            <w:noWrap/>
            <w:vAlign w:val="center"/>
            <w:hideMark/>
          </w:tcPr>
          <w:p w14:paraId="77646D7A"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Spring</w:t>
            </w:r>
          </w:p>
        </w:tc>
        <w:tc>
          <w:tcPr>
            <w:tcW w:w="975" w:type="dxa"/>
            <w:shd w:val="clear" w:color="auto" w:fill="auto"/>
            <w:noWrap/>
            <w:vAlign w:val="center"/>
            <w:hideMark/>
          </w:tcPr>
          <w:p w14:paraId="62C8E86A"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&lt; 0.001</w:t>
            </w:r>
          </w:p>
        </w:tc>
        <w:tc>
          <w:tcPr>
            <w:tcW w:w="944" w:type="dxa"/>
            <w:shd w:val="clear" w:color="auto" w:fill="auto"/>
            <w:noWrap/>
            <w:vAlign w:val="center"/>
            <w:hideMark/>
          </w:tcPr>
          <w:p w14:paraId="50891787" w14:textId="77777777" w:rsidR="00AE564D" w:rsidRPr="007724F1" w:rsidRDefault="00AE564D" w:rsidP="00E26D3C">
            <w:pPr>
              <w:spacing w:after="0" w:line="240" w:lineRule="auto"/>
              <w:jc w:val="center"/>
              <w:rPr>
                <w:rFonts w:eastAsia="Times New Roman" w:cs="Arial"/>
                <w:color w:val="000000"/>
                <w:sz w:val="18"/>
                <w:szCs w:val="18"/>
                <w:lang w:eastAsia="en-AU"/>
              </w:rPr>
            </w:pPr>
            <w:r w:rsidRPr="007724F1">
              <w:rPr>
                <w:rFonts w:eastAsia="Times New Roman" w:cs="Arial"/>
                <w:color w:val="000000"/>
                <w:sz w:val="18"/>
                <w:szCs w:val="18"/>
                <w:lang w:eastAsia="en-AU"/>
              </w:rPr>
              <w:t>0.328</w:t>
            </w:r>
          </w:p>
        </w:tc>
        <w:tc>
          <w:tcPr>
            <w:tcW w:w="961" w:type="dxa"/>
            <w:shd w:val="clear" w:color="auto" w:fill="auto"/>
            <w:noWrap/>
            <w:vAlign w:val="center"/>
            <w:hideMark/>
          </w:tcPr>
          <w:p w14:paraId="36587AE6"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&lt; 0.001</w:t>
            </w:r>
          </w:p>
        </w:tc>
        <w:tc>
          <w:tcPr>
            <w:tcW w:w="975" w:type="dxa"/>
            <w:shd w:val="clear" w:color="auto" w:fill="auto"/>
            <w:noWrap/>
            <w:vAlign w:val="center"/>
            <w:hideMark/>
          </w:tcPr>
          <w:p w14:paraId="7B6F8FC2" w14:textId="77777777" w:rsidR="00AE564D" w:rsidRPr="007724F1" w:rsidRDefault="00AE564D" w:rsidP="00E26D3C">
            <w:pPr>
              <w:spacing w:after="0" w:line="240" w:lineRule="auto"/>
              <w:jc w:val="center"/>
              <w:rPr>
                <w:rFonts w:eastAsia="Times New Roman" w:cs="Arial"/>
                <w:color w:val="000000"/>
                <w:sz w:val="18"/>
                <w:szCs w:val="18"/>
                <w:lang w:eastAsia="en-AU"/>
              </w:rPr>
            </w:pPr>
            <w:r w:rsidRPr="007724F1">
              <w:rPr>
                <w:rFonts w:eastAsia="Times New Roman" w:cs="Arial"/>
                <w:color w:val="000000"/>
                <w:sz w:val="18"/>
                <w:szCs w:val="18"/>
                <w:lang w:eastAsia="en-AU"/>
              </w:rPr>
              <w:t>0.555</w:t>
            </w:r>
          </w:p>
        </w:tc>
        <w:tc>
          <w:tcPr>
            <w:tcW w:w="944" w:type="dxa"/>
            <w:shd w:val="clear" w:color="auto" w:fill="auto"/>
            <w:noWrap/>
            <w:vAlign w:val="center"/>
            <w:hideMark/>
          </w:tcPr>
          <w:p w14:paraId="01EB0D40"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0.001</w:t>
            </w:r>
          </w:p>
        </w:tc>
        <w:tc>
          <w:tcPr>
            <w:tcW w:w="961" w:type="dxa"/>
            <w:shd w:val="clear" w:color="auto" w:fill="auto"/>
            <w:noWrap/>
            <w:vAlign w:val="center"/>
            <w:hideMark/>
          </w:tcPr>
          <w:p w14:paraId="316808D2"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&lt; 0.001</w:t>
            </w:r>
          </w:p>
        </w:tc>
      </w:tr>
      <w:tr w:rsidR="00AE564D" w:rsidRPr="007724F1" w14:paraId="78CB4637" w14:textId="77777777" w:rsidTr="007724F1">
        <w:trPr>
          <w:trHeight w:val="300"/>
          <w:jc w:val="center"/>
        </w:trPr>
        <w:tc>
          <w:tcPr>
            <w:tcW w:w="976" w:type="dxa"/>
            <w:shd w:val="clear" w:color="auto" w:fill="auto"/>
            <w:noWrap/>
            <w:vAlign w:val="center"/>
            <w:hideMark/>
          </w:tcPr>
          <w:p w14:paraId="1FBA037C"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Summer</w:t>
            </w:r>
          </w:p>
        </w:tc>
        <w:tc>
          <w:tcPr>
            <w:tcW w:w="975" w:type="dxa"/>
            <w:shd w:val="clear" w:color="auto" w:fill="auto"/>
            <w:noWrap/>
            <w:vAlign w:val="center"/>
            <w:hideMark/>
          </w:tcPr>
          <w:p w14:paraId="3E246452" w14:textId="77777777" w:rsidR="00AE564D" w:rsidRPr="007724F1" w:rsidRDefault="00AE564D" w:rsidP="00E26D3C">
            <w:pPr>
              <w:spacing w:after="0" w:line="240" w:lineRule="auto"/>
              <w:jc w:val="center"/>
              <w:rPr>
                <w:rFonts w:eastAsia="Times New Roman" w:cs="Arial"/>
                <w:color w:val="000000"/>
                <w:sz w:val="18"/>
                <w:szCs w:val="18"/>
                <w:lang w:eastAsia="en-AU"/>
              </w:rPr>
            </w:pPr>
            <w:r w:rsidRPr="007724F1">
              <w:rPr>
                <w:rFonts w:eastAsia="Times New Roman" w:cs="Arial"/>
                <w:color w:val="000000"/>
                <w:sz w:val="18"/>
                <w:szCs w:val="18"/>
                <w:lang w:eastAsia="en-AU"/>
              </w:rPr>
              <w:t>0.880</w:t>
            </w:r>
          </w:p>
        </w:tc>
        <w:tc>
          <w:tcPr>
            <w:tcW w:w="944" w:type="dxa"/>
            <w:shd w:val="clear" w:color="auto" w:fill="auto"/>
            <w:noWrap/>
            <w:vAlign w:val="center"/>
            <w:hideMark/>
          </w:tcPr>
          <w:p w14:paraId="15296114"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&lt; 0.001</w:t>
            </w:r>
          </w:p>
        </w:tc>
        <w:tc>
          <w:tcPr>
            <w:tcW w:w="961" w:type="dxa"/>
            <w:shd w:val="clear" w:color="auto" w:fill="auto"/>
            <w:noWrap/>
            <w:vAlign w:val="center"/>
            <w:hideMark/>
          </w:tcPr>
          <w:p w14:paraId="6F7DF416"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&lt; 0.001</w:t>
            </w:r>
          </w:p>
        </w:tc>
        <w:tc>
          <w:tcPr>
            <w:tcW w:w="975" w:type="dxa"/>
            <w:shd w:val="clear" w:color="auto" w:fill="auto"/>
            <w:noWrap/>
            <w:vAlign w:val="center"/>
            <w:hideMark/>
          </w:tcPr>
          <w:p w14:paraId="4E09D632"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0.004</w:t>
            </w:r>
          </w:p>
        </w:tc>
        <w:tc>
          <w:tcPr>
            <w:tcW w:w="944" w:type="dxa"/>
            <w:shd w:val="clear" w:color="auto" w:fill="auto"/>
            <w:noWrap/>
            <w:vAlign w:val="center"/>
            <w:hideMark/>
          </w:tcPr>
          <w:p w14:paraId="6A6B0CB6" w14:textId="77777777" w:rsidR="00AE564D" w:rsidRPr="007724F1" w:rsidRDefault="00AE564D" w:rsidP="00E26D3C">
            <w:pPr>
              <w:spacing w:after="0" w:line="240" w:lineRule="auto"/>
              <w:jc w:val="center"/>
              <w:rPr>
                <w:rFonts w:eastAsia="Times New Roman" w:cs="Arial"/>
                <w:color w:val="000000"/>
                <w:sz w:val="18"/>
                <w:szCs w:val="18"/>
                <w:lang w:eastAsia="en-AU"/>
              </w:rPr>
            </w:pPr>
            <w:r w:rsidRPr="007724F1">
              <w:rPr>
                <w:rFonts w:eastAsia="Times New Roman" w:cs="Arial"/>
                <w:color w:val="000000"/>
                <w:sz w:val="18"/>
                <w:szCs w:val="18"/>
                <w:lang w:eastAsia="en-AU"/>
              </w:rPr>
              <w:t>0.090</w:t>
            </w:r>
          </w:p>
        </w:tc>
        <w:tc>
          <w:tcPr>
            <w:tcW w:w="961" w:type="dxa"/>
            <w:shd w:val="clear" w:color="auto" w:fill="auto"/>
            <w:noWrap/>
            <w:vAlign w:val="center"/>
            <w:hideMark/>
          </w:tcPr>
          <w:p w14:paraId="27D38613" w14:textId="77777777" w:rsidR="00AE564D" w:rsidRPr="007724F1" w:rsidRDefault="00AE564D" w:rsidP="00E26D3C">
            <w:pPr>
              <w:spacing w:after="0" w:line="240" w:lineRule="auto"/>
              <w:jc w:val="center"/>
              <w:rPr>
                <w:rFonts w:eastAsia="Times New Roman" w:cs="Arial"/>
                <w:color w:val="000000"/>
                <w:sz w:val="18"/>
                <w:szCs w:val="18"/>
                <w:lang w:eastAsia="en-AU"/>
              </w:rPr>
            </w:pPr>
            <w:r w:rsidRPr="007724F1">
              <w:rPr>
                <w:rFonts w:eastAsia="Times New Roman" w:cs="Arial"/>
                <w:color w:val="000000"/>
                <w:sz w:val="18"/>
                <w:szCs w:val="18"/>
                <w:lang w:eastAsia="en-AU"/>
              </w:rPr>
              <w:t>0.145</w:t>
            </w:r>
          </w:p>
        </w:tc>
      </w:tr>
      <w:tr w:rsidR="00AE564D" w:rsidRPr="007724F1" w14:paraId="732E075A" w14:textId="77777777" w:rsidTr="007724F1">
        <w:trPr>
          <w:trHeight w:val="300"/>
          <w:jc w:val="center"/>
        </w:trPr>
        <w:tc>
          <w:tcPr>
            <w:tcW w:w="976" w:type="dxa"/>
            <w:shd w:val="clear" w:color="auto" w:fill="auto"/>
            <w:noWrap/>
            <w:vAlign w:val="center"/>
            <w:hideMark/>
          </w:tcPr>
          <w:p w14:paraId="2951987A"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Autumn</w:t>
            </w:r>
          </w:p>
        </w:tc>
        <w:tc>
          <w:tcPr>
            <w:tcW w:w="975" w:type="dxa"/>
            <w:shd w:val="clear" w:color="auto" w:fill="auto"/>
            <w:noWrap/>
            <w:vAlign w:val="center"/>
            <w:hideMark/>
          </w:tcPr>
          <w:p w14:paraId="3A535AC2"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&lt; 0.001</w:t>
            </w:r>
          </w:p>
        </w:tc>
        <w:tc>
          <w:tcPr>
            <w:tcW w:w="944" w:type="dxa"/>
            <w:shd w:val="clear" w:color="auto" w:fill="auto"/>
            <w:noWrap/>
            <w:vAlign w:val="center"/>
            <w:hideMark/>
          </w:tcPr>
          <w:p w14:paraId="2ACDA789"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&lt; 0.001</w:t>
            </w:r>
          </w:p>
        </w:tc>
        <w:tc>
          <w:tcPr>
            <w:tcW w:w="961" w:type="dxa"/>
            <w:shd w:val="clear" w:color="auto" w:fill="auto"/>
            <w:noWrap/>
            <w:vAlign w:val="center"/>
            <w:hideMark/>
          </w:tcPr>
          <w:p w14:paraId="2EA0EB31"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&lt; 0.001</w:t>
            </w:r>
          </w:p>
        </w:tc>
        <w:tc>
          <w:tcPr>
            <w:tcW w:w="975" w:type="dxa"/>
            <w:shd w:val="clear" w:color="auto" w:fill="auto"/>
            <w:noWrap/>
            <w:vAlign w:val="center"/>
            <w:hideMark/>
          </w:tcPr>
          <w:p w14:paraId="6E6B8805" w14:textId="77777777" w:rsidR="00AE564D" w:rsidRPr="007724F1" w:rsidRDefault="00AE564D" w:rsidP="00E26D3C">
            <w:pPr>
              <w:spacing w:after="0" w:line="240" w:lineRule="auto"/>
              <w:jc w:val="center"/>
              <w:rPr>
                <w:rFonts w:eastAsia="Times New Roman" w:cs="Arial"/>
                <w:color w:val="000000"/>
                <w:sz w:val="18"/>
                <w:szCs w:val="18"/>
                <w:lang w:eastAsia="en-AU"/>
              </w:rPr>
            </w:pPr>
            <w:r w:rsidRPr="007724F1">
              <w:rPr>
                <w:rFonts w:eastAsia="Times New Roman" w:cs="Arial"/>
                <w:color w:val="000000"/>
                <w:sz w:val="18"/>
                <w:szCs w:val="18"/>
                <w:lang w:eastAsia="en-AU"/>
              </w:rPr>
              <w:t>0.634</w:t>
            </w:r>
          </w:p>
        </w:tc>
        <w:tc>
          <w:tcPr>
            <w:tcW w:w="944" w:type="dxa"/>
            <w:shd w:val="clear" w:color="auto" w:fill="auto"/>
            <w:noWrap/>
            <w:vAlign w:val="center"/>
            <w:hideMark/>
          </w:tcPr>
          <w:p w14:paraId="2E4E2420"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&lt; 0.001</w:t>
            </w:r>
          </w:p>
        </w:tc>
        <w:tc>
          <w:tcPr>
            <w:tcW w:w="961" w:type="dxa"/>
            <w:shd w:val="clear" w:color="auto" w:fill="auto"/>
            <w:noWrap/>
            <w:vAlign w:val="center"/>
            <w:hideMark/>
          </w:tcPr>
          <w:p w14:paraId="06CCA04B"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0.002</w:t>
            </w:r>
          </w:p>
        </w:tc>
      </w:tr>
      <w:tr w:rsidR="00AE564D" w:rsidRPr="007724F1" w14:paraId="0C753C67" w14:textId="77777777" w:rsidTr="007724F1">
        <w:trPr>
          <w:trHeight w:val="315"/>
          <w:jc w:val="center"/>
        </w:trPr>
        <w:tc>
          <w:tcPr>
            <w:tcW w:w="976" w:type="dxa"/>
            <w:shd w:val="clear" w:color="auto" w:fill="auto"/>
            <w:noWrap/>
            <w:vAlign w:val="center"/>
            <w:hideMark/>
          </w:tcPr>
          <w:p w14:paraId="47DD0B0B"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Winter</w:t>
            </w:r>
          </w:p>
        </w:tc>
        <w:tc>
          <w:tcPr>
            <w:tcW w:w="975" w:type="dxa"/>
            <w:shd w:val="clear" w:color="auto" w:fill="auto"/>
            <w:noWrap/>
            <w:vAlign w:val="center"/>
            <w:hideMark/>
          </w:tcPr>
          <w:p w14:paraId="05FD8EE0" w14:textId="77777777" w:rsidR="00AE564D" w:rsidRPr="007724F1" w:rsidRDefault="00AE564D" w:rsidP="00E26D3C">
            <w:pPr>
              <w:spacing w:after="0" w:line="240" w:lineRule="auto"/>
              <w:jc w:val="center"/>
              <w:rPr>
                <w:rFonts w:eastAsia="Times New Roman" w:cs="Arial"/>
                <w:color w:val="000000"/>
                <w:sz w:val="18"/>
                <w:szCs w:val="18"/>
                <w:lang w:eastAsia="en-AU"/>
              </w:rPr>
            </w:pPr>
            <w:r w:rsidRPr="007724F1">
              <w:rPr>
                <w:rFonts w:eastAsia="Times New Roman" w:cs="Arial"/>
                <w:color w:val="000000"/>
                <w:sz w:val="18"/>
                <w:szCs w:val="18"/>
                <w:lang w:eastAsia="en-AU"/>
              </w:rPr>
              <w:t>0.531</w:t>
            </w:r>
          </w:p>
        </w:tc>
        <w:tc>
          <w:tcPr>
            <w:tcW w:w="944" w:type="dxa"/>
            <w:shd w:val="clear" w:color="auto" w:fill="auto"/>
            <w:noWrap/>
            <w:vAlign w:val="center"/>
            <w:hideMark/>
          </w:tcPr>
          <w:p w14:paraId="6B5ECDBC"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FF0000"/>
                <w:sz w:val="18"/>
                <w:szCs w:val="18"/>
                <w:lang w:eastAsia="en-AU"/>
              </w:rPr>
              <w:t>0.002</w:t>
            </w:r>
          </w:p>
        </w:tc>
        <w:tc>
          <w:tcPr>
            <w:tcW w:w="961" w:type="dxa"/>
            <w:shd w:val="clear" w:color="auto" w:fill="auto"/>
            <w:noWrap/>
            <w:vAlign w:val="center"/>
            <w:hideMark/>
          </w:tcPr>
          <w:p w14:paraId="2F07A580" w14:textId="77777777" w:rsidR="00AE564D" w:rsidRPr="007724F1" w:rsidRDefault="00AE564D" w:rsidP="00E26D3C">
            <w:pPr>
              <w:spacing w:after="0" w:line="240" w:lineRule="auto"/>
              <w:jc w:val="center"/>
              <w:rPr>
                <w:rFonts w:eastAsia="Times New Roman" w:cs="Arial"/>
                <w:color w:val="000000"/>
                <w:sz w:val="18"/>
                <w:szCs w:val="18"/>
                <w:lang w:eastAsia="en-AU"/>
              </w:rPr>
            </w:pPr>
            <w:r w:rsidRPr="007724F1">
              <w:rPr>
                <w:rFonts w:eastAsia="Times New Roman" w:cs="Arial"/>
                <w:color w:val="000000"/>
                <w:sz w:val="18"/>
                <w:szCs w:val="18"/>
                <w:lang w:eastAsia="en-AU"/>
              </w:rPr>
              <w:t>0.754</w:t>
            </w:r>
          </w:p>
        </w:tc>
        <w:tc>
          <w:tcPr>
            <w:tcW w:w="975" w:type="dxa"/>
            <w:shd w:val="clear" w:color="auto" w:fill="auto"/>
            <w:noWrap/>
            <w:vAlign w:val="center"/>
            <w:hideMark/>
          </w:tcPr>
          <w:p w14:paraId="5364F13F" w14:textId="77777777" w:rsidR="00AE564D" w:rsidRPr="007724F1" w:rsidRDefault="00AE564D" w:rsidP="00E26D3C">
            <w:pPr>
              <w:spacing w:after="0" w:line="240" w:lineRule="auto"/>
              <w:jc w:val="center"/>
              <w:rPr>
                <w:rFonts w:eastAsia="Times New Roman" w:cs="Arial"/>
                <w:color w:val="000000"/>
                <w:sz w:val="18"/>
                <w:szCs w:val="18"/>
                <w:lang w:eastAsia="en-AU"/>
              </w:rPr>
            </w:pPr>
            <w:r w:rsidRPr="007724F1">
              <w:rPr>
                <w:rFonts w:eastAsia="Times New Roman" w:cs="Arial"/>
                <w:color w:val="000000"/>
                <w:sz w:val="18"/>
                <w:szCs w:val="18"/>
                <w:lang w:eastAsia="en-AU"/>
              </w:rPr>
              <w:t>0.421</w:t>
            </w:r>
          </w:p>
        </w:tc>
        <w:tc>
          <w:tcPr>
            <w:tcW w:w="944" w:type="dxa"/>
            <w:shd w:val="clear" w:color="auto" w:fill="auto"/>
            <w:noWrap/>
            <w:vAlign w:val="center"/>
            <w:hideMark/>
          </w:tcPr>
          <w:p w14:paraId="6287DE3E" w14:textId="77777777" w:rsidR="00AE564D" w:rsidRPr="007724F1" w:rsidRDefault="00AE564D" w:rsidP="00E26D3C">
            <w:pPr>
              <w:spacing w:after="0" w:line="240" w:lineRule="auto"/>
              <w:jc w:val="center"/>
              <w:rPr>
                <w:rFonts w:eastAsia="Times New Roman" w:cs="Arial"/>
                <w:b/>
                <w:bCs/>
                <w:color w:val="000000"/>
                <w:sz w:val="18"/>
                <w:szCs w:val="18"/>
                <w:lang w:eastAsia="en-AU"/>
              </w:rPr>
            </w:pPr>
            <w:r w:rsidRPr="007724F1">
              <w:rPr>
                <w:rFonts w:eastAsia="Times New Roman" w:cs="Arial"/>
                <w:b/>
                <w:bCs/>
                <w:color w:val="000000"/>
                <w:sz w:val="18"/>
                <w:szCs w:val="18"/>
                <w:lang w:eastAsia="en-AU"/>
              </w:rPr>
              <w:t>0.003</w:t>
            </w:r>
          </w:p>
        </w:tc>
        <w:tc>
          <w:tcPr>
            <w:tcW w:w="961" w:type="dxa"/>
            <w:shd w:val="clear" w:color="auto" w:fill="auto"/>
            <w:noWrap/>
            <w:vAlign w:val="center"/>
            <w:hideMark/>
          </w:tcPr>
          <w:p w14:paraId="1165E0FE" w14:textId="77777777" w:rsidR="00AE564D" w:rsidRPr="007724F1" w:rsidRDefault="00AE564D" w:rsidP="00E26D3C">
            <w:pPr>
              <w:spacing w:after="0" w:line="240" w:lineRule="auto"/>
              <w:jc w:val="center"/>
              <w:rPr>
                <w:rFonts w:eastAsia="Times New Roman" w:cs="Arial"/>
                <w:color w:val="000000"/>
                <w:sz w:val="18"/>
                <w:szCs w:val="18"/>
                <w:lang w:eastAsia="en-AU"/>
              </w:rPr>
            </w:pPr>
            <w:r w:rsidRPr="007724F1">
              <w:rPr>
                <w:rFonts w:eastAsia="Times New Roman" w:cs="Arial"/>
                <w:color w:val="000000"/>
                <w:sz w:val="18"/>
                <w:szCs w:val="18"/>
                <w:lang w:eastAsia="en-AU"/>
              </w:rPr>
              <w:t>0.311</w:t>
            </w:r>
          </w:p>
        </w:tc>
      </w:tr>
    </w:tbl>
    <w:p w14:paraId="089B03E1" w14:textId="77777777" w:rsidR="00AE564D" w:rsidRDefault="00AE564D" w:rsidP="00880CDA">
      <w:pPr>
        <w:pStyle w:val="Para0"/>
        <w:rPr>
          <w:highlight w:val="yellow"/>
        </w:rPr>
      </w:pPr>
    </w:p>
    <w:p w14:paraId="3DF074A7" w14:textId="38A55DD1" w:rsidR="00AE564D" w:rsidRPr="00DF0969" w:rsidRDefault="00AE564D" w:rsidP="00DA2369">
      <w:pPr>
        <w:rPr>
          <w:rFonts w:cstheme="minorHAnsi"/>
        </w:rPr>
      </w:pPr>
      <w:r w:rsidRPr="00DF0969">
        <w:lastRenderedPageBreak/>
        <w:t xml:space="preserve">These Mann-Whitney Rank Sum tests for GPP loads showed a very strong statistical difference (p &lt; 0.001) for all spring, </w:t>
      </w:r>
      <w:proofErr w:type="gramStart"/>
      <w:r w:rsidRPr="00DF0969">
        <w:t>summer</w:t>
      </w:r>
      <w:proofErr w:type="gramEnd"/>
      <w:r w:rsidRPr="00DF0969">
        <w:t xml:space="preserve"> and autumn </w:t>
      </w:r>
      <w:r w:rsidRPr="00DF0969">
        <w:rPr>
          <w:rFonts w:cstheme="minorHAnsi"/>
        </w:rPr>
        <w:t>comparisons except for ML-LF i</w:t>
      </w:r>
      <w:r w:rsidR="001B52A7">
        <w:rPr>
          <w:rFonts w:cstheme="minorHAnsi"/>
        </w:rPr>
        <w:t>n</w:t>
      </w:r>
      <w:r w:rsidRPr="00DF0969">
        <w:rPr>
          <w:rFonts w:cstheme="minorHAnsi"/>
        </w:rPr>
        <w:t xml:space="preserve"> spring and VL-ML in summer. The winter-time comparisons were non-significant (p &gt; 0.05) except for ML-LF where a significant decrease was found (p = 0.002). </w:t>
      </w:r>
      <w:proofErr w:type="gramStart"/>
      <w:r w:rsidRPr="00DF0969">
        <w:rPr>
          <w:rFonts w:cstheme="minorHAnsi"/>
        </w:rPr>
        <w:t>With the exception of</w:t>
      </w:r>
      <w:proofErr w:type="gramEnd"/>
      <w:r w:rsidRPr="00DF0969">
        <w:rPr>
          <w:rFonts w:cstheme="minorHAnsi"/>
        </w:rPr>
        <w:t xml:space="preserve"> this one winter</w:t>
      </w:r>
      <w:r w:rsidR="00A22253">
        <w:rPr>
          <w:rFonts w:cstheme="minorHAnsi"/>
        </w:rPr>
        <w:t>-</w:t>
      </w:r>
      <w:r w:rsidRPr="00DF0969">
        <w:rPr>
          <w:rFonts w:cstheme="minorHAnsi"/>
        </w:rPr>
        <w:t>time instance, in each case of a statistically significant difference between the flow categories, the organic carbon load created from GPP increased with increased flow. All four of these flow categories represent flows that are well constrained within the stream channel. This very important point is developed further in the discussion below.</w:t>
      </w:r>
    </w:p>
    <w:p w14:paraId="248C86D4" w14:textId="22A9FB61" w:rsidR="00A30E90" w:rsidRDefault="00AE564D" w:rsidP="00C769AB">
      <w:r w:rsidRPr="003D3FA1">
        <w:t>As with GPP, Wilks-Shapiro tests on both raw data and common transformations (square root, log) of the raw ER load data</w:t>
      </w:r>
      <w:r>
        <w:t xml:space="preserve"> </w:t>
      </w:r>
      <w:r w:rsidRPr="00DF0969">
        <w:t xml:space="preserve">portrayed in </w:t>
      </w:r>
      <w:r w:rsidR="009A7194">
        <w:t xml:space="preserve">Figure </w:t>
      </w:r>
      <w:r w:rsidR="009A7194">
        <w:rPr>
          <w:noProof/>
        </w:rPr>
        <w:t>5</w:t>
      </w:r>
      <w:r w:rsidR="009A7194">
        <w:noBreakHyphen/>
      </w:r>
      <w:r w:rsidR="009A7194">
        <w:rPr>
          <w:noProof/>
        </w:rPr>
        <w:t>14</w:t>
      </w:r>
      <w:r w:rsidR="00A30E90">
        <w:t xml:space="preserve"> </w:t>
      </w:r>
      <w:r w:rsidRPr="00DF0969">
        <w:t>indicated failure of normality, hence, Mann-Whitney Rank Sum tests were performed between each pair of flow categories at each site. Six of the twelve comparisons also showed an increase in load with increasing flow category (seen in</w:t>
      </w:r>
      <w:r w:rsidR="00A30E90">
        <w:t xml:space="preserve"> </w:t>
      </w:r>
      <w:r w:rsidR="009A7194">
        <w:t xml:space="preserve">Figure </w:t>
      </w:r>
      <w:r w:rsidR="009A7194">
        <w:rPr>
          <w:noProof/>
        </w:rPr>
        <w:t>5</w:t>
      </w:r>
      <w:r w:rsidR="009A7194">
        <w:noBreakHyphen/>
      </w:r>
      <w:r w:rsidR="009A7194">
        <w:rPr>
          <w:noProof/>
        </w:rPr>
        <w:t>14</w:t>
      </w:r>
      <w:r w:rsidRPr="00DF0969">
        <w:t>)</w:t>
      </w:r>
      <w:r>
        <w:t xml:space="preserve"> although there was no season when all comparisons were significant. Only in summer was there a significant increase when moving from very low to moderately low flow.</w:t>
      </w:r>
      <w:bookmarkStart w:id="305" w:name="_Ref52392524"/>
    </w:p>
    <w:p w14:paraId="49F9E8F9" w14:textId="33BA9796" w:rsidR="00C769AB" w:rsidRDefault="00C769AB" w:rsidP="00A30E90">
      <w:pPr>
        <w:pStyle w:val="Para0"/>
        <w:keepNext/>
        <w:jc w:val="center"/>
      </w:pPr>
      <w:r w:rsidRPr="00C769AB">
        <w:rPr>
          <w:noProof/>
        </w:rPr>
        <w:drawing>
          <wp:inline distT="0" distB="0" distL="0" distR="0" wp14:anchorId="6048C05A" wp14:editId="30BF3E02">
            <wp:extent cx="6291580" cy="4749165"/>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6291580" cy="4749165"/>
                    </a:xfrm>
                    <a:prstGeom prst="rect">
                      <a:avLst/>
                    </a:prstGeom>
                    <a:noFill/>
                    <a:ln>
                      <a:noFill/>
                    </a:ln>
                  </pic:spPr>
                </pic:pic>
              </a:graphicData>
            </a:graphic>
          </wp:inline>
        </w:drawing>
      </w:r>
    </w:p>
    <w:p w14:paraId="5C65F2A6" w14:textId="00778BC3" w:rsidR="00A30E90" w:rsidRDefault="00A30E90" w:rsidP="00AE564D">
      <w:pPr>
        <w:pStyle w:val="Caption"/>
      </w:pPr>
      <w:bookmarkStart w:id="306" w:name="_Ref83785352"/>
      <w:bookmarkStart w:id="307" w:name="_Toc83907758"/>
      <w:bookmarkStart w:id="308" w:name="_Toc84475735"/>
      <w:r>
        <w:t xml:space="preserve">Figure </w:t>
      </w:r>
      <w:r w:rsidR="009A7194">
        <w:rPr>
          <w:noProof/>
        </w:rPr>
        <w:t>5</w:t>
      </w:r>
      <w:r w:rsidR="00B85158">
        <w:noBreakHyphen/>
      </w:r>
      <w:r w:rsidR="009A7194">
        <w:rPr>
          <w:noProof/>
        </w:rPr>
        <w:t>14</w:t>
      </w:r>
      <w:bookmarkEnd w:id="306"/>
      <w:r>
        <w:t xml:space="preserve"> </w:t>
      </w:r>
      <w:r w:rsidRPr="003D20CC">
        <w:t xml:space="preserve">Box plot showing the Daily Organic Carbon Load (Tonnes/Day) consumed by ER for the combined 7-year LTIM-MER data set, stratified by season and flow category: Very Low Flow, Moderately Low Flow, Low Fresh Flow and Medium Fresh Flow. </w:t>
      </w:r>
      <w:r w:rsidRPr="00BA2632">
        <w:t>Summary statistics are presented in</w:t>
      </w:r>
      <w:r>
        <w:t xml:space="preserve"> </w:t>
      </w:r>
      <w:r w:rsidR="009A7194">
        <w:t xml:space="preserve">Table </w:t>
      </w:r>
      <w:r w:rsidR="009A7194">
        <w:rPr>
          <w:noProof/>
        </w:rPr>
        <w:t>5</w:t>
      </w:r>
      <w:r w:rsidR="009A7194">
        <w:noBreakHyphen/>
      </w:r>
      <w:r w:rsidR="009A7194">
        <w:rPr>
          <w:noProof/>
        </w:rPr>
        <w:t>17</w:t>
      </w:r>
      <w:r w:rsidRPr="00BA2632">
        <w:t>. Note the log scale for the Y-axis.</w:t>
      </w:r>
      <w:bookmarkEnd w:id="307"/>
      <w:bookmarkEnd w:id="308"/>
    </w:p>
    <w:bookmarkEnd w:id="305"/>
    <w:p w14:paraId="1CB997DC" w14:textId="77777777" w:rsidR="00AE564D" w:rsidRPr="00BA2632" w:rsidRDefault="00AE564D" w:rsidP="00AE564D"/>
    <w:p w14:paraId="170393AA" w14:textId="77777777" w:rsidR="00AE564D" w:rsidRPr="00BA2632" w:rsidRDefault="00AE564D" w:rsidP="00AE564D">
      <w:pPr>
        <w:spacing w:after="0" w:line="240" w:lineRule="auto"/>
        <w:rPr>
          <w:rFonts w:eastAsiaTheme="majorEastAsia" w:cstheme="majorBidi"/>
          <w:b/>
          <w:bCs/>
        </w:rPr>
      </w:pPr>
      <w:r w:rsidRPr="00BA2632">
        <w:br w:type="page"/>
      </w:r>
    </w:p>
    <w:p w14:paraId="7F4491D5" w14:textId="72D4F7BF" w:rsidR="00AE564D" w:rsidRPr="0003427D" w:rsidRDefault="00AE564D" w:rsidP="00AE564D">
      <w:pPr>
        <w:pStyle w:val="Heading3"/>
      </w:pPr>
      <w:bookmarkStart w:id="309" w:name="_Toc84417361"/>
      <w:r w:rsidRPr="00BA2632">
        <w:lastRenderedPageBreak/>
        <w:t xml:space="preserve">The </w:t>
      </w:r>
      <w:r w:rsidR="00D62993">
        <w:t>c</w:t>
      </w:r>
      <w:r w:rsidRPr="00BA2632">
        <w:t xml:space="preserve">ontribution of CEW to </w:t>
      </w:r>
      <w:r w:rsidR="00D62993">
        <w:t>o</w:t>
      </w:r>
      <w:r w:rsidRPr="00BA2632">
        <w:t xml:space="preserve">rganic </w:t>
      </w:r>
      <w:r w:rsidR="00D62993">
        <w:t>c</w:t>
      </w:r>
      <w:r w:rsidRPr="00BA2632">
        <w:t xml:space="preserve">arbon </w:t>
      </w:r>
      <w:r w:rsidR="00D62993">
        <w:t>p</w:t>
      </w:r>
      <w:r w:rsidRPr="00BA2632">
        <w:t>roduction in the Goulburn River</w:t>
      </w:r>
      <w:bookmarkEnd w:id="309"/>
    </w:p>
    <w:p w14:paraId="049B979C" w14:textId="462E16F3" w:rsidR="00AE564D" w:rsidRPr="00BA2632" w:rsidRDefault="00AE564D" w:rsidP="00AE564D">
      <w:r w:rsidRPr="00BA2632">
        <w:t xml:space="preserve">Using the complete </w:t>
      </w:r>
      <w:r>
        <w:t>seven</w:t>
      </w:r>
      <w:r w:rsidRPr="00BA2632">
        <w:t>-year data set at McCoy’s Bridge, we are now in the position to determine how CEW has contributed to the creation of organic carbon through Gross Primary Production. The method is described in more detail below but essentially involves estimating the amount of organic carbon created each day and apportioning that to either CEW or non-CEW flow. This is not as straight-forward as</w:t>
      </w:r>
      <w:r w:rsidRPr="00BA2632" w:rsidDel="00CF6A0F">
        <w:t xml:space="preserve"> </w:t>
      </w:r>
      <w:r w:rsidRPr="00BA2632">
        <w:t xml:space="preserve">apportioning the daily organic carbon load on the relative amounts of CEW and non-CEW flow as the GPP rate is very dependent upon the actual discharge, with increasing discharge decreasing the amount of GPP per litre due to dilution. Hence the following method uses the actual data set for each season (as seasonal effects are very important as shown in </w:t>
      </w:r>
      <w:r w:rsidR="009A7194" w:rsidRPr="00BA2632">
        <w:t xml:space="preserve">Figure </w:t>
      </w:r>
      <w:r w:rsidR="009A7194">
        <w:rPr>
          <w:noProof/>
        </w:rPr>
        <w:t>5</w:t>
      </w:r>
      <w:r w:rsidR="009A7194">
        <w:noBreakHyphen/>
      </w:r>
      <w:r w:rsidR="009A7194">
        <w:rPr>
          <w:noProof/>
        </w:rPr>
        <w:t>7</w:t>
      </w:r>
      <w:r w:rsidR="001B52A7">
        <w:t>)</w:t>
      </w:r>
      <w:r w:rsidR="00EF167B">
        <w:t xml:space="preserve"> </w:t>
      </w:r>
      <w:r w:rsidRPr="00BA2632">
        <w:t xml:space="preserve">then divides each season up into 6 ‘bins’ going from the lowest flow in that season to the highest, in all cases only using flows on days </w:t>
      </w:r>
      <w:r w:rsidRPr="00C331B6">
        <w:t xml:space="preserve">when the metabolism model results met the acceptance criteria. A summary of the McCoy’s Bridge site data in each bin is presented in Appendix </w:t>
      </w:r>
      <w:r w:rsidR="00464588">
        <w:t>E</w:t>
      </w:r>
      <w:r w:rsidRPr="00C331B6">
        <w:t>.</w:t>
      </w:r>
      <w:r w:rsidRPr="00BA2632">
        <w:t xml:space="preserve"> The McCoy’s Bridge site was chosen as it was the only site with a significant number of winter days (1</w:t>
      </w:r>
      <w:r>
        <w:t>2</w:t>
      </w:r>
      <w:r w:rsidRPr="00BA2632">
        <w:t>5).</w:t>
      </w:r>
    </w:p>
    <w:p w14:paraId="6013FFA1" w14:textId="656CEDCA" w:rsidR="00AE564D" w:rsidRPr="00BA2632" w:rsidRDefault="00AE564D" w:rsidP="00AE564D">
      <w:pPr>
        <w:rPr>
          <w:rFonts w:cs="Arial"/>
          <w:szCs w:val="20"/>
        </w:rPr>
      </w:pPr>
      <w:r w:rsidRPr="00BA2632">
        <w:t xml:space="preserve">Briefly, using a method modified described in </w:t>
      </w:r>
      <w:r w:rsidR="00566073">
        <w:rPr>
          <w:noProof/>
        </w:rPr>
        <w:t>Watts et al. (2018)</w:t>
      </w:r>
      <w:r w:rsidRPr="00BA2632">
        <w:t>, the calculations were performed using the following steps:</w:t>
      </w:r>
    </w:p>
    <w:p w14:paraId="7A42BA06" w14:textId="79CF96A1" w:rsidR="00AE564D" w:rsidRPr="00BA2632" w:rsidRDefault="00AE564D" w:rsidP="00DE6E94">
      <w:pPr>
        <w:pStyle w:val="ListNumber"/>
        <w:numPr>
          <w:ilvl w:val="0"/>
          <w:numId w:val="99"/>
        </w:numPr>
      </w:pPr>
      <w:r w:rsidRPr="00BA2632">
        <w:t xml:space="preserve">Every date with metabolism results that passed the model acceptance criteria was then stratified into a season (summer, autumn, winter, spring) and flow quantile (6 groups or ‘bins’). Each of the six groups contained the same number of data </w:t>
      </w:r>
      <w:proofErr w:type="gramStart"/>
      <w:r w:rsidRPr="00BA2632">
        <w:t>days, or</w:t>
      </w:r>
      <w:proofErr w:type="gramEnd"/>
      <w:r w:rsidRPr="00BA2632">
        <w:t xml:space="preserve"> differed by one day based on the total number of acceptable data days in that season and whether that number divided exactly by six. The flow quantiles characterized data days by the daily discharge with the lowest quantile (bin) containing the lowest 1/6 of all data days, the second bin containing data days with flows from 1/6 to 2/6 etc</w:t>
      </w:r>
      <w:r w:rsidR="002132EA">
        <w:t>.</w:t>
      </w:r>
    </w:p>
    <w:p w14:paraId="6CE75FA7" w14:textId="35CBC547" w:rsidR="00AE564D" w:rsidRPr="00C331B6" w:rsidRDefault="00AE564D" w:rsidP="00DE6E94">
      <w:pPr>
        <w:pStyle w:val="ListNumber"/>
        <w:numPr>
          <w:ilvl w:val="0"/>
          <w:numId w:val="99"/>
        </w:numPr>
      </w:pPr>
      <w:r w:rsidRPr="00BA2632">
        <w:t xml:space="preserve">For each season and </w:t>
      </w:r>
      <w:proofErr w:type="gramStart"/>
      <w:r w:rsidRPr="00BA2632">
        <w:t>bin</w:t>
      </w:r>
      <w:proofErr w:type="gramEnd"/>
      <w:r w:rsidRPr="00BA2632">
        <w:t xml:space="preserve"> the mean rate of organic carbon production per litre per day (g C/L/day) were calculated. </w:t>
      </w:r>
      <w:r w:rsidRPr="00C331B6">
        <w:t xml:space="preserve">These data are presented in Appendix </w:t>
      </w:r>
      <w:r w:rsidR="00464588">
        <w:t>E</w:t>
      </w:r>
      <w:r w:rsidRPr="00C331B6">
        <w:t>.</w:t>
      </w:r>
    </w:p>
    <w:p w14:paraId="034D8408" w14:textId="77777777" w:rsidR="00AE564D" w:rsidRPr="00BA2632" w:rsidRDefault="00AE564D" w:rsidP="00DE6E94">
      <w:pPr>
        <w:pStyle w:val="ListNumber"/>
        <w:numPr>
          <w:ilvl w:val="0"/>
          <w:numId w:val="99"/>
        </w:numPr>
      </w:pPr>
      <w:r w:rsidRPr="00BA2632">
        <w:t>The mean rate of production for each day was estimated by multiplying this mean rate of production for that day’s season and bin (in g C/L/day) by the observed discharge on that day (L). This provided an estimate of the total production on that day. This calculation was made for all days in that season.</w:t>
      </w:r>
    </w:p>
    <w:p w14:paraId="4FCECBD8" w14:textId="77777777" w:rsidR="00AE564D" w:rsidRPr="00BA2632" w:rsidRDefault="00AE564D" w:rsidP="00DE6E94">
      <w:pPr>
        <w:pStyle w:val="ListNumber"/>
        <w:numPr>
          <w:ilvl w:val="0"/>
          <w:numId w:val="99"/>
        </w:numPr>
      </w:pPr>
      <w:r w:rsidRPr="00BA2632">
        <w:t>To calculate the discharge estimated to have occurred in the absence of Commonwealth Environmental Water (CEW), firstly the non-CEW discharge (observed discharge – CEW) was determined.</w:t>
      </w:r>
    </w:p>
    <w:p w14:paraId="4B6F0C5D" w14:textId="77777777" w:rsidR="00AE564D" w:rsidRPr="00BA2632" w:rsidRDefault="00AE564D" w:rsidP="00DE6E94">
      <w:pPr>
        <w:pStyle w:val="ListNumber"/>
        <w:numPr>
          <w:ilvl w:val="0"/>
          <w:numId w:val="99"/>
        </w:numPr>
      </w:pPr>
      <w:r w:rsidRPr="00BA2632">
        <w:t>The mean rate of production associated with that season and the bin in which the non-CEW discharge fell, was then used to determine the predicted rate of production (g C/L/day) for that day in the absence of CEW.</w:t>
      </w:r>
    </w:p>
    <w:p w14:paraId="7E3A3608" w14:textId="77777777" w:rsidR="00AE564D" w:rsidRPr="00BA2632" w:rsidRDefault="00AE564D" w:rsidP="00DE6E94">
      <w:pPr>
        <w:pStyle w:val="ListNumber"/>
        <w:numPr>
          <w:ilvl w:val="0"/>
          <w:numId w:val="99"/>
        </w:numPr>
      </w:pPr>
      <w:r w:rsidRPr="00BA2632">
        <w:t xml:space="preserve">This alternative rate of production was then multiplied by the non-CEW discharge volume to determine the total production predicted to have occurred on that day in the absence of CEW. This then provided a time-series of daily production rates with and without CEW. </w:t>
      </w:r>
    </w:p>
    <w:p w14:paraId="1A37C07A" w14:textId="77777777" w:rsidR="00AE564D" w:rsidRPr="00543D88" w:rsidRDefault="00AE564D" w:rsidP="00DE6E94">
      <w:pPr>
        <w:pStyle w:val="ListNumber"/>
        <w:numPr>
          <w:ilvl w:val="0"/>
          <w:numId w:val="99"/>
        </w:numPr>
        <w:rPr>
          <w:sz w:val="22"/>
        </w:rPr>
      </w:pPr>
      <w:r w:rsidRPr="00BA2632">
        <w:t>The daily estimates of CEW/non-CEW derived production were then summed to estimate the total additional production from CEW over each season for the full five years of this study.</w:t>
      </w:r>
    </w:p>
    <w:p w14:paraId="0FE07401" w14:textId="77F5B6A3" w:rsidR="00AE564D" w:rsidRPr="006D0EB9" w:rsidRDefault="00AE564D" w:rsidP="00AE564D">
      <w:r w:rsidRPr="00DC68C1">
        <w:t xml:space="preserve">Using the </w:t>
      </w:r>
      <w:r>
        <w:t>full 2019</w:t>
      </w:r>
      <w:r w:rsidRPr="00DC68C1">
        <w:t>-21 MER data</w:t>
      </w:r>
      <w:r>
        <w:t xml:space="preserve"> set</w:t>
      </w:r>
      <w:r w:rsidRPr="006D0EB9">
        <w:t xml:space="preserve">, </w:t>
      </w:r>
      <w:r w:rsidR="009A7194">
        <w:t>Figure 5</w:t>
      </w:r>
      <w:r w:rsidR="009A7194">
        <w:noBreakHyphen/>
        <w:t>15</w:t>
      </w:r>
      <w:r w:rsidR="009B28E9">
        <w:t xml:space="preserve"> </w:t>
      </w:r>
      <w:r w:rsidRPr="006D0EB9">
        <w:t>shows the GPP load from non-CEW water in blue and the visible orange colour indicates the additional organic carbon load emanating from the addition of CEW. The daily load for each day was calculated using the mean GPP rate for that flow bin and season. The binning and mean GPP rates were based on the full 7-year combined LTIM/MER data set. The resultant seasonal totals data are summarized in</w:t>
      </w:r>
      <w:r w:rsidR="009B28E9">
        <w:t xml:space="preserve"> </w:t>
      </w:r>
      <w:r w:rsidR="009A7194">
        <w:t xml:space="preserve">Table </w:t>
      </w:r>
      <w:r w:rsidR="009A7194">
        <w:rPr>
          <w:noProof/>
        </w:rPr>
        <w:t>5</w:t>
      </w:r>
      <w:r w:rsidR="009A7194">
        <w:noBreakHyphen/>
      </w:r>
      <w:r w:rsidR="009A7194">
        <w:rPr>
          <w:noProof/>
        </w:rPr>
        <w:t>19</w:t>
      </w:r>
      <w:r w:rsidRPr="006D0EB9">
        <w:t>.</w:t>
      </w:r>
    </w:p>
    <w:p w14:paraId="30CF0E06" w14:textId="77777777" w:rsidR="00AE564D" w:rsidRDefault="00AE564D" w:rsidP="00AE564D">
      <w:r>
        <w:br w:type="page"/>
      </w:r>
    </w:p>
    <w:p w14:paraId="1259D6D9" w14:textId="77777777" w:rsidR="00AE564D" w:rsidRDefault="00AE564D" w:rsidP="00AE564D">
      <w:pPr>
        <w:pStyle w:val="Bodynarrow"/>
        <w:keepNext/>
        <w:ind w:left="0"/>
        <w:jc w:val="center"/>
        <w:sectPr w:rsidR="00AE564D" w:rsidSect="00CA5C96">
          <w:footerReference w:type="first" r:id="rId51"/>
          <w:pgSz w:w="11906" w:h="16838" w:code="9"/>
          <w:pgMar w:top="567" w:right="851" w:bottom="851" w:left="1134" w:header="709" w:footer="709" w:gutter="0"/>
          <w:cols w:space="708"/>
          <w:titlePg/>
          <w:docGrid w:linePitch="360"/>
        </w:sectPr>
      </w:pPr>
    </w:p>
    <w:p w14:paraId="539CCFFC" w14:textId="77777777" w:rsidR="009B28E9" w:rsidRDefault="00AE564D" w:rsidP="009B28E9">
      <w:pPr>
        <w:pStyle w:val="Bodynarrow"/>
        <w:keepNext/>
        <w:ind w:left="0"/>
        <w:jc w:val="center"/>
      </w:pPr>
      <w:r w:rsidRPr="006A0726">
        <w:rPr>
          <w:noProof/>
          <w:lang w:eastAsia="zh-CN"/>
        </w:rPr>
        <w:lastRenderedPageBreak/>
        <w:drawing>
          <wp:inline distT="0" distB="0" distL="0" distR="0" wp14:anchorId="0909A3F9" wp14:editId="3BCD0D69">
            <wp:extent cx="8220075" cy="434340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8220075" cy="4343400"/>
                    </a:xfrm>
                    <a:prstGeom prst="rect">
                      <a:avLst/>
                    </a:prstGeom>
                    <a:noFill/>
                    <a:ln>
                      <a:noFill/>
                    </a:ln>
                  </pic:spPr>
                </pic:pic>
              </a:graphicData>
            </a:graphic>
          </wp:inline>
        </w:drawing>
      </w:r>
    </w:p>
    <w:p w14:paraId="324D8DF8" w14:textId="4B29D63A" w:rsidR="009B28E9" w:rsidRPr="009B28E9" w:rsidRDefault="009B28E9" w:rsidP="009B28E9">
      <w:pPr>
        <w:pStyle w:val="Caption"/>
      </w:pPr>
      <w:bookmarkStart w:id="310" w:name="_Ref83785777"/>
      <w:bookmarkStart w:id="311" w:name="_Toc83907759"/>
      <w:bookmarkStart w:id="312" w:name="_Toc84475736"/>
      <w:r>
        <w:t xml:space="preserve">Figure </w:t>
      </w:r>
      <w:r w:rsidR="009A7194">
        <w:rPr>
          <w:noProof/>
        </w:rPr>
        <w:t>5</w:t>
      </w:r>
      <w:r w:rsidR="00B85158">
        <w:noBreakHyphen/>
      </w:r>
      <w:r w:rsidR="009A7194">
        <w:rPr>
          <w:noProof/>
        </w:rPr>
        <w:t>15</w:t>
      </w:r>
      <w:bookmarkEnd w:id="310"/>
      <w:r>
        <w:t xml:space="preserve"> </w:t>
      </w:r>
      <w:r w:rsidRPr="00DF11F1">
        <w:t>Estimated daily loads of organic carbon created by GPP at McCoy’s Bridge showing the total load and the load without the contribution of CEW. The visible orange section of each bar represents the contribution of CEW. This plot estimates loads for every</w:t>
      </w:r>
      <w:r w:rsidRPr="009B28E9">
        <w:t xml:space="preserve"> day over the MER period of record (May 2019 to April 2021).</w:t>
      </w:r>
      <w:bookmarkEnd w:id="311"/>
      <w:bookmarkEnd w:id="312"/>
    </w:p>
    <w:p w14:paraId="2C7DA39B" w14:textId="77777777" w:rsidR="00AE564D" w:rsidRPr="006D0EB9" w:rsidRDefault="00AE564D" w:rsidP="00AE564D"/>
    <w:p w14:paraId="6AFA406E" w14:textId="6F590F02" w:rsidR="00AE564D" w:rsidRPr="00880CDA" w:rsidRDefault="00AE564D" w:rsidP="00AE564D">
      <w:r>
        <w:br w:type="page"/>
      </w:r>
    </w:p>
    <w:p w14:paraId="1D86B4F9" w14:textId="77777777" w:rsidR="00AE564D" w:rsidRPr="0017449B" w:rsidRDefault="00AE564D" w:rsidP="00DE5E32">
      <w:pPr>
        <w:rPr>
          <w:lang w:val="en-GB"/>
        </w:rPr>
        <w:sectPr w:rsidR="00AE564D" w:rsidRPr="0017449B" w:rsidSect="00333A88">
          <w:footerReference w:type="first" r:id="rId53"/>
          <w:pgSz w:w="16838" w:h="11906" w:orient="landscape" w:code="9"/>
          <w:pgMar w:top="567" w:right="851" w:bottom="851" w:left="1134" w:header="709" w:footer="709" w:gutter="0"/>
          <w:cols w:space="708"/>
          <w:titlePg/>
          <w:docGrid w:linePitch="360"/>
        </w:sectPr>
      </w:pPr>
      <w:bookmarkStart w:id="313" w:name="_Ref52392670"/>
      <w:bookmarkStart w:id="314" w:name="_Ref58253286"/>
    </w:p>
    <w:p w14:paraId="17043D4F" w14:textId="59438FC0" w:rsidR="009B28E9" w:rsidRPr="00BA2632" w:rsidRDefault="009B28E9" w:rsidP="009B28E9">
      <w:pPr>
        <w:pStyle w:val="Caption"/>
        <w:keepNext/>
      </w:pPr>
      <w:bookmarkStart w:id="315" w:name="_Ref83897697"/>
      <w:bookmarkStart w:id="316" w:name="_Toc95391480"/>
      <w:bookmarkEnd w:id="313"/>
      <w:bookmarkEnd w:id="314"/>
      <w:r>
        <w:lastRenderedPageBreak/>
        <w:t xml:space="preserve">Table </w:t>
      </w:r>
      <w:r w:rsidR="009A7194">
        <w:rPr>
          <w:noProof/>
        </w:rPr>
        <w:t>5</w:t>
      </w:r>
      <w:r w:rsidR="000B75AF">
        <w:noBreakHyphen/>
      </w:r>
      <w:r w:rsidR="009A7194">
        <w:rPr>
          <w:noProof/>
        </w:rPr>
        <w:t>19</w:t>
      </w:r>
      <w:bookmarkEnd w:id="315"/>
      <w:r>
        <w:t xml:space="preserve"> </w:t>
      </w:r>
      <w:r w:rsidRPr="001C13C4">
        <w:t>Seasonal Loads of Organic Carbon Produced by GPP at McCoy’s Bridge showing total loads and the contribution made by Commonwealth environmental water (CEW) over the duration of this project (October 2014 to April 2021). The Seasonal Flows, including the</w:t>
      </w:r>
      <w:r>
        <w:t xml:space="preserve"> </w:t>
      </w:r>
      <w:r w:rsidRPr="00BA2632">
        <w:t>CEW contribution are also shown.</w:t>
      </w:r>
      <w:bookmarkEnd w:id="316"/>
    </w:p>
    <w:p w14:paraId="587A7637" w14:textId="77777777" w:rsidR="00AE564D" w:rsidRDefault="00AE564D" w:rsidP="00333A88">
      <w:pPr>
        <w:pStyle w:val="Bodynarrow"/>
        <w:spacing w:before="120" w:after="0"/>
        <w:ind w:left="0"/>
        <w:jc w:val="center"/>
        <w:rPr>
          <w:sz w:val="16"/>
          <w:szCs w:val="16"/>
        </w:rPr>
      </w:pPr>
      <w:r w:rsidRPr="005478DB">
        <w:rPr>
          <w:noProof/>
          <w:lang w:eastAsia="zh-CN"/>
        </w:rPr>
        <w:drawing>
          <wp:inline distT="0" distB="0" distL="0" distR="0" wp14:anchorId="39B32BA5" wp14:editId="299E3B19">
            <wp:extent cx="6134100" cy="4876447"/>
            <wp:effectExtent l="0" t="0" r="0" b="63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6151231" cy="4890066"/>
                    </a:xfrm>
                    <a:prstGeom prst="rect">
                      <a:avLst/>
                    </a:prstGeom>
                    <a:noFill/>
                    <a:ln>
                      <a:noFill/>
                    </a:ln>
                  </pic:spPr>
                </pic:pic>
              </a:graphicData>
            </a:graphic>
          </wp:inline>
        </w:drawing>
      </w:r>
    </w:p>
    <w:p w14:paraId="6D160ED8" w14:textId="1D284156" w:rsidR="00AE564D" w:rsidRPr="000B6D47" w:rsidRDefault="000B6D47" w:rsidP="00C55D11">
      <w:pPr>
        <w:pStyle w:val="Bodynarrow"/>
        <w:spacing w:before="0"/>
        <w:ind w:left="0"/>
        <w:rPr>
          <w:rFonts w:asciiTheme="minorHAnsi" w:hAnsiTheme="minorHAnsi" w:cstheme="minorHAnsi"/>
          <w:sz w:val="18"/>
          <w:szCs w:val="18"/>
        </w:rPr>
      </w:pPr>
      <w:r>
        <w:rPr>
          <w:rFonts w:asciiTheme="minorHAnsi" w:hAnsiTheme="minorHAnsi" w:cstheme="minorHAnsi"/>
          <w:sz w:val="18"/>
          <w:szCs w:val="18"/>
        </w:rPr>
        <w:t xml:space="preserve">    </w:t>
      </w:r>
      <w:r w:rsidR="00AE564D" w:rsidRPr="000B6D47">
        <w:rPr>
          <w:rFonts w:asciiTheme="minorHAnsi" w:hAnsiTheme="minorHAnsi" w:cstheme="minorHAnsi"/>
          <w:sz w:val="18"/>
          <w:szCs w:val="18"/>
        </w:rPr>
        <w:t>* Autumn 2014 data was only from October and November of that year. Autumn 2020 was only from March and April.</w:t>
      </w:r>
    </w:p>
    <w:p w14:paraId="02445FC5" w14:textId="307371C4" w:rsidR="00AE564D" w:rsidRPr="00CF470A" w:rsidRDefault="009A7194" w:rsidP="0037666C">
      <w:pPr>
        <w:rPr>
          <w:rFonts w:cstheme="minorHAnsi"/>
        </w:rPr>
      </w:pPr>
      <w:r>
        <w:t xml:space="preserve">Table </w:t>
      </w:r>
      <w:r>
        <w:rPr>
          <w:noProof/>
        </w:rPr>
        <w:t>5</w:t>
      </w:r>
      <w:r>
        <w:noBreakHyphen/>
      </w:r>
      <w:r>
        <w:rPr>
          <w:noProof/>
        </w:rPr>
        <w:t>19</w:t>
      </w:r>
      <w:r w:rsidR="00C20053">
        <w:rPr>
          <w:rFonts w:cstheme="minorHAnsi"/>
        </w:rPr>
        <w:t xml:space="preserve"> </w:t>
      </w:r>
      <w:r w:rsidR="00AE564D" w:rsidRPr="00CF470A">
        <w:rPr>
          <w:rFonts w:cstheme="minorHAnsi"/>
        </w:rPr>
        <w:t>shows that overall, CEW contributes to the generation of 21% of all organic carbon created from Gross Primary Production in the Goulburn around the McCoy’s Bridge site: 454 of 2156 Tonnes of organic carbon over the duration of the combined MER-LTIM monitoring (1</w:t>
      </w:r>
      <w:r w:rsidR="00AE564D" w:rsidRPr="00CF470A">
        <w:rPr>
          <w:rFonts w:cstheme="minorHAnsi"/>
          <w:vertAlign w:val="superscript"/>
        </w:rPr>
        <w:t>st</w:t>
      </w:r>
      <w:r w:rsidR="00AE564D" w:rsidRPr="00CF470A">
        <w:rPr>
          <w:rFonts w:cstheme="minorHAnsi"/>
        </w:rPr>
        <w:t xml:space="preserve"> October 2014 to 30</w:t>
      </w:r>
      <w:r w:rsidR="00AE564D" w:rsidRPr="00CF470A">
        <w:rPr>
          <w:rFonts w:cstheme="minorHAnsi"/>
          <w:vertAlign w:val="superscript"/>
        </w:rPr>
        <w:t>th</w:t>
      </w:r>
      <w:r w:rsidR="00AE564D" w:rsidRPr="00CF470A">
        <w:rPr>
          <w:rFonts w:cstheme="minorHAnsi"/>
        </w:rPr>
        <w:t xml:space="preserve"> April 2021). This table also includes the amount of CEW and non-CEW water and this shows that Commonwealth environmental water made up 26% of the total flow in the Goulburn River at McCoy’s Bridge over the same time frame. This close congruence of load contribution and flow contribution is perhaps </w:t>
      </w:r>
      <w:r w:rsidR="00AE564D" w:rsidRPr="00C331B6">
        <w:rPr>
          <w:rFonts w:cstheme="minorHAnsi"/>
        </w:rPr>
        <w:t xml:space="preserve">unsurprising because as shown in the binning data in Appendix </w:t>
      </w:r>
      <w:r w:rsidR="00464588">
        <w:rPr>
          <w:rFonts w:cstheme="minorHAnsi"/>
        </w:rPr>
        <w:t>E</w:t>
      </w:r>
      <w:r w:rsidR="00AE564D" w:rsidRPr="00C331B6">
        <w:rPr>
          <w:rFonts w:cstheme="minorHAnsi"/>
        </w:rPr>
        <w:t>, there is generally only a small difference in GPP rates for</w:t>
      </w:r>
      <w:r w:rsidR="00AE564D" w:rsidRPr="00CF470A">
        <w:rPr>
          <w:rFonts w:cstheme="minorHAnsi"/>
        </w:rPr>
        <w:t xml:space="preserve"> the 6 bins, whereas the relative variation in flow is much greater.</w:t>
      </w:r>
    </w:p>
    <w:p w14:paraId="141AC03E" w14:textId="0E3630C4" w:rsidR="00AE564D" w:rsidRPr="00801CB4" w:rsidRDefault="00AE564D" w:rsidP="0037666C">
      <w:pPr>
        <w:rPr>
          <w:rFonts w:cstheme="minorHAnsi"/>
        </w:rPr>
      </w:pPr>
      <w:r w:rsidRPr="00CF470A">
        <w:t>From noting the pos</w:t>
      </w:r>
      <w:r w:rsidRPr="00CF470A">
        <w:rPr>
          <w:rFonts w:cstheme="minorHAnsi"/>
        </w:rPr>
        <w:t xml:space="preserve">ition of the ‘orange colour’ in </w:t>
      </w:r>
      <w:r w:rsidR="009A7194" w:rsidRPr="009A7194">
        <w:rPr>
          <w:rFonts w:cstheme="minorHAnsi"/>
        </w:rPr>
        <w:t>Figure 5</w:t>
      </w:r>
      <w:r w:rsidR="009A7194" w:rsidRPr="009A7194">
        <w:rPr>
          <w:rFonts w:cstheme="minorHAnsi"/>
        </w:rPr>
        <w:noBreakHyphen/>
        <w:t>15</w:t>
      </w:r>
      <w:r w:rsidR="009B28E9">
        <w:rPr>
          <w:rFonts w:cstheme="minorHAnsi"/>
        </w:rPr>
        <w:t xml:space="preserve"> </w:t>
      </w:r>
      <w:r w:rsidRPr="00CF470A">
        <w:rPr>
          <w:rFonts w:cstheme="minorHAnsi"/>
        </w:rPr>
        <w:t xml:space="preserve">(corresponding to the CEW load contribution) and the data in </w:t>
      </w:r>
      <w:r w:rsidR="009A7194">
        <w:t xml:space="preserve">Table </w:t>
      </w:r>
      <w:r w:rsidR="009A7194">
        <w:rPr>
          <w:noProof/>
        </w:rPr>
        <w:t>5</w:t>
      </w:r>
      <w:r w:rsidR="009A7194">
        <w:noBreakHyphen/>
      </w:r>
      <w:r w:rsidR="009A7194">
        <w:rPr>
          <w:noProof/>
        </w:rPr>
        <w:t>19</w:t>
      </w:r>
      <w:r w:rsidR="009B28E9">
        <w:rPr>
          <w:rFonts w:cstheme="minorHAnsi"/>
        </w:rPr>
        <w:t xml:space="preserve"> </w:t>
      </w:r>
      <w:r w:rsidRPr="00CF470A">
        <w:rPr>
          <w:rFonts w:cstheme="minorHAnsi"/>
        </w:rPr>
        <w:t xml:space="preserve">it is clear that CEW contributions in </w:t>
      </w:r>
      <w:proofErr w:type="gramStart"/>
      <w:r w:rsidRPr="00CF470A">
        <w:rPr>
          <w:rFonts w:cstheme="minorHAnsi"/>
        </w:rPr>
        <w:t>spring time</w:t>
      </w:r>
      <w:proofErr w:type="gramEnd"/>
      <w:r w:rsidRPr="00CF470A">
        <w:rPr>
          <w:rFonts w:cstheme="minorHAnsi"/>
        </w:rPr>
        <w:t xml:space="preserve"> are particularly important. </w:t>
      </w:r>
      <w:proofErr w:type="gramStart"/>
      <w:r w:rsidRPr="00CF470A">
        <w:rPr>
          <w:rFonts w:cstheme="minorHAnsi"/>
        </w:rPr>
        <w:t>With the exception of</w:t>
      </w:r>
      <w:proofErr w:type="gramEnd"/>
      <w:r w:rsidRPr="00CF470A">
        <w:rPr>
          <w:rFonts w:cstheme="minorHAnsi"/>
        </w:rPr>
        <w:t xml:space="preserve"> Spring 2016 when CEW only contributed 4% to flow due to the large flooding event, CEW contributed 36-59% of all organic carbon created by GPP in this season, including 38% in Spring 2020. This may be ecologically very significant as it will provide a food resource to support and perhaps sustain fish </w:t>
      </w:r>
      <w:r w:rsidRPr="00801CB4">
        <w:rPr>
          <w:rFonts w:cstheme="minorHAnsi"/>
        </w:rPr>
        <w:t xml:space="preserve">breeding. </w:t>
      </w:r>
    </w:p>
    <w:p w14:paraId="27F403E2" w14:textId="3E8715BF" w:rsidR="00801CB4" w:rsidRDefault="00801CB4" w:rsidP="0037666C">
      <w:pPr>
        <w:rPr>
          <w:rFonts w:cstheme="minorHAnsi"/>
        </w:rPr>
      </w:pPr>
      <w:r w:rsidRPr="00801CB4">
        <w:t>CEW has also contributed around half (44-52%) of</w:t>
      </w:r>
      <w:r w:rsidRPr="00801CB4">
        <w:rPr>
          <w:rFonts w:cstheme="minorHAnsi"/>
        </w:rPr>
        <w:t xml:space="preserve"> </w:t>
      </w:r>
      <w:proofErr w:type="gramStart"/>
      <w:r w:rsidRPr="00801CB4">
        <w:rPr>
          <w:rFonts w:cstheme="minorHAnsi"/>
        </w:rPr>
        <w:t>winter time</w:t>
      </w:r>
      <w:proofErr w:type="gramEnd"/>
      <w:r w:rsidRPr="00801CB4">
        <w:rPr>
          <w:rFonts w:cstheme="minorHAnsi"/>
        </w:rPr>
        <w:t xml:space="preserve"> organic carbon creation over 2017-2019 but only 4% in 2020. This much lower contribution in 2020 is likely to be a result of the higher non-CEW flows (447 GL, </w:t>
      </w:r>
      <w:r w:rsidR="009A7194">
        <w:t xml:space="preserve">Table </w:t>
      </w:r>
      <w:r w:rsidR="009A7194">
        <w:rPr>
          <w:noProof/>
        </w:rPr>
        <w:t>5</w:t>
      </w:r>
      <w:r w:rsidR="009A7194">
        <w:rPr>
          <w:noProof/>
        </w:rPr>
        <w:noBreakHyphen/>
        <w:t>19</w:t>
      </w:r>
      <w:r w:rsidRPr="00801CB4">
        <w:rPr>
          <w:rFonts w:cstheme="minorHAnsi"/>
        </w:rPr>
        <w:t>) compared to the 236-292 GL over the preceding three years. A similar scenario was found in Winter 2016 where the CEW contribution to organic carbon load was 6%, within the non-CEW seasonal flow of 393 GL.</w:t>
      </w:r>
      <w:r>
        <w:rPr>
          <w:rFonts w:cstheme="minorHAnsi"/>
        </w:rPr>
        <w:t xml:space="preserve">  </w:t>
      </w:r>
    </w:p>
    <w:p w14:paraId="7E429163" w14:textId="0A60729D" w:rsidR="00AE564D" w:rsidRPr="00202048" w:rsidRDefault="00AE564D" w:rsidP="009B28E9">
      <w:pPr>
        <w:rPr>
          <w:lang w:val="en-GB" w:eastAsia="en-US"/>
        </w:rPr>
      </w:pPr>
      <w:r w:rsidRPr="009B28E9">
        <w:rPr>
          <w:lang w:val="en-GB" w:eastAsia="en-US"/>
        </w:rPr>
        <w:t xml:space="preserve">Finally, </w:t>
      </w:r>
      <w:r w:rsidR="009A7194" w:rsidRPr="009A7194">
        <w:rPr>
          <w:lang w:val="en-GB" w:eastAsia="en-US"/>
        </w:rPr>
        <w:t>Figure 5</w:t>
      </w:r>
      <w:r w:rsidR="009A7194" w:rsidRPr="009A7194">
        <w:rPr>
          <w:lang w:val="en-GB" w:eastAsia="en-US"/>
        </w:rPr>
        <w:noBreakHyphen/>
        <w:t>16</w:t>
      </w:r>
      <w:r w:rsidR="009B28E9" w:rsidRPr="009B28E9">
        <w:rPr>
          <w:lang w:val="en-GB" w:eastAsia="en-US"/>
        </w:rPr>
        <w:t xml:space="preserve"> </w:t>
      </w:r>
      <w:r w:rsidRPr="009B28E9">
        <w:rPr>
          <w:lang w:val="en-GB" w:eastAsia="en-US"/>
        </w:rPr>
        <w:t>illustrates how the seasonal partitioning in organic carbon load created by GPP between non-CEW and CEW water is affected by the nominal flow category (</w:t>
      </w:r>
      <w:r w:rsidR="009A7194" w:rsidRPr="009A7194">
        <w:rPr>
          <w:lang w:val="en-GB" w:eastAsia="en-US"/>
        </w:rPr>
        <w:t>Table 5</w:t>
      </w:r>
      <w:r w:rsidR="009A7194" w:rsidRPr="009A7194">
        <w:rPr>
          <w:lang w:val="en-GB" w:eastAsia="en-US"/>
        </w:rPr>
        <w:noBreakHyphen/>
        <w:t>3</w:t>
      </w:r>
      <w:r w:rsidRPr="009B28E9">
        <w:rPr>
          <w:lang w:val="en-GB" w:eastAsia="en-US"/>
        </w:rPr>
        <w:t xml:space="preserve">). The summary statistics used to create this plot are </w:t>
      </w:r>
      <w:r w:rsidRPr="00C331B6">
        <w:rPr>
          <w:lang w:val="en-GB" w:eastAsia="en-US"/>
        </w:rPr>
        <w:t xml:space="preserve">presented as Appendix </w:t>
      </w:r>
      <w:r w:rsidR="00464588">
        <w:rPr>
          <w:lang w:val="en-GB" w:eastAsia="en-US"/>
        </w:rPr>
        <w:t>F</w:t>
      </w:r>
      <w:r w:rsidRPr="00C331B6">
        <w:rPr>
          <w:lang w:val="en-GB" w:eastAsia="en-US"/>
        </w:rPr>
        <w:t>.</w:t>
      </w:r>
    </w:p>
    <w:p w14:paraId="0607FC39" w14:textId="77777777" w:rsidR="007D2847" w:rsidRPr="007D2847" w:rsidRDefault="007D2847" w:rsidP="007D2847">
      <w:pPr>
        <w:jc w:val="right"/>
        <w:rPr>
          <w:rFonts w:cstheme="minorHAnsi"/>
          <w:szCs w:val="24"/>
          <w:lang w:val="en-GB" w:eastAsia="en-US"/>
        </w:rPr>
      </w:pPr>
    </w:p>
    <w:p w14:paraId="2A4757AD" w14:textId="77777777" w:rsidR="009B28E9" w:rsidRDefault="00AE564D" w:rsidP="00C55D11">
      <w:pPr>
        <w:pStyle w:val="Bodynarrow"/>
        <w:keepNext/>
        <w:ind w:left="0"/>
        <w:jc w:val="center"/>
      </w:pPr>
      <w:r w:rsidRPr="00BA2632">
        <w:rPr>
          <w:noProof/>
          <w:lang w:eastAsia="zh-CN"/>
        </w:rPr>
        <w:drawing>
          <wp:inline distT="0" distB="0" distL="0" distR="0" wp14:anchorId="364E05F9" wp14:editId="6A47FDC4">
            <wp:extent cx="5731510" cy="4516755"/>
            <wp:effectExtent l="0" t="0" r="2540" b="0"/>
            <wp:docPr id="80" name="Picture 8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bar chart&#10;&#10;Description automatically generated"/>
                    <pic:cNvPicPr>
                      <a:picLocks noChangeAspect="1" noChangeArrowheads="1"/>
                    </pic:cNvPicPr>
                  </pic:nvPicPr>
                  <pic:blipFill>
                    <a:blip r:embed="rId55" cstate="email">
                      <a:extLst>
                        <a:ext uri="{28A0092B-C50C-407E-A947-70E740481C1C}">
                          <a14:useLocalDpi xmlns:a14="http://schemas.microsoft.com/office/drawing/2010/main"/>
                        </a:ext>
                      </a:extLst>
                    </a:blip>
                    <a:srcRect t="2504" b="4327"/>
                    <a:stretch>
                      <a:fillRect/>
                    </a:stretch>
                  </pic:blipFill>
                  <pic:spPr bwMode="auto">
                    <a:xfrm>
                      <a:off x="0" y="0"/>
                      <a:ext cx="5731510" cy="4516755"/>
                    </a:xfrm>
                    <a:prstGeom prst="rect">
                      <a:avLst/>
                    </a:prstGeom>
                    <a:noFill/>
                    <a:ln>
                      <a:noFill/>
                    </a:ln>
                  </pic:spPr>
                </pic:pic>
              </a:graphicData>
            </a:graphic>
          </wp:inline>
        </w:drawing>
      </w:r>
    </w:p>
    <w:p w14:paraId="5AD08377" w14:textId="50AC0436" w:rsidR="00AE564D" w:rsidRPr="00BA2632" w:rsidRDefault="009B28E9" w:rsidP="009B28E9">
      <w:pPr>
        <w:pStyle w:val="Caption"/>
      </w:pPr>
      <w:bookmarkStart w:id="317" w:name="_Ref83785716"/>
      <w:bookmarkStart w:id="318" w:name="_Toc83907760"/>
      <w:bookmarkStart w:id="319" w:name="_Toc84475737"/>
      <w:r>
        <w:t xml:space="preserve">Figure </w:t>
      </w:r>
      <w:r w:rsidR="009A7194">
        <w:rPr>
          <w:noProof/>
        </w:rPr>
        <w:t>5</w:t>
      </w:r>
      <w:r w:rsidR="00B85158">
        <w:noBreakHyphen/>
      </w:r>
      <w:r w:rsidR="009A7194">
        <w:rPr>
          <w:noProof/>
        </w:rPr>
        <w:t>16</w:t>
      </w:r>
      <w:bookmarkEnd w:id="317"/>
      <w:r>
        <w:t xml:space="preserve"> </w:t>
      </w:r>
      <w:r w:rsidRPr="00E034DE">
        <w:t xml:space="preserve">Estimated mean daily loads of organic carbon created by GPP, stratified by season and flow category. Data from 2014-20, pooled across the Moss/Rd/Day Rd/Murchison, Darcy’s Track/Arcadia </w:t>
      </w:r>
      <w:proofErr w:type="gramStart"/>
      <w:r w:rsidRPr="00E034DE">
        <w:t>Downs</w:t>
      </w:r>
      <w:proofErr w:type="gramEnd"/>
      <w:r w:rsidRPr="00E034DE">
        <w:t xml:space="preserve"> and McCoy’s Bridge sites.</w:t>
      </w:r>
      <w:bookmarkEnd w:id="318"/>
      <w:bookmarkEnd w:id="319"/>
    </w:p>
    <w:p w14:paraId="0193D013" w14:textId="1F4C41A8" w:rsidR="00AE564D" w:rsidRDefault="00AE564D" w:rsidP="00AE564D">
      <w:r w:rsidRPr="00BA2632">
        <w:t>There are several striking features shown in</w:t>
      </w:r>
      <w:r w:rsidR="004C27E6">
        <w:t xml:space="preserve"> </w:t>
      </w:r>
      <w:r w:rsidR="009A7194">
        <w:t>Figure 5</w:t>
      </w:r>
      <w:r w:rsidR="009A7194">
        <w:noBreakHyphen/>
        <w:t>16</w:t>
      </w:r>
      <w:r w:rsidRPr="00BA2632">
        <w:t>:</w:t>
      </w:r>
    </w:p>
    <w:p w14:paraId="1EA20E25" w14:textId="77777777" w:rsidR="00AE564D" w:rsidRPr="00CF470A" w:rsidRDefault="00AE564D" w:rsidP="00DE6E94">
      <w:pPr>
        <w:pStyle w:val="ListParagraph"/>
        <w:numPr>
          <w:ilvl w:val="0"/>
          <w:numId w:val="101"/>
        </w:numPr>
        <w:rPr>
          <w:rFonts w:cstheme="minorHAnsi"/>
        </w:rPr>
      </w:pPr>
      <w:r w:rsidRPr="00CF470A">
        <w:t>The importance of CEW contributions to organic carbon creation, especially in winter and spring,</w:t>
      </w:r>
    </w:p>
    <w:p w14:paraId="4A055F7C" w14:textId="77777777" w:rsidR="00AE564D" w:rsidRPr="00CF470A" w:rsidRDefault="00AE564D" w:rsidP="00DE6E94">
      <w:pPr>
        <w:pStyle w:val="ListParagraph"/>
        <w:numPr>
          <w:ilvl w:val="0"/>
          <w:numId w:val="101"/>
        </w:numPr>
        <w:rPr>
          <w:rFonts w:cstheme="minorHAnsi"/>
        </w:rPr>
      </w:pPr>
      <w:r w:rsidRPr="00CF470A">
        <w:t>In winter, the sam</w:t>
      </w:r>
      <w:r w:rsidRPr="00CF470A">
        <w:rPr>
          <w:rFonts w:cstheme="minorHAnsi"/>
        </w:rPr>
        <w:t>e average daily organic carbon load is created at very low flows as it is for higher flows, hence from this organic carbon perspective, there is no additional benefit by increasing flows above the very low category,</w:t>
      </w:r>
    </w:p>
    <w:p w14:paraId="4B2CE64F" w14:textId="34790E1A" w:rsidR="00AE564D" w:rsidRPr="00CF470A" w:rsidRDefault="004C27E6" w:rsidP="00DE6E94">
      <w:pPr>
        <w:pStyle w:val="ListParagraph"/>
        <w:numPr>
          <w:ilvl w:val="0"/>
          <w:numId w:val="101"/>
        </w:numPr>
        <w:rPr>
          <w:rFonts w:cstheme="minorHAnsi"/>
        </w:rPr>
      </w:pPr>
      <w:r w:rsidRPr="00CF470A">
        <w:t>Summertime</w:t>
      </w:r>
      <w:r w:rsidR="00AE564D" w:rsidRPr="00CF470A">
        <w:rPr>
          <w:rFonts w:cstheme="minorHAnsi"/>
        </w:rPr>
        <w:t xml:space="preserve"> CEW additions only provide a small increase in daily organic carbon loads, hence if water availability is low or there is the prospect of needing CEW to ameliorate the low DO events sometimes witnessed after large summer storm events then retaining that water in storage is a good management option,</w:t>
      </w:r>
    </w:p>
    <w:p w14:paraId="148C4728" w14:textId="77777777" w:rsidR="00AE564D" w:rsidRPr="00CF470A" w:rsidRDefault="00AE564D" w:rsidP="00DE6E94">
      <w:pPr>
        <w:pStyle w:val="ListParagraph"/>
        <w:numPr>
          <w:ilvl w:val="0"/>
          <w:numId w:val="101"/>
        </w:numPr>
        <w:rPr>
          <w:rFonts w:cstheme="minorHAnsi"/>
        </w:rPr>
      </w:pPr>
      <w:r w:rsidRPr="00CF470A">
        <w:t>The</w:t>
      </w:r>
      <w:r w:rsidRPr="00CF470A">
        <w:rPr>
          <w:rFonts w:cstheme="minorHAnsi"/>
        </w:rPr>
        <w:t xml:space="preserve"> best outcomes for CEW-assisted creation of organic carbon are found in the ‘Medium Fresh’ flow category in spring and autumn where an average additional 800-1100 kg organic carbon is created. The benefit of flow in this flow category is highest in autumn, where CEW contributions in the lower flow categories are much more modest (an additional 100-200 kg of organic carbon). In spring, substantial increases occur in all flow categories above low flow.</w:t>
      </w:r>
    </w:p>
    <w:p w14:paraId="66B51AA6" w14:textId="77777777" w:rsidR="00AE564D" w:rsidRPr="00BA2632" w:rsidRDefault="00AE564D" w:rsidP="00AE564D">
      <w:r w:rsidRPr="00BA2632">
        <w:t xml:space="preserve">We stress that there are a lot of assumptions made to enable these calculations, most notably that the mean GPP for a particular flow band (bin) in any season is appropriate for any day in that season with a flow in that range. Daily variation in weather will ensure that the ‘mean GPP’ is not correct, but it will not be grossly wrong. Despite these caveats, the general conclusions drawn from this analysis should be robust and can certainly be validated with ongoing data collection.  </w:t>
      </w:r>
    </w:p>
    <w:p w14:paraId="4CCC4B9D" w14:textId="77777777" w:rsidR="00AE564D" w:rsidRPr="00BA2632" w:rsidRDefault="00AE564D" w:rsidP="00AE564D">
      <w:pPr>
        <w:spacing w:after="0" w:line="240" w:lineRule="auto"/>
        <w:rPr>
          <w:rFonts w:eastAsiaTheme="majorEastAsia" w:cstheme="majorBidi"/>
          <w:b/>
          <w:bCs/>
          <w:color w:val="00338D"/>
          <w:sz w:val="24"/>
          <w:szCs w:val="26"/>
        </w:rPr>
      </w:pPr>
      <w:r w:rsidRPr="00BA2632">
        <w:br w:type="page"/>
      </w:r>
    </w:p>
    <w:p w14:paraId="5B588D22" w14:textId="5F525BC5" w:rsidR="001079A9" w:rsidRPr="00BA2632" w:rsidRDefault="001079A9" w:rsidP="00122B62">
      <w:pPr>
        <w:pStyle w:val="Heading2"/>
      </w:pPr>
      <w:bookmarkStart w:id="320" w:name="_Toc84416094"/>
      <w:bookmarkStart w:id="321" w:name="_Toc84417362"/>
      <w:bookmarkStart w:id="322" w:name="_Toc84475681"/>
      <w:r w:rsidRPr="00BA2632">
        <w:lastRenderedPageBreak/>
        <w:t>Discussion</w:t>
      </w:r>
      <w:bookmarkStart w:id="323" w:name="_Hlk83899606"/>
      <w:bookmarkEnd w:id="320"/>
      <w:bookmarkEnd w:id="321"/>
      <w:bookmarkEnd w:id="322"/>
    </w:p>
    <w:p w14:paraId="024823B9" w14:textId="4337C631" w:rsidR="009B4BC0" w:rsidRPr="00BA2632" w:rsidRDefault="009B4BC0" w:rsidP="009B4BC0">
      <w:r w:rsidRPr="00BA2632">
        <w:t xml:space="preserve">The statistical modelling </w:t>
      </w:r>
      <w:r w:rsidRPr="00DF7106">
        <w:t xml:space="preserve">found </w:t>
      </w:r>
      <w:r>
        <w:t xml:space="preserve">the (expected) </w:t>
      </w:r>
      <w:r w:rsidRPr="00DF7106">
        <w:t>positive relationships between GPP and light</w:t>
      </w:r>
      <w:r>
        <w:t xml:space="preserve"> and temperature</w:t>
      </w:r>
      <w:r w:rsidRPr="00DF7106">
        <w:t xml:space="preserve"> </w:t>
      </w:r>
      <w:r>
        <w:t xml:space="preserve">and there were significant relationships at some sites between ER and temperature. This modelling also </w:t>
      </w:r>
      <w:r w:rsidRPr="00BA2632">
        <w:t xml:space="preserve">demonstrated </w:t>
      </w:r>
      <w:r w:rsidRPr="00CF470A">
        <w:t xml:space="preserve">a predominantly negative </w:t>
      </w:r>
      <w:proofErr w:type="gramStart"/>
      <w:r w:rsidRPr="00CF470A">
        <w:t>i.e.</w:t>
      </w:r>
      <w:proofErr w:type="gramEnd"/>
      <w:r w:rsidRPr="00CF470A">
        <w:t xml:space="preserve"> suppressive, effect of increasing flow on rates of GPP and ER expressed on a per litre basis. This is consistent with findings from previous years. </w:t>
      </w:r>
      <w:proofErr w:type="gramStart"/>
      <w:r w:rsidRPr="00CF470A">
        <w:t>It is clear that the</w:t>
      </w:r>
      <w:proofErr w:type="gramEnd"/>
      <w:r w:rsidRPr="00CF470A">
        <w:t xml:space="preserve"> immediate effect of flow is to lower the extant GPP (and ER) rates, almost certainly by simple dilution with large amounts of water. Primary production is expected to respond to additional nutrients introduced via the higher flows on a perhaps </w:t>
      </w:r>
      <w:proofErr w:type="gramStart"/>
      <w:r w:rsidRPr="00CF470A">
        <w:t>10-20 day</w:t>
      </w:r>
      <w:proofErr w:type="gramEnd"/>
      <w:r w:rsidRPr="00CF470A">
        <w:t xml:space="preserve"> time frame following flow events (this time frame is based on typical algal doubling rates of 1-2 days), as this corresponds to sufficient time post</w:t>
      </w:r>
      <w:r w:rsidR="000858FD">
        <w:t>-</w:t>
      </w:r>
      <w:r w:rsidRPr="00CF470A">
        <w:t xml:space="preserve">nutrient addition to generate a significantly higher biomass of primary producers. The key assumption is that an increase in flow will introduce nutrients into the river channel which will then stimulate biomass growth and hence higher rates of GPP. </w:t>
      </w:r>
      <w:r w:rsidRPr="004D0BEE">
        <w:t xml:space="preserve">This was demonstrated in </w:t>
      </w:r>
      <w:r w:rsidR="009A7194" w:rsidRPr="00BA2632">
        <w:t xml:space="preserve">Figure </w:t>
      </w:r>
      <w:r w:rsidR="009A7194">
        <w:t>5</w:t>
      </w:r>
      <w:r w:rsidR="009A7194">
        <w:noBreakHyphen/>
        <w:t>4</w:t>
      </w:r>
      <w:r w:rsidR="00D66196" w:rsidRPr="004D0BEE">
        <w:t xml:space="preserve"> </w:t>
      </w:r>
      <w:r w:rsidRPr="004D0BEE">
        <w:t>when GPP rates increased significantly in the days to weeks after the hydrograph dropped after large flows. The influx of nutrients from the antecedent flow event is the most likely explanation for this observation.</w:t>
      </w:r>
      <w:r w:rsidR="004D0BEE" w:rsidRPr="004D0BEE">
        <w:t xml:space="preserve">  The origin of these nutrients is likely to be a combination of ‘upstream sources’ and within the reach from rewetting banks and mobilizing nutrients. Higher flows are also more likely to reconnect backwaters and flood-runners, which in turn are likely to be nutrient sources.</w:t>
      </w:r>
      <w:r w:rsidR="004D0BEE">
        <w:t xml:space="preserve"> </w:t>
      </w:r>
      <w:r w:rsidRPr="00CF470A">
        <w:t xml:space="preserve"> It is extremely likely that the absence of significant growth during summer and into mid-autumn is due to the extremely low bioavailable nutrient concentrations, especially the extremely low levels of filterable reactive phosphorus (which essentially equates to bioavailable phosphate). Respiration rates also increased slightly in the days to weeks following discharge events. A flow-based influx of organic matter will enhance respiration although the quality/palatability of that organic matter is just as important as the increase in concentration</w:t>
      </w:r>
      <w:r w:rsidRPr="00BA2632">
        <w:t>.</w:t>
      </w:r>
    </w:p>
    <w:p w14:paraId="248F312C" w14:textId="1612986E" w:rsidR="009B4BC0" w:rsidRPr="00BA2632" w:rsidRDefault="009B4BC0" w:rsidP="009B4BC0">
      <w:r w:rsidRPr="00BA2632">
        <w:t xml:space="preserve">Using the ‘load approach’ </w:t>
      </w:r>
      <w:r w:rsidR="0018467D">
        <w:rPr>
          <w:noProof/>
        </w:rPr>
        <w:t>(Grace 2018)</w:t>
      </w:r>
      <w:r w:rsidRPr="00BA2632">
        <w:t xml:space="preserve">, the mass of organic carbon created by GPP or consumed by ER per day in water flowing past the logger </w:t>
      </w:r>
      <w:proofErr w:type="gramStart"/>
      <w:r w:rsidRPr="00BA2632">
        <w:t>location, and</w:t>
      </w:r>
      <w:proofErr w:type="gramEnd"/>
      <w:r w:rsidRPr="00BA2632">
        <w:t xml:space="preserve"> incorporating the flow categorization of </w:t>
      </w:r>
      <w:r w:rsidR="00AC34E7">
        <w:rPr>
          <w:noProof/>
        </w:rPr>
        <w:t>Stewardson &amp; Guarino (2018)</w:t>
      </w:r>
      <w:r w:rsidRPr="00BA2632">
        <w:t>, it has been clearly demonstrated that small increases in discharge introduce more organic carbon into the stream through photosynthetic production</w:t>
      </w:r>
      <w:r w:rsidRPr="00BA2632">
        <w:rPr>
          <w:b/>
          <w:bCs/>
        </w:rPr>
        <w:t>.</w:t>
      </w:r>
      <w:r w:rsidRPr="00BA2632">
        <w:t xml:space="preserve"> </w:t>
      </w:r>
      <w:r w:rsidRPr="00CF470A">
        <w:t>As emphasized in the final LTIM report and the 2019-20 MER Report</w:t>
      </w:r>
      <w:r w:rsidRPr="00BA2632">
        <w:t>, this is a</w:t>
      </w:r>
      <w:r w:rsidRPr="00BA2632" w:rsidDel="00A87A02">
        <w:t xml:space="preserve"> </w:t>
      </w:r>
      <w:r w:rsidRPr="00BA2632">
        <w:t xml:space="preserve">positive finding as the initial paradigm was that no benefit to metabolism would accrue unless the water levels were sufficient to reconnect flood runners, backwaters and even the floodplain. Hence increasing flow from the very low to moderately low category means more energy (‘food’) being created to support the aquatic </w:t>
      </w:r>
      <w:proofErr w:type="spellStart"/>
      <w:r w:rsidRPr="00BA2632">
        <w:t>foodweb</w:t>
      </w:r>
      <w:proofErr w:type="spellEnd"/>
      <w:r w:rsidRPr="00BA2632">
        <w:t>. There is also an increase in respiration rate with flow category thus greater nutrient regeneration to sustain increased primary production.</w:t>
      </w:r>
    </w:p>
    <w:p w14:paraId="245E2AF9" w14:textId="2D7E9B5C" w:rsidR="009B4BC0" w:rsidRPr="00BA2632" w:rsidRDefault="009B4BC0" w:rsidP="009B4BC0">
      <w:r w:rsidRPr="00BA2632">
        <w:t xml:space="preserve">Data from McCoy’s Bridge (the site with the largest LTIM data record) showed that the organic load enhancements were similar in magnitude in spring, </w:t>
      </w:r>
      <w:proofErr w:type="gramStart"/>
      <w:r w:rsidRPr="00BA2632">
        <w:t>summer</w:t>
      </w:r>
      <w:proofErr w:type="gramEnd"/>
      <w:r w:rsidRPr="00BA2632">
        <w:t xml:space="preserve"> and autumn. Hence further work should be undertaken to match this extra organic carbon production to the times of the year where it is most needed by native fish and other biota. There was negligible benefit in</w:t>
      </w:r>
      <w:r>
        <w:t xml:space="preserve"> greatly</w:t>
      </w:r>
      <w:r w:rsidRPr="00BA2632">
        <w:t xml:space="preserve"> increasing discharge in winter from the perspective of organic carbon creation as the four flow categories all produced approximately the same amount of organic carbon (production is most likely constrained by low water temperatures, low sunlight intensity and the relatively short days (less overall sunshine to drive photosynthesis).</w:t>
      </w:r>
      <w:r>
        <w:t xml:space="preserve"> Consequently, providing relatively small volumes of CEW in </w:t>
      </w:r>
      <w:proofErr w:type="gramStart"/>
      <w:r>
        <w:t>winter-time</w:t>
      </w:r>
      <w:proofErr w:type="gramEnd"/>
      <w:r>
        <w:t xml:space="preserve"> will significantly boost the energy (food) supply without the need to greatly elevate discharge.</w:t>
      </w:r>
      <w:r w:rsidR="000858FD">
        <w:t xml:space="preserve">  This may represent a significant beneficial flow intervention in dry climate years when winter base flows are very low due to low tributary inputs – CEW </w:t>
      </w:r>
      <w:r w:rsidR="00F1412D">
        <w:t>could provide supplementary base flow</w:t>
      </w:r>
      <w:r w:rsidR="000858FD">
        <w:t xml:space="preserve"> </w:t>
      </w:r>
      <w:r w:rsidR="00F1412D">
        <w:t>and contribute to maintenance of base load organic carbon production</w:t>
      </w:r>
      <w:r>
        <w:t>.</w:t>
      </w:r>
    </w:p>
    <w:p w14:paraId="4BA34F99" w14:textId="77777777" w:rsidR="009B4BC0" w:rsidRPr="00BA2632" w:rsidRDefault="009B4BC0" w:rsidP="009B4BC0">
      <w:r w:rsidRPr="00BA2632">
        <w:t>It was also estimated that CEW provided around 22% of all organic carbon created by GPP over the LTIM and first year of MER projects and this was closely related to the amount of CEW relative to non-CEW supply. The timing of the CEW delivery can be matched to ecological need (</w:t>
      </w:r>
      <w:proofErr w:type="gramStart"/>
      <w:r w:rsidRPr="00BA2632">
        <w:t>e.g.</w:t>
      </w:r>
      <w:proofErr w:type="gramEnd"/>
      <w:r w:rsidRPr="00BA2632">
        <w:t xml:space="preserve"> for fish) as well as operational constraints on such delivery.</w:t>
      </w:r>
    </w:p>
    <w:p w14:paraId="533182D0" w14:textId="79D64A8F" w:rsidR="009B4BC0" w:rsidRDefault="009B4BC0" w:rsidP="009B4BC0">
      <w:r w:rsidRPr="00CF470A">
        <w:t>From a management perspective, there is a positive benefit in increasing discharge, even by relatively small amounts when there are restrictions on the amount of water that can be delivered in watering actions. This is certainly the case for water delivery in winter when even small increases within the low flow category can create significant amounts of ‘food’. Nevertheless, it is likely that such increases in metabolic rates are still constrained by resources (nutrients) and much greater increases would be possible with reconnection of backwaters</w:t>
      </w:r>
      <w:r w:rsidR="0050642C">
        <w:t>,</w:t>
      </w:r>
      <w:r w:rsidRPr="00CF470A">
        <w:t xml:space="preserve"> etc.</w:t>
      </w:r>
    </w:p>
    <w:p w14:paraId="2CF7431E" w14:textId="444C7DBC" w:rsidR="0050642C" w:rsidRDefault="0050642C" w:rsidP="009B4BC0">
      <w:r>
        <w:t>There remains an issue with the metabolism data whereby the BASE model assumes stationary flows for its calculations. When flows are changing rapidly, such as during environmental flow events, we are more likely to have data points rejected because of poor fits to the model. Direct analysis of dissolved oxygen levels may offer a way forward here, and this should be further investigated given the focus of this program on changes in flows.</w:t>
      </w:r>
    </w:p>
    <w:p w14:paraId="7280CB25" w14:textId="77777777" w:rsidR="00122B62" w:rsidRPr="00BA2632" w:rsidRDefault="00122B62">
      <w:pPr>
        <w:rPr>
          <w:rFonts w:ascii="Georgia" w:eastAsia="SimHei" w:hAnsi="Georgia" w:cs="Times New Roman"/>
          <w:b/>
          <w:color w:val="094183"/>
          <w:sz w:val="32"/>
          <w:szCs w:val="32"/>
          <w:lang w:eastAsia="en-US"/>
        </w:rPr>
      </w:pPr>
      <w:r w:rsidRPr="00BA2632">
        <w:br w:type="page"/>
      </w:r>
    </w:p>
    <w:p w14:paraId="7ED3CEDA" w14:textId="7AD69CCA" w:rsidR="0073393B" w:rsidRPr="00BA2632" w:rsidRDefault="0073393B" w:rsidP="00272A33">
      <w:pPr>
        <w:pStyle w:val="Heading1"/>
      </w:pPr>
      <w:bookmarkStart w:id="324" w:name="_Toc84416095"/>
      <w:bookmarkStart w:id="325" w:name="_Toc84417363"/>
      <w:bookmarkStart w:id="326" w:name="_Toc84475682"/>
      <w:bookmarkEnd w:id="323"/>
      <w:r w:rsidRPr="00BA2632">
        <w:lastRenderedPageBreak/>
        <w:t>Macroinvertebrates</w:t>
      </w:r>
      <w:bookmarkEnd w:id="324"/>
      <w:bookmarkEnd w:id="325"/>
      <w:bookmarkEnd w:id="326"/>
    </w:p>
    <w:p w14:paraId="1EB3861F" w14:textId="46A6F684" w:rsidR="0073393B" w:rsidRDefault="0073393B" w:rsidP="0073393B">
      <w:pPr>
        <w:pStyle w:val="Heading2"/>
      </w:pPr>
      <w:bookmarkStart w:id="327" w:name="_Toc84416096"/>
      <w:bookmarkStart w:id="328" w:name="_Toc84417364"/>
      <w:bookmarkStart w:id="329" w:name="_Toc84475683"/>
      <w:r w:rsidRPr="00BA2632">
        <w:t>Introduction</w:t>
      </w:r>
      <w:bookmarkEnd w:id="327"/>
      <w:bookmarkEnd w:id="328"/>
      <w:bookmarkEnd w:id="329"/>
    </w:p>
    <w:p w14:paraId="463DE55C" w14:textId="65D79845" w:rsidR="006D5557" w:rsidRPr="00BA2632" w:rsidRDefault="006D5557" w:rsidP="006D5557">
      <w:r w:rsidRPr="00BA2632">
        <w:t xml:space="preserve">Macroinvertebrates are an essential part of healthy, functioning aquatic ecosystems, providing essential ecosystem services that range from nutrient cycling to provision of food for larger aquatic organisms such as fish. Macroinvertebrates are frequently monitored in aquatic ecosystem assessments to understand the health of those ecosystems. In large lowland rivers, such as the Goulburn River, the macroinvertebrate communities tend to be dominated by species that favour relatively simple habitats and </w:t>
      </w:r>
      <w:proofErr w:type="gramStart"/>
      <w:r w:rsidRPr="00BA2632">
        <w:t>are able to</w:t>
      </w:r>
      <w:proofErr w:type="gramEnd"/>
      <w:r w:rsidRPr="00BA2632">
        <w:t xml:space="preserve"> tolerate moderate to poor water quality. Environmental flows delivered to these rivers are more likely to influence macroinvertebrate abundance and biomass than diversity. Previous work from the Goulburn LTIM Project macroinvertebrate monitoring program ha</w:t>
      </w:r>
      <w:r>
        <w:t>s</w:t>
      </w:r>
      <w:r w:rsidRPr="00BA2632">
        <w:t xml:space="preserve"> also shown that crustaceans seem to be particularly responsive to flows in the lower Goulburn River </w:t>
      </w:r>
      <w:r w:rsidR="00566073">
        <w:rPr>
          <w:noProof/>
        </w:rPr>
        <w:t>(e.g. Webb et al. 2019a)</w:t>
      </w:r>
      <w:r w:rsidRPr="00BA2632">
        <w:t xml:space="preserve">. To have more of a focus on abundance and biomass of invertebrates, the MER Program differs from the LTIM monitoring to include a rapid bioassessment of macroinvertebrates (to look at key families/taxa) and edge sampling and bait trapping of crustaceans at </w:t>
      </w:r>
      <w:proofErr w:type="gramStart"/>
      <w:r w:rsidRPr="00BA2632">
        <w:t>a number of</w:t>
      </w:r>
      <w:proofErr w:type="gramEnd"/>
      <w:r w:rsidRPr="00BA2632">
        <w:t xml:space="preserve"> sites in the Lower Goulburn. There is also more of a focus in the MER Program on looking </w:t>
      </w:r>
      <w:r w:rsidR="0099021D">
        <w:t xml:space="preserve">at </w:t>
      </w:r>
      <w:r w:rsidRPr="00BA2632">
        <w:t>how all freshes and water deliveries contribute to sustaining macroinvertebrate and crustacean populations rather than just the spring fresh.</w:t>
      </w:r>
    </w:p>
    <w:p w14:paraId="4F94E1F9" w14:textId="77777777" w:rsidR="006D5557" w:rsidRPr="00BA2632" w:rsidRDefault="006D5557" w:rsidP="006D5557">
      <w:r w:rsidRPr="00BA2632">
        <w:t>The macroinvertebrate indicators measured at the area scale include:</w:t>
      </w:r>
    </w:p>
    <w:p w14:paraId="1DADE859" w14:textId="77777777" w:rsidR="006D5557" w:rsidRPr="00BA2632" w:rsidRDefault="006D5557" w:rsidP="00690C8C">
      <w:pPr>
        <w:pStyle w:val="ListParagraph"/>
        <w:numPr>
          <w:ilvl w:val="0"/>
          <w:numId w:val="20"/>
        </w:numPr>
        <w:ind w:left="340" w:hanging="340"/>
        <w:contextualSpacing/>
        <w:rPr>
          <w:rFonts w:cstheme="minorHAnsi"/>
          <w:lang w:val="en-GB"/>
        </w:rPr>
      </w:pPr>
      <w:bookmarkStart w:id="330" w:name="_Hlk9440817"/>
      <w:r w:rsidRPr="00BA2632">
        <w:rPr>
          <w:rFonts w:cstheme="minorHAnsi"/>
          <w:b/>
          <w:lang w:val="en-GB"/>
        </w:rPr>
        <w:t>Macroinvertebrate composition and abundance – Rapid Bioassessment Methodology (RBA)</w:t>
      </w:r>
      <w:r w:rsidRPr="00BA2632">
        <w:rPr>
          <w:rFonts w:cstheme="minorHAnsi"/>
          <w:lang w:val="en-GB"/>
        </w:rPr>
        <w:t xml:space="preserve">.  The taxonomic groups (family level) presence and abundance will provide information on how these potential key food sources for fish respond to environmental flows. </w:t>
      </w:r>
      <w:proofErr w:type="gramStart"/>
      <w:r w:rsidRPr="00BA2632">
        <w:rPr>
          <w:rFonts w:cstheme="minorHAnsi"/>
          <w:lang w:val="en-GB"/>
        </w:rPr>
        <w:t>In particular, it</w:t>
      </w:r>
      <w:proofErr w:type="gramEnd"/>
      <w:r w:rsidRPr="00BA2632">
        <w:rPr>
          <w:rFonts w:cstheme="minorHAnsi"/>
          <w:lang w:val="en-GB"/>
        </w:rPr>
        <w:t xml:space="preserve"> will be important to monitor macroinvertebrates such as chironomids and trichopterans that may be an important food source for young Golden Perch or other smaller fish.</w:t>
      </w:r>
    </w:p>
    <w:p w14:paraId="33B75E79" w14:textId="5632CCD0" w:rsidR="006D5557" w:rsidRPr="00BA2632" w:rsidRDefault="006D5557" w:rsidP="00690C8C">
      <w:pPr>
        <w:pStyle w:val="ListParagraph"/>
        <w:numPr>
          <w:ilvl w:val="0"/>
          <w:numId w:val="20"/>
        </w:numPr>
        <w:ind w:left="340" w:hanging="340"/>
        <w:contextualSpacing/>
        <w:rPr>
          <w:rFonts w:cstheme="minorHAnsi"/>
          <w:lang w:val="en-GB"/>
        </w:rPr>
      </w:pPr>
      <w:r w:rsidRPr="00BA2632">
        <w:rPr>
          <w:rFonts w:cstheme="minorHAnsi"/>
          <w:b/>
          <w:lang w:val="en-GB"/>
        </w:rPr>
        <w:t>Large</w:t>
      </w:r>
      <w:r>
        <w:rPr>
          <w:rFonts w:cstheme="minorHAnsi"/>
          <w:b/>
          <w:lang w:val="en-GB"/>
        </w:rPr>
        <w:t>-</w:t>
      </w:r>
      <w:r w:rsidRPr="00BA2632">
        <w:rPr>
          <w:rFonts w:cstheme="minorHAnsi"/>
          <w:b/>
          <w:lang w:val="en-GB"/>
        </w:rPr>
        <w:t xml:space="preserve">bodied crustacean (shrimp, prawns, </w:t>
      </w:r>
      <w:proofErr w:type="spellStart"/>
      <w:r w:rsidRPr="00BA2632">
        <w:rPr>
          <w:rFonts w:cstheme="minorHAnsi"/>
          <w:b/>
          <w:lang w:val="en-GB"/>
        </w:rPr>
        <w:t>yabbies</w:t>
      </w:r>
      <w:proofErr w:type="spellEnd"/>
      <w:r w:rsidRPr="00BA2632">
        <w:rPr>
          <w:rFonts w:cstheme="minorHAnsi"/>
          <w:b/>
          <w:lang w:val="en-GB"/>
        </w:rPr>
        <w:t>) life history (size, abundance, reproductive capability) and biomass – Bait traps</w:t>
      </w:r>
      <w:r w:rsidRPr="00BA2632">
        <w:rPr>
          <w:rFonts w:cstheme="minorHAnsi"/>
          <w:lang w:val="en-GB"/>
        </w:rPr>
        <w:t>. It is believed that crustaceans are an important food source for fish, including the Golden Perch (</w:t>
      </w:r>
      <w:proofErr w:type="spellStart"/>
      <w:r w:rsidRPr="00BA2632">
        <w:rPr>
          <w:rFonts w:cstheme="minorHAnsi"/>
          <w:i/>
          <w:lang w:val="en-GB"/>
        </w:rPr>
        <w:t>Macquaria</w:t>
      </w:r>
      <w:proofErr w:type="spellEnd"/>
      <w:r w:rsidRPr="00BA2632">
        <w:rPr>
          <w:rFonts w:cstheme="minorHAnsi"/>
          <w:i/>
          <w:lang w:val="en-GB"/>
        </w:rPr>
        <w:t xml:space="preserve"> </w:t>
      </w:r>
      <w:proofErr w:type="spellStart"/>
      <w:r w:rsidRPr="00BA2632">
        <w:rPr>
          <w:rFonts w:cstheme="minorHAnsi"/>
          <w:i/>
          <w:lang w:val="en-GB"/>
        </w:rPr>
        <w:t>ambigua</w:t>
      </w:r>
      <w:proofErr w:type="spellEnd"/>
      <w:r w:rsidRPr="00BA2632">
        <w:rPr>
          <w:rFonts w:cstheme="minorHAnsi"/>
          <w:lang w:val="en-GB"/>
        </w:rPr>
        <w:t xml:space="preserve">), with literature confirming they may eat macroinvertebrates and large bodied crustaceans </w:t>
      </w:r>
      <w:r w:rsidR="0018467D">
        <w:rPr>
          <w:rFonts w:cstheme="minorHAnsi"/>
          <w:noProof/>
          <w:lang w:val="en-GB"/>
        </w:rPr>
        <w:t>(Herbert 2005)</w:t>
      </w:r>
      <w:r w:rsidRPr="00BA2632">
        <w:rPr>
          <w:rFonts w:cstheme="minorHAnsi"/>
          <w:lang w:val="en-GB"/>
        </w:rPr>
        <w:t>. The information specifically targeting large-bodied crustaceans will provide information on how these potential key food sources for fish respond to environmental flows.</w:t>
      </w:r>
    </w:p>
    <w:bookmarkEnd w:id="330"/>
    <w:p w14:paraId="1C42064B" w14:textId="56000715" w:rsidR="006D5557" w:rsidRPr="006D5557" w:rsidRDefault="006D5557" w:rsidP="006D5557">
      <w:r w:rsidRPr="00BA2632">
        <w:t>These indicators will contribute to a better understanding of how environmental flow deliveries in the lower Goulburn River can affect the abundance and composition of macroinvertebrates and the lifecycle (reproduction and recruitment) of large</w:t>
      </w:r>
      <w:r>
        <w:t>-</w:t>
      </w:r>
      <w:r w:rsidRPr="00BA2632">
        <w:t xml:space="preserve">bodied crustaceans. This has important implications for the river in terms of the services and functions provided by macroinvertebrates. The role of bank vegetation, macrophytes and biofilms play an important role in sustaining these populations, while it is likely large-bodied crustaceans are likely to be an important food source for other riverine species, especially </w:t>
      </w:r>
      <w:r>
        <w:t>g</w:t>
      </w:r>
      <w:r w:rsidRPr="00BA2632">
        <w:t xml:space="preserve">olden </w:t>
      </w:r>
      <w:r>
        <w:t>p</w:t>
      </w:r>
      <w:r w:rsidRPr="00BA2632">
        <w:t xml:space="preserve">erch. </w:t>
      </w:r>
    </w:p>
    <w:p w14:paraId="1C12481C" w14:textId="5320116E" w:rsidR="00270F50" w:rsidRDefault="00270F50" w:rsidP="00270F50">
      <w:pPr>
        <w:pStyle w:val="Heading2"/>
      </w:pPr>
      <w:bookmarkStart w:id="331" w:name="_Toc84416097"/>
      <w:bookmarkStart w:id="332" w:name="_Toc84417365"/>
      <w:bookmarkStart w:id="333" w:name="_Toc84475684"/>
      <w:r w:rsidRPr="00BA2632">
        <w:t>Area specific evaluation questions</w:t>
      </w:r>
      <w:bookmarkEnd w:id="331"/>
      <w:bookmarkEnd w:id="332"/>
      <w:bookmarkEnd w:id="333"/>
    </w:p>
    <w:p w14:paraId="35FC7E8B" w14:textId="2BA3FCCF" w:rsidR="006D5557" w:rsidRPr="00BA2632" w:rsidRDefault="006D5557" w:rsidP="006D5557">
      <w:r w:rsidRPr="00BA2632">
        <w:t xml:space="preserve">The key basin and area-scale evaluation questions and relevant indicators for macroinvertebrates are listed in </w:t>
      </w:r>
      <w:r w:rsidR="003B048A" w:rsidRPr="00BA2632">
        <w:t xml:space="preserve">Table </w:t>
      </w:r>
      <w:r w:rsidR="003B048A">
        <w:rPr>
          <w:noProof/>
        </w:rPr>
        <w:t>6</w:t>
      </w:r>
      <w:r w:rsidR="003B048A">
        <w:rPr>
          <w:noProof/>
        </w:rPr>
        <w:noBreakHyphen/>
        <w:t>1</w:t>
      </w:r>
      <w:r w:rsidRPr="00BA2632">
        <w:t>.</w:t>
      </w:r>
    </w:p>
    <w:p w14:paraId="328F723D" w14:textId="4848CE06" w:rsidR="006D5557" w:rsidRPr="00BA2632" w:rsidRDefault="006D5557" w:rsidP="006D5557">
      <w:pPr>
        <w:pStyle w:val="Caption"/>
        <w:rPr>
          <w:rFonts w:cstheme="minorHAnsi"/>
        </w:rPr>
      </w:pPr>
      <w:bookmarkStart w:id="334" w:name="_Ref46912782"/>
      <w:bookmarkStart w:id="335" w:name="_Toc46917045"/>
      <w:bookmarkStart w:id="336" w:name="_Toc95391481"/>
      <w:r w:rsidRPr="00BA2632">
        <w:t xml:space="preserve">Table </w:t>
      </w:r>
      <w:r w:rsidR="000B75AF">
        <w:rPr>
          <w:noProof/>
        </w:rPr>
        <w:t>6</w:t>
      </w:r>
      <w:r w:rsidR="000B75AF">
        <w:noBreakHyphen/>
      </w:r>
      <w:r w:rsidR="000B75AF">
        <w:rPr>
          <w:noProof/>
        </w:rPr>
        <w:t>1</w:t>
      </w:r>
      <w:bookmarkEnd w:id="334"/>
      <w:r w:rsidRPr="00BA2632">
        <w:t xml:space="preserve"> </w:t>
      </w:r>
      <w:r w:rsidRPr="00BA2632">
        <w:rPr>
          <w:rFonts w:cstheme="minorHAnsi"/>
        </w:rPr>
        <w:t>Macroinvertebrate key evaluation questions for the Goulburn selected area and associated indicators and evaluation approaches.</w:t>
      </w:r>
      <w:bookmarkEnd w:id="335"/>
      <w:bookmarkEnd w:id="336"/>
    </w:p>
    <w:tbl>
      <w:tblPr>
        <w:tblStyle w:val="LightList-Accent11"/>
        <w:tblpPr w:leftFromText="180" w:rightFromText="180" w:vertAnchor="text" w:horzAnchor="margin" w:tblpXSpec="center" w:tblpY="11"/>
        <w:tblW w:w="10060" w:type="dxa"/>
        <w:tblLook w:val="04A0" w:firstRow="1" w:lastRow="0" w:firstColumn="1" w:lastColumn="0" w:noHBand="0" w:noVBand="1"/>
      </w:tblPr>
      <w:tblGrid>
        <w:gridCol w:w="4101"/>
        <w:gridCol w:w="3119"/>
        <w:gridCol w:w="141"/>
        <w:gridCol w:w="2699"/>
      </w:tblGrid>
      <w:tr w:rsidR="006D5557" w:rsidRPr="00BA2632" w14:paraId="2B695494" w14:textId="77777777" w:rsidTr="00036D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1" w:type="dxa"/>
          </w:tcPr>
          <w:p w14:paraId="441E5C89" w14:textId="77777777" w:rsidR="006D5557" w:rsidRPr="00BA2632" w:rsidRDefault="006D5557" w:rsidP="00E26D3C">
            <w:pPr>
              <w:jc w:val="left"/>
              <w:rPr>
                <w:rFonts w:cstheme="minorHAnsi"/>
                <w:b w:val="0"/>
                <w:sz w:val="18"/>
                <w:szCs w:val="18"/>
              </w:rPr>
            </w:pPr>
            <w:r w:rsidRPr="00BA2632">
              <w:rPr>
                <w:rFonts w:cstheme="minorHAnsi"/>
                <w:sz w:val="18"/>
                <w:szCs w:val="18"/>
              </w:rPr>
              <w:t>Key Evaluation Questions</w:t>
            </w:r>
          </w:p>
        </w:tc>
        <w:tc>
          <w:tcPr>
            <w:tcW w:w="3260" w:type="dxa"/>
            <w:gridSpan w:val="2"/>
          </w:tcPr>
          <w:p w14:paraId="5BD0CD75" w14:textId="77777777" w:rsidR="006D5557" w:rsidRPr="00BA2632" w:rsidRDefault="006D5557" w:rsidP="00E26D3C">
            <w:pPr>
              <w:jc w:val="left"/>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BA2632">
              <w:rPr>
                <w:rFonts w:cstheme="minorHAnsi"/>
                <w:sz w:val="18"/>
                <w:szCs w:val="18"/>
              </w:rPr>
              <w:t>Indicator</w:t>
            </w:r>
          </w:p>
        </w:tc>
        <w:tc>
          <w:tcPr>
            <w:tcW w:w="2699" w:type="dxa"/>
          </w:tcPr>
          <w:p w14:paraId="7466EB99" w14:textId="77777777" w:rsidR="006D5557" w:rsidRPr="00BA2632" w:rsidRDefault="006D5557" w:rsidP="00E26D3C">
            <w:pPr>
              <w:jc w:val="left"/>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BA2632">
              <w:rPr>
                <w:rFonts w:cstheme="minorHAnsi"/>
                <w:sz w:val="18"/>
                <w:szCs w:val="18"/>
              </w:rPr>
              <w:t>Evaluation Approaches</w:t>
            </w:r>
          </w:p>
        </w:tc>
      </w:tr>
      <w:tr w:rsidR="006D5557" w:rsidRPr="00BA2632" w14:paraId="2CC72031" w14:textId="77777777" w:rsidTr="00036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gridSpan w:val="4"/>
            <w:vAlign w:val="center"/>
          </w:tcPr>
          <w:p w14:paraId="02DE7F52" w14:textId="77777777" w:rsidR="006D5557" w:rsidRPr="00BA2632" w:rsidRDefault="006D5557" w:rsidP="00E26D3C">
            <w:pPr>
              <w:jc w:val="center"/>
              <w:rPr>
                <w:rFonts w:cstheme="minorHAnsi"/>
                <w:sz w:val="18"/>
                <w:szCs w:val="18"/>
              </w:rPr>
            </w:pPr>
            <w:r w:rsidRPr="00BA2632">
              <w:rPr>
                <w:rFonts w:cstheme="minorHAnsi"/>
                <w:sz w:val="18"/>
                <w:szCs w:val="18"/>
              </w:rPr>
              <w:t>Basin Scale evaluation Questions</w:t>
            </w:r>
          </w:p>
        </w:tc>
      </w:tr>
      <w:tr w:rsidR="006D5557" w:rsidRPr="00BA2632" w14:paraId="7974C360" w14:textId="77777777" w:rsidTr="00036D7F">
        <w:trPr>
          <w:trHeight w:val="448"/>
        </w:trPr>
        <w:tc>
          <w:tcPr>
            <w:cnfStyle w:val="001000000000" w:firstRow="0" w:lastRow="0" w:firstColumn="1" w:lastColumn="0" w:oddVBand="0" w:evenVBand="0" w:oddHBand="0" w:evenHBand="0" w:firstRowFirstColumn="0" w:firstRowLastColumn="0" w:lastRowFirstColumn="0" w:lastRowLastColumn="0"/>
            <w:tcW w:w="10060" w:type="dxa"/>
            <w:gridSpan w:val="4"/>
          </w:tcPr>
          <w:p w14:paraId="6E2AC281" w14:textId="77777777" w:rsidR="006D5557" w:rsidRPr="00BA2632" w:rsidRDefault="006D5557" w:rsidP="00E26D3C">
            <w:pPr>
              <w:pStyle w:val="Tablesmalltext"/>
              <w:jc w:val="left"/>
              <w:rPr>
                <w:rFonts w:ascii="Calibri" w:eastAsia="Times New Roman" w:hAnsi="Calibri" w:cstheme="minorHAnsi"/>
                <w:sz w:val="18"/>
                <w:szCs w:val="18"/>
              </w:rPr>
            </w:pPr>
            <w:r w:rsidRPr="00BA2632">
              <w:rPr>
                <w:rStyle w:val="Strong"/>
                <w:rFonts w:ascii="Calibri" w:hAnsi="Calibri" w:cstheme="minorHAnsi"/>
                <w:sz w:val="18"/>
                <w:szCs w:val="18"/>
              </w:rPr>
              <w:t>There are no basin-scale evaluation questions for macroinvertebrates</w:t>
            </w:r>
          </w:p>
        </w:tc>
      </w:tr>
      <w:tr w:rsidR="006D5557" w:rsidRPr="00BA2632" w14:paraId="0F34073A" w14:textId="77777777" w:rsidTr="00036D7F">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0060" w:type="dxa"/>
            <w:gridSpan w:val="4"/>
          </w:tcPr>
          <w:p w14:paraId="0F78251A" w14:textId="77777777" w:rsidR="006D5557" w:rsidRPr="00BA2632" w:rsidRDefault="006D5557" w:rsidP="00E26D3C">
            <w:pPr>
              <w:jc w:val="center"/>
              <w:rPr>
                <w:rFonts w:eastAsia="Times New Roman" w:cstheme="minorHAnsi"/>
                <w:sz w:val="18"/>
                <w:szCs w:val="18"/>
              </w:rPr>
            </w:pPr>
            <w:r w:rsidRPr="00BA2632">
              <w:rPr>
                <w:rFonts w:cstheme="minorHAnsi"/>
                <w:sz w:val="18"/>
                <w:szCs w:val="18"/>
              </w:rPr>
              <w:t>Area Scale evaluation questions</w:t>
            </w:r>
          </w:p>
        </w:tc>
      </w:tr>
      <w:tr w:rsidR="006D5557" w:rsidRPr="00BA2632" w14:paraId="58A8BABB" w14:textId="77777777" w:rsidTr="00036D7F">
        <w:trPr>
          <w:trHeight w:val="702"/>
        </w:trPr>
        <w:tc>
          <w:tcPr>
            <w:cnfStyle w:val="001000000000" w:firstRow="0" w:lastRow="0" w:firstColumn="1" w:lastColumn="0" w:oddVBand="0" w:evenVBand="0" w:oddHBand="0" w:evenHBand="0" w:firstRowFirstColumn="0" w:firstRowLastColumn="0" w:lastRowFirstColumn="0" w:lastRowLastColumn="0"/>
            <w:tcW w:w="4101" w:type="dxa"/>
          </w:tcPr>
          <w:p w14:paraId="5A05F910" w14:textId="77777777" w:rsidR="006D5557" w:rsidRPr="00BA2632" w:rsidRDefault="006D5557"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What did CEW contribute to the composition and abundance of macroinvertebrate groups in the lower Goulburn River? Specifically, what combination of freshes and low flows are required to maximise key macroinvertebrate groups in the river?</w:t>
            </w:r>
          </w:p>
        </w:tc>
        <w:tc>
          <w:tcPr>
            <w:tcW w:w="3119" w:type="dxa"/>
          </w:tcPr>
          <w:p w14:paraId="3230AF1C" w14:textId="77777777" w:rsidR="006D5557" w:rsidRPr="00BA2632" w:rsidRDefault="006D5557"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Composition of families of macroinvertebrates</w:t>
            </w:r>
          </w:p>
          <w:p w14:paraId="10BA85EA" w14:textId="77777777" w:rsidR="006D5557" w:rsidRPr="00BA2632" w:rsidRDefault="006D5557" w:rsidP="0029141C">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Abundance of total macroinvertebrates and key groups</w:t>
            </w:r>
          </w:p>
        </w:tc>
        <w:tc>
          <w:tcPr>
            <w:tcW w:w="2840" w:type="dxa"/>
            <w:gridSpan w:val="2"/>
          </w:tcPr>
          <w:p w14:paraId="23D90BDC" w14:textId="50335234" w:rsidR="006D5557" w:rsidRPr="0099021D" w:rsidRDefault="006D5557" w:rsidP="0099021D">
            <w:pPr>
              <w:pStyle w:val="ListBullet"/>
              <w:numPr>
                <w:ilvl w:val="0"/>
                <w:numId w:val="14"/>
              </w:numPr>
              <w:cnfStyle w:val="000000000000" w:firstRow="0" w:lastRow="0" w:firstColumn="0" w:lastColumn="0" w:oddVBand="0" w:evenVBand="0" w:oddHBand="0" w:evenHBand="0" w:firstRowFirstColumn="0" w:firstRowLastColumn="0" w:lastRowFirstColumn="0" w:lastRowLastColumn="0"/>
            </w:pPr>
            <w:r w:rsidRPr="00BA2632">
              <w:t>Examining relationships between composition and abundance of families of macroinvertebrates across multiple sites and freshes and flows.</w:t>
            </w:r>
          </w:p>
        </w:tc>
      </w:tr>
      <w:tr w:rsidR="006D5557" w:rsidRPr="00BA2632" w14:paraId="4FB1D594" w14:textId="77777777" w:rsidTr="00036D7F">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4101" w:type="dxa"/>
          </w:tcPr>
          <w:p w14:paraId="5C108088" w14:textId="77777777" w:rsidR="006D5557" w:rsidRPr="00BA2632" w:rsidRDefault="006D5557"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 xml:space="preserve">What does CEW and other natural flow events contribute to crustacean growth, reproduction and biomass in the Goulburn Catchment and exploitation of novel habitats by these large-bodies crustaceans? Specifically, what combination of flows are required </w:t>
            </w:r>
            <w:r w:rsidRPr="00BA2632">
              <w:rPr>
                <w:rStyle w:val="Strong"/>
                <w:rFonts w:ascii="Calibri" w:hAnsi="Calibri" w:cstheme="minorHAnsi"/>
                <w:sz w:val="18"/>
                <w:szCs w:val="18"/>
              </w:rPr>
              <w:lastRenderedPageBreak/>
              <w:t xml:space="preserve">to maximise large-bodied crustacean growth, </w:t>
            </w:r>
            <w:proofErr w:type="gramStart"/>
            <w:r w:rsidRPr="00BA2632">
              <w:rPr>
                <w:rStyle w:val="Strong"/>
                <w:rFonts w:ascii="Calibri" w:hAnsi="Calibri" w:cstheme="minorHAnsi"/>
                <w:sz w:val="18"/>
                <w:szCs w:val="18"/>
              </w:rPr>
              <w:t>reproduction</w:t>
            </w:r>
            <w:proofErr w:type="gramEnd"/>
            <w:r w:rsidRPr="00BA2632">
              <w:rPr>
                <w:rStyle w:val="Strong"/>
                <w:rFonts w:ascii="Calibri" w:hAnsi="Calibri" w:cstheme="minorHAnsi"/>
                <w:sz w:val="18"/>
                <w:szCs w:val="18"/>
              </w:rPr>
              <w:t xml:space="preserve"> and biomass in the river?</w:t>
            </w:r>
          </w:p>
        </w:tc>
        <w:tc>
          <w:tcPr>
            <w:tcW w:w="3119" w:type="dxa"/>
          </w:tcPr>
          <w:p w14:paraId="001FD121" w14:textId="77777777" w:rsidR="006D5557" w:rsidRPr="00BA2632" w:rsidRDefault="006D5557"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lastRenderedPageBreak/>
              <w:t>Crustacean abundance, biomass and reproduction caught in bait traps</w:t>
            </w:r>
          </w:p>
          <w:p w14:paraId="5FA68BCB" w14:textId="77777777" w:rsidR="006D5557" w:rsidRPr="00BA2632" w:rsidRDefault="006D5557"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lastRenderedPageBreak/>
              <w:t>Crustacean abundance, biomass and reproduction caught in sweep samples</w:t>
            </w:r>
          </w:p>
          <w:p w14:paraId="134DDC6B" w14:textId="77777777" w:rsidR="006D5557" w:rsidRPr="00BA2632" w:rsidRDefault="006D5557"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Assessment of habitat cover for crustaceans in bait traps</w:t>
            </w:r>
          </w:p>
        </w:tc>
        <w:tc>
          <w:tcPr>
            <w:tcW w:w="2840" w:type="dxa"/>
            <w:gridSpan w:val="2"/>
          </w:tcPr>
          <w:p w14:paraId="2D0DA56D" w14:textId="77777777" w:rsidR="006D5557" w:rsidRPr="00BA2632" w:rsidRDefault="006D5557" w:rsidP="0029141C">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lastRenderedPageBreak/>
              <w:t xml:space="preserve">Examining relationships between abundance and biomass of crustaceans </w:t>
            </w:r>
            <w:r w:rsidRPr="00BA2632">
              <w:lastRenderedPageBreak/>
              <w:t>across multiple sites and freshes and flows.</w:t>
            </w:r>
          </w:p>
          <w:p w14:paraId="55844E04" w14:textId="3A9B4C3E" w:rsidR="006D5557" w:rsidRPr="0099021D" w:rsidRDefault="006D5557" w:rsidP="0099021D">
            <w:pPr>
              <w:pStyle w:val="ListBullet"/>
              <w:numPr>
                <w:ilvl w:val="0"/>
                <w:numId w:val="14"/>
              </w:numPr>
              <w:cnfStyle w:val="000000100000" w:firstRow="0" w:lastRow="0" w:firstColumn="0" w:lastColumn="0" w:oddVBand="0" w:evenVBand="0" w:oddHBand="1" w:evenHBand="0" w:firstRowFirstColumn="0" w:firstRowLastColumn="0" w:lastRowFirstColumn="0" w:lastRowLastColumn="0"/>
            </w:pPr>
            <w:r w:rsidRPr="00BA2632">
              <w:t>Examine relationships between crustaceans and habitat.</w:t>
            </w:r>
          </w:p>
        </w:tc>
      </w:tr>
    </w:tbl>
    <w:p w14:paraId="745B7EB5" w14:textId="77777777" w:rsidR="006D5557" w:rsidRPr="00BA2632" w:rsidRDefault="006D5557" w:rsidP="006D5557">
      <w:pPr>
        <w:rPr>
          <w:lang w:eastAsia="en-US"/>
        </w:rPr>
      </w:pPr>
    </w:p>
    <w:p w14:paraId="1EBFFCBB" w14:textId="4EBA99F1" w:rsidR="00270F50" w:rsidRPr="00BA2632" w:rsidRDefault="00270F50" w:rsidP="00270F50">
      <w:pPr>
        <w:pStyle w:val="Heading2"/>
      </w:pPr>
      <w:bookmarkStart w:id="337" w:name="_Toc84416098"/>
      <w:bookmarkStart w:id="338" w:name="_Toc84417366"/>
      <w:bookmarkStart w:id="339" w:name="_Toc84475685"/>
      <w:r w:rsidRPr="00BA2632">
        <w:t>Main findings from monitoring program</w:t>
      </w:r>
      <w:bookmarkEnd w:id="337"/>
      <w:bookmarkEnd w:id="338"/>
      <w:bookmarkEnd w:id="339"/>
    </w:p>
    <w:p w14:paraId="3F3BC92F" w14:textId="021453ED" w:rsidR="006D5557" w:rsidRPr="00BA2632" w:rsidRDefault="006D5557" w:rsidP="006D5557">
      <w:pPr>
        <w:rPr>
          <w:lang w:eastAsia="en-US"/>
        </w:rPr>
      </w:pPr>
      <w:r w:rsidRPr="00BA2632">
        <w:rPr>
          <w:lang w:eastAsia="en-US"/>
        </w:rPr>
        <w:t>The following sections provide a high-level summary of the outcomes of the 20</w:t>
      </w:r>
      <w:r>
        <w:rPr>
          <w:lang w:eastAsia="en-US"/>
        </w:rPr>
        <w:t>20</w:t>
      </w:r>
      <w:r w:rsidRPr="00BA2632">
        <w:rPr>
          <w:lang w:eastAsia="en-US"/>
        </w:rPr>
        <w:t>-2</w:t>
      </w:r>
      <w:r>
        <w:rPr>
          <w:lang w:eastAsia="en-US"/>
        </w:rPr>
        <w:t>1</w:t>
      </w:r>
      <w:r w:rsidRPr="00BA2632">
        <w:rPr>
          <w:lang w:eastAsia="en-US"/>
        </w:rPr>
        <w:t xml:space="preserve"> monitoring and the implications of these findings to previous years outcomes.  </w:t>
      </w:r>
    </w:p>
    <w:p w14:paraId="01D039FC" w14:textId="7FFA5B83" w:rsidR="00004C2C" w:rsidRDefault="00004C2C" w:rsidP="00004C2C">
      <w:pPr>
        <w:pStyle w:val="Heading3"/>
      </w:pPr>
      <w:bookmarkStart w:id="340" w:name="_Toc84417367"/>
      <w:r w:rsidRPr="00BA2632">
        <w:t>20</w:t>
      </w:r>
      <w:r>
        <w:t>20</w:t>
      </w:r>
      <w:r w:rsidRPr="00BA2632">
        <w:t>/20</w:t>
      </w:r>
      <w:r>
        <w:t>21</w:t>
      </w:r>
      <w:r w:rsidRPr="00BA2632">
        <w:t xml:space="preserve"> findings</w:t>
      </w:r>
      <w:bookmarkEnd w:id="340"/>
    </w:p>
    <w:p w14:paraId="2FAFCB0F" w14:textId="77777777" w:rsidR="00196F91" w:rsidRPr="00BA2632" w:rsidRDefault="00196F91" w:rsidP="00196F91">
      <w:pPr>
        <w:pStyle w:val="Para0"/>
        <w:rPr>
          <w:rFonts w:asciiTheme="minorHAnsi" w:hAnsiTheme="minorHAnsi" w:cstheme="minorBidi"/>
        </w:rPr>
      </w:pPr>
      <w:r w:rsidRPr="00BA2632">
        <w:rPr>
          <w:rFonts w:asciiTheme="minorHAnsi" w:hAnsiTheme="minorHAnsi" w:cstheme="minorBidi"/>
        </w:rPr>
        <w:t xml:space="preserve">The main findings from the </w:t>
      </w:r>
      <w:r>
        <w:rPr>
          <w:rFonts w:asciiTheme="minorHAnsi" w:hAnsiTheme="minorHAnsi" w:cstheme="minorBidi"/>
        </w:rPr>
        <w:t>20</w:t>
      </w:r>
      <w:r w:rsidRPr="00BA2632">
        <w:rPr>
          <w:rFonts w:asciiTheme="minorHAnsi" w:hAnsiTheme="minorHAnsi" w:cstheme="minorBidi"/>
        </w:rPr>
        <w:t>20-2</w:t>
      </w:r>
      <w:r>
        <w:rPr>
          <w:rFonts w:asciiTheme="minorHAnsi" w:hAnsiTheme="minorHAnsi" w:cstheme="minorBidi"/>
        </w:rPr>
        <w:t>1</w:t>
      </w:r>
      <w:r w:rsidRPr="00BA2632">
        <w:rPr>
          <w:rFonts w:asciiTheme="minorHAnsi" w:hAnsiTheme="minorHAnsi" w:cstheme="minorBidi"/>
        </w:rPr>
        <w:t xml:space="preserve"> monitoring are:</w:t>
      </w:r>
    </w:p>
    <w:p w14:paraId="060DC57C" w14:textId="77777777" w:rsidR="00196F91" w:rsidRPr="00CB14F4" w:rsidRDefault="00196F91" w:rsidP="00690C8C">
      <w:pPr>
        <w:pStyle w:val="Para0"/>
        <w:numPr>
          <w:ilvl w:val="0"/>
          <w:numId w:val="21"/>
        </w:numPr>
        <w:rPr>
          <w:rFonts w:asciiTheme="minorHAnsi" w:hAnsiTheme="minorHAnsi" w:cstheme="minorBidi"/>
        </w:rPr>
      </w:pPr>
      <w:r w:rsidRPr="00CB14F4">
        <w:rPr>
          <w:rFonts w:asciiTheme="minorHAnsi" w:hAnsiTheme="minorHAnsi" w:cstheme="minorBidi"/>
        </w:rPr>
        <w:t xml:space="preserve">Overall, the data showed total macroinvertebrate abundance and common taxa abundance increased after the CEW spring fresh event and remained high from December-February. </w:t>
      </w:r>
      <w:r>
        <w:rPr>
          <w:rFonts w:asciiTheme="minorHAnsi" w:hAnsiTheme="minorHAnsi" w:cstheme="minorBidi"/>
        </w:rPr>
        <w:t>T</w:t>
      </w:r>
      <w:r w:rsidRPr="00CB14F4">
        <w:rPr>
          <w:rFonts w:asciiTheme="minorHAnsi" w:hAnsiTheme="minorHAnsi" w:cstheme="minorBidi"/>
        </w:rPr>
        <w:t>he extent to which abundance increase</w:t>
      </w:r>
      <w:r>
        <w:rPr>
          <w:rFonts w:asciiTheme="minorHAnsi" w:hAnsiTheme="minorHAnsi" w:cstheme="minorBidi"/>
        </w:rPr>
        <w:t>d</w:t>
      </w:r>
      <w:r w:rsidRPr="00CB14F4">
        <w:rPr>
          <w:rFonts w:asciiTheme="minorHAnsi" w:hAnsiTheme="minorHAnsi" w:cstheme="minorBidi"/>
        </w:rPr>
        <w:t xml:space="preserve"> in response to flow or temperature/seasonal changes</w:t>
      </w:r>
      <w:r>
        <w:rPr>
          <w:rFonts w:asciiTheme="minorHAnsi" w:hAnsiTheme="minorHAnsi" w:cstheme="minorBidi"/>
        </w:rPr>
        <w:t xml:space="preserve"> remains unclear</w:t>
      </w:r>
      <w:r w:rsidRPr="00CB14F4">
        <w:rPr>
          <w:rFonts w:asciiTheme="minorHAnsi" w:hAnsiTheme="minorHAnsi" w:cstheme="minorBidi"/>
        </w:rPr>
        <w:t xml:space="preserve">. An increase in some common taxa this year compared to last year does suggest that the higher unregulated flow in winter/spring 2020 may have contributed to the observed response. </w:t>
      </w:r>
    </w:p>
    <w:p w14:paraId="595DE104" w14:textId="77777777" w:rsidR="00196F91" w:rsidRPr="007A266E" w:rsidRDefault="00196F91" w:rsidP="00690C8C">
      <w:pPr>
        <w:pStyle w:val="Para0"/>
        <w:numPr>
          <w:ilvl w:val="0"/>
          <w:numId w:val="21"/>
        </w:numPr>
        <w:rPr>
          <w:rFonts w:asciiTheme="minorHAnsi" w:hAnsiTheme="minorHAnsi" w:cstheme="minorBidi"/>
        </w:rPr>
      </w:pPr>
      <w:r>
        <w:rPr>
          <w:rFonts w:asciiTheme="minorHAnsi" w:hAnsiTheme="minorHAnsi" w:cstheme="minorBidi"/>
        </w:rPr>
        <w:t xml:space="preserve">Crustaceans </w:t>
      </w:r>
      <w:r w:rsidRPr="00BA2632">
        <w:rPr>
          <w:rFonts w:asciiTheme="minorHAnsi" w:hAnsiTheme="minorHAnsi" w:cstheme="minorBidi"/>
        </w:rPr>
        <w:t xml:space="preserve">(shrimp - </w:t>
      </w:r>
      <w:proofErr w:type="spellStart"/>
      <w:r w:rsidRPr="00215132">
        <w:rPr>
          <w:rFonts w:asciiTheme="minorHAnsi" w:hAnsiTheme="minorHAnsi" w:cstheme="minorBidi"/>
          <w:i/>
          <w:iCs/>
        </w:rPr>
        <w:t>Parataya</w:t>
      </w:r>
      <w:proofErr w:type="spellEnd"/>
      <w:r w:rsidRPr="00215132">
        <w:rPr>
          <w:rFonts w:asciiTheme="minorHAnsi" w:hAnsiTheme="minorHAnsi" w:cstheme="minorBidi"/>
          <w:i/>
          <w:iCs/>
        </w:rPr>
        <w:t xml:space="preserve"> </w:t>
      </w:r>
      <w:proofErr w:type="spellStart"/>
      <w:r w:rsidRPr="00215132">
        <w:rPr>
          <w:rFonts w:asciiTheme="minorHAnsi" w:hAnsiTheme="minorHAnsi" w:cstheme="minorBidi"/>
          <w:i/>
          <w:iCs/>
        </w:rPr>
        <w:t>australiensis</w:t>
      </w:r>
      <w:proofErr w:type="spellEnd"/>
      <w:r w:rsidRPr="00BA2632">
        <w:rPr>
          <w:rFonts w:asciiTheme="minorHAnsi" w:hAnsiTheme="minorHAnsi" w:cstheme="minorBidi"/>
        </w:rPr>
        <w:t xml:space="preserve"> and prawns - </w:t>
      </w:r>
      <w:proofErr w:type="spellStart"/>
      <w:r w:rsidRPr="00215132">
        <w:rPr>
          <w:rFonts w:asciiTheme="minorHAnsi" w:hAnsiTheme="minorHAnsi" w:cstheme="minorBidi"/>
          <w:i/>
          <w:iCs/>
        </w:rPr>
        <w:t>Macrobrachium</w:t>
      </w:r>
      <w:proofErr w:type="spellEnd"/>
      <w:r w:rsidRPr="00215132">
        <w:rPr>
          <w:rFonts w:asciiTheme="minorHAnsi" w:hAnsiTheme="minorHAnsi" w:cstheme="minorBidi"/>
          <w:i/>
          <w:iCs/>
        </w:rPr>
        <w:t xml:space="preserve"> </w:t>
      </w:r>
      <w:proofErr w:type="spellStart"/>
      <w:r w:rsidRPr="00215132">
        <w:rPr>
          <w:rFonts w:asciiTheme="minorHAnsi" w:hAnsiTheme="minorHAnsi" w:cstheme="minorBidi"/>
          <w:i/>
          <w:iCs/>
        </w:rPr>
        <w:t>australiense</w:t>
      </w:r>
      <w:proofErr w:type="spellEnd"/>
      <w:r w:rsidRPr="00BA2632">
        <w:rPr>
          <w:rFonts w:asciiTheme="minorHAnsi" w:hAnsiTheme="minorHAnsi" w:cstheme="minorBidi"/>
        </w:rPr>
        <w:t xml:space="preserve">) </w:t>
      </w:r>
      <w:r>
        <w:rPr>
          <w:rFonts w:asciiTheme="minorHAnsi" w:hAnsiTheme="minorHAnsi" w:cstheme="minorBidi"/>
        </w:rPr>
        <w:t xml:space="preserve">appear to be most abundant in the summer months, December – February after the CEW spring fresh. </w:t>
      </w:r>
      <w:r w:rsidRPr="007A266E">
        <w:rPr>
          <w:rFonts w:asciiTheme="minorHAnsi" w:hAnsiTheme="minorHAnsi" w:cstheme="minorBidi"/>
        </w:rPr>
        <w:t xml:space="preserve">There is evidence of recruitment and breeding occurring </w:t>
      </w:r>
      <w:r>
        <w:rPr>
          <w:rFonts w:asciiTheme="minorHAnsi" w:hAnsiTheme="minorHAnsi" w:cstheme="minorBidi"/>
        </w:rPr>
        <w:t>in</w:t>
      </w:r>
      <w:r w:rsidRPr="007A266E">
        <w:rPr>
          <w:rFonts w:asciiTheme="minorHAnsi" w:hAnsiTheme="minorHAnsi" w:cstheme="minorBidi"/>
        </w:rPr>
        <w:t xml:space="preserve"> shrimps and prawns with a range of cohorts and females with eggs found across the sites within the lower Goulburn, particularly during the December – February sampling period.</w:t>
      </w:r>
      <w:r>
        <w:rPr>
          <w:rFonts w:asciiTheme="minorHAnsi" w:hAnsiTheme="minorHAnsi" w:cstheme="minorBidi"/>
        </w:rPr>
        <w:t xml:space="preserve">  Biomass of both shrimp and prawns are generally highest in November and December, which is followed by an influx of immature crustaceans.</w:t>
      </w:r>
    </w:p>
    <w:p w14:paraId="018E2E6C" w14:textId="77777777" w:rsidR="00196F91" w:rsidRPr="00BA2632" w:rsidRDefault="00196F91" w:rsidP="00690C8C">
      <w:pPr>
        <w:pStyle w:val="Para0"/>
        <w:numPr>
          <w:ilvl w:val="0"/>
          <w:numId w:val="21"/>
        </w:numPr>
        <w:rPr>
          <w:rFonts w:asciiTheme="minorHAnsi" w:hAnsiTheme="minorHAnsi" w:cstheme="minorBidi"/>
        </w:rPr>
      </w:pPr>
      <w:r>
        <w:rPr>
          <w:rFonts w:asciiTheme="minorHAnsi" w:hAnsiTheme="minorHAnsi" w:cstheme="minorBidi"/>
        </w:rPr>
        <w:t>Different c</w:t>
      </w:r>
      <w:r w:rsidRPr="00BA2632">
        <w:rPr>
          <w:rFonts w:asciiTheme="minorHAnsi" w:hAnsiTheme="minorHAnsi" w:cstheme="minorBidi"/>
        </w:rPr>
        <w:t>rustacean species have a clear preference for sections of the Goulburn River,</w:t>
      </w:r>
      <w:r w:rsidRPr="00BA2632">
        <w:rPr>
          <w:rFonts w:asciiTheme="minorHAnsi" w:hAnsiTheme="minorHAnsi" w:cstheme="minorHAnsi"/>
        </w:rPr>
        <w:t xml:space="preserve"> with</w:t>
      </w:r>
      <w:r w:rsidRPr="00BA2632">
        <w:rPr>
          <w:rFonts w:asciiTheme="minorHAnsi" w:hAnsiTheme="minorHAnsi" w:cstheme="minorHAnsi"/>
          <w:i/>
          <w:iCs/>
        </w:rPr>
        <w:t xml:space="preserve"> </w:t>
      </w:r>
      <w:r w:rsidRPr="00BA2632">
        <w:rPr>
          <w:rFonts w:asciiTheme="minorHAnsi" w:hAnsiTheme="minorHAnsi" w:cstheme="minorHAnsi"/>
          <w:iCs/>
        </w:rPr>
        <w:t>shrimps</w:t>
      </w:r>
      <w:r w:rsidRPr="00BA2632">
        <w:rPr>
          <w:rFonts w:asciiTheme="minorHAnsi" w:hAnsiTheme="minorHAnsi" w:cstheme="minorHAnsi"/>
        </w:rPr>
        <w:t xml:space="preserve"> more abundant in the upstream reaches and prawns absent at Kirwans Bridge and only occurring in low abundances at Salas Road (Murchison) the two most upstream reaches of the Goulburn River.</w:t>
      </w:r>
    </w:p>
    <w:p w14:paraId="4697A227" w14:textId="1BEFFD26" w:rsidR="00196F91" w:rsidRPr="00BA2632" w:rsidRDefault="00196F91" w:rsidP="00690C8C">
      <w:pPr>
        <w:pStyle w:val="Para0"/>
        <w:numPr>
          <w:ilvl w:val="0"/>
          <w:numId w:val="21"/>
        </w:numPr>
        <w:rPr>
          <w:rFonts w:asciiTheme="minorHAnsi" w:hAnsiTheme="minorHAnsi" w:cstheme="minorBidi"/>
        </w:rPr>
      </w:pPr>
      <w:r w:rsidRPr="00BA2632">
        <w:rPr>
          <w:rFonts w:asciiTheme="minorHAnsi" w:hAnsiTheme="minorHAnsi" w:cstheme="minorBidi"/>
        </w:rPr>
        <w:t xml:space="preserve">Immature </w:t>
      </w:r>
      <w:r w:rsidR="00983081">
        <w:rPr>
          <w:rFonts w:asciiTheme="minorHAnsi" w:hAnsiTheme="minorHAnsi" w:cstheme="minorBidi"/>
        </w:rPr>
        <w:t xml:space="preserve">shrimps and prawns </w:t>
      </w:r>
      <w:r w:rsidRPr="00BA2632">
        <w:rPr>
          <w:rFonts w:asciiTheme="minorHAnsi" w:hAnsiTheme="minorHAnsi" w:cstheme="minorBidi"/>
        </w:rPr>
        <w:t xml:space="preserve">increased in abundance after the CEW spring fresh event in </w:t>
      </w:r>
      <w:r>
        <w:rPr>
          <w:rFonts w:asciiTheme="minorHAnsi" w:hAnsiTheme="minorHAnsi" w:cstheme="minorBidi"/>
        </w:rPr>
        <w:t>December</w:t>
      </w:r>
      <w:r w:rsidRPr="00BA2632">
        <w:rPr>
          <w:rFonts w:asciiTheme="minorHAnsi" w:hAnsiTheme="minorHAnsi" w:cstheme="minorBidi"/>
        </w:rPr>
        <w:t xml:space="preserve"> and </w:t>
      </w:r>
      <w:r>
        <w:rPr>
          <w:rFonts w:asciiTheme="minorHAnsi" w:hAnsiTheme="minorHAnsi" w:cstheme="minorBidi"/>
        </w:rPr>
        <w:t>January.</w:t>
      </w:r>
      <w:r w:rsidRPr="00BA2632">
        <w:rPr>
          <w:rFonts w:asciiTheme="minorHAnsi" w:hAnsiTheme="minorHAnsi" w:cstheme="minorBidi"/>
        </w:rPr>
        <w:t xml:space="preserve"> </w:t>
      </w:r>
      <w:r>
        <w:rPr>
          <w:rFonts w:asciiTheme="minorHAnsi" w:hAnsiTheme="minorHAnsi" w:cstheme="minorBidi"/>
        </w:rPr>
        <w:t xml:space="preserve">This was seen across all sites in December and </w:t>
      </w:r>
      <w:r w:rsidRPr="0096641C">
        <w:rPr>
          <w:rFonts w:asciiTheme="minorHAnsi" w:hAnsiTheme="minorHAnsi" w:cstheme="minorBidi"/>
        </w:rPr>
        <w:t xml:space="preserve">at </w:t>
      </w:r>
      <w:r>
        <w:rPr>
          <w:rFonts w:asciiTheme="minorHAnsi" w:hAnsiTheme="minorHAnsi" w:cstheme="minorBidi"/>
        </w:rPr>
        <w:t xml:space="preserve">three sites </w:t>
      </w:r>
      <w:r w:rsidRPr="0096641C">
        <w:rPr>
          <w:rFonts w:asciiTheme="minorHAnsi" w:hAnsiTheme="minorHAnsi" w:cstheme="minorBidi"/>
        </w:rPr>
        <w:t>in January.</w:t>
      </w:r>
      <w:r>
        <w:rPr>
          <w:rFonts w:asciiTheme="minorHAnsi" w:hAnsiTheme="minorHAnsi" w:cstheme="minorBidi"/>
        </w:rPr>
        <w:t xml:space="preserve"> The increases in </w:t>
      </w:r>
      <w:r w:rsidRPr="00BA2632">
        <w:rPr>
          <w:rFonts w:asciiTheme="minorHAnsi" w:hAnsiTheme="minorHAnsi" w:cstheme="minorBidi"/>
        </w:rPr>
        <w:t xml:space="preserve">flow </w:t>
      </w:r>
      <w:r>
        <w:rPr>
          <w:rFonts w:asciiTheme="minorHAnsi" w:hAnsiTheme="minorHAnsi" w:cstheme="minorBidi"/>
        </w:rPr>
        <w:t>may have provided</w:t>
      </w:r>
      <w:r w:rsidRPr="00BA2632">
        <w:rPr>
          <w:rFonts w:asciiTheme="minorHAnsi" w:hAnsiTheme="minorHAnsi" w:cstheme="minorBidi"/>
        </w:rPr>
        <w:t xml:space="preserve"> crustaceans </w:t>
      </w:r>
      <w:r>
        <w:rPr>
          <w:rFonts w:asciiTheme="minorHAnsi" w:hAnsiTheme="minorHAnsi" w:cstheme="minorBidi"/>
        </w:rPr>
        <w:t>with</w:t>
      </w:r>
      <w:r w:rsidRPr="00BA2632">
        <w:rPr>
          <w:rFonts w:asciiTheme="minorHAnsi" w:hAnsiTheme="minorHAnsi" w:cstheme="minorBidi"/>
        </w:rPr>
        <w:t xml:space="preserve"> access to slower flowing areas of vegetation and snag habitats, which may have contributed to their abundance. The recruitment of crustaceans may provide an important food source for native fish, including golden perch.</w:t>
      </w:r>
    </w:p>
    <w:p w14:paraId="42347F7F" w14:textId="77777777" w:rsidR="00196F91" w:rsidRPr="001A263C" w:rsidRDefault="00196F91" w:rsidP="00690C8C">
      <w:pPr>
        <w:pStyle w:val="Para0"/>
        <w:numPr>
          <w:ilvl w:val="0"/>
          <w:numId w:val="21"/>
        </w:numPr>
        <w:rPr>
          <w:rFonts w:asciiTheme="minorHAnsi" w:hAnsiTheme="minorHAnsi" w:cstheme="minorBidi"/>
        </w:rPr>
      </w:pPr>
      <w:r w:rsidRPr="0073745A">
        <w:rPr>
          <w:rFonts w:asciiTheme="minorHAnsi" w:hAnsiTheme="minorHAnsi" w:cstheme="minorHAnsi"/>
        </w:rPr>
        <w:t xml:space="preserve">Both species of shrimps and prawns are more abundant where there is some complex habitat present.  The shrimp showed a positive relationship with macrophyte cover (increasing abundance with increasing macrophyte cover). In comparison prawns did not show a relationship between abundance and complex habitat or snags. </w:t>
      </w:r>
    </w:p>
    <w:p w14:paraId="40EE362F" w14:textId="75795B0D" w:rsidR="00196F91" w:rsidRPr="00196F91" w:rsidRDefault="00196F91" w:rsidP="00690C8C">
      <w:pPr>
        <w:pStyle w:val="Para0"/>
        <w:numPr>
          <w:ilvl w:val="0"/>
          <w:numId w:val="21"/>
        </w:numPr>
        <w:rPr>
          <w:rFonts w:asciiTheme="minorHAnsi" w:hAnsiTheme="minorHAnsi" w:cstheme="minorBidi"/>
        </w:rPr>
      </w:pPr>
      <w:r>
        <w:rPr>
          <w:rFonts w:asciiTheme="minorHAnsi" w:hAnsiTheme="minorHAnsi" w:cstheme="minorHAnsi"/>
        </w:rPr>
        <w:t>Shrimp captured in bait traps showed a significant increase in 2020-21 compared to 2019-20. We hypothesize that this difference was caused by large unregulated flows in winter and spring 2020 bringing large amounts of organic carbon into the river to fuel production.</w:t>
      </w:r>
    </w:p>
    <w:p w14:paraId="518D5545" w14:textId="5638B93C" w:rsidR="00270F50" w:rsidRPr="00BA2632" w:rsidRDefault="00270F50" w:rsidP="00270F50">
      <w:pPr>
        <w:pStyle w:val="Heading3"/>
      </w:pPr>
      <w:bookmarkStart w:id="341" w:name="_Toc84417368"/>
      <w:r w:rsidRPr="00BA2632">
        <w:t>Summary of previous findings and implications for any new finding</w:t>
      </w:r>
      <w:bookmarkEnd w:id="341"/>
      <w:r w:rsidRPr="00BA2632">
        <w:t xml:space="preserve"> </w:t>
      </w:r>
    </w:p>
    <w:p w14:paraId="49D40482" w14:textId="77777777" w:rsidR="00196F91" w:rsidRPr="006F0EB8" w:rsidRDefault="00196F91" w:rsidP="00196F91">
      <w:pPr>
        <w:rPr>
          <w:b/>
          <w:bCs/>
          <w:i/>
          <w:iCs/>
          <w:lang w:eastAsia="en-US"/>
        </w:rPr>
      </w:pPr>
      <w:r w:rsidRPr="00BA2632">
        <w:rPr>
          <w:b/>
          <w:bCs/>
          <w:i/>
          <w:iCs/>
          <w:lang w:eastAsia="en-US"/>
        </w:rPr>
        <w:t>Previous findings:</w:t>
      </w:r>
    </w:p>
    <w:p w14:paraId="65BDBC40" w14:textId="0F6917B9" w:rsidR="00196F91" w:rsidRDefault="00196F91" w:rsidP="00690C8C">
      <w:pPr>
        <w:pStyle w:val="Para0"/>
        <w:numPr>
          <w:ilvl w:val="0"/>
          <w:numId w:val="21"/>
        </w:numPr>
        <w:rPr>
          <w:rFonts w:asciiTheme="minorHAnsi" w:hAnsiTheme="minorHAnsi" w:cstheme="minorBidi"/>
        </w:rPr>
      </w:pPr>
      <w:r>
        <w:rPr>
          <w:rFonts w:asciiTheme="minorHAnsi" w:hAnsiTheme="minorHAnsi" w:cstheme="minorBidi"/>
        </w:rPr>
        <w:t xml:space="preserve">The findings from 2019-20 were broadly </w:t>
      </w:r>
      <w:proofErr w:type="gramStart"/>
      <w:r>
        <w:rPr>
          <w:rFonts w:asciiTheme="minorHAnsi" w:hAnsiTheme="minorHAnsi" w:cstheme="minorBidi"/>
        </w:rPr>
        <w:t>similar to</w:t>
      </w:r>
      <w:proofErr w:type="gramEnd"/>
      <w:r>
        <w:rPr>
          <w:rFonts w:asciiTheme="minorHAnsi" w:hAnsiTheme="minorHAnsi" w:cstheme="minorBidi"/>
        </w:rPr>
        <w:t xml:space="preserve"> the 2020-21 findings summarized above.</w:t>
      </w:r>
    </w:p>
    <w:p w14:paraId="3AEBD8F7" w14:textId="77777777" w:rsidR="00196F91" w:rsidRPr="00BA2632" w:rsidRDefault="00196F91" w:rsidP="00196F91">
      <w:pPr>
        <w:rPr>
          <w:b/>
          <w:bCs/>
          <w:i/>
          <w:lang w:eastAsia="en-US"/>
        </w:rPr>
      </w:pPr>
      <w:r w:rsidRPr="00BA2632">
        <w:rPr>
          <w:b/>
          <w:bCs/>
          <w:i/>
          <w:lang w:eastAsia="en-US"/>
        </w:rPr>
        <w:t>Implications for new findings:</w:t>
      </w:r>
    </w:p>
    <w:p w14:paraId="04EF3CEC" w14:textId="77777777" w:rsidR="00196F91" w:rsidRPr="00DD4043" w:rsidRDefault="00196F91" w:rsidP="00690C8C">
      <w:pPr>
        <w:pStyle w:val="ListParagraph"/>
        <w:numPr>
          <w:ilvl w:val="0"/>
          <w:numId w:val="22"/>
        </w:numPr>
      </w:pPr>
      <w:r w:rsidRPr="00DD4043">
        <w:t>The 2021/21 findings have overall supported the findings from 2019-20, whereby spring freshes and other environmental water delivery appear to have small positive impacts on the macroinvertebrate fauna, particularly the large</w:t>
      </w:r>
      <w:r>
        <w:t>-</w:t>
      </w:r>
      <w:r w:rsidRPr="00DD4043">
        <w:t>bodied crustaceans in the Goulburn River.</w:t>
      </w:r>
    </w:p>
    <w:p w14:paraId="6900DE42" w14:textId="6E38B753" w:rsidR="00196F91" w:rsidRPr="00DD4043" w:rsidRDefault="00196F91" w:rsidP="00690C8C">
      <w:pPr>
        <w:pStyle w:val="ListParagraph"/>
        <w:numPr>
          <w:ilvl w:val="0"/>
          <w:numId w:val="22"/>
        </w:numPr>
      </w:pPr>
      <w:r w:rsidRPr="00DD4043">
        <w:lastRenderedPageBreak/>
        <w:t>There is some evidence to suggest that the larger unregulated flows in 2020-21 have increased the abundance of some macroinvertebrate taxa and large bodied crustaceans, which may</w:t>
      </w:r>
      <w:r>
        <w:t xml:space="preserve"> </w:t>
      </w:r>
      <w:r w:rsidRPr="00DD4043">
        <w:t>be due to an increase in food supply for macroinvertebrates (increased organic carbon).</w:t>
      </w:r>
    </w:p>
    <w:p w14:paraId="615B707A" w14:textId="77777777" w:rsidR="00196F91" w:rsidRPr="00DD4043" w:rsidRDefault="00196F91" w:rsidP="00690C8C">
      <w:pPr>
        <w:pStyle w:val="ListParagraph"/>
        <w:numPr>
          <w:ilvl w:val="0"/>
          <w:numId w:val="22"/>
        </w:numPr>
      </w:pPr>
      <w:r w:rsidRPr="00DD4043">
        <w:t>A change in the IVT</w:t>
      </w:r>
      <w:r>
        <w:t xml:space="preserve"> </w:t>
      </w:r>
      <w:r w:rsidRPr="00DD4043">
        <w:t xml:space="preserve">delivery </w:t>
      </w:r>
      <w:r>
        <w:t xml:space="preserve">pattern </w:t>
      </w:r>
      <w:r w:rsidRPr="00DD4043">
        <w:t xml:space="preserve">over the summer months does not appear to </w:t>
      </w:r>
      <w:r>
        <w:t xml:space="preserve">have </w:t>
      </w:r>
      <w:r w:rsidRPr="00DD4043">
        <w:t>affect</w:t>
      </w:r>
      <w:r>
        <w:t>ed</w:t>
      </w:r>
      <w:r w:rsidRPr="00DD4043">
        <w:t xml:space="preserve"> macroinvertebrate and crustacean abundance or biomass.</w:t>
      </w:r>
    </w:p>
    <w:p w14:paraId="5BD13C69" w14:textId="23ED578C" w:rsidR="00270F50" w:rsidRPr="00BA2632" w:rsidRDefault="00270F50" w:rsidP="00270F50">
      <w:pPr>
        <w:pStyle w:val="Heading3"/>
      </w:pPr>
      <w:bookmarkStart w:id="342" w:name="_Toc84417369"/>
      <w:r w:rsidRPr="00BA2632">
        <w:t>Summary of findings relevant to evaluation questions</w:t>
      </w:r>
      <w:bookmarkEnd w:id="342"/>
    </w:p>
    <w:p w14:paraId="050780EF" w14:textId="710E38F4" w:rsidR="00270F50" w:rsidRDefault="003B048A" w:rsidP="00270F50">
      <w:pPr>
        <w:rPr>
          <w:lang w:eastAsia="en-US"/>
        </w:rPr>
      </w:pPr>
      <w:r w:rsidRPr="00BA2632">
        <w:t xml:space="preserve">Table </w:t>
      </w:r>
      <w:r>
        <w:rPr>
          <w:noProof/>
        </w:rPr>
        <w:t>6</w:t>
      </w:r>
      <w:r>
        <w:rPr>
          <w:noProof/>
        </w:rPr>
        <w:noBreakHyphen/>
        <w:t>2</w:t>
      </w:r>
      <w:r w:rsidR="00D66490" w:rsidRPr="00BA2632">
        <w:rPr>
          <w:lang w:eastAsia="en-US"/>
        </w:rPr>
        <w:t xml:space="preserve"> </w:t>
      </w:r>
      <w:r w:rsidR="00F653BA" w:rsidRPr="00BA2632">
        <w:rPr>
          <w:lang w:eastAsia="en-US"/>
        </w:rPr>
        <w:t>provide a summary of results with specific reference to the evaluation questions</w:t>
      </w:r>
      <w:r w:rsidR="00F653BA">
        <w:rPr>
          <w:lang w:eastAsia="en-US"/>
        </w:rPr>
        <w:t>.</w:t>
      </w:r>
    </w:p>
    <w:p w14:paraId="7E04CC6D" w14:textId="3D7989C4" w:rsidR="00BD5456" w:rsidRPr="00BA2632" w:rsidRDefault="00BD5456" w:rsidP="00BD5456">
      <w:pPr>
        <w:pStyle w:val="Caption"/>
        <w:rPr>
          <w:i/>
          <w:lang w:eastAsia="en-US"/>
        </w:rPr>
      </w:pPr>
      <w:bookmarkStart w:id="343" w:name="_Ref50478782"/>
      <w:bookmarkStart w:id="344" w:name="_Toc46917046"/>
      <w:bookmarkStart w:id="345" w:name="_Toc95391482"/>
      <w:r w:rsidRPr="00BA2632">
        <w:t xml:space="preserve">Table </w:t>
      </w:r>
      <w:r w:rsidR="000B75AF">
        <w:rPr>
          <w:noProof/>
        </w:rPr>
        <w:t>6</w:t>
      </w:r>
      <w:r w:rsidR="000B75AF">
        <w:noBreakHyphen/>
      </w:r>
      <w:r w:rsidR="000B75AF">
        <w:rPr>
          <w:noProof/>
        </w:rPr>
        <w:t>2</w:t>
      </w:r>
      <w:bookmarkEnd w:id="343"/>
      <w:r w:rsidRPr="00BA2632">
        <w:t xml:space="preserve"> Summary of macroinvertebrate findings relevant to evaluation questions</w:t>
      </w:r>
      <w:bookmarkEnd w:id="344"/>
      <w:r w:rsidRPr="00BA2632">
        <w:t>.</w:t>
      </w:r>
      <w:bookmarkEnd w:id="345"/>
    </w:p>
    <w:tbl>
      <w:tblPr>
        <w:tblStyle w:val="TableGrid"/>
        <w:tblW w:w="997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tblCellMar>
        <w:tblLook w:val="04A0" w:firstRow="1" w:lastRow="0" w:firstColumn="1" w:lastColumn="0" w:noHBand="0" w:noVBand="1"/>
      </w:tblPr>
      <w:tblGrid>
        <w:gridCol w:w="2887"/>
        <w:gridCol w:w="1559"/>
        <w:gridCol w:w="3261"/>
        <w:gridCol w:w="2268"/>
      </w:tblGrid>
      <w:tr w:rsidR="00BD5456" w:rsidRPr="00036D7F" w14:paraId="7DA0C531" w14:textId="77777777" w:rsidTr="00036D7F">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887" w:type="dxa"/>
            <w:tcBorders>
              <w:right w:val="single" w:sz="4" w:space="0" w:color="FFFFFF" w:themeColor="background1"/>
            </w:tcBorders>
            <w:shd w:val="clear" w:color="auto" w:fill="00338D"/>
          </w:tcPr>
          <w:p w14:paraId="19236F8E" w14:textId="77777777" w:rsidR="00BD5456" w:rsidRPr="00036D7F" w:rsidRDefault="00BD5456" w:rsidP="00E26D3C">
            <w:pPr>
              <w:pStyle w:val="Tablesmalltext"/>
              <w:rPr>
                <w:rFonts w:ascii="Calibri" w:hAnsi="Calibri"/>
                <w:sz w:val="18"/>
                <w:szCs w:val="18"/>
              </w:rPr>
            </w:pPr>
            <w:r w:rsidRPr="00036D7F">
              <w:rPr>
                <w:rFonts w:ascii="Calibri" w:hAnsi="Calibri"/>
                <w:sz w:val="18"/>
                <w:szCs w:val="18"/>
              </w:rPr>
              <w:t>Question</w:t>
            </w:r>
          </w:p>
        </w:tc>
        <w:tc>
          <w:tcPr>
            <w:tcW w:w="1559" w:type="dxa"/>
            <w:tcBorders>
              <w:left w:val="single" w:sz="4" w:space="0" w:color="FFFFFF" w:themeColor="background1"/>
              <w:right w:val="single" w:sz="4" w:space="0" w:color="FFFFFF" w:themeColor="background1"/>
            </w:tcBorders>
            <w:shd w:val="clear" w:color="auto" w:fill="00338D"/>
          </w:tcPr>
          <w:p w14:paraId="7F7B5B18" w14:textId="77777777" w:rsidR="00BD5456" w:rsidRPr="00036D7F" w:rsidRDefault="00BD5456" w:rsidP="00E26D3C">
            <w:pPr>
              <w:pStyle w:val="Tablesmalltext"/>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036D7F">
              <w:rPr>
                <w:rFonts w:ascii="Calibri" w:hAnsi="Calibri"/>
                <w:sz w:val="18"/>
                <w:szCs w:val="18"/>
              </w:rPr>
              <w:t>Were appropriate flows provided?</w:t>
            </w:r>
          </w:p>
        </w:tc>
        <w:tc>
          <w:tcPr>
            <w:tcW w:w="3261" w:type="dxa"/>
            <w:tcBorders>
              <w:left w:val="single" w:sz="4" w:space="0" w:color="FFFFFF" w:themeColor="background1"/>
              <w:right w:val="single" w:sz="4" w:space="0" w:color="FFFFFF" w:themeColor="background1"/>
            </w:tcBorders>
            <w:shd w:val="clear" w:color="auto" w:fill="00338D"/>
          </w:tcPr>
          <w:p w14:paraId="3A62B6FB" w14:textId="77777777" w:rsidR="00BD5456" w:rsidRPr="00036D7F" w:rsidRDefault="00BD5456" w:rsidP="00E26D3C">
            <w:pPr>
              <w:pStyle w:val="Tablesmalltext"/>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036D7F">
              <w:rPr>
                <w:rFonts w:ascii="Calibri" w:hAnsi="Calibri"/>
                <w:sz w:val="18"/>
                <w:szCs w:val="18"/>
              </w:rPr>
              <w:t>Effect of environmental flows</w:t>
            </w:r>
          </w:p>
        </w:tc>
        <w:tc>
          <w:tcPr>
            <w:tcW w:w="2268" w:type="dxa"/>
            <w:tcBorders>
              <w:left w:val="single" w:sz="4" w:space="0" w:color="FFFFFF" w:themeColor="background1"/>
            </w:tcBorders>
            <w:shd w:val="clear" w:color="auto" w:fill="00338D"/>
          </w:tcPr>
          <w:p w14:paraId="7812A069" w14:textId="77777777" w:rsidR="00BD5456" w:rsidRPr="00036D7F" w:rsidRDefault="00BD5456" w:rsidP="00E26D3C">
            <w:pPr>
              <w:pStyle w:val="Tablesmalltext"/>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036D7F">
              <w:rPr>
                <w:rFonts w:ascii="Calibri" w:hAnsi="Calibri"/>
                <w:sz w:val="18"/>
                <w:szCs w:val="18"/>
              </w:rPr>
              <w:t>What information was the evaluation based on?</w:t>
            </w:r>
          </w:p>
        </w:tc>
      </w:tr>
      <w:tr w:rsidR="00BD5456" w:rsidRPr="00036D7F" w14:paraId="112F4A65" w14:textId="77777777" w:rsidTr="00036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87" w:type="dxa"/>
            <w:shd w:val="clear" w:color="auto" w:fill="FFFFFF" w:themeFill="background2"/>
          </w:tcPr>
          <w:p w14:paraId="1BB9DC1E" w14:textId="77777777" w:rsidR="00BD5456" w:rsidRPr="00036D7F" w:rsidRDefault="00BD5456" w:rsidP="00E26D3C">
            <w:pPr>
              <w:pStyle w:val="Tablesmalltext"/>
              <w:widowControl w:val="0"/>
              <w:jc w:val="left"/>
              <w:rPr>
                <w:rStyle w:val="Strong"/>
                <w:rFonts w:ascii="Calibri" w:hAnsi="Calibri" w:cstheme="minorHAnsi"/>
                <w:b/>
                <w:sz w:val="18"/>
                <w:szCs w:val="18"/>
                <w:lang w:eastAsia="zh-CN"/>
              </w:rPr>
            </w:pPr>
            <w:r w:rsidRPr="00036D7F">
              <w:rPr>
                <w:rStyle w:val="Strong"/>
                <w:rFonts w:ascii="Calibri" w:hAnsi="Calibri" w:cstheme="minorHAnsi"/>
                <w:bCs w:val="0"/>
                <w:sz w:val="18"/>
                <w:szCs w:val="18"/>
              </w:rPr>
              <w:t>What did CEW contribute to the composition and abundance of macroinvertebrate groups in the lower Goulburn River? Specifically, what combination of freshes and low flows are required to maximise key macroinvertebrate groups in the river?</w:t>
            </w:r>
          </w:p>
        </w:tc>
        <w:tc>
          <w:tcPr>
            <w:tcW w:w="1559" w:type="dxa"/>
            <w:shd w:val="clear" w:color="auto" w:fill="FFFFFF" w:themeFill="background2"/>
          </w:tcPr>
          <w:p w14:paraId="443E335B" w14:textId="77777777" w:rsidR="00BD5456" w:rsidRPr="00036D7F" w:rsidRDefault="00BD5456" w:rsidP="00E26D3C">
            <w:pPr>
              <w:pStyle w:val="Tablesmalltext"/>
              <w:jc w:val="left"/>
              <w:cnfStyle w:val="000000100000" w:firstRow="0" w:lastRow="0" w:firstColumn="0" w:lastColumn="0" w:oddVBand="0" w:evenVBand="0" w:oddHBand="1" w:evenHBand="0" w:firstRowFirstColumn="0" w:firstRowLastColumn="0" w:lastRowFirstColumn="0" w:lastRowLastColumn="0"/>
              <w:rPr>
                <w:rStyle w:val="Strong"/>
                <w:rFonts w:ascii="Calibri" w:hAnsi="Calibri" w:cstheme="minorHAnsi"/>
                <w:b w:val="0"/>
                <w:sz w:val="18"/>
                <w:szCs w:val="18"/>
              </w:rPr>
            </w:pPr>
            <w:r w:rsidRPr="00036D7F">
              <w:rPr>
                <w:rStyle w:val="Strong"/>
                <w:rFonts w:ascii="Calibri" w:hAnsi="Calibri" w:cstheme="minorHAnsi"/>
                <w:b w:val="0"/>
                <w:sz w:val="18"/>
                <w:szCs w:val="18"/>
              </w:rPr>
              <w:t>Yes</w:t>
            </w:r>
          </w:p>
        </w:tc>
        <w:tc>
          <w:tcPr>
            <w:tcW w:w="3261" w:type="dxa"/>
            <w:shd w:val="clear" w:color="auto" w:fill="FFFFFF" w:themeFill="background2"/>
          </w:tcPr>
          <w:p w14:paraId="2144F656" w14:textId="10DDF014" w:rsidR="00BD5456" w:rsidRPr="00036D7F" w:rsidRDefault="00BD5456" w:rsidP="00E26D3C">
            <w:pPr>
              <w:pStyle w:val="Tablesmalltext"/>
              <w:jc w:val="left"/>
              <w:cnfStyle w:val="000000100000" w:firstRow="0" w:lastRow="0" w:firstColumn="0" w:lastColumn="0" w:oddVBand="0" w:evenVBand="0" w:oddHBand="1" w:evenHBand="0" w:firstRowFirstColumn="0" w:firstRowLastColumn="0" w:lastRowFirstColumn="0" w:lastRowLastColumn="0"/>
              <w:rPr>
                <w:rStyle w:val="Strong"/>
                <w:rFonts w:ascii="Calibri" w:hAnsi="Calibri" w:cstheme="minorHAnsi"/>
                <w:b w:val="0"/>
                <w:sz w:val="18"/>
                <w:szCs w:val="18"/>
              </w:rPr>
            </w:pPr>
            <w:r w:rsidRPr="00036D7F">
              <w:rPr>
                <w:rStyle w:val="Strong"/>
                <w:rFonts w:ascii="Calibri" w:hAnsi="Calibri" w:cstheme="minorHAnsi"/>
                <w:b w:val="0"/>
                <w:sz w:val="18"/>
                <w:szCs w:val="18"/>
              </w:rPr>
              <w:t>An increase in overall macroinvertebrate abundance after CEW delivery that continued to be high throughout December-F</w:t>
            </w:r>
            <w:r w:rsidRPr="00036D7F">
              <w:rPr>
                <w:rStyle w:val="Strong"/>
                <w:rFonts w:ascii="Calibri" w:hAnsi="Calibri"/>
                <w:b w:val="0"/>
                <w:sz w:val="18"/>
                <w:szCs w:val="18"/>
              </w:rPr>
              <w:t>ebruary</w:t>
            </w:r>
            <w:r w:rsidRPr="00036D7F">
              <w:rPr>
                <w:rStyle w:val="Strong"/>
                <w:rFonts w:ascii="Calibri" w:hAnsi="Calibri" w:cstheme="minorHAnsi"/>
                <w:b w:val="0"/>
                <w:sz w:val="18"/>
                <w:szCs w:val="18"/>
              </w:rPr>
              <w:t>. This is likely to be a combination of a seasonal increase and flow contributions. Further data are needed to understand the best combinations of freshes and low flows to maximise key macroinvertebrate groups.</w:t>
            </w:r>
          </w:p>
        </w:tc>
        <w:tc>
          <w:tcPr>
            <w:tcW w:w="2268" w:type="dxa"/>
            <w:shd w:val="clear" w:color="auto" w:fill="FFFFFF" w:themeFill="background2"/>
          </w:tcPr>
          <w:p w14:paraId="6DAB17A2" w14:textId="77777777" w:rsidR="00BD5456" w:rsidRPr="00036D7F" w:rsidRDefault="00BD5456" w:rsidP="00E26D3C">
            <w:pPr>
              <w:pStyle w:val="Tablesmalltext"/>
              <w:jc w:val="left"/>
              <w:cnfStyle w:val="000000100000" w:firstRow="0" w:lastRow="0" w:firstColumn="0" w:lastColumn="0" w:oddVBand="0" w:evenVBand="0" w:oddHBand="1" w:evenHBand="0" w:firstRowFirstColumn="0" w:firstRowLastColumn="0" w:lastRowFirstColumn="0" w:lastRowLastColumn="0"/>
              <w:rPr>
                <w:rStyle w:val="Strong"/>
                <w:rFonts w:ascii="Calibri" w:hAnsi="Calibri" w:cstheme="minorHAnsi"/>
                <w:b w:val="0"/>
                <w:sz w:val="18"/>
                <w:szCs w:val="18"/>
              </w:rPr>
            </w:pPr>
            <w:r w:rsidRPr="00036D7F">
              <w:rPr>
                <w:rStyle w:val="Strong"/>
                <w:rFonts w:ascii="Calibri" w:hAnsi="Calibri" w:cstheme="minorHAnsi"/>
                <w:b w:val="0"/>
                <w:sz w:val="18"/>
                <w:szCs w:val="18"/>
              </w:rPr>
              <w:t xml:space="preserve">Qualitative observations of macroinvertebrate taxa sampled across sites along the lower Goulburn River during multiple time periods. </w:t>
            </w:r>
          </w:p>
          <w:p w14:paraId="57B68C40" w14:textId="77777777" w:rsidR="00BD5456" w:rsidRPr="00036D7F" w:rsidRDefault="00BD5456" w:rsidP="00E26D3C">
            <w:pPr>
              <w:pStyle w:val="Tablesmalltext"/>
              <w:jc w:val="left"/>
              <w:cnfStyle w:val="000000100000" w:firstRow="0" w:lastRow="0" w:firstColumn="0" w:lastColumn="0" w:oddVBand="0" w:evenVBand="0" w:oddHBand="1" w:evenHBand="0" w:firstRowFirstColumn="0" w:firstRowLastColumn="0" w:lastRowFirstColumn="0" w:lastRowLastColumn="0"/>
              <w:rPr>
                <w:rStyle w:val="Strong"/>
                <w:rFonts w:ascii="Calibri" w:hAnsi="Calibri" w:cstheme="minorHAnsi"/>
                <w:b w:val="0"/>
                <w:bCs w:val="0"/>
                <w:sz w:val="18"/>
                <w:szCs w:val="18"/>
              </w:rPr>
            </w:pPr>
          </w:p>
        </w:tc>
      </w:tr>
      <w:tr w:rsidR="00BD5456" w:rsidRPr="00BA2632" w14:paraId="4EC4572B" w14:textId="77777777" w:rsidTr="00036D7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87" w:type="dxa"/>
            <w:shd w:val="clear" w:color="auto" w:fill="FFFFFF" w:themeFill="background2"/>
          </w:tcPr>
          <w:p w14:paraId="5E45C1AE" w14:textId="77777777" w:rsidR="00BD5456" w:rsidRPr="00036D7F" w:rsidRDefault="00BD5456" w:rsidP="00E26D3C">
            <w:pPr>
              <w:pStyle w:val="Tablesmalltext"/>
              <w:jc w:val="left"/>
              <w:rPr>
                <w:rStyle w:val="Strong"/>
                <w:rFonts w:ascii="Calibri" w:hAnsi="Calibri" w:cstheme="minorHAnsi"/>
                <w:sz w:val="18"/>
                <w:szCs w:val="18"/>
              </w:rPr>
            </w:pPr>
            <w:r w:rsidRPr="00036D7F">
              <w:rPr>
                <w:rStyle w:val="Strong"/>
                <w:rFonts w:ascii="Calibri" w:hAnsi="Calibri" w:cstheme="minorHAnsi"/>
                <w:bCs w:val="0"/>
                <w:sz w:val="18"/>
                <w:szCs w:val="18"/>
              </w:rPr>
              <w:t xml:space="preserve">What does CEW and other natural flow events contribute to crustacean growth, reproduction and biomass in the Goulburn Catchment and exploitation of novel habitats by these large-bodies crustaceans? Specifically, what combination of flows are required to maximise large-bodied crustacean growth, </w:t>
            </w:r>
            <w:proofErr w:type="gramStart"/>
            <w:r w:rsidRPr="00036D7F">
              <w:rPr>
                <w:rStyle w:val="Strong"/>
                <w:rFonts w:ascii="Calibri" w:hAnsi="Calibri" w:cstheme="minorHAnsi"/>
                <w:bCs w:val="0"/>
                <w:sz w:val="18"/>
                <w:szCs w:val="18"/>
              </w:rPr>
              <w:t>reproduction</w:t>
            </w:r>
            <w:proofErr w:type="gramEnd"/>
            <w:r w:rsidRPr="00036D7F">
              <w:rPr>
                <w:rStyle w:val="Strong"/>
                <w:rFonts w:ascii="Calibri" w:hAnsi="Calibri" w:cstheme="minorHAnsi"/>
                <w:bCs w:val="0"/>
                <w:sz w:val="18"/>
                <w:szCs w:val="18"/>
              </w:rPr>
              <w:t xml:space="preserve"> and biomass in the river?</w:t>
            </w:r>
          </w:p>
        </w:tc>
        <w:tc>
          <w:tcPr>
            <w:tcW w:w="1559" w:type="dxa"/>
            <w:shd w:val="clear" w:color="auto" w:fill="FFFFFF" w:themeFill="background2"/>
          </w:tcPr>
          <w:p w14:paraId="35242ADF" w14:textId="77777777" w:rsidR="00BD5456" w:rsidRPr="00036D7F" w:rsidRDefault="00BD5456" w:rsidP="00E26D3C">
            <w:pPr>
              <w:pStyle w:val="Tablesmalltext"/>
              <w:jc w:val="left"/>
              <w:cnfStyle w:val="000000010000" w:firstRow="0" w:lastRow="0" w:firstColumn="0" w:lastColumn="0" w:oddVBand="0" w:evenVBand="0" w:oddHBand="0" w:evenHBand="1" w:firstRowFirstColumn="0" w:firstRowLastColumn="0" w:lastRowFirstColumn="0" w:lastRowLastColumn="0"/>
              <w:rPr>
                <w:rStyle w:val="Strong"/>
                <w:rFonts w:ascii="Calibri" w:hAnsi="Calibri" w:cstheme="minorHAnsi"/>
                <w:b w:val="0"/>
                <w:sz w:val="18"/>
                <w:szCs w:val="18"/>
              </w:rPr>
            </w:pPr>
            <w:r w:rsidRPr="00036D7F">
              <w:rPr>
                <w:rStyle w:val="Strong"/>
                <w:rFonts w:ascii="Calibri" w:hAnsi="Calibri" w:cstheme="minorHAnsi"/>
                <w:b w:val="0"/>
                <w:sz w:val="18"/>
                <w:szCs w:val="18"/>
              </w:rPr>
              <w:t>Yes</w:t>
            </w:r>
          </w:p>
        </w:tc>
        <w:tc>
          <w:tcPr>
            <w:tcW w:w="3261" w:type="dxa"/>
            <w:shd w:val="clear" w:color="auto" w:fill="FFFFFF" w:themeFill="background2"/>
          </w:tcPr>
          <w:p w14:paraId="478D6DC0" w14:textId="77777777" w:rsidR="00BD5456" w:rsidRPr="00036D7F" w:rsidRDefault="00BD5456" w:rsidP="00E26D3C">
            <w:pPr>
              <w:pStyle w:val="Tablesmalltext"/>
              <w:jc w:val="left"/>
              <w:cnfStyle w:val="000000010000" w:firstRow="0" w:lastRow="0" w:firstColumn="0" w:lastColumn="0" w:oddVBand="0" w:evenVBand="0" w:oddHBand="0" w:evenHBand="1" w:firstRowFirstColumn="0" w:firstRowLastColumn="0" w:lastRowFirstColumn="0" w:lastRowLastColumn="0"/>
              <w:rPr>
                <w:rStyle w:val="Strong"/>
                <w:rFonts w:ascii="Calibri" w:hAnsi="Calibri" w:cstheme="minorHAnsi"/>
                <w:b w:val="0"/>
                <w:sz w:val="18"/>
                <w:szCs w:val="18"/>
              </w:rPr>
            </w:pPr>
            <w:r w:rsidRPr="00036D7F">
              <w:rPr>
                <w:rStyle w:val="Strong"/>
                <w:rFonts w:ascii="Calibri" w:hAnsi="Calibri" w:cstheme="minorHAnsi"/>
                <w:b w:val="0"/>
                <w:sz w:val="18"/>
                <w:szCs w:val="18"/>
              </w:rPr>
              <w:t>An increase in overall crustacean abundance and biomass after the CEW f</w:t>
            </w:r>
            <w:r w:rsidRPr="00036D7F">
              <w:rPr>
                <w:rStyle w:val="Strong"/>
                <w:rFonts w:ascii="Calibri" w:hAnsi="Calibri" w:cstheme="minorHAnsi"/>
                <w:b w:val="0"/>
                <w:bCs w:val="0"/>
                <w:sz w:val="18"/>
                <w:szCs w:val="18"/>
              </w:rPr>
              <w:t xml:space="preserve">low event </w:t>
            </w:r>
            <w:r w:rsidRPr="00036D7F">
              <w:rPr>
                <w:rStyle w:val="Strong"/>
                <w:rFonts w:ascii="Calibri" w:hAnsi="Calibri" w:cstheme="minorHAnsi"/>
                <w:b w:val="0"/>
                <w:sz w:val="18"/>
                <w:szCs w:val="18"/>
              </w:rPr>
              <w:t>that continued to be high throughout December-F</w:t>
            </w:r>
            <w:r w:rsidRPr="00036D7F">
              <w:rPr>
                <w:rStyle w:val="Strong"/>
                <w:rFonts w:ascii="Calibri" w:hAnsi="Calibri"/>
                <w:b w:val="0"/>
                <w:sz w:val="18"/>
                <w:szCs w:val="18"/>
              </w:rPr>
              <w:t>ebruary</w:t>
            </w:r>
            <w:r w:rsidRPr="00036D7F">
              <w:rPr>
                <w:rStyle w:val="Strong"/>
                <w:rFonts w:ascii="Calibri" w:hAnsi="Calibri" w:cstheme="minorHAnsi"/>
                <w:b w:val="0"/>
                <w:sz w:val="18"/>
                <w:szCs w:val="18"/>
              </w:rPr>
              <w:t>. This is likely to be a combination of a seasonal increase and flow contributions.</w:t>
            </w:r>
          </w:p>
          <w:p w14:paraId="17B83632" w14:textId="77777777" w:rsidR="00BD5456" w:rsidRPr="00036D7F" w:rsidRDefault="00BD5456" w:rsidP="00E26D3C">
            <w:pPr>
              <w:pStyle w:val="Tablesmalltext"/>
              <w:jc w:val="left"/>
              <w:cnfStyle w:val="000000010000" w:firstRow="0" w:lastRow="0" w:firstColumn="0" w:lastColumn="0" w:oddVBand="0" w:evenVBand="0" w:oddHBand="0" w:evenHBand="1" w:firstRowFirstColumn="0" w:firstRowLastColumn="0" w:lastRowFirstColumn="0" w:lastRowLastColumn="0"/>
              <w:rPr>
                <w:rStyle w:val="Strong"/>
                <w:rFonts w:ascii="Calibri" w:hAnsi="Calibri" w:cstheme="minorHAnsi"/>
                <w:b w:val="0"/>
                <w:sz w:val="18"/>
                <w:szCs w:val="18"/>
              </w:rPr>
            </w:pPr>
            <w:r w:rsidRPr="00036D7F">
              <w:rPr>
                <w:rStyle w:val="Strong"/>
                <w:rFonts w:ascii="Calibri" w:hAnsi="Calibri" w:cstheme="minorHAnsi"/>
                <w:b w:val="0"/>
                <w:sz w:val="18"/>
                <w:szCs w:val="18"/>
              </w:rPr>
              <w:t>Evidence of reproduction and recruitment after the CEW spring fresh delivery with high numbers of immature crustaceans observed in D</w:t>
            </w:r>
            <w:r w:rsidRPr="00036D7F">
              <w:rPr>
                <w:rStyle w:val="Strong"/>
                <w:rFonts w:ascii="Calibri" w:hAnsi="Calibri"/>
                <w:b w:val="0"/>
                <w:sz w:val="18"/>
                <w:szCs w:val="18"/>
              </w:rPr>
              <w:t xml:space="preserve">ecember and </w:t>
            </w:r>
            <w:r w:rsidRPr="00036D7F">
              <w:rPr>
                <w:rStyle w:val="Strong"/>
                <w:rFonts w:ascii="Calibri" w:hAnsi="Calibri" w:cstheme="minorHAnsi"/>
                <w:b w:val="0"/>
                <w:sz w:val="18"/>
                <w:szCs w:val="18"/>
              </w:rPr>
              <w:t xml:space="preserve">January. </w:t>
            </w:r>
          </w:p>
          <w:p w14:paraId="1103CEAB" w14:textId="77777777" w:rsidR="00BD5456" w:rsidRPr="00036D7F" w:rsidRDefault="00BD5456" w:rsidP="00E26D3C">
            <w:pPr>
              <w:pStyle w:val="Tablesmalltext"/>
              <w:jc w:val="left"/>
              <w:cnfStyle w:val="000000010000" w:firstRow="0" w:lastRow="0" w:firstColumn="0" w:lastColumn="0" w:oddVBand="0" w:evenVBand="0" w:oddHBand="0" w:evenHBand="1" w:firstRowFirstColumn="0" w:firstRowLastColumn="0" w:lastRowFirstColumn="0" w:lastRowLastColumn="0"/>
              <w:rPr>
                <w:rStyle w:val="Strong"/>
                <w:rFonts w:ascii="Calibri" w:hAnsi="Calibri" w:cstheme="minorHAnsi"/>
                <w:b w:val="0"/>
                <w:sz w:val="18"/>
                <w:szCs w:val="18"/>
              </w:rPr>
            </w:pPr>
            <w:r w:rsidRPr="00036D7F">
              <w:rPr>
                <w:rStyle w:val="Strong"/>
                <w:rFonts w:ascii="Calibri" w:hAnsi="Calibri" w:cstheme="minorHAnsi"/>
                <w:b w:val="0"/>
                <w:sz w:val="18"/>
                <w:szCs w:val="18"/>
              </w:rPr>
              <w:t>Some taxa showed increased abundances in Year 2 compared to Year 1 following high unregulated flows in winter-spring 2020.</w:t>
            </w:r>
          </w:p>
        </w:tc>
        <w:tc>
          <w:tcPr>
            <w:tcW w:w="2268" w:type="dxa"/>
            <w:shd w:val="clear" w:color="auto" w:fill="FFFFFF" w:themeFill="background2"/>
          </w:tcPr>
          <w:p w14:paraId="5A1C39EE" w14:textId="77777777" w:rsidR="00BD5456" w:rsidRPr="00036D7F" w:rsidRDefault="00BD5456" w:rsidP="00E26D3C">
            <w:pPr>
              <w:pStyle w:val="Tablesmalltext"/>
              <w:jc w:val="left"/>
              <w:cnfStyle w:val="000000010000" w:firstRow="0" w:lastRow="0" w:firstColumn="0" w:lastColumn="0" w:oddVBand="0" w:evenVBand="0" w:oddHBand="0" w:evenHBand="1" w:firstRowFirstColumn="0" w:firstRowLastColumn="0" w:lastRowFirstColumn="0" w:lastRowLastColumn="0"/>
              <w:rPr>
                <w:rStyle w:val="Strong"/>
                <w:rFonts w:ascii="Calibri" w:hAnsi="Calibri" w:cstheme="minorHAnsi"/>
                <w:b w:val="0"/>
                <w:sz w:val="18"/>
                <w:szCs w:val="18"/>
              </w:rPr>
            </w:pPr>
            <w:r w:rsidRPr="00036D7F">
              <w:rPr>
                <w:rStyle w:val="Strong"/>
                <w:rFonts w:ascii="Calibri" w:hAnsi="Calibri" w:cstheme="minorHAnsi"/>
                <w:b w:val="0"/>
                <w:sz w:val="18"/>
                <w:szCs w:val="18"/>
              </w:rPr>
              <w:t xml:space="preserve">Qualitative observations of crustacean taxa (abundance, biomass, reproduction) sampled across a </w:t>
            </w:r>
            <w:proofErr w:type="gramStart"/>
            <w:r w:rsidRPr="00036D7F">
              <w:rPr>
                <w:rStyle w:val="Strong"/>
                <w:rFonts w:ascii="Calibri" w:hAnsi="Calibri" w:cstheme="minorHAnsi"/>
                <w:b w:val="0"/>
                <w:sz w:val="18"/>
                <w:szCs w:val="18"/>
              </w:rPr>
              <w:t>sites</w:t>
            </w:r>
            <w:proofErr w:type="gramEnd"/>
            <w:r w:rsidRPr="00036D7F">
              <w:rPr>
                <w:rStyle w:val="Strong"/>
                <w:rFonts w:ascii="Calibri" w:hAnsi="Calibri" w:cstheme="minorHAnsi"/>
                <w:b w:val="0"/>
                <w:sz w:val="18"/>
                <w:szCs w:val="18"/>
              </w:rPr>
              <w:t xml:space="preserve"> along the lower Goulburn River during multiple time periods.</w:t>
            </w:r>
          </w:p>
          <w:p w14:paraId="07E74811" w14:textId="77777777" w:rsidR="00BD5456" w:rsidRPr="00036D7F" w:rsidRDefault="00BD5456" w:rsidP="00E26D3C">
            <w:pPr>
              <w:pStyle w:val="Tablesmalltext"/>
              <w:jc w:val="left"/>
              <w:cnfStyle w:val="000000010000" w:firstRow="0" w:lastRow="0" w:firstColumn="0" w:lastColumn="0" w:oddVBand="0" w:evenVBand="0" w:oddHBand="0" w:evenHBand="1" w:firstRowFirstColumn="0" w:firstRowLastColumn="0" w:lastRowFirstColumn="0" w:lastRowLastColumn="0"/>
              <w:rPr>
                <w:rStyle w:val="Strong"/>
                <w:rFonts w:ascii="Calibri" w:hAnsi="Calibri" w:cstheme="minorHAnsi"/>
                <w:b w:val="0"/>
                <w:sz w:val="18"/>
                <w:szCs w:val="18"/>
              </w:rPr>
            </w:pPr>
            <w:r w:rsidRPr="00036D7F">
              <w:rPr>
                <w:rStyle w:val="Strong"/>
                <w:rFonts w:ascii="Calibri" w:hAnsi="Calibri" w:cstheme="minorHAnsi"/>
                <w:b w:val="0"/>
                <w:bCs w:val="0"/>
                <w:sz w:val="18"/>
                <w:szCs w:val="18"/>
              </w:rPr>
              <w:t>A paired t-test comparing Year 2 to Year 1 of various endpoints.</w:t>
            </w:r>
          </w:p>
        </w:tc>
      </w:tr>
    </w:tbl>
    <w:p w14:paraId="7E23A48F" w14:textId="77777777" w:rsidR="00BD5456" w:rsidRPr="00BA2632" w:rsidRDefault="00BD5456" w:rsidP="00270F50">
      <w:pPr>
        <w:rPr>
          <w:lang w:eastAsia="en-US"/>
        </w:rPr>
      </w:pPr>
    </w:p>
    <w:p w14:paraId="4B8015A9" w14:textId="614BC1E3" w:rsidR="00270F50" w:rsidRPr="00BA2632" w:rsidRDefault="00270F50" w:rsidP="00270F50">
      <w:pPr>
        <w:pStyle w:val="Heading2"/>
      </w:pPr>
      <w:bookmarkStart w:id="346" w:name="_Toc84416099"/>
      <w:bookmarkStart w:id="347" w:name="_Toc84417370"/>
      <w:bookmarkStart w:id="348" w:name="_Toc84475686"/>
      <w:r w:rsidRPr="00BA2632">
        <w:t>Monitoring methods and analytical techniques</w:t>
      </w:r>
      <w:bookmarkEnd w:id="346"/>
      <w:bookmarkEnd w:id="347"/>
      <w:bookmarkEnd w:id="348"/>
    </w:p>
    <w:p w14:paraId="172FE6B7" w14:textId="432D30DD" w:rsidR="008419EE" w:rsidRDefault="008419EE" w:rsidP="008419EE">
      <w:pPr>
        <w:pStyle w:val="Heading3"/>
      </w:pPr>
      <w:bookmarkStart w:id="349" w:name="_Toc84417371"/>
      <w:r w:rsidRPr="00BA2632">
        <w:t>Methods</w:t>
      </w:r>
      <w:bookmarkEnd w:id="349"/>
    </w:p>
    <w:p w14:paraId="471AF2E0" w14:textId="75CC9332" w:rsidR="000D5086" w:rsidRPr="00BA2632" w:rsidRDefault="000D5086" w:rsidP="000D5086">
      <w:r w:rsidRPr="00BA2632">
        <w:t xml:space="preserve">The methods used for monitoring macroinvertebrates are given in the MER plan and the Standard Operating Procedures Macroinvertebrates v2.0 </w:t>
      </w:r>
      <w:r w:rsidR="0018467D">
        <w:rPr>
          <w:noProof/>
        </w:rPr>
        <w:t>(The University of Melbourne 2019)</w:t>
      </w:r>
      <w:r w:rsidRPr="00BA2632">
        <w:t>. Two methods were employed at eight sites along the Goulburn River; Rapid bioassessment edge sweep and Bait traps, as briefly described below. The</w:t>
      </w:r>
      <w:r>
        <w:t xml:space="preserve">re are </w:t>
      </w:r>
      <w:r w:rsidRPr="00BA2632">
        <w:t xml:space="preserve">eight sites along the Lower Goulburn and the </w:t>
      </w:r>
      <w:r>
        <w:t xml:space="preserve">samples are collected on </w:t>
      </w:r>
      <w:r w:rsidRPr="00BA2632">
        <w:t xml:space="preserve">5 sampling occasions.  The timing of monitoring, along with significant catchment events is given in </w:t>
      </w:r>
      <w:r w:rsidR="003B048A" w:rsidRPr="00BA2632">
        <w:t xml:space="preserve">Figure </w:t>
      </w:r>
      <w:r w:rsidR="003B048A">
        <w:rPr>
          <w:noProof/>
        </w:rPr>
        <w:t>6</w:t>
      </w:r>
      <w:r w:rsidR="003B048A">
        <w:rPr>
          <w:noProof/>
        </w:rPr>
        <w:noBreakHyphen/>
        <w:t>1</w:t>
      </w:r>
      <w:r w:rsidRPr="00BA2632">
        <w:t xml:space="preserve"> and </w:t>
      </w:r>
      <w:r w:rsidR="003B048A" w:rsidRPr="00BA2632">
        <w:t xml:space="preserve">Table </w:t>
      </w:r>
      <w:r w:rsidR="003B048A">
        <w:rPr>
          <w:noProof/>
        </w:rPr>
        <w:t>6</w:t>
      </w:r>
      <w:r w:rsidR="003B048A">
        <w:rPr>
          <w:noProof/>
        </w:rPr>
        <w:noBreakHyphen/>
        <w:t>3</w:t>
      </w:r>
      <w:r w:rsidRPr="00BA2632">
        <w:t>.</w:t>
      </w:r>
    </w:p>
    <w:p w14:paraId="6FE46924" w14:textId="180966B4" w:rsidR="000D5086" w:rsidRPr="00BA2632" w:rsidRDefault="000D5086" w:rsidP="000D5086">
      <w:r w:rsidRPr="00BA2632">
        <w:t xml:space="preserve">The first method, Rapid Bioassessment edge sweep (RBA) samples, were conducted at all sites, following the methodology outlined in the EPA Victoria Rapid Bioassessment protocols </w:t>
      </w:r>
      <w:r w:rsidRPr="00BA2632">
        <w:rPr>
          <w:noProof/>
        </w:rPr>
        <w:t>(2003)</w:t>
      </w:r>
      <w:r w:rsidRPr="00BA2632">
        <w:t xml:space="preserve">. Sampling involves taking 10 meters of sweep samples across a representative selection of the edge habitats at each site. The contents of the sample were placed in a sampling tray, and picked for 30 minutes, with an emphasis on targeting macroinvertebrates &gt;5 mm. The live pick sample, and remaining bulk sample were preserved in separate jars of 100% ethanol for analysis in the laboratory.  </w:t>
      </w:r>
    </w:p>
    <w:p w14:paraId="28A28E41" w14:textId="6C3ADC70" w:rsidR="000D5086" w:rsidRPr="00BA2632" w:rsidRDefault="000D5086" w:rsidP="000D5086">
      <w:r w:rsidRPr="00BA2632">
        <w:t>The second method, Bait Traps, specifically targeted large</w:t>
      </w:r>
      <w:r>
        <w:t>-</w:t>
      </w:r>
      <w:r w:rsidRPr="00BA2632">
        <w:t xml:space="preserve">bodied crustaceans and was conducted at all sites. Five bait traps were deployed overnight at each site. The traps were placed among complex habitat, such as macrophytes or snags where possible. The surrounding habitat, depth and flow rate were recorded surrounding each bait trap. Upon retrieval, all </w:t>
      </w:r>
      <w:r w:rsidRPr="00BA2632">
        <w:lastRenderedPageBreak/>
        <w:t xml:space="preserve">crustaceans were removed from the bait traps and stored in 100% ethanol for analysis in </w:t>
      </w:r>
      <w:r w:rsidR="004D7650">
        <w:t xml:space="preserve">the </w:t>
      </w:r>
      <w:r w:rsidRPr="00BA2632">
        <w:t>laboratory except for yabbies (</w:t>
      </w:r>
      <w:proofErr w:type="spellStart"/>
      <w:r w:rsidRPr="00BA2632">
        <w:rPr>
          <w:i/>
          <w:iCs/>
        </w:rPr>
        <w:t>Cherax</w:t>
      </w:r>
      <w:proofErr w:type="spellEnd"/>
      <w:r w:rsidRPr="00BA2632">
        <w:t xml:space="preserve"> species), which were counted, measured, </w:t>
      </w:r>
      <w:proofErr w:type="gramStart"/>
      <w:r w:rsidRPr="00BA2632">
        <w:t>weighed</w:t>
      </w:r>
      <w:proofErr w:type="gramEnd"/>
      <w:r w:rsidRPr="00BA2632">
        <w:t xml:space="preserve"> and released back into the river.</w:t>
      </w:r>
    </w:p>
    <w:p w14:paraId="7F3816F8" w14:textId="77777777" w:rsidR="000D5086" w:rsidRPr="00BA2632" w:rsidRDefault="000D5086" w:rsidP="000D5086">
      <w:r w:rsidRPr="00BA2632">
        <w:t>The RBA live pick macroinvertebrates were processed in the laboratory by sorting and identifying macroinvertebrates within the samples to family level where possible, with the exceptions of chironomids, which were identified to sub-family, and immature or damaged specimens, which were identified to the lowest taxonomic level possible. Crustaceans were identified from the live pick as well as from the bulk samples to measure biomass of each of the families present. The crustaceans from the bait trap samples were identified to species in the laboratory and had their carapace lengths measured (from the tip of the rostrum to the end of the carapace). These were air dried for 24 hours, dried in the oven at 60°C for a further 24 hours and weighed.</w:t>
      </w:r>
    </w:p>
    <w:p w14:paraId="25D6339D" w14:textId="77777777" w:rsidR="000D5086" w:rsidRPr="00BA2632" w:rsidRDefault="000D5086" w:rsidP="000D5086">
      <w:pPr>
        <w:pStyle w:val="Para0"/>
        <w:jc w:val="center"/>
      </w:pPr>
      <w:r w:rsidRPr="00BA2632">
        <w:rPr>
          <w:noProof/>
          <w:lang w:val="en-GB"/>
        </w:rPr>
        <w:drawing>
          <wp:inline distT="0" distB="0" distL="0" distR="0" wp14:anchorId="4966A293" wp14:editId="4F5854BE">
            <wp:extent cx="4747844" cy="2662868"/>
            <wp:effectExtent l="0" t="0" r="0" b="0"/>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pic:nvPicPr>
                  <pic:blipFill>
                    <a:blip r:embed="rId56" cstate="email">
                      <a:extLst>
                        <a:ext uri="{28A0092B-C50C-407E-A947-70E740481C1C}">
                          <a14:useLocalDpi xmlns:a14="http://schemas.microsoft.com/office/drawing/2010/main"/>
                        </a:ext>
                      </a:extLst>
                    </a:blip>
                    <a:stretch>
                      <a:fillRect/>
                    </a:stretch>
                  </pic:blipFill>
                  <pic:spPr>
                    <a:xfrm>
                      <a:off x="0" y="0"/>
                      <a:ext cx="4747844" cy="2662868"/>
                    </a:xfrm>
                    <a:prstGeom prst="rect">
                      <a:avLst/>
                    </a:prstGeom>
                  </pic:spPr>
                </pic:pic>
              </a:graphicData>
            </a:graphic>
          </wp:inline>
        </w:drawing>
      </w:r>
    </w:p>
    <w:p w14:paraId="2586C9E8" w14:textId="0CC48F2A" w:rsidR="000D5086" w:rsidRDefault="000D5086" w:rsidP="000D5086">
      <w:pPr>
        <w:pStyle w:val="Caption"/>
      </w:pPr>
      <w:bookmarkStart w:id="350" w:name="_Ref49172132"/>
      <w:bookmarkStart w:id="351" w:name="_Toc83907761"/>
      <w:bookmarkStart w:id="352" w:name="_Toc84475738"/>
      <w:r w:rsidRPr="00BA2632">
        <w:t xml:space="preserve">Figure </w:t>
      </w:r>
      <w:r w:rsidR="00B85158">
        <w:rPr>
          <w:noProof/>
        </w:rPr>
        <w:t>6</w:t>
      </w:r>
      <w:r w:rsidR="00B85158">
        <w:noBreakHyphen/>
      </w:r>
      <w:r w:rsidR="00B85158">
        <w:rPr>
          <w:noProof/>
        </w:rPr>
        <w:t>1</w:t>
      </w:r>
      <w:bookmarkEnd w:id="350"/>
      <w:r w:rsidRPr="00BA2632">
        <w:t xml:space="preserve"> Macroinvertebrate sampling in 20</w:t>
      </w:r>
      <w:r>
        <w:t>20</w:t>
      </w:r>
      <w:r w:rsidRPr="00BA2632">
        <w:t>-202</w:t>
      </w:r>
      <w:r>
        <w:t>1</w:t>
      </w:r>
      <w:r w:rsidRPr="00BA2632">
        <w:t xml:space="preserve"> pre and post Commonwealth Environmental Water delivery and other flow events.</w:t>
      </w:r>
      <w:bookmarkEnd w:id="351"/>
      <w:bookmarkEnd w:id="352"/>
      <w:r w:rsidRPr="00BA2632">
        <w:t xml:space="preserve"> </w:t>
      </w:r>
      <w:bookmarkStart w:id="353" w:name="_Ref529279587"/>
      <w:bookmarkStart w:id="354" w:name="_Toc5629987"/>
    </w:p>
    <w:p w14:paraId="3EFC81C7" w14:textId="64C3F545" w:rsidR="000D5086" w:rsidRPr="00BA2632" w:rsidRDefault="000D5086" w:rsidP="000D5086">
      <w:pPr>
        <w:pStyle w:val="Caption"/>
        <w:keepNext/>
      </w:pPr>
      <w:bookmarkStart w:id="355" w:name="_Ref49172160"/>
      <w:bookmarkStart w:id="356" w:name="_Toc95391483"/>
      <w:r w:rsidRPr="00BA2632">
        <w:t xml:space="preserve">Table </w:t>
      </w:r>
      <w:r w:rsidR="000B75AF">
        <w:rPr>
          <w:noProof/>
        </w:rPr>
        <w:t>6</w:t>
      </w:r>
      <w:r w:rsidR="000B75AF">
        <w:noBreakHyphen/>
      </w:r>
      <w:r w:rsidR="000B75AF">
        <w:rPr>
          <w:noProof/>
        </w:rPr>
        <w:t>3</w:t>
      </w:r>
      <w:bookmarkEnd w:id="355"/>
      <w:r w:rsidRPr="00BA2632">
        <w:t xml:space="preserve"> Macroinvertebrate and crustacean sampling times and significant events on the Goulburn River during 20</w:t>
      </w:r>
      <w:r>
        <w:t>20</w:t>
      </w:r>
      <w:r w:rsidRPr="00BA2632">
        <w:t>-2</w:t>
      </w:r>
      <w:r>
        <w:t>1</w:t>
      </w:r>
      <w:r w:rsidRPr="00BA2632">
        <w:t xml:space="preserve">. CEW = Commonwealth </w:t>
      </w:r>
      <w:r>
        <w:t>e</w:t>
      </w:r>
      <w:r w:rsidRPr="00BA2632">
        <w:t xml:space="preserve">nvironmental </w:t>
      </w:r>
      <w:r>
        <w:t>w</w:t>
      </w:r>
      <w:r w:rsidRPr="00BA2632">
        <w:t xml:space="preserve">ater delivered as spring freshes. Pre-CEW = pre-Commonwealth </w:t>
      </w:r>
      <w:r>
        <w:t>e</w:t>
      </w:r>
      <w:r w:rsidRPr="00BA2632">
        <w:t xml:space="preserve">nvironmental </w:t>
      </w:r>
      <w:r>
        <w:t>w</w:t>
      </w:r>
      <w:r w:rsidRPr="00BA2632">
        <w:t xml:space="preserve">ater delivery (before spring fresh); Post-CEW = post-Commonwealth </w:t>
      </w:r>
      <w:r>
        <w:t>e</w:t>
      </w:r>
      <w:r w:rsidRPr="00BA2632">
        <w:t xml:space="preserve">nvironmental </w:t>
      </w:r>
      <w:r>
        <w:t>w</w:t>
      </w:r>
      <w:r w:rsidRPr="00BA2632">
        <w:t>ater delivery (after spring fresh).</w:t>
      </w:r>
      <w:bookmarkEnd w:id="356"/>
      <w:r w:rsidRPr="00BA2632">
        <w:t xml:space="preserve"> </w:t>
      </w:r>
    </w:p>
    <w:tbl>
      <w:tblPr>
        <w:tblStyle w:val="TableGrid"/>
        <w:tblW w:w="10792" w:type="dxa"/>
        <w:tblInd w:w="-429" w:type="dxa"/>
        <w:tblLayout w:type="fixed"/>
        <w:tblLook w:val="04A0" w:firstRow="1" w:lastRow="0" w:firstColumn="1" w:lastColumn="0" w:noHBand="0" w:noVBand="1"/>
      </w:tblPr>
      <w:tblGrid>
        <w:gridCol w:w="846"/>
        <w:gridCol w:w="1848"/>
        <w:gridCol w:w="992"/>
        <w:gridCol w:w="567"/>
        <w:gridCol w:w="1279"/>
        <w:gridCol w:w="1701"/>
        <w:gridCol w:w="1000"/>
        <w:gridCol w:w="993"/>
        <w:gridCol w:w="567"/>
        <w:gridCol w:w="705"/>
        <w:gridCol w:w="294"/>
      </w:tblGrid>
      <w:tr w:rsidR="001D60A8" w:rsidRPr="00BA2632" w14:paraId="05578B6F" w14:textId="77777777" w:rsidTr="00F70B58">
        <w:trPr>
          <w:cnfStyle w:val="100000000000" w:firstRow="1" w:lastRow="0" w:firstColumn="0" w:lastColumn="0" w:oddVBand="0" w:evenVBand="0" w:oddHBand="0"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846" w:type="dxa"/>
            <w:shd w:val="clear" w:color="auto" w:fill="094183" w:themeFill="accent1"/>
          </w:tcPr>
          <w:p w14:paraId="780B877B" w14:textId="77777777" w:rsidR="000D5086" w:rsidRPr="00BA2632" w:rsidRDefault="000D5086" w:rsidP="00E26D3C">
            <w:pPr>
              <w:pStyle w:val="Tabletext"/>
              <w:rPr>
                <w:rFonts w:asciiTheme="minorHAnsi" w:hAnsiTheme="minorHAnsi" w:cstheme="minorHAnsi"/>
                <w:sz w:val="16"/>
                <w:szCs w:val="16"/>
              </w:rPr>
            </w:pPr>
          </w:p>
        </w:tc>
        <w:tc>
          <w:tcPr>
            <w:tcW w:w="1848" w:type="dxa"/>
            <w:shd w:val="clear" w:color="auto" w:fill="094183" w:themeFill="accent1"/>
          </w:tcPr>
          <w:p w14:paraId="6D5971DE" w14:textId="77777777" w:rsidR="000D5086" w:rsidRPr="00BA2632" w:rsidRDefault="000D5086" w:rsidP="00E26D3C">
            <w:pPr>
              <w:pStyle w:val="Table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p>
        </w:tc>
        <w:tc>
          <w:tcPr>
            <w:tcW w:w="1559" w:type="dxa"/>
            <w:gridSpan w:val="2"/>
            <w:shd w:val="clear" w:color="auto" w:fill="094183" w:themeFill="accent1"/>
          </w:tcPr>
          <w:p w14:paraId="1B7238FA" w14:textId="77777777" w:rsidR="000D5086" w:rsidRPr="00BA2632" w:rsidRDefault="000D5086" w:rsidP="00E26D3C">
            <w:pPr>
              <w:pStyle w:val="Table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p>
        </w:tc>
        <w:tc>
          <w:tcPr>
            <w:tcW w:w="6245" w:type="dxa"/>
            <w:gridSpan w:val="6"/>
            <w:shd w:val="clear" w:color="auto" w:fill="094183" w:themeFill="accent1"/>
            <w:vAlign w:val="center"/>
          </w:tcPr>
          <w:p w14:paraId="080094E2" w14:textId="77777777" w:rsidR="000D5086" w:rsidRPr="00BA2632" w:rsidRDefault="000D5086" w:rsidP="00E26D3C">
            <w:pPr>
              <w:pStyle w:val="Table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Sampling dates</w:t>
            </w:r>
          </w:p>
        </w:tc>
        <w:tc>
          <w:tcPr>
            <w:tcW w:w="294" w:type="dxa"/>
            <w:shd w:val="clear" w:color="auto" w:fill="094183" w:themeFill="accent1"/>
          </w:tcPr>
          <w:p w14:paraId="195C4F36" w14:textId="77777777" w:rsidR="000D5086" w:rsidRPr="00BA2632" w:rsidRDefault="000D5086" w:rsidP="00E26D3C">
            <w:pPr>
              <w:pStyle w:val="Table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p>
        </w:tc>
      </w:tr>
      <w:tr w:rsidR="004A0264" w:rsidRPr="00BA2632" w14:paraId="3EB7818E" w14:textId="77777777" w:rsidTr="00F70B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094183" w:themeFill="accent1"/>
          </w:tcPr>
          <w:p w14:paraId="0A8CD960" w14:textId="77777777" w:rsidR="000D5086" w:rsidRPr="00BA2632" w:rsidRDefault="000D5086" w:rsidP="00E26D3C">
            <w:pPr>
              <w:pStyle w:val="Tabletext"/>
              <w:jc w:val="center"/>
              <w:rPr>
                <w:rFonts w:asciiTheme="minorHAnsi" w:hAnsiTheme="minorHAnsi" w:cstheme="minorHAnsi"/>
                <w:sz w:val="16"/>
                <w:szCs w:val="16"/>
              </w:rPr>
            </w:pPr>
            <w:r w:rsidRPr="00BA2632">
              <w:rPr>
                <w:rFonts w:asciiTheme="minorHAnsi" w:hAnsiTheme="minorHAnsi" w:cstheme="minorHAnsi"/>
                <w:sz w:val="16"/>
                <w:szCs w:val="16"/>
              </w:rPr>
              <w:t>Activity / event</w:t>
            </w:r>
          </w:p>
        </w:tc>
        <w:tc>
          <w:tcPr>
            <w:tcW w:w="1848" w:type="dxa"/>
            <w:shd w:val="clear" w:color="auto" w:fill="094183" w:themeFill="accent1"/>
          </w:tcPr>
          <w:p w14:paraId="587BE641" w14:textId="77777777" w:rsidR="000D5086" w:rsidRPr="00BA2632" w:rsidRDefault="000D5086" w:rsidP="00E26D3C">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Site</w:t>
            </w:r>
          </w:p>
        </w:tc>
        <w:tc>
          <w:tcPr>
            <w:tcW w:w="992" w:type="dxa"/>
            <w:shd w:val="clear" w:color="auto" w:fill="094183" w:themeFill="accent1"/>
          </w:tcPr>
          <w:p w14:paraId="243D362A" w14:textId="77777777" w:rsidR="000D5086" w:rsidRPr="00BA2632" w:rsidRDefault="000D5086" w:rsidP="00E26D3C">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September 20</w:t>
            </w:r>
            <w:r>
              <w:rPr>
                <w:rFonts w:asciiTheme="minorHAnsi" w:hAnsiTheme="minorHAnsi" w:cstheme="minorHAnsi"/>
                <w:sz w:val="16"/>
                <w:szCs w:val="16"/>
              </w:rPr>
              <w:t>20</w:t>
            </w:r>
          </w:p>
        </w:tc>
        <w:tc>
          <w:tcPr>
            <w:tcW w:w="1846" w:type="dxa"/>
            <w:gridSpan w:val="2"/>
            <w:shd w:val="clear" w:color="auto" w:fill="094183" w:themeFill="accent1"/>
          </w:tcPr>
          <w:p w14:paraId="5B53A7F9" w14:textId="77777777" w:rsidR="000D5086" w:rsidRPr="00BA2632" w:rsidRDefault="000D5086" w:rsidP="00E26D3C">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November 2020</w:t>
            </w:r>
          </w:p>
        </w:tc>
        <w:tc>
          <w:tcPr>
            <w:tcW w:w="1701" w:type="dxa"/>
            <w:shd w:val="clear" w:color="auto" w:fill="094183" w:themeFill="accent1"/>
          </w:tcPr>
          <w:p w14:paraId="335FD692" w14:textId="77777777" w:rsidR="000D5086" w:rsidRPr="00BA2632" w:rsidRDefault="000D5086" w:rsidP="00E26D3C">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December 20</w:t>
            </w:r>
            <w:r>
              <w:rPr>
                <w:rFonts w:asciiTheme="minorHAnsi" w:hAnsiTheme="minorHAnsi" w:cstheme="minorHAnsi"/>
                <w:sz w:val="16"/>
                <w:szCs w:val="16"/>
              </w:rPr>
              <w:t>20</w:t>
            </w:r>
          </w:p>
        </w:tc>
        <w:tc>
          <w:tcPr>
            <w:tcW w:w="1000" w:type="dxa"/>
            <w:shd w:val="clear" w:color="auto" w:fill="094183" w:themeFill="accent1"/>
          </w:tcPr>
          <w:p w14:paraId="7EB77414" w14:textId="77777777" w:rsidR="000D5086" w:rsidRPr="00BA2632" w:rsidRDefault="000D5086" w:rsidP="00E26D3C">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January 202</w:t>
            </w:r>
            <w:r>
              <w:rPr>
                <w:rFonts w:asciiTheme="minorHAnsi" w:hAnsiTheme="minorHAnsi" w:cstheme="minorHAnsi"/>
                <w:sz w:val="16"/>
                <w:szCs w:val="16"/>
              </w:rPr>
              <w:t>1</w:t>
            </w:r>
          </w:p>
        </w:tc>
        <w:tc>
          <w:tcPr>
            <w:tcW w:w="993" w:type="dxa"/>
            <w:shd w:val="clear" w:color="auto" w:fill="094183" w:themeFill="accent1"/>
          </w:tcPr>
          <w:p w14:paraId="5EED29AF" w14:textId="77777777" w:rsidR="000D5086" w:rsidRPr="00BA2632" w:rsidRDefault="000D5086" w:rsidP="00E26D3C">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February 202</w:t>
            </w:r>
            <w:r>
              <w:rPr>
                <w:rFonts w:asciiTheme="minorHAnsi" w:hAnsiTheme="minorHAnsi" w:cstheme="minorHAnsi"/>
                <w:sz w:val="16"/>
                <w:szCs w:val="16"/>
              </w:rPr>
              <w:t>1</w:t>
            </w:r>
          </w:p>
        </w:tc>
        <w:tc>
          <w:tcPr>
            <w:tcW w:w="567" w:type="dxa"/>
            <w:shd w:val="clear" w:color="auto" w:fill="094183" w:themeFill="accent1"/>
          </w:tcPr>
          <w:p w14:paraId="4B6519AE" w14:textId="77777777" w:rsidR="000D5086" w:rsidRPr="00BA2632" w:rsidRDefault="000D5086" w:rsidP="00E26D3C">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March 202</w:t>
            </w:r>
            <w:r>
              <w:rPr>
                <w:rFonts w:asciiTheme="minorHAnsi" w:hAnsiTheme="minorHAnsi" w:cstheme="minorHAnsi"/>
                <w:sz w:val="16"/>
                <w:szCs w:val="16"/>
              </w:rPr>
              <w:t>1</w:t>
            </w:r>
          </w:p>
        </w:tc>
        <w:tc>
          <w:tcPr>
            <w:tcW w:w="999" w:type="dxa"/>
            <w:gridSpan w:val="2"/>
            <w:shd w:val="clear" w:color="auto" w:fill="094183" w:themeFill="accent1"/>
          </w:tcPr>
          <w:p w14:paraId="009712C3" w14:textId="77777777" w:rsidR="000D5086" w:rsidRPr="00BA2632" w:rsidRDefault="000D5086" w:rsidP="00E26D3C">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April 2021</w:t>
            </w:r>
          </w:p>
        </w:tc>
      </w:tr>
      <w:tr w:rsidR="001D60A8" w:rsidRPr="00BA2632" w14:paraId="723BAD67" w14:textId="77777777" w:rsidTr="00F70B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0F1FFB4" w14:textId="77777777" w:rsidR="000D5086" w:rsidRPr="00BA2632" w:rsidRDefault="000D5086" w:rsidP="00E26D3C">
            <w:pPr>
              <w:pStyle w:val="Tabletext"/>
              <w:rPr>
                <w:rFonts w:asciiTheme="minorHAnsi" w:hAnsiTheme="minorHAnsi" w:cstheme="minorHAnsi"/>
                <w:sz w:val="16"/>
                <w:szCs w:val="16"/>
              </w:rPr>
            </w:pPr>
            <w:r w:rsidRPr="00BA2632">
              <w:rPr>
                <w:rFonts w:asciiTheme="minorHAnsi" w:hAnsiTheme="minorHAnsi" w:cstheme="minorHAnsi"/>
                <w:sz w:val="16"/>
                <w:szCs w:val="16"/>
              </w:rPr>
              <w:t>Events</w:t>
            </w:r>
          </w:p>
        </w:tc>
        <w:tc>
          <w:tcPr>
            <w:tcW w:w="1848" w:type="dxa"/>
          </w:tcPr>
          <w:p w14:paraId="7EEB5688" w14:textId="77777777" w:rsidR="000D5086" w:rsidRPr="00BA2632" w:rsidRDefault="000D5086" w:rsidP="00E26D3C">
            <w:pPr>
              <w:pStyle w:val="Tabletext"/>
              <w:ind w:left="-50" w:firstLine="5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Goulburn River</w:t>
            </w:r>
          </w:p>
        </w:tc>
        <w:tc>
          <w:tcPr>
            <w:tcW w:w="992" w:type="dxa"/>
          </w:tcPr>
          <w:p w14:paraId="25639DD0"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 xml:space="preserve">CEW start </w:t>
            </w:r>
          </w:p>
        </w:tc>
        <w:tc>
          <w:tcPr>
            <w:tcW w:w="1846" w:type="dxa"/>
            <w:gridSpan w:val="2"/>
          </w:tcPr>
          <w:p w14:paraId="79A9F885"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CEW End; 2</w:t>
            </w:r>
            <w:r w:rsidRPr="00C52958">
              <w:rPr>
                <w:rFonts w:asciiTheme="minorHAnsi" w:hAnsiTheme="minorHAnsi" w:cstheme="minorHAnsi"/>
                <w:sz w:val="16"/>
                <w:szCs w:val="16"/>
                <w:vertAlign w:val="superscript"/>
              </w:rPr>
              <w:t>nd</w:t>
            </w:r>
            <w:r>
              <w:rPr>
                <w:rFonts w:asciiTheme="minorHAnsi" w:hAnsiTheme="minorHAnsi" w:cstheme="minorHAnsi"/>
                <w:sz w:val="16"/>
                <w:szCs w:val="16"/>
              </w:rPr>
              <w:t xml:space="preserve"> CEW Start (small flow)</w:t>
            </w:r>
          </w:p>
        </w:tc>
        <w:tc>
          <w:tcPr>
            <w:tcW w:w="1701" w:type="dxa"/>
          </w:tcPr>
          <w:p w14:paraId="08AFFCDB"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2</w:t>
            </w:r>
            <w:r w:rsidRPr="00B336B0">
              <w:rPr>
                <w:rFonts w:asciiTheme="minorHAnsi" w:hAnsiTheme="minorHAnsi" w:cstheme="minorHAnsi"/>
                <w:sz w:val="16"/>
                <w:szCs w:val="16"/>
                <w:vertAlign w:val="superscript"/>
              </w:rPr>
              <w:t>nd</w:t>
            </w:r>
            <w:r>
              <w:rPr>
                <w:rFonts w:asciiTheme="minorHAnsi" w:hAnsiTheme="minorHAnsi" w:cstheme="minorHAnsi"/>
                <w:sz w:val="16"/>
                <w:szCs w:val="16"/>
              </w:rPr>
              <w:t xml:space="preserve"> CEW End (small flow) </w:t>
            </w:r>
            <w:r w:rsidRPr="00BA2632">
              <w:rPr>
                <w:rFonts w:asciiTheme="minorHAnsi" w:hAnsiTheme="minorHAnsi" w:cstheme="minorHAnsi"/>
                <w:sz w:val="16"/>
                <w:szCs w:val="16"/>
              </w:rPr>
              <w:t>Elevated flows for consumptive demand</w:t>
            </w:r>
          </w:p>
        </w:tc>
        <w:tc>
          <w:tcPr>
            <w:tcW w:w="1000" w:type="dxa"/>
          </w:tcPr>
          <w:p w14:paraId="62841ED2"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Elevated flows for consumptive demand</w:t>
            </w:r>
          </w:p>
        </w:tc>
        <w:tc>
          <w:tcPr>
            <w:tcW w:w="993" w:type="dxa"/>
          </w:tcPr>
          <w:p w14:paraId="019F4026"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Elevated flows for consumptive demand</w:t>
            </w:r>
          </w:p>
        </w:tc>
        <w:tc>
          <w:tcPr>
            <w:tcW w:w="567" w:type="dxa"/>
          </w:tcPr>
          <w:p w14:paraId="556CADD2"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999" w:type="dxa"/>
            <w:gridSpan w:val="2"/>
          </w:tcPr>
          <w:p w14:paraId="45553E16"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Elevated flows for consumptive demand</w:t>
            </w:r>
          </w:p>
        </w:tc>
      </w:tr>
      <w:tr w:rsidR="001D60A8" w:rsidRPr="00BA2632" w14:paraId="3A67945B" w14:textId="77777777" w:rsidTr="00F70B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vMerge w:val="restart"/>
          </w:tcPr>
          <w:p w14:paraId="76783955" w14:textId="77777777" w:rsidR="000D5086" w:rsidRPr="00BA2632" w:rsidRDefault="000D5086" w:rsidP="00E26D3C">
            <w:pPr>
              <w:pStyle w:val="Tabletext"/>
              <w:rPr>
                <w:rFonts w:asciiTheme="minorHAnsi" w:hAnsiTheme="minorHAnsi" w:cstheme="minorHAnsi"/>
                <w:sz w:val="16"/>
                <w:szCs w:val="16"/>
              </w:rPr>
            </w:pPr>
            <w:r w:rsidRPr="00BA2632">
              <w:rPr>
                <w:rFonts w:asciiTheme="minorHAnsi" w:hAnsiTheme="minorHAnsi" w:cstheme="minorHAnsi"/>
                <w:sz w:val="16"/>
                <w:szCs w:val="16"/>
              </w:rPr>
              <w:t>RBA</w:t>
            </w:r>
          </w:p>
        </w:tc>
        <w:tc>
          <w:tcPr>
            <w:tcW w:w="1848" w:type="dxa"/>
          </w:tcPr>
          <w:p w14:paraId="7D3C67E3"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Kirwans Bridge</w:t>
            </w:r>
            <w:r w:rsidRPr="00BA2632">
              <w:rPr>
                <w:rFonts w:asciiTheme="minorHAnsi" w:hAnsiTheme="minorHAnsi" w:cstheme="minorHAnsi"/>
                <w:sz w:val="16"/>
                <w:szCs w:val="16"/>
              </w:rPr>
              <w:br/>
              <w:t>Salas Road (Murchison)</w:t>
            </w:r>
            <w:r w:rsidRPr="00BA2632">
              <w:rPr>
                <w:rFonts w:asciiTheme="minorHAnsi" w:hAnsiTheme="minorHAnsi" w:cstheme="minorHAnsi"/>
                <w:sz w:val="16"/>
                <w:szCs w:val="16"/>
              </w:rPr>
              <w:br/>
              <w:t>Cemetery Bend</w:t>
            </w:r>
            <w:r w:rsidRPr="00BA2632">
              <w:rPr>
                <w:rFonts w:asciiTheme="minorHAnsi" w:hAnsiTheme="minorHAnsi" w:cstheme="minorHAnsi"/>
                <w:sz w:val="16"/>
                <w:szCs w:val="16"/>
              </w:rPr>
              <w:br/>
              <w:t>Riverview Drive</w:t>
            </w:r>
          </w:p>
        </w:tc>
        <w:tc>
          <w:tcPr>
            <w:tcW w:w="992" w:type="dxa"/>
          </w:tcPr>
          <w:p w14:paraId="116A72F8"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1846" w:type="dxa"/>
            <w:gridSpan w:val="2"/>
          </w:tcPr>
          <w:p w14:paraId="3BC93F2E"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Pre-</w:t>
            </w:r>
            <w:r>
              <w:rPr>
                <w:rFonts w:asciiTheme="minorHAnsi" w:hAnsiTheme="minorHAnsi" w:cstheme="minorHAnsi"/>
                <w:sz w:val="16"/>
                <w:szCs w:val="16"/>
              </w:rPr>
              <w:t xml:space="preserve"> 2</w:t>
            </w:r>
            <w:r w:rsidRPr="00364339">
              <w:rPr>
                <w:rFonts w:asciiTheme="minorHAnsi" w:hAnsiTheme="minorHAnsi" w:cstheme="minorHAnsi"/>
                <w:sz w:val="16"/>
                <w:szCs w:val="16"/>
                <w:vertAlign w:val="superscript"/>
              </w:rPr>
              <w:t>nd</w:t>
            </w:r>
            <w:r>
              <w:rPr>
                <w:rFonts w:asciiTheme="minorHAnsi" w:hAnsiTheme="minorHAnsi" w:cstheme="minorHAnsi"/>
                <w:sz w:val="16"/>
                <w:szCs w:val="16"/>
              </w:rPr>
              <w:t xml:space="preserve"> </w:t>
            </w:r>
            <w:r w:rsidRPr="00BA2632">
              <w:rPr>
                <w:rFonts w:asciiTheme="minorHAnsi" w:hAnsiTheme="minorHAnsi" w:cstheme="minorHAnsi"/>
                <w:sz w:val="16"/>
                <w:szCs w:val="16"/>
              </w:rPr>
              <w:t>CEW 1</w:t>
            </w:r>
            <w:r>
              <w:rPr>
                <w:rFonts w:asciiTheme="minorHAnsi" w:hAnsiTheme="minorHAnsi" w:cstheme="minorHAnsi"/>
                <w:sz w:val="16"/>
                <w:szCs w:val="16"/>
              </w:rPr>
              <w:t>0</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b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1</w:t>
            </w:r>
            <w:r>
              <w:rPr>
                <w:rFonts w:asciiTheme="minorHAnsi" w:hAnsiTheme="minorHAnsi" w:cstheme="minorHAnsi"/>
                <w:sz w:val="16"/>
                <w:szCs w:val="16"/>
              </w:rPr>
              <w:t>0</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b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w:t>
            </w:r>
            <w:r>
              <w:rPr>
                <w:rFonts w:asciiTheme="minorHAnsi" w:hAnsiTheme="minorHAnsi" w:cstheme="minorHAnsi"/>
                <w:sz w:val="16"/>
                <w:szCs w:val="16"/>
              </w:rPr>
              <w:t>9</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b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1</w:t>
            </w:r>
            <w:r>
              <w:rPr>
                <w:rFonts w:asciiTheme="minorHAnsi" w:hAnsiTheme="minorHAnsi" w:cstheme="minorHAnsi"/>
                <w:sz w:val="16"/>
                <w:szCs w:val="16"/>
              </w:rPr>
              <w:t>0</w:t>
            </w:r>
            <w:r w:rsidRPr="00BA2632">
              <w:rPr>
                <w:rFonts w:asciiTheme="minorHAnsi" w:hAnsiTheme="minorHAnsi" w:cstheme="minorHAnsi"/>
                <w:sz w:val="16"/>
                <w:szCs w:val="16"/>
              </w:rPr>
              <w:t>/</w:t>
            </w:r>
            <w:r>
              <w:rPr>
                <w:rFonts w:asciiTheme="minorHAnsi" w:hAnsiTheme="minorHAnsi" w:cstheme="minorHAnsi"/>
                <w:sz w:val="16"/>
                <w:szCs w:val="16"/>
              </w:rPr>
              <w:t>11</w:t>
            </w:r>
          </w:p>
        </w:tc>
        <w:tc>
          <w:tcPr>
            <w:tcW w:w="1701" w:type="dxa"/>
          </w:tcPr>
          <w:p w14:paraId="32898C32"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Post-</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w:t>
            </w:r>
            <w:r>
              <w:rPr>
                <w:rFonts w:asciiTheme="minorHAnsi" w:hAnsiTheme="minorHAnsi" w:cstheme="minorHAnsi"/>
                <w:sz w:val="16"/>
                <w:szCs w:val="16"/>
              </w:rPr>
              <w:t>16</w:t>
            </w:r>
            <w:r w:rsidRPr="00BA2632">
              <w:rPr>
                <w:rFonts w:asciiTheme="minorHAnsi" w:hAnsiTheme="minorHAnsi" w:cstheme="minorHAnsi"/>
                <w:sz w:val="16"/>
                <w:szCs w:val="16"/>
              </w:rPr>
              <w:t>/12</w:t>
            </w:r>
            <w:r w:rsidRPr="00BA2632">
              <w:rPr>
                <w:rFonts w:asciiTheme="minorHAnsi" w:hAnsiTheme="minorHAnsi" w:cstheme="minorHAnsi"/>
                <w:sz w:val="16"/>
                <w:szCs w:val="16"/>
              </w:rPr>
              <w:br/>
              <w:t>Post-</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w:t>
            </w:r>
            <w:r>
              <w:rPr>
                <w:rFonts w:asciiTheme="minorHAnsi" w:hAnsiTheme="minorHAnsi" w:cstheme="minorHAnsi"/>
                <w:sz w:val="16"/>
                <w:szCs w:val="16"/>
              </w:rPr>
              <w:t>16</w:t>
            </w:r>
            <w:r w:rsidRPr="00BA2632">
              <w:rPr>
                <w:rFonts w:asciiTheme="minorHAnsi" w:hAnsiTheme="minorHAnsi" w:cstheme="minorHAnsi"/>
                <w:sz w:val="16"/>
                <w:szCs w:val="16"/>
              </w:rPr>
              <w:t>/12</w:t>
            </w:r>
            <w:r w:rsidRPr="00BA2632">
              <w:rPr>
                <w:rFonts w:asciiTheme="minorHAnsi" w:hAnsiTheme="minorHAnsi" w:cstheme="minorHAnsi"/>
                <w:sz w:val="16"/>
                <w:szCs w:val="16"/>
              </w:rPr>
              <w:br/>
              <w:t>Post-</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w:t>
            </w:r>
            <w:r>
              <w:rPr>
                <w:rFonts w:asciiTheme="minorHAnsi" w:hAnsiTheme="minorHAnsi" w:cstheme="minorHAnsi"/>
                <w:sz w:val="16"/>
                <w:szCs w:val="16"/>
              </w:rPr>
              <w:t>15</w:t>
            </w:r>
            <w:r w:rsidRPr="00BA2632">
              <w:rPr>
                <w:rFonts w:asciiTheme="minorHAnsi" w:hAnsiTheme="minorHAnsi" w:cstheme="minorHAnsi"/>
                <w:sz w:val="16"/>
                <w:szCs w:val="16"/>
              </w:rPr>
              <w:t>/12</w:t>
            </w:r>
            <w:r w:rsidRPr="00BA2632">
              <w:rPr>
                <w:rFonts w:asciiTheme="minorHAnsi" w:hAnsiTheme="minorHAnsi" w:cstheme="minorHAnsi"/>
                <w:sz w:val="16"/>
                <w:szCs w:val="16"/>
              </w:rPr>
              <w:br/>
              <w:t>Post-</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w:t>
            </w:r>
            <w:r>
              <w:rPr>
                <w:rFonts w:asciiTheme="minorHAnsi" w:hAnsiTheme="minorHAnsi" w:cstheme="minorHAnsi"/>
                <w:sz w:val="16"/>
                <w:szCs w:val="16"/>
              </w:rPr>
              <w:t>16</w:t>
            </w:r>
            <w:r w:rsidRPr="00BA2632">
              <w:rPr>
                <w:rFonts w:asciiTheme="minorHAnsi" w:hAnsiTheme="minorHAnsi" w:cstheme="minorHAnsi"/>
                <w:sz w:val="16"/>
                <w:szCs w:val="16"/>
              </w:rPr>
              <w:t>/12</w:t>
            </w:r>
          </w:p>
        </w:tc>
        <w:tc>
          <w:tcPr>
            <w:tcW w:w="1000" w:type="dxa"/>
          </w:tcPr>
          <w:p w14:paraId="61D434C0"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26</w:t>
            </w:r>
            <w:r w:rsidRPr="00BA2632">
              <w:rPr>
                <w:rFonts w:asciiTheme="minorHAnsi" w:hAnsiTheme="minorHAnsi" w:cstheme="minorHAnsi"/>
                <w:sz w:val="16"/>
                <w:szCs w:val="16"/>
              </w:rPr>
              <w:t>/1</w:t>
            </w:r>
            <w:r w:rsidRPr="00BA2632">
              <w:rPr>
                <w:rFonts w:asciiTheme="minorHAnsi" w:hAnsiTheme="minorHAnsi" w:cstheme="minorHAnsi"/>
                <w:sz w:val="16"/>
                <w:szCs w:val="16"/>
              </w:rPr>
              <w:br/>
            </w:r>
            <w:r>
              <w:rPr>
                <w:rFonts w:asciiTheme="minorHAnsi" w:hAnsiTheme="minorHAnsi" w:cstheme="minorHAnsi"/>
                <w:sz w:val="16"/>
                <w:szCs w:val="16"/>
              </w:rPr>
              <w:t>27</w:t>
            </w:r>
            <w:r w:rsidRPr="00BA2632">
              <w:rPr>
                <w:rFonts w:asciiTheme="minorHAnsi" w:hAnsiTheme="minorHAnsi" w:cstheme="minorHAnsi"/>
                <w:sz w:val="16"/>
                <w:szCs w:val="16"/>
              </w:rPr>
              <w:t>/1</w:t>
            </w:r>
            <w:r w:rsidRPr="00BA2632">
              <w:rPr>
                <w:rFonts w:asciiTheme="minorHAnsi" w:hAnsiTheme="minorHAnsi" w:cstheme="minorHAnsi"/>
                <w:sz w:val="16"/>
                <w:szCs w:val="16"/>
              </w:rPr>
              <w:br/>
            </w:r>
            <w:r>
              <w:rPr>
                <w:rFonts w:asciiTheme="minorHAnsi" w:hAnsiTheme="minorHAnsi" w:cstheme="minorHAnsi"/>
                <w:sz w:val="16"/>
                <w:szCs w:val="16"/>
              </w:rPr>
              <w:t>27</w:t>
            </w:r>
            <w:r w:rsidRPr="00BA2632">
              <w:rPr>
                <w:rFonts w:asciiTheme="minorHAnsi" w:hAnsiTheme="minorHAnsi" w:cstheme="minorHAnsi"/>
                <w:sz w:val="16"/>
                <w:szCs w:val="16"/>
              </w:rPr>
              <w:t>/1</w:t>
            </w:r>
            <w:r w:rsidRPr="00BA2632">
              <w:rPr>
                <w:rFonts w:asciiTheme="minorHAnsi" w:hAnsiTheme="minorHAnsi" w:cstheme="minorHAnsi"/>
                <w:sz w:val="16"/>
                <w:szCs w:val="16"/>
              </w:rPr>
              <w:br/>
            </w:r>
            <w:r>
              <w:rPr>
                <w:rFonts w:asciiTheme="minorHAnsi" w:hAnsiTheme="minorHAnsi" w:cstheme="minorHAnsi"/>
                <w:sz w:val="16"/>
                <w:szCs w:val="16"/>
              </w:rPr>
              <w:t>27</w:t>
            </w:r>
            <w:r w:rsidRPr="00BA2632">
              <w:rPr>
                <w:rFonts w:asciiTheme="minorHAnsi" w:hAnsiTheme="minorHAnsi" w:cstheme="minorHAnsi"/>
                <w:sz w:val="16"/>
                <w:szCs w:val="16"/>
              </w:rPr>
              <w:t>/1</w:t>
            </w:r>
          </w:p>
        </w:tc>
        <w:tc>
          <w:tcPr>
            <w:tcW w:w="993" w:type="dxa"/>
          </w:tcPr>
          <w:p w14:paraId="24F89ABE"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22</w:t>
            </w:r>
            <w:r w:rsidRPr="00BA2632">
              <w:rPr>
                <w:rFonts w:asciiTheme="minorHAnsi" w:hAnsiTheme="minorHAnsi" w:cstheme="minorHAnsi"/>
                <w:sz w:val="16"/>
                <w:szCs w:val="16"/>
              </w:rPr>
              <w:t>/2</w:t>
            </w:r>
            <w:r w:rsidRPr="00BA2632">
              <w:rPr>
                <w:rFonts w:asciiTheme="minorHAnsi" w:hAnsiTheme="minorHAnsi" w:cstheme="minorHAnsi"/>
                <w:sz w:val="16"/>
                <w:szCs w:val="16"/>
              </w:rPr>
              <w:br/>
            </w:r>
            <w:r>
              <w:rPr>
                <w:rFonts w:asciiTheme="minorHAnsi" w:hAnsiTheme="minorHAnsi" w:cstheme="minorHAnsi"/>
                <w:sz w:val="16"/>
                <w:szCs w:val="16"/>
              </w:rPr>
              <w:t>23</w:t>
            </w:r>
            <w:r w:rsidRPr="00BA2632">
              <w:rPr>
                <w:rFonts w:asciiTheme="minorHAnsi" w:hAnsiTheme="minorHAnsi" w:cstheme="minorHAnsi"/>
                <w:sz w:val="16"/>
                <w:szCs w:val="16"/>
              </w:rPr>
              <w:t>/2</w:t>
            </w:r>
            <w:r w:rsidRPr="00BA2632">
              <w:rPr>
                <w:rFonts w:asciiTheme="minorHAnsi" w:hAnsiTheme="minorHAnsi" w:cstheme="minorHAnsi"/>
                <w:sz w:val="16"/>
                <w:szCs w:val="16"/>
              </w:rPr>
              <w:br/>
            </w:r>
            <w:r>
              <w:rPr>
                <w:rFonts w:asciiTheme="minorHAnsi" w:hAnsiTheme="minorHAnsi" w:cstheme="minorHAnsi"/>
                <w:sz w:val="16"/>
                <w:szCs w:val="16"/>
              </w:rPr>
              <w:t>23</w:t>
            </w:r>
            <w:r w:rsidRPr="00BA2632">
              <w:rPr>
                <w:rFonts w:asciiTheme="minorHAnsi" w:hAnsiTheme="minorHAnsi" w:cstheme="minorHAnsi"/>
                <w:sz w:val="16"/>
                <w:szCs w:val="16"/>
              </w:rPr>
              <w:t>/2</w:t>
            </w:r>
            <w:r w:rsidRPr="00BA2632">
              <w:rPr>
                <w:rFonts w:asciiTheme="minorHAnsi" w:hAnsiTheme="minorHAnsi" w:cstheme="minorHAnsi"/>
                <w:sz w:val="16"/>
                <w:szCs w:val="16"/>
              </w:rPr>
              <w:br/>
            </w:r>
            <w:r>
              <w:rPr>
                <w:rFonts w:asciiTheme="minorHAnsi" w:hAnsiTheme="minorHAnsi" w:cstheme="minorHAnsi"/>
                <w:sz w:val="16"/>
                <w:szCs w:val="16"/>
              </w:rPr>
              <w:t>23</w:t>
            </w:r>
            <w:r w:rsidRPr="00BA2632">
              <w:rPr>
                <w:rFonts w:asciiTheme="minorHAnsi" w:hAnsiTheme="minorHAnsi" w:cstheme="minorHAnsi"/>
                <w:sz w:val="16"/>
                <w:szCs w:val="16"/>
              </w:rPr>
              <w:t>/2</w:t>
            </w:r>
          </w:p>
        </w:tc>
        <w:tc>
          <w:tcPr>
            <w:tcW w:w="567" w:type="dxa"/>
          </w:tcPr>
          <w:p w14:paraId="70554190"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999" w:type="dxa"/>
            <w:gridSpan w:val="2"/>
          </w:tcPr>
          <w:p w14:paraId="11C129A7"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13</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br/>
            </w:r>
            <w:r>
              <w:rPr>
                <w:rFonts w:asciiTheme="minorHAnsi" w:hAnsiTheme="minorHAnsi" w:cstheme="minorHAnsi"/>
                <w:sz w:val="16"/>
                <w:szCs w:val="16"/>
              </w:rPr>
              <w:t>13</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br/>
            </w:r>
            <w:r>
              <w:rPr>
                <w:rFonts w:asciiTheme="minorHAnsi" w:hAnsiTheme="minorHAnsi" w:cstheme="minorHAnsi"/>
                <w:sz w:val="16"/>
                <w:szCs w:val="16"/>
              </w:rPr>
              <w:t>13</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br/>
            </w:r>
            <w:r>
              <w:rPr>
                <w:rFonts w:asciiTheme="minorHAnsi" w:hAnsiTheme="minorHAnsi" w:cstheme="minorHAnsi"/>
                <w:sz w:val="16"/>
                <w:szCs w:val="16"/>
              </w:rPr>
              <w:t>13</w:t>
            </w:r>
            <w:r w:rsidRPr="00BA2632">
              <w:rPr>
                <w:rFonts w:asciiTheme="minorHAnsi" w:hAnsiTheme="minorHAnsi" w:cstheme="minorHAnsi"/>
                <w:sz w:val="16"/>
                <w:szCs w:val="16"/>
              </w:rPr>
              <w:t>/</w:t>
            </w:r>
            <w:r>
              <w:rPr>
                <w:rFonts w:asciiTheme="minorHAnsi" w:hAnsiTheme="minorHAnsi" w:cstheme="minorHAnsi"/>
                <w:sz w:val="16"/>
                <w:szCs w:val="16"/>
              </w:rPr>
              <w:t>4</w:t>
            </w:r>
          </w:p>
        </w:tc>
      </w:tr>
      <w:tr w:rsidR="001D60A8" w:rsidRPr="00BA2632" w14:paraId="47F64BED" w14:textId="77777777" w:rsidTr="00F70B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vMerge/>
          </w:tcPr>
          <w:p w14:paraId="32B332BD" w14:textId="77777777" w:rsidR="000D5086" w:rsidRPr="00BA2632" w:rsidRDefault="000D5086" w:rsidP="00E26D3C">
            <w:pPr>
              <w:pStyle w:val="Tabletext"/>
              <w:rPr>
                <w:rFonts w:asciiTheme="minorHAnsi" w:hAnsiTheme="minorHAnsi" w:cstheme="minorHAnsi"/>
                <w:sz w:val="16"/>
                <w:szCs w:val="16"/>
              </w:rPr>
            </w:pPr>
          </w:p>
        </w:tc>
        <w:tc>
          <w:tcPr>
            <w:tcW w:w="1848" w:type="dxa"/>
          </w:tcPr>
          <w:p w14:paraId="1FAE41AC"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Lord Road (nr Loch Garry)</w:t>
            </w:r>
            <w:r w:rsidRPr="00BA2632">
              <w:rPr>
                <w:rFonts w:asciiTheme="minorHAnsi" w:hAnsiTheme="minorHAnsi" w:cstheme="minorHAnsi"/>
                <w:sz w:val="16"/>
                <w:szCs w:val="16"/>
              </w:rPr>
              <w:br/>
            </w:r>
            <w:r>
              <w:rPr>
                <w:rFonts w:asciiTheme="minorHAnsi" w:hAnsiTheme="minorHAnsi" w:cstheme="minorHAnsi"/>
                <w:sz w:val="16"/>
                <w:szCs w:val="16"/>
              </w:rPr>
              <w:t>McCoy’s</w:t>
            </w:r>
            <w:r w:rsidRPr="00BA2632">
              <w:rPr>
                <w:rFonts w:asciiTheme="minorHAnsi" w:hAnsiTheme="minorHAnsi" w:cstheme="minorHAnsi"/>
                <w:sz w:val="16"/>
                <w:szCs w:val="16"/>
              </w:rPr>
              <w:t xml:space="preserve"> Bridge</w:t>
            </w:r>
            <w:r w:rsidRPr="00BA2632">
              <w:rPr>
                <w:rFonts w:asciiTheme="minorHAnsi" w:hAnsiTheme="minorHAnsi" w:cstheme="minorHAnsi"/>
                <w:sz w:val="16"/>
                <w:szCs w:val="16"/>
              </w:rPr>
              <w:br/>
            </w:r>
            <w:proofErr w:type="spellStart"/>
            <w:r w:rsidRPr="00BA2632">
              <w:rPr>
                <w:rFonts w:asciiTheme="minorHAnsi" w:hAnsiTheme="minorHAnsi" w:cstheme="minorHAnsi"/>
                <w:sz w:val="16"/>
                <w:szCs w:val="16"/>
              </w:rPr>
              <w:t>Murrumbidgee</w:t>
            </w:r>
            <w:proofErr w:type="spellEnd"/>
            <w:r w:rsidRPr="00BA2632">
              <w:rPr>
                <w:rFonts w:asciiTheme="minorHAnsi" w:hAnsiTheme="minorHAnsi" w:cstheme="minorHAnsi"/>
                <w:sz w:val="16"/>
                <w:szCs w:val="16"/>
              </w:rPr>
              <w:t xml:space="preserve"> Road</w:t>
            </w:r>
            <w:r w:rsidRPr="00BA2632">
              <w:rPr>
                <w:rFonts w:asciiTheme="minorHAnsi" w:hAnsiTheme="minorHAnsi" w:cstheme="minorHAnsi"/>
                <w:sz w:val="16"/>
                <w:szCs w:val="16"/>
              </w:rPr>
              <w:br/>
              <w:t>Stewarts Bridge</w:t>
            </w:r>
          </w:p>
        </w:tc>
        <w:tc>
          <w:tcPr>
            <w:tcW w:w="992" w:type="dxa"/>
          </w:tcPr>
          <w:p w14:paraId="7B1A221F"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1846" w:type="dxa"/>
            <w:gridSpan w:val="2"/>
          </w:tcPr>
          <w:p w14:paraId="349BF9C5"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1</w:t>
            </w:r>
            <w:r>
              <w:rPr>
                <w:rFonts w:asciiTheme="minorHAnsi" w:hAnsiTheme="minorHAnsi" w:cstheme="minorHAnsi"/>
                <w:sz w:val="16"/>
                <w:szCs w:val="16"/>
              </w:rPr>
              <w:t>1</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b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1</w:t>
            </w:r>
            <w:r>
              <w:rPr>
                <w:rFonts w:asciiTheme="minorHAnsi" w:hAnsiTheme="minorHAnsi" w:cstheme="minorHAnsi"/>
                <w:sz w:val="16"/>
                <w:szCs w:val="16"/>
              </w:rPr>
              <w:t>1</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b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1</w:t>
            </w:r>
            <w:r>
              <w:rPr>
                <w:rFonts w:asciiTheme="minorHAnsi" w:hAnsiTheme="minorHAnsi" w:cstheme="minorHAnsi"/>
                <w:sz w:val="16"/>
                <w:szCs w:val="16"/>
              </w:rPr>
              <w:t>1</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b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1</w:t>
            </w:r>
            <w:r>
              <w:rPr>
                <w:rFonts w:asciiTheme="minorHAnsi" w:hAnsiTheme="minorHAnsi" w:cstheme="minorHAnsi"/>
                <w:sz w:val="16"/>
                <w:szCs w:val="16"/>
              </w:rPr>
              <w:t>1</w:t>
            </w:r>
            <w:r w:rsidRPr="00BA2632">
              <w:rPr>
                <w:rFonts w:asciiTheme="minorHAnsi" w:hAnsiTheme="minorHAnsi" w:cstheme="minorHAnsi"/>
                <w:sz w:val="16"/>
                <w:szCs w:val="16"/>
              </w:rPr>
              <w:t>/</w:t>
            </w:r>
            <w:r>
              <w:rPr>
                <w:rFonts w:asciiTheme="minorHAnsi" w:hAnsiTheme="minorHAnsi" w:cstheme="minorHAnsi"/>
                <w:sz w:val="16"/>
                <w:szCs w:val="16"/>
              </w:rPr>
              <w:t>11</w:t>
            </w:r>
          </w:p>
        </w:tc>
        <w:tc>
          <w:tcPr>
            <w:tcW w:w="1701" w:type="dxa"/>
          </w:tcPr>
          <w:p w14:paraId="5EC9D3CE"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Post-</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w:t>
            </w:r>
            <w:r>
              <w:rPr>
                <w:rFonts w:asciiTheme="minorHAnsi" w:hAnsiTheme="minorHAnsi" w:cstheme="minorHAnsi"/>
                <w:sz w:val="16"/>
                <w:szCs w:val="16"/>
              </w:rPr>
              <w:t>17</w:t>
            </w:r>
            <w:r w:rsidRPr="00BA2632">
              <w:rPr>
                <w:rFonts w:asciiTheme="minorHAnsi" w:hAnsiTheme="minorHAnsi" w:cstheme="minorHAnsi"/>
                <w:sz w:val="16"/>
                <w:szCs w:val="16"/>
              </w:rPr>
              <w:t>/12</w:t>
            </w:r>
            <w:r w:rsidRPr="00BA2632">
              <w:rPr>
                <w:rFonts w:asciiTheme="minorHAnsi" w:hAnsiTheme="minorHAnsi" w:cstheme="minorHAnsi"/>
                <w:sz w:val="16"/>
                <w:szCs w:val="16"/>
              </w:rPr>
              <w:br/>
              <w:t xml:space="preserve">Post-CEW </w:t>
            </w:r>
            <w:r>
              <w:rPr>
                <w:rFonts w:asciiTheme="minorHAnsi" w:hAnsiTheme="minorHAnsi" w:cstheme="minorHAnsi"/>
                <w:sz w:val="16"/>
                <w:szCs w:val="16"/>
              </w:rPr>
              <w:t>17</w:t>
            </w:r>
            <w:r w:rsidRPr="00BA2632">
              <w:rPr>
                <w:rFonts w:asciiTheme="minorHAnsi" w:hAnsiTheme="minorHAnsi" w:cstheme="minorHAnsi"/>
                <w:sz w:val="16"/>
                <w:szCs w:val="16"/>
              </w:rPr>
              <w:t>/12</w:t>
            </w:r>
            <w:r w:rsidRPr="00BA2632">
              <w:rPr>
                <w:rFonts w:asciiTheme="minorHAnsi" w:hAnsiTheme="minorHAnsi" w:cstheme="minorHAnsi"/>
                <w:sz w:val="16"/>
                <w:szCs w:val="16"/>
              </w:rPr>
              <w:br/>
              <w:t xml:space="preserve">Post-CEW </w:t>
            </w:r>
            <w:r>
              <w:rPr>
                <w:rFonts w:asciiTheme="minorHAnsi" w:hAnsiTheme="minorHAnsi" w:cstheme="minorHAnsi"/>
                <w:sz w:val="16"/>
                <w:szCs w:val="16"/>
              </w:rPr>
              <w:t>18</w:t>
            </w:r>
            <w:r w:rsidRPr="00BA2632">
              <w:rPr>
                <w:rFonts w:asciiTheme="minorHAnsi" w:hAnsiTheme="minorHAnsi" w:cstheme="minorHAnsi"/>
                <w:sz w:val="16"/>
                <w:szCs w:val="16"/>
              </w:rPr>
              <w:t>/12</w:t>
            </w:r>
            <w:r w:rsidRPr="00BA2632">
              <w:rPr>
                <w:rFonts w:asciiTheme="minorHAnsi" w:hAnsiTheme="minorHAnsi" w:cstheme="minorHAnsi"/>
                <w:sz w:val="16"/>
                <w:szCs w:val="16"/>
              </w:rPr>
              <w:br/>
              <w:t xml:space="preserve">Post-CEW </w:t>
            </w:r>
            <w:r>
              <w:rPr>
                <w:rFonts w:asciiTheme="minorHAnsi" w:hAnsiTheme="minorHAnsi" w:cstheme="minorHAnsi"/>
                <w:sz w:val="16"/>
                <w:szCs w:val="16"/>
              </w:rPr>
              <w:t>17</w:t>
            </w:r>
            <w:r w:rsidRPr="00BA2632">
              <w:rPr>
                <w:rFonts w:asciiTheme="minorHAnsi" w:hAnsiTheme="minorHAnsi" w:cstheme="minorHAnsi"/>
                <w:sz w:val="16"/>
                <w:szCs w:val="16"/>
              </w:rPr>
              <w:t>/12</w:t>
            </w:r>
          </w:p>
        </w:tc>
        <w:tc>
          <w:tcPr>
            <w:tcW w:w="1000" w:type="dxa"/>
          </w:tcPr>
          <w:p w14:paraId="7FCF6C7C"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28</w:t>
            </w:r>
            <w:r w:rsidRPr="00BA2632">
              <w:rPr>
                <w:rFonts w:asciiTheme="minorHAnsi" w:hAnsiTheme="minorHAnsi" w:cstheme="minorHAnsi"/>
                <w:sz w:val="16"/>
                <w:szCs w:val="16"/>
              </w:rPr>
              <w:t>/1</w:t>
            </w:r>
            <w:r w:rsidRPr="00BA2632">
              <w:rPr>
                <w:rFonts w:asciiTheme="minorHAnsi" w:hAnsiTheme="minorHAnsi" w:cstheme="minorHAnsi"/>
                <w:sz w:val="16"/>
                <w:szCs w:val="16"/>
              </w:rPr>
              <w:br/>
            </w:r>
            <w:r>
              <w:rPr>
                <w:rFonts w:asciiTheme="minorHAnsi" w:hAnsiTheme="minorHAnsi" w:cstheme="minorHAnsi"/>
                <w:sz w:val="16"/>
                <w:szCs w:val="16"/>
              </w:rPr>
              <w:t>28</w:t>
            </w:r>
            <w:r w:rsidRPr="00BA2632">
              <w:rPr>
                <w:rFonts w:asciiTheme="minorHAnsi" w:hAnsiTheme="minorHAnsi" w:cstheme="minorHAnsi"/>
                <w:sz w:val="16"/>
                <w:szCs w:val="16"/>
              </w:rPr>
              <w:t>/1</w:t>
            </w:r>
            <w:r w:rsidRPr="00BA2632">
              <w:rPr>
                <w:rFonts w:asciiTheme="minorHAnsi" w:hAnsiTheme="minorHAnsi" w:cstheme="minorHAnsi"/>
                <w:sz w:val="16"/>
                <w:szCs w:val="16"/>
              </w:rPr>
              <w:br/>
            </w:r>
            <w:r>
              <w:rPr>
                <w:rFonts w:asciiTheme="minorHAnsi" w:hAnsiTheme="minorHAnsi" w:cstheme="minorHAnsi"/>
                <w:sz w:val="16"/>
                <w:szCs w:val="16"/>
              </w:rPr>
              <w:t>28</w:t>
            </w:r>
            <w:r w:rsidRPr="00BA2632">
              <w:rPr>
                <w:rFonts w:asciiTheme="minorHAnsi" w:hAnsiTheme="minorHAnsi" w:cstheme="minorHAnsi"/>
                <w:sz w:val="16"/>
                <w:szCs w:val="16"/>
              </w:rPr>
              <w:t>/1</w:t>
            </w:r>
            <w:r w:rsidRPr="00BA2632">
              <w:rPr>
                <w:rFonts w:asciiTheme="minorHAnsi" w:hAnsiTheme="minorHAnsi" w:cstheme="minorHAnsi"/>
                <w:sz w:val="16"/>
                <w:szCs w:val="16"/>
              </w:rPr>
              <w:br/>
            </w:r>
            <w:r>
              <w:rPr>
                <w:rFonts w:asciiTheme="minorHAnsi" w:hAnsiTheme="minorHAnsi" w:cstheme="minorHAnsi"/>
                <w:sz w:val="16"/>
                <w:szCs w:val="16"/>
              </w:rPr>
              <w:t>28</w:t>
            </w:r>
            <w:r w:rsidRPr="00BA2632">
              <w:rPr>
                <w:rFonts w:asciiTheme="minorHAnsi" w:hAnsiTheme="minorHAnsi" w:cstheme="minorHAnsi"/>
                <w:sz w:val="16"/>
                <w:szCs w:val="16"/>
              </w:rPr>
              <w:t>/1</w:t>
            </w:r>
          </w:p>
        </w:tc>
        <w:tc>
          <w:tcPr>
            <w:tcW w:w="993" w:type="dxa"/>
          </w:tcPr>
          <w:p w14:paraId="5381CB67"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24</w:t>
            </w:r>
            <w:r w:rsidRPr="00BA2632">
              <w:rPr>
                <w:rFonts w:asciiTheme="minorHAnsi" w:hAnsiTheme="minorHAnsi" w:cstheme="minorHAnsi"/>
                <w:sz w:val="16"/>
                <w:szCs w:val="16"/>
              </w:rPr>
              <w:t>/2</w:t>
            </w:r>
            <w:r w:rsidRPr="00BA2632">
              <w:rPr>
                <w:rFonts w:asciiTheme="minorHAnsi" w:hAnsiTheme="minorHAnsi" w:cstheme="minorHAnsi"/>
                <w:sz w:val="16"/>
                <w:szCs w:val="16"/>
              </w:rPr>
              <w:br/>
            </w:r>
            <w:r>
              <w:rPr>
                <w:rFonts w:asciiTheme="minorHAnsi" w:hAnsiTheme="minorHAnsi" w:cstheme="minorHAnsi"/>
                <w:sz w:val="16"/>
                <w:szCs w:val="16"/>
              </w:rPr>
              <w:t>24</w:t>
            </w:r>
            <w:r w:rsidRPr="00BA2632">
              <w:rPr>
                <w:rFonts w:asciiTheme="minorHAnsi" w:hAnsiTheme="minorHAnsi" w:cstheme="minorHAnsi"/>
                <w:sz w:val="16"/>
                <w:szCs w:val="16"/>
              </w:rPr>
              <w:t>/2</w:t>
            </w:r>
            <w:r w:rsidRPr="00BA2632">
              <w:rPr>
                <w:rFonts w:asciiTheme="minorHAnsi" w:hAnsiTheme="minorHAnsi" w:cstheme="minorHAnsi"/>
                <w:sz w:val="16"/>
                <w:szCs w:val="16"/>
              </w:rPr>
              <w:br/>
            </w:r>
            <w:r>
              <w:rPr>
                <w:rFonts w:asciiTheme="minorHAnsi" w:hAnsiTheme="minorHAnsi" w:cstheme="minorHAnsi"/>
                <w:sz w:val="16"/>
                <w:szCs w:val="16"/>
              </w:rPr>
              <w:t>24</w:t>
            </w:r>
            <w:r w:rsidRPr="00BA2632">
              <w:rPr>
                <w:rFonts w:asciiTheme="minorHAnsi" w:hAnsiTheme="minorHAnsi" w:cstheme="minorHAnsi"/>
                <w:sz w:val="16"/>
                <w:szCs w:val="16"/>
              </w:rPr>
              <w:t>/2</w:t>
            </w:r>
            <w:r w:rsidRPr="00BA2632">
              <w:rPr>
                <w:rFonts w:asciiTheme="minorHAnsi" w:hAnsiTheme="minorHAnsi" w:cstheme="minorHAnsi"/>
                <w:sz w:val="16"/>
                <w:szCs w:val="16"/>
              </w:rPr>
              <w:br/>
            </w:r>
            <w:r>
              <w:rPr>
                <w:rFonts w:asciiTheme="minorHAnsi" w:hAnsiTheme="minorHAnsi" w:cstheme="minorHAnsi"/>
                <w:sz w:val="16"/>
                <w:szCs w:val="16"/>
              </w:rPr>
              <w:t>24</w:t>
            </w:r>
            <w:r w:rsidRPr="00BA2632">
              <w:rPr>
                <w:rFonts w:asciiTheme="minorHAnsi" w:hAnsiTheme="minorHAnsi" w:cstheme="minorHAnsi"/>
                <w:sz w:val="16"/>
                <w:szCs w:val="16"/>
              </w:rPr>
              <w:t>/2</w:t>
            </w:r>
          </w:p>
        </w:tc>
        <w:tc>
          <w:tcPr>
            <w:tcW w:w="567" w:type="dxa"/>
          </w:tcPr>
          <w:p w14:paraId="35652016"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999" w:type="dxa"/>
            <w:gridSpan w:val="2"/>
          </w:tcPr>
          <w:p w14:paraId="038CB487"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14</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br/>
            </w:r>
            <w:r>
              <w:rPr>
                <w:rFonts w:asciiTheme="minorHAnsi" w:hAnsiTheme="minorHAnsi" w:cstheme="minorHAnsi"/>
                <w:sz w:val="16"/>
                <w:szCs w:val="16"/>
              </w:rPr>
              <w:t>14</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br/>
            </w:r>
            <w:r>
              <w:rPr>
                <w:rFonts w:asciiTheme="minorHAnsi" w:hAnsiTheme="minorHAnsi" w:cstheme="minorHAnsi"/>
                <w:sz w:val="16"/>
                <w:szCs w:val="16"/>
              </w:rPr>
              <w:t>14</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br/>
            </w:r>
            <w:r>
              <w:rPr>
                <w:rFonts w:asciiTheme="minorHAnsi" w:hAnsiTheme="minorHAnsi" w:cstheme="minorHAnsi"/>
                <w:sz w:val="16"/>
                <w:szCs w:val="16"/>
              </w:rPr>
              <w:t>14</w:t>
            </w:r>
            <w:r w:rsidRPr="00BA2632">
              <w:rPr>
                <w:rFonts w:asciiTheme="minorHAnsi" w:hAnsiTheme="minorHAnsi" w:cstheme="minorHAnsi"/>
                <w:sz w:val="16"/>
                <w:szCs w:val="16"/>
              </w:rPr>
              <w:t>/</w:t>
            </w:r>
            <w:r>
              <w:rPr>
                <w:rFonts w:asciiTheme="minorHAnsi" w:hAnsiTheme="minorHAnsi" w:cstheme="minorHAnsi"/>
                <w:sz w:val="16"/>
                <w:szCs w:val="16"/>
              </w:rPr>
              <w:t>4</w:t>
            </w:r>
          </w:p>
        </w:tc>
      </w:tr>
      <w:tr w:rsidR="001D60A8" w:rsidRPr="00BA2632" w14:paraId="4950C9FF" w14:textId="77777777" w:rsidTr="00F70B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vMerge w:val="restart"/>
          </w:tcPr>
          <w:p w14:paraId="4ECB955E" w14:textId="77777777" w:rsidR="000D5086" w:rsidRPr="00BA2632" w:rsidRDefault="000D5086" w:rsidP="00E26D3C">
            <w:pPr>
              <w:pStyle w:val="Tabletext"/>
              <w:rPr>
                <w:rFonts w:asciiTheme="minorHAnsi" w:hAnsiTheme="minorHAnsi" w:cstheme="minorHAnsi"/>
                <w:sz w:val="16"/>
                <w:szCs w:val="16"/>
              </w:rPr>
            </w:pPr>
            <w:r w:rsidRPr="00BA2632">
              <w:rPr>
                <w:rFonts w:asciiTheme="minorHAnsi" w:hAnsiTheme="minorHAnsi" w:cstheme="minorHAnsi"/>
                <w:sz w:val="16"/>
                <w:szCs w:val="16"/>
              </w:rPr>
              <w:t>Bait traps</w:t>
            </w:r>
          </w:p>
        </w:tc>
        <w:tc>
          <w:tcPr>
            <w:tcW w:w="1848" w:type="dxa"/>
          </w:tcPr>
          <w:p w14:paraId="732E21EB"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Kirwans Bridge</w:t>
            </w:r>
            <w:r w:rsidRPr="00BA2632">
              <w:rPr>
                <w:rFonts w:asciiTheme="minorHAnsi" w:hAnsiTheme="minorHAnsi" w:cstheme="minorHAnsi"/>
                <w:sz w:val="16"/>
                <w:szCs w:val="16"/>
              </w:rPr>
              <w:br/>
              <w:t>Salas Road (Murchison)</w:t>
            </w:r>
            <w:r w:rsidRPr="00BA2632">
              <w:rPr>
                <w:rFonts w:asciiTheme="minorHAnsi" w:hAnsiTheme="minorHAnsi" w:cstheme="minorHAnsi"/>
                <w:sz w:val="16"/>
                <w:szCs w:val="16"/>
              </w:rPr>
              <w:br/>
            </w:r>
            <w:r w:rsidRPr="00BA2632">
              <w:rPr>
                <w:rFonts w:asciiTheme="minorHAnsi" w:hAnsiTheme="minorHAnsi" w:cstheme="minorHAnsi"/>
                <w:sz w:val="16"/>
                <w:szCs w:val="16"/>
              </w:rPr>
              <w:lastRenderedPageBreak/>
              <w:t>Cemetery Bend</w:t>
            </w:r>
            <w:r w:rsidRPr="00BA2632">
              <w:rPr>
                <w:rFonts w:asciiTheme="minorHAnsi" w:hAnsiTheme="minorHAnsi" w:cstheme="minorHAnsi"/>
                <w:sz w:val="16"/>
                <w:szCs w:val="16"/>
              </w:rPr>
              <w:br/>
              <w:t>Riverview Drive</w:t>
            </w:r>
          </w:p>
        </w:tc>
        <w:tc>
          <w:tcPr>
            <w:tcW w:w="992" w:type="dxa"/>
          </w:tcPr>
          <w:p w14:paraId="4BD82E5B"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1846" w:type="dxa"/>
            <w:gridSpan w:val="2"/>
          </w:tcPr>
          <w:p w14:paraId="3F7727CF"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w:t>
            </w:r>
            <w:r>
              <w:rPr>
                <w:rFonts w:asciiTheme="minorHAnsi" w:hAnsiTheme="minorHAnsi" w:cstheme="minorHAnsi"/>
                <w:sz w:val="16"/>
                <w:szCs w:val="16"/>
              </w:rPr>
              <w:t>9</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t>-</w:t>
            </w:r>
            <w:r>
              <w:rPr>
                <w:rFonts w:asciiTheme="minorHAnsi" w:hAnsiTheme="minorHAnsi" w:cstheme="minorHAnsi"/>
                <w:sz w:val="16"/>
                <w:szCs w:val="16"/>
              </w:rPr>
              <w:t>10</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b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w:t>
            </w:r>
            <w:r>
              <w:rPr>
                <w:rFonts w:asciiTheme="minorHAnsi" w:hAnsiTheme="minorHAnsi" w:cstheme="minorHAnsi"/>
                <w:sz w:val="16"/>
                <w:szCs w:val="16"/>
              </w:rPr>
              <w:t>9</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t>-</w:t>
            </w:r>
            <w:r>
              <w:rPr>
                <w:rFonts w:asciiTheme="minorHAnsi" w:hAnsiTheme="minorHAnsi" w:cstheme="minorHAnsi"/>
                <w:sz w:val="16"/>
                <w:szCs w:val="16"/>
              </w:rPr>
              <w:t>10</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br/>
            </w:r>
            <w:r w:rsidRPr="00BA2632">
              <w:rPr>
                <w:rFonts w:asciiTheme="minorHAnsi" w:hAnsiTheme="minorHAnsi" w:cstheme="minorHAnsi"/>
                <w:sz w:val="16"/>
                <w:szCs w:val="16"/>
              </w:rPr>
              <w:lastRenderedPageBreak/>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w:t>
            </w:r>
            <w:r>
              <w:rPr>
                <w:rFonts w:asciiTheme="minorHAnsi" w:hAnsiTheme="minorHAnsi" w:cstheme="minorHAnsi"/>
                <w:sz w:val="16"/>
                <w:szCs w:val="16"/>
              </w:rPr>
              <w:t>9</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t>-</w:t>
            </w:r>
            <w:r>
              <w:rPr>
                <w:rFonts w:asciiTheme="minorHAnsi" w:hAnsiTheme="minorHAnsi" w:cstheme="minorHAnsi"/>
                <w:sz w:val="16"/>
                <w:szCs w:val="16"/>
              </w:rPr>
              <w:t>10</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b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Pr>
                <w:rFonts w:asciiTheme="minorHAnsi" w:hAnsiTheme="minorHAnsi" w:cstheme="minorHAnsi"/>
                <w:sz w:val="16"/>
                <w:szCs w:val="16"/>
              </w:rPr>
              <w:t xml:space="preserve"> 9</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t>-</w:t>
            </w:r>
            <w:r>
              <w:rPr>
                <w:rFonts w:asciiTheme="minorHAnsi" w:hAnsiTheme="minorHAnsi" w:cstheme="minorHAnsi"/>
                <w:sz w:val="16"/>
                <w:szCs w:val="16"/>
              </w:rPr>
              <w:t>10</w:t>
            </w:r>
            <w:r w:rsidRPr="00BA2632">
              <w:rPr>
                <w:rFonts w:asciiTheme="minorHAnsi" w:hAnsiTheme="minorHAnsi" w:cstheme="minorHAnsi"/>
                <w:sz w:val="16"/>
                <w:szCs w:val="16"/>
              </w:rPr>
              <w:t>/</w:t>
            </w:r>
            <w:r>
              <w:rPr>
                <w:rFonts w:asciiTheme="minorHAnsi" w:hAnsiTheme="minorHAnsi" w:cstheme="minorHAnsi"/>
                <w:sz w:val="16"/>
                <w:szCs w:val="16"/>
              </w:rPr>
              <w:t>11</w:t>
            </w:r>
          </w:p>
        </w:tc>
        <w:tc>
          <w:tcPr>
            <w:tcW w:w="1701" w:type="dxa"/>
          </w:tcPr>
          <w:p w14:paraId="593F065E"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lastRenderedPageBreak/>
              <w:t xml:space="preserve">Post-CEW </w:t>
            </w:r>
            <w:r>
              <w:rPr>
                <w:rFonts w:asciiTheme="minorHAnsi" w:hAnsiTheme="minorHAnsi" w:cstheme="minorHAnsi"/>
                <w:sz w:val="16"/>
                <w:szCs w:val="16"/>
              </w:rPr>
              <w:t>15</w:t>
            </w:r>
            <w:r w:rsidRPr="00BA2632">
              <w:rPr>
                <w:rFonts w:asciiTheme="minorHAnsi" w:hAnsiTheme="minorHAnsi" w:cstheme="minorHAnsi"/>
                <w:sz w:val="16"/>
                <w:szCs w:val="16"/>
              </w:rPr>
              <w:t>/12-</w:t>
            </w:r>
            <w:r>
              <w:rPr>
                <w:rFonts w:asciiTheme="minorHAnsi" w:hAnsiTheme="minorHAnsi" w:cstheme="minorHAnsi"/>
                <w:sz w:val="16"/>
                <w:szCs w:val="16"/>
              </w:rPr>
              <w:t>16</w:t>
            </w:r>
            <w:r w:rsidRPr="00BA2632">
              <w:rPr>
                <w:rFonts w:asciiTheme="minorHAnsi" w:hAnsiTheme="minorHAnsi" w:cstheme="minorHAnsi"/>
                <w:sz w:val="16"/>
                <w:szCs w:val="16"/>
              </w:rPr>
              <w:t>/12</w:t>
            </w:r>
            <w:r w:rsidRPr="00BA2632">
              <w:rPr>
                <w:rFonts w:asciiTheme="minorHAnsi" w:hAnsiTheme="minorHAnsi" w:cstheme="minorHAnsi"/>
                <w:sz w:val="16"/>
                <w:szCs w:val="16"/>
              </w:rPr>
              <w:br/>
              <w:t xml:space="preserve">Post-CEW </w:t>
            </w:r>
            <w:r>
              <w:rPr>
                <w:rFonts w:asciiTheme="minorHAnsi" w:hAnsiTheme="minorHAnsi" w:cstheme="minorHAnsi"/>
                <w:sz w:val="16"/>
                <w:szCs w:val="16"/>
              </w:rPr>
              <w:t>15</w:t>
            </w:r>
            <w:r w:rsidRPr="00BA2632">
              <w:rPr>
                <w:rFonts w:asciiTheme="minorHAnsi" w:hAnsiTheme="minorHAnsi" w:cstheme="minorHAnsi"/>
                <w:sz w:val="16"/>
                <w:szCs w:val="16"/>
              </w:rPr>
              <w:t>/12-</w:t>
            </w:r>
            <w:r>
              <w:rPr>
                <w:rFonts w:asciiTheme="minorHAnsi" w:hAnsiTheme="minorHAnsi" w:cstheme="minorHAnsi"/>
                <w:sz w:val="16"/>
                <w:szCs w:val="16"/>
              </w:rPr>
              <w:t>16</w:t>
            </w:r>
            <w:r w:rsidRPr="00BA2632">
              <w:rPr>
                <w:rFonts w:asciiTheme="minorHAnsi" w:hAnsiTheme="minorHAnsi" w:cstheme="minorHAnsi"/>
                <w:sz w:val="16"/>
                <w:szCs w:val="16"/>
              </w:rPr>
              <w:t>/12</w:t>
            </w:r>
            <w:r w:rsidRPr="00BA2632">
              <w:rPr>
                <w:rFonts w:asciiTheme="minorHAnsi" w:hAnsiTheme="minorHAnsi" w:cstheme="minorHAnsi"/>
                <w:sz w:val="16"/>
                <w:szCs w:val="16"/>
              </w:rPr>
              <w:br/>
            </w:r>
            <w:r w:rsidRPr="00BA2632">
              <w:rPr>
                <w:rFonts w:asciiTheme="minorHAnsi" w:hAnsiTheme="minorHAnsi" w:cstheme="minorHAnsi"/>
                <w:sz w:val="16"/>
                <w:szCs w:val="16"/>
              </w:rPr>
              <w:lastRenderedPageBreak/>
              <w:t xml:space="preserve">Post-CEW </w:t>
            </w:r>
            <w:r>
              <w:rPr>
                <w:rFonts w:asciiTheme="minorHAnsi" w:hAnsiTheme="minorHAnsi" w:cstheme="minorHAnsi"/>
                <w:sz w:val="16"/>
                <w:szCs w:val="16"/>
              </w:rPr>
              <w:t>15</w:t>
            </w:r>
            <w:r w:rsidRPr="00BA2632">
              <w:rPr>
                <w:rFonts w:asciiTheme="minorHAnsi" w:hAnsiTheme="minorHAnsi" w:cstheme="minorHAnsi"/>
                <w:sz w:val="16"/>
                <w:szCs w:val="16"/>
              </w:rPr>
              <w:t>/12-</w:t>
            </w:r>
            <w:r>
              <w:rPr>
                <w:rFonts w:asciiTheme="minorHAnsi" w:hAnsiTheme="minorHAnsi" w:cstheme="minorHAnsi"/>
                <w:sz w:val="16"/>
                <w:szCs w:val="16"/>
              </w:rPr>
              <w:t>16</w:t>
            </w:r>
            <w:r w:rsidRPr="00BA2632">
              <w:rPr>
                <w:rFonts w:asciiTheme="minorHAnsi" w:hAnsiTheme="minorHAnsi" w:cstheme="minorHAnsi"/>
                <w:sz w:val="16"/>
                <w:szCs w:val="16"/>
              </w:rPr>
              <w:t>/12</w:t>
            </w:r>
            <w:r w:rsidRPr="00BA2632">
              <w:rPr>
                <w:rFonts w:asciiTheme="minorHAnsi" w:hAnsiTheme="minorHAnsi" w:cstheme="minorHAnsi"/>
                <w:sz w:val="16"/>
                <w:szCs w:val="16"/>
              </w:rPr>
              <w:br/>
              <w:t xml:space="preserve">Post-CEW </w:t>
            </w:r>
            <w:r>
              <w:rPr>
                <w:rFonts w:asciiTheme="minorHAnsi" w:hAnsiTheme="minorHAnsi" w:cstheme="minorHAnsi"/>
                <w:sz w:val="16"/>
                <w:szCs w:val="16"/>
              </w:rPr>
              <w:t>15</w:t>
            </w:r>
            <w:r w:rsidRPr="00BA2632">
              <w:rPr>
                <w:rFonts w:asciiTheme="minorHAnsi" w:hAnsiTheme="minorHAnsi" w:cstheme="minorHAnsi"/>
                <w:sz w:val="16"/>
                <w:szCs w:val="16"/>
              </w:rPr>
              <w:t>/12-</w:t>
            </w:r>
            <w:r>
              <w:rPr>
                <w:rFonts w:asciiTheme="minorHAnsi" w:hAnsiTheme="minorHAnsi" w:cstheme="minorHAnsi"/>
                <w:sz w:val="16"/>
                <w:szCs w:val="16"/>
              </w:rPr>
              <w:t>16</w:t>
            </w:r>
            <w:r w:rsidRPr="00BA2632">
              <w:rPr>
                <w:rFonts w:asciiTheme="minorHAnsi" w:hAnsiTheme="minorHAnsi" w:cstheme="minorHAnsi"/>
                <w:sz w:val="16"/>
                <w:szCs w:val="16"/>
              </w:rPr>
              <w:t>/12</w:t>
            </w:r>
          </w:p>
        </w:tc>
        <w:tc>
          <w:tcPr>
            <w:tcW w:w="1000" w:type="dxa"/>
          </w:tcPr>
          <w:p w14:paraId="61E419A4"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lastRenderedPageBreak/>
              <w:t>26</w:t>
            </w:r>
            <w:r w:rsidRPr="00BA2632">
              <w:rPr>
                <w:rFonts w:asciiTheme="minorHAnsi" w:hAnsiTheme="minorHAnsi" w:cstheme="minorHAnsi"/>
                <w:sz w:val="16"/>
                <w:szCs w:val="16"/>
              </w:rPr>
              <w:t>/1-</w:t>
            </w:r>
            <w:r>
              <w:rPr>
                <w:rFonts w:asciiTheme="minorHAnsi" w:hAnsiTheme="minorHAnsi" w:cstheme="minorHAnsi"/>
                <w:sz w:val="16"/>
                <w:szCs w:val="16"/>
              </w:rPr>
              <w:t>27</w:t>
            </w:r>
            <w:r w:rsidRPr="00BA2632">
              <w:rPr>
                <w:rFonts w:asciiTheme="minorHAnsi" w:hAnsiTheme="minorHAnsi" w:cstheme="minorHAnsi"/>
                <w:sz w:val="16"/>
                <w:szCs w:val="16"/>
              </w:rPr>
              <w:t>/1</w:t>
            </w:r>
            <w:r w:rsidRPr="00BA2632">
              <w:rPr>
                <w:rFonts w:asciiTheme="minorHAnsi" w:hAnsiTheme="minorHAnsi" w:cstheme="minorHAnsi"/>
                <w:sz w:val="16"/>
                <w:szCs w:val="16"/>
              </w:rPr>
              <w:br/>
            </w:r>
            <w:r>
              <w:rPr>
                <w:rFonts w:asciiTheme="minorHAnsi" w:hAnsiTheme="minorHAnsi" w:cstheme="minorHAnsi"/>
                <w:sz w:val="16"/>
                <w:szCs w:val="16"/>
              </w:rPr>
              <w:t>26</w:t>
            </w:r>
            <w:r w:rsidRPr="00BA2632">
              <w:rPr>
                <w:rFonts w:asciiTheme="minorHAnsi" w:hAnsiTheme="minorHAnsi" w:cstheme="minorHAnsi"/>
                <w:sz w:val="16"/>
                <w:szCs w:val="16"/>
              </w:rPr>
              <w:t>/1-</w:t>
            </w:r>
            <w:r>
              <w:rPr>
                <w:rFonts w:asciiTheme="minorHAnsi" w:hAnsiTheme="minorHAnsi" w:cstheme="minorHAnsi"/>
                <w:sz w:val="16"/>
                <w:szCs w:val="16"/>
              </w:rPr>
              <w:t>27</w:t>
            </w:r>
            <w:r w:rsidRPr="00BA2632">
              <w:rPr>
                <w:rFonts w:asciiTheme="minorHAnsi" w:hAnsiTheme="minorHAnsi" w:cstheme="minorHAnsi"/>
                <w:sz w:val="16"/>
                <w:szCs w:val="16"/>
              </w:rPr>
              <w:t>/1</w:t>
            </w:r>
            <w:r w:rsidRPr="00BA2632">
              <w:rPr>
                <w:rFonts w:asciiTheme="minorHAnsi" w:hAnsiTheme="minorHAnsi" w:cstheme="minorHAnsi"/>
                <w:sz w:val="16"/>
                <w:szCs w:val="16"/>
              </w:rPr>
              <w:br/>
            </w:r>
            <w:r>
              <w:rPr>
                <w:rFonts w:asciiTheme="minorHAnsi" w:hAnsiTheme="minorHAnsi" w:cstheme="minorHAnsi"/>
                <w:sz w:val="16"/>
                <w:szCs w:val="16"/>
              </w:rPr>
              <w:lastRenderedPageBreak/>
              <w:t>26</w:t>
            </w:r>
            <w:r w:rsidRPr="00BA2632">
              <w:rPr>
                <w:rFonts w:asciiTheme="minorHAnsi" w:hAnsiTheme="minorHAnsi" w:cstheme="minorHAnsi"/>
                <w:sz w:val="16"/>
                <w:szCs w:val="16"/>
              </w:rPr>
              <w:t>/1-</w:t>
            </w:r>
            <w:r>
              <w:rPr>
                <w:rFonts w:asciiTheme="minorHAnsi" w:hAnsiTheme="minorHAnsi" w:cstheme="minorHAnsi"/>
                <w:sz w:val="16"/>
                <w:szCs w:val="16"/>
              </w:rPr>
              <w:t>27</w:t>
            </w:r>
            <w:r w:rsidRPr="00BA2632">
              <w:rPr>
                <w:rFonts w:asciiTheme="minorHAnsi" w:hAnsiTheme="minorHAnsi" w:cstheme="minorHAnsi"/>
                <w:sz w:val="16"/>
                <w:szCs w:val="16"/>
              </w:rPr>
              <w:t>/1</w:t>
            </w:r>
            <w:r w:rsidRPr="00BA2632">
              <w:rPr>
                <w:rFonts w:asciiTheme="minorHAnsi" w:hAnsiTheme="minorHAnsi" w:cstheme="minorHAnsi"/>
                <w:sz w:val="16"/>
                <w:szCs w:val="16"/>
              </w:rPr>
              <w:br/>
            </w:r>
            <w:r>
              <w:rPr>
                <w:rFonts w:asciiTheme="minorHAnsi" w:hAnsiTheme="minorHAnsi" w:cstheme="minorHAnsi"/>
                <w:sz w:val="16"/>
                <w:szCs w:val="16"/>
              </w:rPr>
              <w:t>26</w:t>
            </w:r>
            <w:r w:rsidRPr="00BA2632">
              <w:rPr>
                <w:rFonts w:asciiTheme="minorHAnsi" w:hAnsiTheme="minorHAnsi" w:cstheme="minorHAnsi"/>
                <w:sz w:val="16"/>
                <w:szCs w:val="16"/>
              </w:rPr>
              <w:t>/1-</w:t>
            </w:r>
            <w:r>
              <w:rPr>
                <w:rFonts w:asciiTheme="minorHAnsi" w:hAnsiTheme="minorHAnsi" w:cstheme="minorHAnsi"/>
                <w:sz w:val="16"/>
                <w:szCs w:val="16"/>
              </w:rPr>
              <w:t>27</w:t>
            </w:r>
            <w:r w:rsidRPr="00BA2632">
              <w:rPr>
                <w:rFonts w:asciiTheme="minorHAnsi" w:hAnsiTheme="minorHAnsi" w:cstheme="minorHAnsi"/>
                <w:sz w:val="16"/>
                <w:szCs w:val="16"/>
              </w:rPr>
              <w:t>/1</w:t>
            </w:r>
          </w:p>
        </w:tc>
        <w:tc>
          <w:tcPr>
            <w:tcW w:w="993" w:type="dxa"/>
          </w:tcPr>
          <w:p w14:paraId="06B88C16"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lastRenderedPageBreak/>
              <w:t>22</w:t>
            </w:r>
            <w:r w:rsidRPr="00BA2632">
              <w:rPr>
                <w:rFonts w:asciiTheme="minorHAnsi" w:hAnsiTheme="minorHAnsi" w:cstheme="minorHAnsi"/>
                <w:sz w:val="16"/>
                <w:szCs w:val="16"/>
              </w:rPr>
              <w:t>/2-</w:t>
            </w:r>
            <w:r>
              <w:rPr>
                <w:rFonts w:asciiTheme="minorHAnsi" w:hAnsiTheme="minorHAnsi" w:cstheme="minorHAnsi"/>
                <w:sz w:val="16"/>
                <w:szCs w:val="16"/>
              </w:rPr>
              <w:t>23</w:t>
            </w:r>
            <w:r w:rsidRPr="00BA2632">
              <w:rPr>
                <w:rFonts w:asciiTheme="minorHAnsi" w:hAnsiTheme="minorHAnsi" w:cstheme="minorHAnsi"/>
                <w:sz w:val="16"/>
                <w:szCs w:val="16"/>
              </w:rPr>
              <w:t>/2</w:t>
            </w:r>
            <w:r w:rsidRPr="00BA2632">
              <w:rPr>
                <w:rFonts w:asciiTheme="minorHAnsi" w:hAnsiTheme="minorHAnsi" w:cstheme="minorHAnsi"/>
                <w:sz w:val="16"/>
                <w:szCs w:val="16"/>
              </w:rPr>
              <w:br/>
            </w:r>
            <w:r>
              <w:rPr>
                <w:rFonts w:asciiTheme="minorHAnsi" w:hAnsiTheme="minorHAnsi" w:cstheme="minorHAnsi"/>
                <w:sz w:val="16"/>
                <w:szCs w:val="16"/>
              </w:rPr>
              <w:t>22</w:t>
            </w:r>
            <w:r w:rsidRPr="00BA2632">
              <w:rPr>
                <w:rFonts w:asciiTheme="minorHAnsi" w:hAnsiTheme="minorHAnsi" w:cstheme="minorHAnsi"/>
                <w:sz w:val="16"/>
                <w:szCs w:val="16"/>
              </w:rPr>
              <w:t>/2-</w:t>
            </w:r>
            <w:r>
              <w:rPr>
                <w:rFonts w:asciiTheme="minorHAnsi" w:hAnsiTheme="minorHAnsi" w:cstheme="minorHAnsi"/>
                <w:sz w:val="16"/>
                <w:szCs w:val="16"/>
              </w:rPr>
              <w:t>23</w:t>
            </w:r>
            <w:r w:rsidRPr="00BA2632">
              <w:rPr>
                <w:rFonts w:asciiTheme="minorHAnsi" w:hAnsiTheme="minorHAnsi" w:cstheme="minorHAnsi"/>
                <w:sz w:val="16"/>
                <w:szCs w:val="16"/>
              </w:rPr>
              <w:t>/2</w:t>
            </w:r>
            <w:r w:rsidRPr="00BA2632">
              <w:rPr>
                <w:rFonts w:asciiTheme="minorHAnsi" w:hAnsiTheme="minorHAnsi" w:cstheme="minorHAnsi"/>
                <w:sz w:val="16"/>
                <w:szCs w:val="16"/>
              </w:rPr>
              <w:br/>
            </w:r>
            <w:r>
              <w:rPr>
                <w:rFonts w:asciiTheme="minorHAnsi" w:hAnsiTheme="minorHAnsi" w:cstheme="minorHAnsi"/>
                <w:sz w:val="16"/>
                <w:szCs w:val="16"/>
              </w:rPr>
              <w:lastRenderedPageBreak/>
              <w:t>22</w:t>
            </w:r>
            <w:r w:rsidRPr="00BA2632">
              <w:rPr>
                <w:rFonts w:asciiTheme="minorHAnsi" w:hAnsiTheme="minorHAnsi" w:cstheme="minorHAnsi"/>
                <w:sz w:val="16"/>
                <w:szCs w:val="16"/>
              </w:rPr>
              <w:t>/2-</w:t>
            </w:r>
            <w:r>
              <w:rPr>
                <w:rFonts w:asciiTheme="minorHAnsi" w:hAnsiTheme="minorHAnsi" w:cstheme="minorHAnsi"/>
                <w:sz w:val="16"/>
                <w:szCs w:val="16"/>
              </w:rPr>
              <w:t>23</w:t>
            </w:r>
            <w:r w:rsidRPr="00BA2632">
              <w:rPr>
                <w:rFonts w:asciiTheme="minorHAnsi" w:hAnsiTheme="minorHAnsi" w:cstheme="minorHAnsi"/>
                <w:sz w:val="16"/>
                <w:szCs w:val="16"/>
              </w:rPr>
              <w:t>/2</w:t>
            </w:r>
            <w:r w:rsidRPr="00BA2632">
              <w:rPr>
                <w:rFonts w:asciiTheme="minorHAnsi" w:hAnsiTheme="minorHAnsi" w:cstheme="minorHAnsi"/>
                <w:sz w:val="16"/>
                <w:szCs w:val="16"/>
              </w:rPr>
              <w:br/>
            </w:r>
            <w:r>
              <w:rPr>
                <w:rFonts w:asciiTheme="minorHAnsi" w:hAnsiTheme="minorHAnsi" w:cstheme="minorHAnsi"/>
                <w:sz w:val="16"/>
                <w:szCs w:val="16"/>
              </w:rPr>
              <w:t>22</w:t>
            </w:r>
            <w:r w:rsidRPr="00BA2632">
              <w:rPr>
                <w:rFonts w:asciiTheme="minorHAnsi" w:hAnsiTheme="minorHAnsi" w:cstheme="minorHAnsi"/>
                <w:sz w:val="16"/>
                <w:szCs w:val="16"/>
              </w:rPr>
              <w:t>/2-</w:t>
            </w:r>
            <w:r>
              <w:rPr>
                <w:rFonts w:asciiTheme="minorHAnsi" w:hAnsiTheme="minorHAnsi" w:cstheme="minorHAnsi"/>
                <w:sz w:val="16"/>
                <w:szCs w:val="16"/>
              </w:rPr>
              <w:t>23</w:t>
            </w:r>
            <w:r w:rsidRPr="00BA2632">
              <w:rPr>
                <w:rFonts w:asciiTheme="minorHAnsi" w:hAnsiTheme="minorHAnsi" w:cstheme="minorHAnsi"/>
                <w:sz w:val="16"/>
                <w:szCs w:val="16"/>
              </w:rPr>
              <w:t>/2</w:t>
            </w:r>
          </w:p>
        </w:tc>
        <w:tc>
          <w:tcPr>
            <w:tcW w:w="567" w:type="dxa"/>
          </w:tcPr>
          <w:p w14:paraId="70E2E3DB"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999" w:type="dxa"/>
            <w:gridSpan w:val="2"/>
          </w:tcPr>
          <w:p w14:paraId="4B4C4DC8" w14:textId="77777777" w:rsidR="000D5086" w:rsidRPr="00BA2632" w:rsidRDefault="000D5086" w:rsidP="00E26D3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12</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t>-</w:t>
            </w:r>
            <w:r>
              <w:rPr>
                <w:rFonts w:asciiTheme="minorHAnsi" w:hAnsiTheme="minorHAnsi" w:cstheme="minorHAnsi"/>
                <w:sz w:val="16"/>
                <w:szCs w:val="16"/>
              </w:rPr>
              <w:t>13</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br/>
            </w:r>
            <w:r>
              <w:rPr>
                <w:rFonts w:asciiTheme="minorHAnsi" w:hAnsiTheme="minorHAnsi" w:cstheme="minorHAnsi"/>
                <w:sz w:val="16"/>
                <w:szCs w:val="16"/>
              </w:rPr>
              <w:t>12</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t>-</w:t>
            </w:r>
            <w:r>
              <w:rPr>
                <w:rFonts w:asciiTheme="minorHAnsi" w:hAnsiTheme="minorHAnsi" w:cstheme="minorHAnsi"/>
                <w:sz w:val="16"/>
                <w:szCs w:val="16"/>
              </w:rPr>
              <w:t>13</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br/>
            </w:r>
            <w:r>
              <w:rPr>
                <w:rFonts w:asciiTheme="minorHAnsi" w:hAnsiTheme="minorHAnsi" w:cstheme="minorHAnsi"/>
                <w:sz w:val="16"/>
                <w:szCs w:val="16"/>
              </w:rPr>
              <w:lastRenderedPageBreak/>
              <w:t>12</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t>-</w:t>
            </w:r>
            <w:r>
              <w:rPr>
                <w:rFonts w:asciiTheme="minorHAnsi" w:hAnsiTheme="minorHAnsi" w:cstheme="minorHAnsi"/>
                <w:sz w:val="16"/>
                <w:szCs w:val="16"/>
              </w:rPr>
              <w:t>13</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br/>
            </w:r>
            <w:r>
              <w:rPr>
                <w:rFonts w:asciiTheme="minorHAnsi" w:hAnsiTheme="minorHAnsi" w:cstheme="minorHAnsi"/>
                <w:sz w:val="16"/>
                <w:szCs w:val="16"/>
              </w:rPr>
              <w:t>12</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t>-</w:t>
            </w:r>
            <w:r>
              <w:rPr>
                <w:rFonts w:asciiTheme="minorHAnsi" w:hAnsiTheme="minorHAnsi" w:cstheme="minorHAnsi"/>
                <w:sz w:val="16"/>
                <w:szCs w:val="16"/>
              </w:rPr>
              <w:t>13</w:t>
            </w:r>
            <w:r w:rsidRPr="00BA2632">
              <w:rPr>
                <w:rFonts w:asciiTheme="minorHAnsi" w:hAnsiTheme="minorHAnsi" w:cstheme="minorHAnsi"/>
                <w:sz w:val="16"/>
                <w:szCs w:val="16"/>
              </w:rPr>
              <w:t>/</w:t>
            </w:r>
            <w:r>
              <w:rPr>
                <w:rFonts w:asciiTheme="minorHAnsi" w:hAnsiTheme="minorHAnsi" w:cstheme="minorHAnsi"/>
                <w:sz w:val="16"/>
                <w:szCs w:val="16"/>
              </w:rPr>
              <w:t>4</w:t>
            </w:r>
          </w:p>
        </w:tc>
      </w:tr>
      <w:tr w:rsidR="001D60A8" w:rsidRPr="00BA2632" w14:paraId="2FA1AB15" w14:textId="77777777" w:rsidTr="00F70B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vMerge/>
          </w:tcPr>
          <w:p w14:paraId="3B621B65" w14:textId="77777777" w:rsidR="000D5086" w:rsidRPr="00BA2632" w:rsidRDefault="000D5086" w:rsidP="00E26D3C">
            <w:pPr>
              <w:pStyle w:val="Tabletext"/>
              <w:rPr>
                <w:rFonts w:asciiTheme="minorHAnsi" w:hAnsiTheme="minorHAnsi" w:cstheme="minorHAnsi"/>
                <w:sz w:val="16"/>
                <w:szCs w:val="16"/>
              </w:rPr>
            </w:pPr>
          </w:p>
        </w:tc>
        <w:tc>
          <w:tcPr>
            <w:tcW w:w="1848" w:type="dxa"/>
          </w:tcPr>
          <w:p w14:paraId="3DC1D0C7"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Lord Road (nr Loch Garry)</w:t>
            </w:r>
            <w:r w:rsidRPr="00BA2632">
              <w:rPr>
                <w:rFonts w:asciiTheme="minorHAnsi" w:hAnsiTheme="minorHAnsi" w:cstheme="minorHAnsi"/>
                <w:sz w:val="16"/>
                <w:szCs w:val="16"/>
              </w:rPr>
              <w:br/>
            </w:r>
            <w:r>
              <w:rPr>
                <w:rFonts w:asciiTheme="minorHAnsi" w:hAnsiTheme="minorHAnsi" w:cstheme="minorHAnsi"/>
                <w:sz w:val="16"/>
                <w:szCs w:val="16"/>
              </w:rPr>
              <w:t>McCoy’s</w:t>
            </w:r>
            <w:r w:rsidRPr="00BA2632">
              <w:rPr>
                <w:rFonts w:asciiTheme="minorHAnsi" w:hAnsiTheme="minorHAnsi" w:cstheme="minorHAnsi"/>
                <w:sz w:val="16"/>
                <w:szCs w:val="16"/>
              </w:rPr>
              <w:t xml:space="preserve"> Bridge</w:t>
            </w:r>
            <w:r w:rsidRPr="00BA2632">
              <w:rPr>
                <w:rFonts w:asciiTheme="minorHAnsi" w:hAnsiTheme="minorHAnsi" w:cstheme="minorHAnsi"/>
                <w:sz w:val="16"/>
                <w:szCs w:val="16"/>
              </w:rPr>
              <w:br/>
            </w:r>
            <w:proofErr w:type="spellStart"/>
            <w:r w:rsidRPr="00BA2632">
              <w:rPr>
                <w:rFonts w:asciiTheme="minorHAnsi" w:hAnsiTheme="minorHAnsi" w:cstheme="minorHAnsi"/>
                <w:sz w:val="16"/>
                <w:szCs w:val="16"/>
              </w:rPr>
              <w:t>Murrumbidgee</w:t>
            </w:r>
            <w:proofErr w:type="spellEnd"/>
            <w:r w:rsidRPr="00BA2632">
              <w:rPr>
                <w:rFonts w:asciiTheme="minorHAnsi" w:hAnsiTheme="minorHAnsi" w:cstheme="minorHAnsi"/>
                <w:sz w:val="16"/>
                <w:szCs w:val="16"/>
              </w:rPr>
              <w:t xml:space="preserve"> Road</w:t>
            </w:r>
            <w:r w:rsidRPr="00BA2632">
              <w:rPr>
                <w:rFonts w:asciiTheme="minorHAnsi" w:hAnsiTheme="minorHAnsi" w:cstheme="minorHAnsi"/>
                <w:sz w:val="16"/>
                <w:szCs w:val="16"/>
              </w:rPr>
              <w:br/>
              <w:t>Stewarts Bridge</w:t>
            </w:r>
          </w:p>
        </w:tc>
        <w:tc>
          <w:tcPr>
            <w:tcW w:w="992" w:type="dxa"/>
          </w:tcPr>
          <w:p w14:paraId="4F732906"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1846" w:type="dxa"/>
            <w:gridSpan w:val="2"/>
          </w:tcPr>
          <w:p w14:paraId="0FF9B701"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1</w:t>
            </w:r>
            <w:r>
              <w:rPr>
                <w:rFonts w:asciiTheme="minorHAnsi" w:hAnsiTheme="minorHAnsi" w:cstheme="minorHAnsi"/>
                <w:sz w:val="16"/>
                <w:szCs w:val="16"/>
              </w:rPr>
              <w:t>1</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t>-1</w:t>
            </w:r>
            <w:r>
              <w:rPr>
                <w:rFonts w:asciiTheme="minorHAnsi" w:hAnsiTheme="minorHAnsi" w:cstheme="minorHAnsi"/>
                <w:sz w:val="16"/>
                <w:szCs w:val="16"/>
              </w:rPr>
              <w:t>2</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b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1</w:t>
            </w:r>
            <w:r>
              <w:rPr>
                <w:rFonts w:asciiTheme="minorHAnsi" w:hAnsiTheme="minorHAnsi" w:cstheme="minorHAnsi"/>
                <w:sz w:val="16"/>
                <w:szCs w:val="16"/>
              </w:rPr>
              <w:t>1</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t>-1</w:t>
            </w:r>
            <w:r>
              <w:rPr>
                <w:rFonts w:asciiTheme="minorHAnsi" w:hAnsiTheme="minorHAnsi" w:cstheme="minorHAnsi"/>
                <w:sz w:val="16"/>
                <w:szCs w:val="16"/>
              </w:rPr>
              <w:t>2</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b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1</w:t>
            </w:r>
            <w:r>
              <w:rPr>
                <w:rFonts w:asciiTheme="minorHAnsi" w:hAnsiTheme="minorHAnsi" w:cstheme="minorHAnsi"/>
                <w:sz w:val="16"/>
                <w:szCs w:val="16"/>
              </w:rPr>
              <w:t>1</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t>-1</w:t>
            </w:r>
            <w:r>
              <w:rPr>
                <w:rFonts w:asciiTheme="minorHAnsi" w:hAnsiTheme="minorHAnsi" w:cstheme="minorHAnsi"/>
                <w:sz w:val="16"/>
                <w:szCs w:val="16"/>
              </w:rPr>
              <w:t>2</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br/>
              <w:t>Pre-</w:t>
            </w:r>
            <w:r>
              <w:rPr>
                <w:rFonts w:asciiTheme="minorHAnsi" w:hAnsiTheme="minorHAnsi" w:cstheme="minorHAnsi"/>
                <w:sz w:val="16"/>
                <w:szCs w:val="16"/>
              </w:rPr>
              <w:t>2</w:t>
            </w:r>
            <w:r w:rsidRPr="00364339">
              <w:rPr>
                <w:rFonts w:asciiTheme="minorHAnsi" w:hAnsiTheme="minorHAnsi" w:cstheme="minorHAnsi"/>
                <w:sz w:val="16"/>
                <w:szCs w:val="16"/>
                <w:vertAlign w:val="superscript"/>
              </w:rPr>
              <w:t>nd</w:t>
            </w:r>
            <w:r w:rsidRPr="00BA2632">
              <w:rPr>
                <w:rFonts w:asciiTheme="minorHAnsi" w:hAnsiTheme="minorHAnsi" w:cstheme="minorHAnsi"/>
                <w:sz w:val="16"/>
                <w:szCs w:val="16"/>
              </w:rPr>
              <w:t xml:space="preserve"> CEW 1</w:t>
            </w:r>
            <w:r>
              <w:rPr>
                <w:rFonts w:asciiTheme="minorHAnsi" w:hAnsiTheme="minorHAnsi" w:cstheme="minorHAnsi"/>
                <w:sz w:val="16"/>
                <w:szCs w:val="16"/>
              </w:rPr>
              <w:t>1</w:t>
            </w:r>
            <w:r w:rsidRPr="00BA2632">
              <w:rPr>
                <w:rFonts w:asciiTheme="minorHAnsi" w:hAnsiTheme="minorHAnsi" w:cstheme="minorHAnsi"/>
                <w:sz w:val="16"/>
                <w:szCs w:val="16"/>
              </w:rPr>
              <w:t>/</w:t>
            </w:r>
            <w:r>
              <w:rPr>
                <w:rFonts w:asciiTheme="minorHAnsi" w:hAnsiTheme="minorHAnsi" w:cstheme="minorHAnsi"/>
                <w:sz w:val="16"/>
                <w:szCs w:val="16"/>
              </w:rPr>
              <w:t>11</w:t>
            </w:r>
            <w:r w:rsidRPr="00BA2632">
              <w:rPr>
                <w:rFonts w:asciiTheme="minorHAnsi" w:hAnsiTheme="minorHAnsi" w:cstheme="minorHAnsi"/>
                <w:sz w:val="16"/>
                <w:szCs w:val="16"/>
              </w:rPr>
              <w:t>-1</w:t>
            </w:r>
            <w:r>
              <w:rPr>
                <w:rFonts w:asciiTheme="minorHAnsi" w:hAnsiTheme="minorHAnsi" w:cstheme="minorHAnsi"/>
                <w:sz w:val="16"/>
                <w:szCs w:val="16"/>
              </w:rPr>
              <w:t>2</w:t>
            </w:r>
            <w:r w:rsidRPr="00BA2632">
              <w:rPr>
                <w:rFonts w:asciiTheme="minorHAnsi" w:hAnsiTheme="minorHAnsi" w:cstheme="minorHAnsi"/>
                <w:sz w:val="16"/>
                <w:szCs w:val="16"/>
              </w:rPr>
              <w:t>/</w:t>
            </w:r>
            <w:r>
              <w:rPr>
                <w:rFonts w:asciiTheme="minorHAnsi" w:hAnsiTheme="minorHAnsi" w:cstheme="minorHAnsi"/>
                <w:sz w:val="16"/>
                <w:szCs w:val="16"/>
              </w:rPr>
              <w:t>11</w:t>
            </w:r>
          </w:p>
        </w:tc>
        <w:tc>
          <w:tcPr>
            <w:tcW w:w="1701" w:type="dxa"/>
          </w:tcPr>
          <w:p w14:paraId="79EE6372"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BA2632">
              <w:rPr>
                <w:rFonts w:asciiTheme="minorHAnsi" w:hAnsiTheme="minorHAnsi" w:cstheme="minorHAnsi"/>
                <w:sz w:val="16"/>
                <w:szCs w:val="16"/>
              </w:rPr>
              <w:t xml:space="preserve">Post-CEW </w:t>
            </w:r>
            <w:r>
              <w:rPr>
                <w:rFonts w:asciiTheme="minorHAnsi" w:hAnsiTheme="minorHAnsi" w:cstheme="minorHAnsi"/>
                <w:sz w:val="16"/>
                <w:szCs w:val="16"/>
              </w:rPr>
              <w:t>16</w:t>
            </w:r>
            <w:r w:rsidRPr="00BA2632">
              <w:rPr>
                <w:rFonts w:asciiTheme="minorHAnsi" w:hAnsiTheme="minorHAnsi" w:cstheme="minorHAnsi"/>
                <w:sz w:val="16"/>
                <w:szCs w:val="16"/>
              </w:rPr>
              <w:t>/12-</w:t>
            </w:r>
            <w:r>
              <w:rPr>
                <w:rFonts w:asciiTheme="minorHAnsi" w:hAnsiTheme="minorHAnsi" w:cstheme="minorHAnsi"/>
                <w:sz w:val="16"/>
                <w:szCs w:val="16"/>
              </w:rPr>
              <w:t>17</w:t>
            </w:r>
            <w:r w:rsidRPr="00BA2632">
              <w:rPr>
                <w:rFonts w:asciiTheme="minorHAnsi" w:hAnsiTheme="minorHAnsi" w:cstheme="minorHAnsi"/>
                <w:sz w:val="16"/>
                <w:szCs w:val="16"/>
              </w:rPr>
              <w:t>/12</w:t>
            </w:r>
            <w:r w:rsidRPr="00BA2632">
              <w:rPr>
                <w:rFonts w:asciiTheme="minorHAnsi" w:hAnsiTheme="minorHAnsi" w:cstheme="minorHAnsi"/>
                <w:sz w:val="16"/>
                <w:szCs w:val="16"/>
              </w:rPr>
              <w:br/>
              <w:t xml:space="preserve">Post-CEW </w:t>
            </w:r>
            <w:r>
              <w:rPr>
                <w:rFonts w:asciiTheme="minorHAnsi" w:hAnsiTheme="minorHAnsi" w:cstheme="minorHAnsi"/>
                <w:sz w:val="16"/>
                <w:szCs w:val="16"/>
              </w:rPr>
              <w:t>17</w:t>
            </w:r>
            <w:r w:rsidRPr="00BA2632">
              <w:rPr>
                <w:rFonts w:asciiTheme="minorHAnsi" w:hAnsiTheme="minorHAnsi" w:cstheme="minorHAnsi"/>
                <w:sz w:val="16"/>
                <w:szCs w:val="16"/>
              </w:rPr>
              <w:t>/12-</w:t>
            </w:r>
            <w:r>
              <w:rPr>
                <w:rFonts w:asciiTheme="minorHAnsi" w:hAnsiTheme="minorHAnsi" w:cstheme="minorHAnsi"/>
                <w:sz w:val="16"/>
                <w:szCs w:val="16"/>
              </w:rPr>
              <w:t>18</w:t>
            </w:r>
            <w:r w:rsidRPr="00BA2632">
              <w:rPr>
                <w:rFonts w:asciiTheme="minorHAnsi" w:hAnsiTheme="minorHAnsi" w:cstheme="minorHAnsi"/>
                <w:sz w:val="16"/>
                <w:szCs w:val="16"/>
              </w:rPr>
              <w:t>/12</w:t>
            </w:r>
            <w:r w:rsidRPr="00BA2632">
              <w:rPr>
                <w:rFonts w:asciiTheme="minorHAnsi" w:hAnsiTheme="minorHAnsi" w:cstheme="minorHAnsi"/>
                <w:sz w:val="16"/>
                <w:szCs w:val="16"/>
              </w:rPr>
              <w:br/>
              <w:t xml:space="preserve">Post-CEW </w:t>
            </w:r>
            <w:r>
              <w:rPr>
                <w:rFonts w:asciiTheme="minorHAnsi" w:hAnsiTheme="minorHAnsi" w:cstheme="minorHAnsi"/>
                <w:sz w:val="16"/>
                <w:szCs w:val="16"/>
              </w:rPr>
              <w:t>17</w:t>
            </w:r>
            <w:r w:rsidRPr="00BA2632">
              <w:rPr>
                <w:rFonts w:asciiTheme="minorHAnsi" w:hAnsiTheme="minorHAnsi" w:cstheme="minorHAnsi"/>
                <w:sz w:val="16"/>
                <w:szCs w:val="16"/>
              </w:rPr>
              <w:t>/12-</w:t>
            </w:r>
            <w:r>
              <w:rPr>
                <w:rFonts w:asciiTheme="minorHAnsi" w:hAnsiTheme="minorHAnsi" w:cstheme="minorHAnsi"/>
                <w:sz w:val="16"/>
                <w:szCs w:val="16"/>
              </w:rPr>
              <w:t>18</w:t>
            </w:r>
            <w:r w:rsidRPr="00BA2632">
              <w:rPr>
                <w:rFonts w:asciiTheme="minorHAnsi" w:hAnsiTheme="minorHAnsi" w:cstheme="minorHAnsi"/>
                <w:sz w:val="16"/>
                <w:szCs w:val="16"/>
              </w:rPr>
              <w:t>/12</w:t>
            </w:r>
            <w:r w:rsidRPr="00BA2632">
              <w:rPr>
                <w:rFonts w:asciiTheme="minorHAnsi" w:hAnsiTheme="minorHAnsi" w:cstheme="minorHAnsi"/>
                <w:sz w:val="16"/>
                <w:szCs w:val="16"/>
              </w:rPr>
              <w:br/>
              <w:t xml:space="preserve">Post-CEW </w:t>
            </w:r>
            <w:r>
              <w:rPr>
                <w:rFonts w:asciiTheme="minorHAnsi" w:hAnsiTheme="minorHAnsi" w:cstheme="minorHAnsi"/>
                <w:sz w:val="16"/>
                <w:szCs w:val="16"/>
              </w:rPr>
              <w:t>17</w:t>
            </w:r>
            <w:r w:rsidRPr="00BA2632">
              <w:rPr>
                <w:rFonts w:asciiTheme="minorHAnsi" w:hAnsiTheme="minorHAnsi" w:cstheme="minorHAnsi"/>
                <w:sz w:val="16"/>
                <w:szCs w:val="16"/>
              </w:rPr>
              <w:t>/12-</w:t>
            </w:r>
            <w:r>
              <w:rPr>
                <w:rFonts w:asciiTheme="minorHAnsi" w:hAnsiTheme="minorHAnsi" w:cstheme="minorHAnsi"/>
                <w:sz w:val="16"/>
                <w:szCs w:val="16"/>
              </w:rPr>
              <w:t>18</w:t>
            </w:r>
            <w:r w:rsidRPr="00BA2632">
              <w:rPr>
                <w:rFonts w:asciiTheme="minorHAnsi" w:hAnsiTheme="minorHAnsi" w:cstheme="minorHAnsi"/>
                <w:sz w:val="16"/>
                <w:szCs w:val="16"/>
              </w:rPr>
              <w:t>/12</w:t>
            </w:r>
          </w:p>
        </w:tc>
        <w:tc>
          <w:tcPr>
            <w:tcW w:w="1000" w:type="dxa"/>
          </w:tcPr>
          <w:p w14:paraId="496A148F"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27</w:t>
            </w:r>
            <w:r w:rsidRPr="00BA2632">
              <w:rPr>
                <w:rFonts w:asciiTheme="minorHAnsi" w:hAnsiTheme="minorHAnsi" w:cstheme="minorHAnsi"/>
                <w:sz w:val="16"/>
                <w:szCs w:val="16"/>
              </w:rPr>
              <w:t>/1-</w:t>
            </w:r>
            <w:r>
              <w:rPr>
                <w:rFonts w:asciiTheme="minorHAnsi" w:hAnsiTheme="minorHAnsi" w:cstheme="minorHAnsi"/>
                <w:sz w:val="16"/>
                <w:szCs w:val="16"/>
              </w:rPr>
              <w:t>28</w:t>
            </w:r>
            <w:r w:rsidRPr="00BA2632">
              <w:rPr>
                <w:rFonts w:asciiTheme="minorHAnsi" w:hAnsiTheme="minorHAnsi" w:cstheme="minorHAnsi"/>
                <w:sz w:val="16"/>
                <w:szCs w:val="16"/>
              </w:rPr>
              <w:t>/1</w:t>
            </w:r>
            <w:r w:rsidRPr="00BA2632">
              <w:rPr>
                <w:rFonts w:asciiTheme="minorHAnsi" w:hAnsiTheme="minorHAnsi" w:cstheme="minorHAnsi"/>
                <w:sz w:val="16"/>
                <w:szCs w:val="16"/>
              </w:rPr>
              <w:br/>
            </w:r>
            <w:r>
              <w:rPr>
                <w:rFonts w:asciiTheme="minorHAnsi" w:hAnsiTheme="minorHAnsi" w:cstheme="minorHAnsi"/>
                <w:sz w:val="16"/>
                <w:szCs w:val="16"/>
              </w:rPr>
              <w:t>28</w:t>
            </w:r>
            <w:r w:rsidRPr="00BA2632">
              <w:rPr>
                <w:rFonts w:asciiTheme="minorHAnsi" w:hAnsiTheme="minorHAnsi" w:cstheme="minorHAnsi"/>
                <w:sz w:val="16"/>
                <w:szCs w:val="16"/>
              </w:rPr>
              <w:t>/1-</w:t>
            </w:r>
            <w:r>
              <w:rPr>
                <w:rFonts w:asciiTheme="minorHAnsi" w:hAnsiTheme="minorHAnsi" w:cstheme="minorHAnsi"/>
                <w:sz w:val="16"/>
                <w:szCs w:val="16"/>
              </w:rPr>
              <w:t>29</w:t>
            </w:r>
            <w:r w:rsidRPr="00BA2632">
              <w:rPr>
                <w:rFonts w:asciiTheme="minorHAnsi" w:hAnsiTheme="minorHAnsi" w:cstheme="minorHAnsi"/>
                <w:sz w:val="16"/>
                <w:szCs w:val="16"/>
              </w:rPr>
              <w:t>/1</w:t>
            </w:r>
            <w:r w:rsidRPr="00BA2632">
              <w:rPr>
                <w:rFonts w:asciiTheme="minorHAnsi" w:hAnsiTheme="minorHAnsi" w:cstheme="minorHAnsi"/>
                <w:sz w:val="16"/>
                <w:szCs w:val="16"/>
              </w:rPr>
              <w:br/>
            </w:r>
            <w:r>
              <w:rPr>
                <w:rFonts w:asciiTheme="minorHAnsi" w:hAnsiTheme="minorHAnsi" w:cstheme="minorHAnsi"/>
                <w:sz w:val="16"/>
                <w:szCs w:val="16"/>
              </w:rPr>
              <w:t>28</w:t>
            </w:r>
            <w:r w:rsidRPr="00BA2632">
              <w:rPr>
                <w:rFonts w:asciiTheme="minorHAnsi" w:hAnsiTheme="minorHAnsi" w:cstheme="minorHAnsi"/>
                <w:sz w:val="16"/>
                <w:szCs w:val="16"/>
              </w:rPr>
              <w:t>/1-</w:t>
            </w:r>
            <w:r>
              <w:rPr>
                <w:rFonts w:asciiTheme="minorHAnsi" w:hAnsiTheme="minorHAnsi" w:cstheme="minorHAnsi"/>
                <w:sz w:val="16"/>
                <w:szCs w:val="16"/>
              </w:rPr>
              <w:t>29</w:t>
            </w:r>
            <w:r w:rsidRPr="00BA2632">
              <w:rPr>
                <w:rFonts w:asciiTheme="minorHAnsi" w:hAnsiTheme="minorHAnsi" w:cstheme="minorHAnsi"/>
                <w:sz w:val="16"/>
                <w:szCs w:val="16"/>
              </w:rPr>
              <w:t>/1</w:t>
            </w:r>
            <w:r w:rsidRPr="00BA2632">
              <w:rPr>
                <w:rFonts w:asciiTheme="minorHAnsi" w:hAnsiTheme="minorHAnsi" w:cstheme="minorHAnsi"/>
                <w:sz w:val="16"/>
                <w:szCs w:val="16"/>
              </w:rPr>
              <w:br/>
            </w:r>
            <w:r>
              <w:rPr>
                <w:rFonts w:asciiTheme="minorHAnsi" w:hAnsiTheme="minorHAnsi" w:cstheme="minorHAnsi"/>
                <w:sz w:val="16"/>
                <w:szCs w:val="16"/>
              </w:rPr>
              <w:t>28</w:t>
            </w:r>
            <w:r w:rsidRPr="00BA2632">
              <w:rPr>
                <w:rFonts w:asciiTheme="minorHAnsi" w:hAnsiTheme="minorHAnsi" w:cstheme="minorHAnsi"/>
                <w:sz w:val="16"/>
                <w:szCs w:val="16"/>
              </w:rPr>
              <w:t>/1-</w:t>
            </w:r>
            <w:r>
              <w:rPr>
                <w:rFonts w:asciiTheme="minorHAnsi" w:hAnsiTheme="minorHAnsi" w:cstheme="minorHAnsi"/>
                <w:sz w:val="16"/>
                <w:szCs w:val="16"/>
              </w:rPr>
              <w:t>29</w:t>
            </w:r>
            <w:r w:rsidRPr="00BA2632">
              <w:rPr>
                <w:rFonts w:asciiTheme="minorHAnsi" w:hAnsiTheme="minorHAnsi" w:cstheme="minorHAnsi"/>
                <w:sz w:val="16"/>
                <w:szCs w:val="16"/>
              </w:rPr>
              <w:t>/1</w:t>
            </w:r>
          </w:p>
        </w:tc>
        <w:tc>
          <w:tcPr>
            <w:tcW w:w="993" w:type="dxa"/>
          </w:tcPr>
          <w:p w14:paraId="05A38D71"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24</w:t>
            </w:r>
            <w:r w:rsidRPr="00BA2632">
              <w:rPr>
                <w:rFonts w:asciiTheme="minorHAnsi" w:hAnsiTheme="minorHAnsi" w:cstheme="minorHAnsi"/>
                <w:sz w:val="16"/>
                <w:szCs w:val="16"/>
              </w:rPr>
              <w:t>/2-</w:t>
            </w:r>
            <w:r>
              <w:rPr>
                <w:rFonts w:asciiTheme="minorHAnsi" w:hAnsiTheme="minorHAnsi" w:cstheme="minorHAnsi"/>
                <w:sz w:val="16"/>
                <w:szCs w:val="16"/>
              </w:rPr>
              <w:t>25</w:t>
            </w:r>
            <w:r w:rsidRPr="00BA2632">
              <w:rPr>
                <w:rFonts w:asciiTheme="minorHAnsi" w:hAnsiTheme="minorHAnsi" w:cstheme="minorHAnsi"/>
                <w:sz w:val="16"/>
                <w:szCs w:val="16"/>
              </w:rPr>
              <w:t>/2</w:t>
            </w:r>
            <w:r w:rsidRPr="00BA2632">
              <w:rPr>
                <w:rFonts w:asciiTheme="minorHAnsi" w:hAnsiTheme="minorHAnsi" w:cstheme="minorHAnsi"/>
                <w:sz w:val="16"/>
                <w:szCs w:val="16"/>
              </w:rPr>
              <w:br/>
            </w:r>
            <w:r>
              <w:rPr>
                <w:rFonts w:asciiTheme="minorHAnsi" w:hAnsiTheme="minorHAnsi" w:cstheme="minorHAnsi"/>
                <w:sz w:val="16"/>
                <w:szCs w:val="16"/>
              </w:rPr>
              <w:t>24</w:t>
            </w:r>
            <w:r w:rsidRPr="00BA2632">
              <w:rPr>
                <w:rFonts w:asciiTheme="minorHAnsi" w:hAnsiTheme="minorHAnsi" w:cstheme="minorHAnsi"/>
                <w:sz w:val="16"/>
                <w:szCs w:val="16"/>
              </w:rPr>
              <w:t>/2-</w:t>
            </w:r>
            <w:r>
              <w:rPr>
                <w:rFonts w:asciiTheme="minorHAnsi" w:hAnsiTheme="minorHAnsi" w:cstheme="minorHAnsi"/>
                <w:sz w:val="16"/>
                <w:szCs w:val="16"/>
              </w:rPr>
              <w:t>25</w:t>
            </w:r>
            <w:r w:rsidRPr="00BA2632">
              <w:rPr>
                <w:rFonts w:asciiTheme="minorHAnsi" w:hAnsiTheme="minorHAnsi" w:cstheme="minorHAnsi"/>
                <w:sz w:val="16"/>
                <w:szCs w:val="16"/>
              </w:rPr>
              <w:t>/2</w:t>
            </w:r>
            <w:r w:rsidRPr="00BA2632">
              <w:rPr>
                <w:rFonts w:asciiTheme="minorHAnsi" w:hAnsiTheme="minorHAnsi" w:cstheme="minorHAnsi"/>
                <w:sz w:val="16"/>
                <w:szCs w:val="16"/>
              </w:rPr>
              <w:br/>
            </w:r>
            <w:r>
              <w:rPr>
                <w:rFonts w:asciiTheme="minorHAnsi" w:hAnsiTheme="minorHAnsi" w:cstheme="minorHAnsi"/>
                <w:sz w:val="16"/>
                <w:szCs w:val="16"/>
              </w:rPr>
              <w:t>24</w:t>
            </w:r>
            <w:r w:rsidRPr="00BA2632">
              <w:rPr>
                <w:rFonts w:asciiTheme="minorHAnsi" w:hAnsiTheme="minorHAnsi" w:cstheme="minorHAnsi"/>
                <w:sz w:val="16"/>
                <w:szCs w:val="16"/>
              </w:rPr>
              <w:t>/2-</w:t>
            </w:r>
            <w:r>
              <w:rPr>
                <w:rFonts w:asciiTheme="minorHAnsi" w:hAnsiTheme="minorHAnsi" w:cstheme="minorHAnsi"/>
                <w:sz w:val="16"/>
                <w:szCs w:val="16"/>
              </w:rPr>
              <w:t>25</w:t>
            </w:r>
            <w:r w:rsidRPr="00BA2632">
              <w:rPr>
                <w:rFonts w:asciiTheme="minorHAnsi" w:hAnsiTheme="minorHAnsi" w:cstheme="minorHAnsi"/>
                <w:sz w:val="16"/>
                <w:szCs w:val="16"/>
              </w:rPr>
              <w:t>/2</w:t>
            </w:r>
            <w:r w:rsidRPr="00BA2632">
              <w:rPr>
                <w:rFonts w:asciiTheme="minorHAnsi" w:hAnsiTheme="minorHAnsi" w:cstheme="minorHAnsi"/>
                <w:sz w:val="16"/>
                <w:szCs w:val="16"/>
              </w:rPr>
              <w:br/>
            </w:r>
            <w:r>
              <w:rPr>
                <w:rFonts w:asciiTheme="minorHAnsi" w:hAnsiTheme="minorHAnsi" w:cstheme="minorHAnsi"/>
                <w:sz w:val="16"/>
                <w:szCs w:val="16"/>
              </w:rPr>
              <w:t>24</w:t>
            </w:r>
            <w:r w:rsidRPr="00BA2632">
              <w:rPr>
                <w:rFonts w:asciiTheme="minorHAnsi" w:hAnsiTheme="minorHAnsi" w:cstheme="minorHAnsi"/>
                <w:sz w:val="16"/>
                <w:szCs w:val="16"/>
              </w:rPr>
              <w:t>/2-</w:t>
            </w:r>
            <w:r>
              <w:rPr>
                <w:rFonts w:asciiTheme="minorHAnsi" w:hAnsiTheme="minorHAnsi" w:cstheme="minorHAnsi"/>
                <w:sz w:val="16"/>
                <w:szCs w:val="16"/>
              </w:rPr>
              <w:t>25</w:t>
            </w:r>
            <w:r w:rsidRPr="00BA2632">
              <w:rPr>
                <w:rFonts w:asciiTheme="minorHAnsi" w:hAnsiTheme="minorHAnsi" w:cstheme="minorHAnsi"/>
                <w:sz w:val="16"/>
                <w:szCs w:val="16"/>
              </w:rPr>
              <w:t>/2</w:t>
            </w:r>
          </w:p>
        </w:tc>
        <w:tc>
          <w:tcPr>
            <w:tcW w:w="567" w:type="dxa"/>
          </w:tcPr>
          <w:p w14:paraId="6E75D335"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999" w:type="dxa"/>
            <w:gridSpan w:val="2"/>
          </w:tcPr>
          <w:p w14:paraId="39348A12" w14:textId="77777777" w:rsidR="000D5086" w:rsidRPr="00BA2632" w:rsidRDefault="000D5086" w:rsidP="00E26D3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14</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t>-</w:t>
            </w:r>
            <w:r>
              <w:rPr>
                <w:rFonts w:asciiTheme="minorHAnsi" w:hAnsiTheme="minorHAnsi" w:cstheme="minorHAnsi"/>
                <w:sz w:val="16"/>
                <w:szCs w:val="16"/>
              </w:rPr>
              <w:t>15</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br/>
            </w:r>
            <w:r>
              <w:rPr>
                <w:rFonts w:asciiTheme="minorHAnsi" w:hAnsiTheme="minorHAnsi" w:cstheme="minorHAnsi"/>
                <w:sz w:val="16"/>
                <w:szCs w:val="16"/>
              </w:rPr>
              <w:t>14</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t>-</w:t>
            </w:r>
            <w:r>
              <w:rPr>
                <w:rFonts w:asciiTheme="minorHAnsi" w:hAnsiTheme="minorHAnsi" w:cstheme="minorHAnsi"/>
                <w:sz w:val="16"/>
                <w:szCs w:val="16"/>
              </w:rPr>
              <w:t>15</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br/>
            </w:r>
            <w:r>
              <w:rPr>
                <w:rFonts w:asciiTheme="minorHAnsi" w:hAnsiTheme="minorHAnsi" w:cstheme="minorHAnsi"/>
                <w:sz w:val="16"/>
                <w:szCs w:val="16"/>
              </w:rPr>
              <w:t>14</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t>-</w:t>
            </w:r>
            <w:r>
              <w:rPr>
                <w:rFonts w:asciiTheme="minorHAnsi" w:hAnsiTheme="minorHAnsi" w:cstheme="minorHAnsi"/>
                <w:sz w:val="16"/>
                <w:szCs w:val="16"/>
              </w:rPr>
              <w:t>15</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br/>
            </w:r>
            <w:r>
              <w:rPr>
                <w:rFonts w:asciiTheme="minorHAnsi" w:hAnsiTheme="minorHAnsi" w:cstheme="minorHAnsi"/>
                <w:sz w:val="16"/>
                <w:szCs w:val="16"/>
              </w:rPr>
              <w:t>14</w:t>
            </w:r>
            <w:r w:rsidRPr="00BA2632">
              <w:rPr>
                <w:rFonts w:asciiTheme="minorHAnsi" w:hAnsiTheme="minorHAnsi" w:cstheme="minorHAnsi"/>
                <w:sz w:val="16"/>
                <w:szCs w:val="16"/>
              </w:rPr>
              <w:t>/</w:t>
            </w:r>
            <w:r>
              <w:rPr>
                <w:rFonts w:asciiTheme="minorHAnsi" w:hAnsiTheme="minorHAnsi" w:cstheme="minorHAnsi"/>
                <w:sz w:val="16"/>
                <w:szCs w:val="16"/>
              </w:rPr>
              <w:t>4</w:t>
            </w:r>
            <w:r w:rsidRPr="00BA2632">
              <w:rPr>
                <w:rFonts w:asciiTheme="minorHAnsi" w:hAnsiTheme="minorHAnsi" w:cstheme="minorHAnsi"/>
                <w:sz w:val="16"/>
                <w:szCs w:val="16"/>
              </w:rPr>
              <w:t>-</w:t>
            </w:r>
            <w:r>
              <w:rPr>
                <w:rFonts w:asciiTheme="minorHAnsi" w:hAnsiTheme="minorHAnsi" w:cstheme="minorHAnsi"/>
                <w:sz w:val="16"/>
                <w:szCs w:val="16"/>
              </w:rPr>
              <w:t>15</w:t>
            </w:r>
            <w:r w:rsidRPr="00BA2632">
              <w:rPr>
                <w:rFonts w:asciiTheme="minorHAnsi" w:hAnsiTheme="minorHAnsi" w:cstheme="minorHAnsi"/>
                <w:sz w:val="16"/>
                <w:szCs w:val="16"/>
              </w:rPr>
              <w:t>/</w:t>
            </w:r>
            <w:r>
              <w:rPr>
                <w:rFonts w:asciiTheme="minorHAnsi" w:hAnsiTheme="minorHAnsi" w:cstheme="minorHAnsi"/>
                <w:sz w:val="16"/>
                <w:szCs w:val="16"/>
              </w:rPr>
              <w:t>4</w:t>
            </w:r>
          </w:p>
        </w:tc>
      </w:tr>
    </w:tbl>
    <w:p w14:paraId="13CA48E1" w14:textId="3ADBA8FF" w:rsidR="00270F50" w:rsidRPr="00BA2632" w:rsidRDefault="00270F50" w:rsidP="00270F50">
      <w:pPr>
        <w:pStyle w:val="Heading3"/>
      </w:pPr>
      <w:bookmarkStart w:id="357" w:name="_Toc84417372"/>
      <w:bookmarkEnd w:id="353"/>
      <w:bookmarkEnd w:id="354"/>
      <w:r w:rsidRPr="00BA2632">
        <w:t>Statistical Analysis</w:t>
      </w:r>
      <w:bookmarkEnd w:id="357"/>
    </w:p>
    <w:p w14:paraId="1DF781D5" w14:textId="77777777" w:rsidR="000D5086" w:rsidRDefault="000D5086" w:rsidP="000D5086">
      <w:r w:rsidRPr="00BA2632">
        <w:t xml:space="preserve">Total abundance </w:t>
      </w:r>
      <w:r>
        <w:t xml:space="preserve">of </w:t>
      </w:r>
      <w:r w:rsidRPr="00BA2632">
        <w:t>macroinvertebrate taxa</w:t>
      </w:r>
      <w:r>
        <w:t xml:space="preserve"> and the most abundant taxa</w:t>
      </w:r>
      <w:r w:rsidRPr="00BA2632">
        <w:t xml:space="preserve"> w</w:t>
      </w:r>
      <w:r>
        <w:t>ere</w:t>
      </w:r>
      <w:r w:rsidRPr="00BA2632">
        <w:t xml:space="preserve"> plotted from the RBA data. Averages and standard deviations are presented for sampling months and sites, as well as raw data for all sites over the five months of sampling</w:t>
      </w:r>
      <w:r>
        <w:t xml:space="preserve"> in 2019-20 and 2020-21</w:t>
      </w:r>
      <w:r w:rsidRPr="00BA2632">
        <w:t xml:space="preserve">. Similar bar graphs and line graphs were also plotted for RBA abundance and biomass of juvenile crustaceans, </w:t>
      </w:r>
      <w:proofErr w:type="gramStart"/>
      <w:r w:rsidRPr="00BA2632">
        <w:t>shrimps</w:t>
      </w:r>
      <w:proofErr w:type="gramEnd"/>
      <w:r w:rsidRPr="00BA2632">
        <w:t xml:space="preserve"> and prawns. Bait trap abundance and biomass of dominant crustaceans, shrimps and prawns were also plotted. </w:t>
      </w:r>
      <w:r w:rsidRPr="00811E14">
        <w:t>The relationship between the mean value of abundance from bait traps and the percentages of complex habitat, macrophytes and snags were also respectively presented for crustaceans.</w:t>
      </w:r>
      <w:r>
        <w:t xml:space="preserve">  For analysis of habitat data shrimp at the sites Cemetery Bend, Lord Road and Riverview Drive and prawns at Kirwans Bridge were excluded from the analysis as there were no individuals or few individuals caught.  </w:t>
      </w:r>
    </w:p>
    <w:p w14:paraId="3B3C9688" w14:textId="77777777" w:rsidR="000D5086" w:rsidRDefault="000D5086" w:rsidP="000D5086">
      <w:r>
        <w:t xml:space="preserve">A paired t-test comparing Year 2 to Year 1 was also conducted on each of the endpoints plotted to determine if there was an increase in abundance or biomass of macroinvertebrates </w:t>
      </w:r>
      <w:proofErr w:type="gramStart"/>
      <w:r>
        <w:t>as a result of</w:t>
      </w:r>
      <w:proofErr w:type="gramEnd"/>
      <w:r>
        <w:t xml:space="preserve"> higher unregulated flows in winter and spring in 2020-21 compared to 2019-20. The paired t-test was used because abundances and biomass typically vary substantially across the sampling season. A model structure with temporally autocorrelated errors was used to account for the repeated samples over time during each year.</w:t>
      </w:r>
    </w:p>
    <w:p w14:paraId="7568258D" w14:textId="4851FF38" w:rsidR="00270F50" w:rsidRPr="00BA2632" w:rsidRDefault="00270F50" w:rsidP="00270F50">
      <w:pPr>
        <w:pStyle w:val="Heading2"/>
      </w:pPr>
      <w:bookmarkStart w:id="358" w:name="_Toc84416100"/>
      <w:bookmarkStart w:id="359" w:name="_Toc84417373"/>
      <w:bookmarkStart w:id="360" w:name="_Toc84475687"/>
      <w:r w:rsidRPr="00BA2632">
        <w:t>Results</w:t>
      </w:r>
      <w:bookmarkEnd w:id="358"/>
      <w:bookmarkEnd w:id="359"/>
      <w:bookmarkEnd w:id="360"/>
    </w:p>
    <w:p w14:paraId="37757C3F" w14:textId="2CAC889A" w:rsidR="00270F50" w:rsidRDefault="00270F50" w:rsidP="00270F50">
      <w:pPr>
        <w:pStyle w:val="Heading3"/>
      </w:pPr>
      <w:bookmarkStart w:id="361" w:name="_Toc84417374"/>
      <w:r w:rsidRPr="00BA2632">
        <w:t>RBA Macroinvertebrate Taxa</w:t>
      </w:r>
      <w:bookmarkEnd w:id="361"/>
    </w:p>
    <w:p w14:paraId="0383703A" w14:textId="77777777" w:rsidR="00595941" w:rsidRPr="00BA2632" w:rsidRDefault="00595941" w:rsidP="00595941">
      <w:r w:rsidRPr="00BA2632">
        <w:t>In 20</w:t>
      </w:r>
      <w:r>
        <w:t>20</w:t>
      </w:r>
      <w:r w:rsidRPr="00BA2632">
        <w:t>-2</w:t>
      </w:r>
      <w:r>
        <w:t>1</w:t>
      </w:r>
      <w:r w:rsidRPr="00BA2632">
        <w:t xml:space="preserve">, a total of </w:t>
      </w:r>
      <w:r w:rsidRPr="00E9099F">
        <w:t>76</w:t>
      </w:r>
      <w:r>
        <w:t>,</w:t>
      </w:r>
      <w:r w:rsidRPr="00E9099F">
        <w:t>501</w:t>
      </w:r>
      <w:r>
        <w:t xml:space="preserve"> </w:t>
      </w:r>
      <w:r w:rsidRPr="00BA2632">
        <w:t>macroinvertebrates from 5</w:t>
      </w:r>
      <w:r>
        <w:t>4</w:t>
      </w:r>
      <w:r w:rsidRPr="00BA2632">
        <w:t xml:space="preserve"> taxa were collected in live picks from RBA sweep samples </w:t>
      </w:r>
      <w:r w:rsidRPr="00D73A6B">
        <w:t>across all sampling periods. The most common taxa, where &gt;100 individuals were collected across all sampling periods, included: mites; the water bugs (</w:t>
      </w:r>
      <w:proofErr w:type="spellStart"/>
      <w:r w:rsidRPr="00D73A6B">
        <w:t>Micronectidae</w:t>
      </w:r>
      <w:proofErr w:type="spellEnd"/>
      <w:r w:rsidRPr="00D73A6B">
        <w:t xml:space="preserve">, Gerridae, </w:t>
      </w:r>
      <w:proofErr w:type="spellStart"/>
      <w:r w:rsidRPr="00D73A6B">
        <w:t>Notonectidae</w:t>
      </w:r>
      <w:proofErr w:type="spellEnd"/>
      <w:r w:rsidRPr="00D73A6B">
        <w:t xml:space="preserve"> and </w:t>
      </w:r>
      <w:proofErr w:type="spellStart"/>
      <w:r w:rsidRPr="00D73A6B">
        <w:t>Veliidae</w:t>
      </w:r>
      <w:proofErr w:type="spellEnd"/>
      <w:r w:rsidRPr="00D73A6B">
        <w:t xml:space="preserve">); the mayfly </w:t>
      </w:r>
      <w:proofErr w:type="spellStart"/>
      <w:r w:rsidRPr="00D73A6B">
        <w:t>Baetidae</w:t>
      </w:r>
      <w:proofErr w:type="spellEnd"/>
      <w:r w:rsidRPr="00D73A6B">
        <w:t xml:space="preserve">; the caddisfly </w:t>
      </w:r>
      <w:proofErr w:type="spellStart"/>
      <w:r w:rsidRPr="00D73A6B">
        <w:t>Leptoceridae</w:t>
      </w:r>
      <w:proofErr w:type="spellEnd"/>
      <w:r w:rsidRPr="00D73A6B">
        <w:t xml:space="preserve">; and the shrimp, </w:t>
      </w:r>
      <w:proofErr w:type="spellStart"/>
      <w:r w:rsidRPr="00D73A6B">
        <w:t>Atyidae</w:t>
      </w:r>
      <w:proofErr w:type="spellEnd"/>
      <w:r w:rsidRPr="00D73A6B">
        <w:t>. All these taxa increased after the CEW spring fresh event with the highest abundances occurring in the summer months December-February.</w:t>
      </w:r>
    </w:p>
    <w:p w14:paraId="6475210F" w14:textId="240F5A63" w:rsidR="00595941" w:rsidRDefault="00595941" w:rsidP="00595941">
      <w:pPr>
        <w:keepNext/>
      </w:pPr>
      <w:r w:rsidRPr="00BA2632">
        <w:t xml:space="preserve">Average total abundance across all sites was </w:t>
      </w:r>
      <w:r>
        <w:t>similar in November and December 2020 (after the CEW spring fresh event) with peak abundance occurring in January 2021</w:t>
      </w:r>
      <w:r w:rsidR="00D86B0B">
        <w:t xml:space="preserve"> (</w:t>
      </w:r>
      <w:r w:rsidR="003B048A" w:rsidRPr="00BA2632">
        <w:t xml:space="preserve">Figure </w:t>
      </w:r>
      <w:r w:rsidR="003B048A">
        <w:rPr>
          <w:noProof/>
        </w:rPr>
        <w:t>6</w:t>
      </w:r>
      <w:r w:rsidR="003B048A">
        <w:noBreakHyphen/>
      </w:r>
      <w:r w:rsidR="003B048A">
        <w:rPr>
          <w:noProof/>
        </w:rPr>
        <w:t>2</w:t>
      </w:r>
      <w:r w:rsidR="00D86B0B">
        <w:t>a)</w:t>
      </w:r>
      <w:r>
        <w:t xml:space="preserve">. This pattern was largely driven by the highly abundant water bugs, </w:t>
      </w:r>
      <w:proofErr w:type="spellStart"/>
      <w:r>
        <w:t>Microne</w:t>
      </w:r>
      <w:r w:rsidR="00983081">
        <w:t>c</w:t>
      </w:r>
      <w:r>
        <w:t>tidae</w:t>
      </w:r>
      <w:proofErr w:type="spellEnd"/>
      <w:r>
        <w:t xml:space="preserve"> (Appendix </w:t>
      </w:r>
      <w:r w:rsidR="00B36FB1">
        <w:t>G</w:t>
      </w:r>
      <w:r>
        <w:t>).  Overall, there was a significant increase in average total abundance across all sites this year (2020-21) compared to the previous year (2019-2020) (</w:t>
      </w:r>
      <w:r w:rsidR="003B048A" w:rsidRPr="00BA2632">
        <w:t xml:space="preserve">Figure </w:t>
      </w:r>
      <w:r w:rsidR="003B048A">
        <w:rPr>
          <w:noProof/>
        </w:rPr>
        <w:t>6</w:t>
      </w:r>
      <w:r w:rsidR="003B048A">
        <w:noBreakHyphen/>
      </w:r>
      <w:r w:rsidR="003B048A">
        <w:rPr>
          <w:noProof/>
        </w:rPr>
        <w:t>2</w:t>
      </w:r>
      <w:r w:rsidR="002015D6">
        <w:t>a</w:t>
      </w:r>
      <w:r>
        <w:t>;</w:t>
      </w:r>
      <w:r w:rsidR="003B048A">
        <w:t xml:space="preserve"> Table </w:t>
      </w:r>
      <w:r w:rsidR="003B048A">
        <w:rPr>
          <w:noProof/>
        </w:rPr>
        <w:t>6</w:t>
      </w:r>
      <w:r w:rsidR="003B048A">
        <w:noBreakHyphen/>
      </w:r>
      <w:r w:rsidR="003B048A">
        <w:rPr>
          <w:noProof/>
        </w:rPr>
        <w:t>4</w:t>
      </w:r>
      <w:r>
        <w:t>).  Total abundance was lowest at Kirwans Bridge, with the highest total abundance in December 2020.  Most of the other sites increased in abundance in January, with a large increase observed at McCoy’s Bridge and Lord Road, reaching about 15,000 and 10,000 individuals respectively (</w:t>
      </w:r>
      <w:r w:rsidR="003B048A" w:rsidRPr="00BA2632">
        <w:t xml:space="preserve">Figure </w:t>
      </w:r>
      <w:r w:rsidR="003B048A">
        <w:rPr>
          <w:noProof/>
        </w:rPr>
        <w:t>6</w:t>
      </w:r>
      <w:r w:rsidR="003B048A">
        <w:noBreakHyphen/>
      </w:r>
      <w:r w:rsidR="003B048A">
        <w:rPr>
          <w:noProof/>
        </w:rPr>
        <w:t>2</w:t>
      </w:r>
      <w:r>
        <w:t>b).</w:t>
      </w:r>
    </w:p>
    <w:p w14:paraId="7C821AEE" w14:textId="5D4AF6B2" w:rsidR="00595941" w:rsidRDefault="00595941" w:rsidP="00595941">
      <w:pPr>
        <w:keepNext/>
      </w:pPr>
      <w:r>
        <w:t xml:space="preserve">The abundance of common taxa and the number of individuals varied across the year and between sites.  Many of the common taxa have the highest abundances in the summer months, between December 2020 and January 2021 (Appendix </w:t>
      </w:r>
      <w:r w:rsidR="00B36FB1">
        <w:t>G</w:t>
      </w:r>
      <w:r>
        <w:t>;</w:t>
      </w:r>
      <w:r w:rsidR="002015D6">
        <w:t xml:space="preserve"> </w:t>
      </w:r>
      <w:r w:rsidR="003B048A">
        <w:t xml:space="preserve">Table </w:t>
      </w:r>
      <w:r w:rsidR="003B048A">
        <w:rPr>
          <w:noProof/>
        </w:rPr>
        <w:t>6</w:t>
      </w:r>
      <w:r w:rsidR="003B048A">
        <w:noBreakHyphen/>
      </w:r>
      <w:r w:rsidR="003B048A">
        <w:rPr>
          <w:noProof/>
        </w:rPr>
        <w:t>4</w:t>
      </w:r>
      <w:r>
        <w:t xml:space="preserve">).  At Kirwans Bridge, where there was little variation in flow, there was very little change in abundance across most of the common taxa throughout the year, in comparison to the rest of the sites that generally had an increase in abundance during the summer months after the CEW spring fresh event (Appendix </w:t>
      </w:r>
      <w:r w:rsidR="00B36FB1">
        <w:t>G</w:t>
      </w:r>
      <w:r>
        <w:t xml:space="preserve">). In January 2021, the mayfly </w:t>
      </w:r>
      <w:proofErr w:type="spellStart"/>
      <w:r>
        <w:t>Baetidae</w:t>
      </w:r>
      <w:proofErr w:type="spellEnd"/>
      <w:r>
        <w:t xml:space="preserve">, the chironomids, </w:t>
      </w:r>
      <w:proofErr w:type="spellStart"/>
      <w:r>
        <w:t>Chironominae</w:t>
      </w:r>
      <w:proofErr w:type="spellEnd"/>
      <w:r>
        <w:t xml:space="preserve">, </w:t>
      </w:r>
      <w:proofErr w:type="spellStart"/>
      <w:r>
        <w:t>Orthocladiinae</w:t>
      </w:r>
      <w:proofErr w:type="spellEnd"/>
      <w:r>
        <w:t xml:space="preserve"> and </w:t>
      </w:r>
      <w:proofErr w:type="spellStart"/>
      <w:r>
        <w:t>Tanypodinae</w:t>
      </w:r>
      <w:proofErr w:type="spellEnd"/>
      <w:r>
        <w:t xml:space="preserve">, and the water bugs </w:t>
      </w:r>
      <w:proofErr w:type="spellStart"/>
      <w:r>
        <w:t>Micronectidae</w:t>
      </w:r>
      <w:proofErr w:type="spellEnd"/>
      <w:r>
        <w:t xml:space="preserve"> and </w:t>
      </w:r>
      <w:proofErr w:type="spellStart"/>
      <w:r>
        <w:t>Notonectidae</w:t>
      </w:r>
      <w:proofErr w:type="spellEnd"/>
      <w:r>
        <w:t xml:space="preserve"> all increased in abundance at </w:t>
      </w:r>
      <w:proofErr w:type="spellStart"/>
      <w:r>
        <w:t>McCoys</w:t>
      </w:r>
      <w:proofErr w:type="spellEnd"/>
      <w:r>
        <w:t xml:space="preserve"> Bridge (Appendix </w:t>
      </w:r>
      <w:r w:rsidR="00B36FB1">
        <w:t>G</w:t>
      </w:r>
      <w:r>
        <w:t xml:space="preserve">). Overall, there was a significant increase in average abundance of </w:t>
      </w:r>
      <w:proofErr w:type="spellStart"/>
      <w:r>
        <w:t>Micronectidae</w:t>
      </w:r>
      <w:proofErr w:type="spellEnd"/>
      <w:r>
        <w:t xml:space="preserve">, </w:t>
      </w:r>
      <w:proofErr w:type="spellStart"/>
      <w:r>
        <w:t>Baetidae</w:t>
      </w:r>
      <w:proofErr w:type="spellEnd"/>
      <w:r>
        <w:t xml:space="preserve">, </w:t>
      </w:r>
      <w:proofErr w:type="spellStart"/>
      <w:r>
        <w:t>Tanypodinae</w:t>
      </w:r>
      <w:proofErr w:type="spellEnd"/>
      <w:r>
        <w:t xml:space="preserve"> and </w:t>
      </w:r>
      <w:proofErr w:type="spellStart"/>
      <w:r>
        <w:t>Leptoceridae</w:t>
      </w:r>
      <w:proofErr w:type="spellEnd"/>
      <w:r>
        <w:t xml:space="preserve"> across all sites this year (2020-2021) compared to the previous year (2019-2020) (Appendix </w:t>
      </w:r>
      <w:r w:rsidR="00B36FB1">
        <w:t>G</w:t>
      </w:r>
      <w:r>
        <w:t xml:space="preserve">; </w:t>
      </w:r>
      <w:r w:rsidR="003B048A">
        <w:t xml:space="preserve">Table </w:t>
      </w:r>
      <w:r w:rsidR="003B048A">
        <w:rPr>
          <w:noProof/>
        </w:rPr>
        <w:t>6</w:t>
      </w:r>
      <w:r w:rsidR="003B048A">
        <w:noBreakHyphen/>
      </w:r>
      <w:r w:rsidR="003B048A">
        <w:rPr>
          <w:noProof/>
        </w:rPr>
        <w:t>4</w:t>
      </w:r>
      <w:r>
        <w:t>).</w:t>
      </w:r>
    </w:p>
    <w:p w14:paraId="26501E8A" w14:textId="6E13552C" w:rsidR="00595941" w:rsidRDefault="00595941" w:rsidP="00595941">
      <w:r w:rsidRPr="00136DE3">
        <w:t xml:space="preserve">The results indicate that overall total abundance and common taxa abundance are generally higher following the spring fresh, although this also coincides with warmer conditions (moving from spring to summer), so it is </w:t>
      </w:r>
      <w:proofErr w:type="gramStart"/>
      <w:r w:rsidRPr="00136DE3">
        <w:t>as yet</w:t>
      </w:r>
      <w:proofErr w:type="gramEnd"/>
      <w:r w:rsidRPr="00136DE3">
        <w:t xml:space="preserve"> unclear the extent to which abundance increases in response to flow or temperature/seasonal changes. An increase in some common taxa this year compared to last year does suggest that the higher unregulated flow in winter/spring 2020 may have contributed to the observed response.</w:t>
      </w:r>
    </w:p>
    <w:p w14:paraId="6AB05432" w14:textId="77777777" w:rsidR="00595941" w:rsidRPr="00726F53" w:rsidRDefault="00595941" w:rsidP="00595941">
      <w:pPr>
        <w:rPr>
          <w:highlight w:val="yellow"/>
        </w:rPr>
      </w:pPr>
    </w:p>
    <w:p w14:paraId="4BEDF275" w14:textId="4888B352" w:rsidR="00B86FAB" w:rsidRDefault="00B86FAB" w:rsidP="00B86FAB">
      <w:pPr>
        <w:pStyle w:val="Caption"/>
        <w:keepNext/>
      </w:pPr>
      <w:bookmarkStart w:id="362" w:name="_Ref84426990"/>
      <w:bookmarkStart w:id="363" w:name="_Toc95391484"/>
      <w:r>
        <w:t xml:space="preserve">Table </w:t>
      </w:r>
      <w:r w:rsidR="000B75AF">
        <w:rPr>
          <w:noProof/>
        </w:rPr>
        <w:t>6</w:t>
      </w:r>
      <w:r w:rsidR="000B75AF">
        <w:noBreakHyphen/>
      </w:r>
      <w:r w:rsidR="000B75AF">
        <w:rPr>
          <w:noProof/>
        </w:rPr>
        <w:t>4</w:t>
      </w:r>
      <w:bookmarkEnd w:id="362"/>
      <w:r>
        <w:t xml:space="preserve"> </w:t>
      </w:r>
      <w:r w:rsidRPr="00901E70">
        <w:t>Summary of total macroinvertebrates and common taxa abundance trends in 2020/2021 and a paired t-test comparison between years (2019-20 and 2020-21) on the Goulburn River.</w:t>
      </w:r>
      <w:bookmarkEnd w:id="363"/>
    </w:p>
    <w:tbl>
      <w:tblPr>
        <w:tblStyle w:val="TableGrid"/>
        <w:tblW w:w="0" w:type="auto"/>
        <w:tblLook w:val="04A0" w:firstRow="1" w:lastRow="0" w:firstColumn="1" w:lastColumn="0" w:noHBand="0" w:noVBand="1"/>
      </w:tblPr>
      <w:tblGrid>
        <w:gridCol w:w="2688"/>
        <w:gridCol w:w="2425"/>
        <w:gridCol w:w="2446"/>
        <w:gridCol w:w="2079"/>
      </w:tblGrid>
      <w:tr w:rsidR="00595941" w:rsidRPr="00B86FAB" w14:paraId="0CC8AC4A" w14:textId="77777777" w:rsidTr="00E26D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8" w:type="dxa"/>
          </w:tcPr>
          <w:p w14:paraId="233923B7" w14:textId="77777777" w:rsidR="00595941" w:rsidRPr="00B86FAB" w:rsidRDefault="00595941" w:rsidP="00E26D3C">
            <w:pPr>
              <w:keepNext/>
              <w:rPr>
                <w:sz w:val="18"/>
                <w:szCs w:val="18"/>
              </w:rPr>
            </w:pPr>
            <w:r w:rsidRPr="00B86FAB">
              <w:rPr>
                <w:sz w:val="18"/>
                <w:szCs w:val="18"/>
              </w:rPr>
              <w:t>Taxa</w:t>
            </w:r>
          </w:p>
        </w:tc>
        <w:tc>
          <w:tcPr>
            <w:tcW w:w="2425" w:type="dxa"/>
          </w:tcPr>
          <w:p w14:paraId="621BDF0C" w14:textId="77777777" w:rsidR="00595941" w:rsidRPr="00B86FAB" w:rsidRDefault="00595941" w:rsidP="00E26D3C">
            <w:pPr>
              <w:keepNext/>
              <w:jc w:val="left"/>
              <w:cnfStyle w:val="100000000000" w:firstRow="1" w:lastRow="0" w:firstColumn="0" w:lastColumn="0" w:oddVBand="0" w:evenVBand="0" w:oddHBand="0" w:evenHBand="0" w:firstRowFirstColumn="0" w:firstRowLastColumn="0" w:lastRowFirstColumn="0" w:lastRowLastColumn="0"/>
              <w:rPr>
                <w:sz w:val="18"/>
                <w:szCs w:val="18"/>
              </w:rPr>
            </w:pPr>
            <w:r w:rsidRPr="00B86FAB">
              <w:rPr>
                <w:sz w:val="18"/>
                <w:szCs w:val="18"/>
              </w:rPr>
              <w:t xml:space="preserve">Abundance Trend 20/21 </w:t>
            </w:r>
          </w:p>
        </w:tc>
        <w:tc>
          <w:tcPr>
            <w:tcW w:w="2446" w:type="dxa"/>
          </w:tcPr>
          <w:p w14:paraId="6248B8B5" w14:textId="77777777" w:rsidR="00595941" w:rsidRPr="00B86FAB" w:rsidRDefault="00595941" w:rsidP="00E26D3C">
            <w:pPr>
              <w:keepNext/>
              <w:cnfStyle w:val="100000000000" w:firstRow="1" w:lastRow="0" w:firstColumn="0" w:lastColumn="0" w:oddVBand="0" w:evenVBand="0" w:oddHBand="0" w:evenHBand="0" w:firstRowFirstColumn="0" w:firstRowLastColumn="0" w:lastRowFirstColumn="0" w:lastRowLastColumn="0"/>
              <w:rPr>
                <w:sz w:val="18"/>
                <w:szCs w:val="18"/>
              </w:rPr>
            </w:pPr>
            <w:r w:rsidRPr="00B86FAB">
              <w:rPr>
                <w:sz w:val="18"/>
                <w:szCs w:val="18"/>
              </w:rPr>
              <w:t>Comparison Between Years</w:t>
            </w:r>
          </w:p>
        </w:tc>
        <w:tc>
          <w:tcPr>
            <w:tcW w:w="2079" w:type="dxa"/>
          </w:tcPr>
          <w:p w14:paraId="1AE2E06E" w14:textId="77777777" w:rsidR="00595941" w:rsidRPr="00B86FAB" w:rsidRDefault="00595941" w:rsidP="00E26D3C">
            <w:pPr>
              <w:keepNext/>
              <w:cnfStyle w:val="100000000000" w:firstRow="1" w:lastRow="0" w:firstColumn="0" w:lastColumn="0" w:oddVBand="0" w:evenVBand="0" w:oddHBand="0" w:evenHBand="0" w:firstRowFirstColumn="0" w:firstRowLastColumn="0" w:lastRowFirstColumn="0" w:lastRowLastColumn="0"/>
              <w:rPr>
                <w:sz w:val="18"/>
                <w:szCs w:val="18"/>
              </w:rPr>
            </w:pPr>
            <w:r w:rsidRPr="00B86FAB">
              <w:rPr>
                <w:sz w:val="18"/>
                <w:szCs w:val="18"/>
              </w:rPr>
              <w:t>P(T&lt;=t) one-tail</w:t>
            </w:r>
          </w:p>
        </w:tc>
      </w:tr>
      <w:tr w:rsidR="00595941" w:rsidRPr="00B86FAB" w14:paraId="4C4C7E8B" w14:textId="77777777" w:rsidTr="00E26D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8" w:type="dxa"/>
          </w:tcPr>
          <w:p w14:paraId="09863B93" w14:textId="77777777" w:rsidR="00595941" w:rsidRPr="00B86FAB" w:rsidRDefault="00595941" w:rsidP="00E26D3C">
            <w:pPr>
              <w:keepNext/>
              <w:rPr>
                <w:sz w:val="18"/>
                <w:szCs w:val="18"/>
              </w:rPr>
            </w:pPr>
            <w:r w:rsidRPr="00B86FAB">
              <w:rPr>
                <w:sz w:val="18"/>
                <w:szCs w:val="18"/>
              </w:rPr>
              <w:t>Total Macroinvertebrates</w:t>
            </w:r>
          </w:p>
        </w:tc>
        <w:tc>
          <w:tcPr>
            <w:tcW w:w="2425" w:type="dxa"/>
          </w:tcPr>
          <w:p w14:paraId="7DA81BB7"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Highest Jan &amp; Feb</w:t>
            </w:r>
          </w:p>
        </w:tc>
        <w:tc>
          <w:tcPr>
            <w:tcW w:w="2446" w:type="dxa"/>
          </w:tcPr>
          <w:p w14:paraId="353C26DB"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 xml:space="preserve">Increase in 20/21 </w:t>
            </w:r>
          </w:p>
        </w:tc>
        <w:tc>
          <w:tcPr>
            <w:tcW w:w="2079" w:type="dxa"/>
          </w:tcPr>
          <w:p w14:paraId="5FAB5E46"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0.02</w:t>
            </w:r>
          </w:p>
        </w:tc>
      </w:tr>
      <w:tr w:rsidR="00595941" w:rsidRPr="00B86FAB" w14:paraId="24DB0B4C" w14:textId="77777777" w:rsidTr="00E26D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8" w:type="dxa"/>
          </w:tcPr>
          <w:p w14:paraId="2D9F6F8B" w14:textId="77777777" w:rsidR="00595941" w:rsidRPr="00B86FAB" w:rsidRDefault="00595941" w:rsidP="00E26D3C">
            <w:pPr>
              <w:keepNext/>
              <w:rPr>
                <w:sz w:val="18"/>
                <w:szCs w:val="18"/>
              </w:rPr>
            </w:pPr>
            <w:proofErr w:type="spellStart"/>
            <w:r w:rsidRPr="00B86FAB">
              <w:rPr>
                <w:sz w:val="18"/>
                <w:szCs w:val="18"/>
              </w:rPr>
              <w:t>Micronectidae</w:t>
            </w:r>
            <w:proofErr w:type="spellEnd"/>
          </w:p>
        </w:tc>
        <w:tc>
          <w:tcPr>
            <w:tcW w:w="2425" w:type="dxa"/>
          </w:tcPr>
          <w:p w14:paraId="5886E131" w14:textId="77777777" w:rsidR="00595941" w:rsidRPr="00B86FAB" w:rsidRDefault="00595941" w:rsidP="00E26D3C">
            <w:pPr>
              <w:keepNext/>
              <w:cnfStyle w:val="000000010000" w:firstRow="0" w:lastRow="0" w:firstColumn="0" w:lastColumn="0" w:oddVBand="0" w:evenVBand="0" w:oddHBand="0" w:evenHBand="1" w:firstRowFirstColumn="0" w:firstRowLastColumn="0" w:lastRowFirstColumn="0" w:lastRowLastColumn="0"/>
              <w:rPr>
                <w:sz w:val="18"/>
                <w:szCs w:val="18"/>
              </w:rPr>
            </w:pPr>
            <w:r w:rsidRPr="00B86FAB">
              <w:rPr>
                <w:sz w:val="18"/>
                <w:szCs w:val="18"/>
              </w:rPr>
              <w:t>Highest Jan &amp; Feb</w:t>
            </w:r>
          </w:p>
        </w:tc>
        <w:tc>
          <w:tcPr>
            <w:tcW w:w="2446" w:type="dxa"/>
          </w:tcPr>
          <w:p w14:paraId="4979E965" w14:textId="77777777" w:rsidR="00595941" w:rsidRPr="00B86FAB" w:rsidRDefault="00595941" w:rsidP="00E26D3C">
            <w:pPr>
              <w:keepNext/>
              <w:cnfStyle w:val="000000010000" w:firstRow="0" w:lastRow="0" w:firstColumn="0" w:lastColumn="0" w:oddVBand="0" w:evenVBand="0" w:oddHBand="0" w:evenHBand="1" w:firstRowFirstColumn="0" w:firstRowLastColumn="0" w:lastRowFirstColumn="0" w:lastRowLastColumn="0"/>
              <w:rPr>
                <w:sz w:val="18"/>
                <w:szCs w:val="18"/>
              </w:rPr>
            </w:pPr>
            <w:r w:rsidRPr="00B86FAB">
              <w:rPr>
                <w:sz w:val="18"/>
                <w:szCs w:val="18"/>
              </w:rPr>
              <w:t xml:space="preserve">Increase in 20/21 </w:t>
            </w:r>
          </w:p>
        </w:tc>
        <w:tc>
          <w:tcPr>
            <w:tcW w:w="2079" w:type="dxa"/>
          </w:tcPr>
          <w:p w14:paraId="64FBA44D" w14:textId="77777777" w:rsidR="00595941" w:rsidRPr="00B86FAB" w:rsidRDefault="00595941" w:rsidP="00E26D3C">
            <w:pPr>
              <w:keepNext/>
              <w:cnfStyle w:val="000000010000" w:firstRow="0" w:lastRow="0" w:firstColumn="0" w:lastColumn="0" w:oddVBand="0" w:evenVBand="0" w:oddHBand="0" w:evenHBand="1" w:firstRowFirstColumn="0" w:firstRowLastColumn="0" w:lastRowFirstColumn="0" w:lastRowLastColumn="0"/>
              <w:rPr>
                <w:sz w:val="18"/>
                <w:szCs w:val="18"/>
              </w:rPr>
            </w:pPr>
            <w:r w:rsidRPr="00B86FAB">
              <w:rPr>
                <w:sz w:val="18"/>
                <w:szCs w:val="18"/>
              </w:rPr>
              <w:t>0.03</w:t>
            </w:r>
          </w:p>
        </w:tc>
      </w:tr>
      <w:tr w:rsidR="00595941" w:rsidRPr="00B86FAB" w14:paraId="14BE8CB1" w14:textId="77777777" w:rsidTr="00E26D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8" w:type="dxa"/>
          </w:tcPr>
          <w:p w14:paraId="024D169D" w14:textId="77777777" w:rsidR="00595941" w:rsidRPr="00B86FAB" w:rsidRDefault="00595941" w:rsidP="00E26D3C">
            <w:pPr>
              <w:keepNext/>
              <w:rPr>
                <w:sz w:val="18"/>
                <w:szCs w:val="18"/>
              </w:rPr>
            </w:pPr>
            <w:proofErr w:type="spellStart"/>
            <w:r w:rsidRPr="00B86FAB">
              <w:rPr>
                <w:sz w:val="18"/>
                <w:szCs w:val="18"/>
              </w:rPr>
              <w:t>Baetidae</w:t>
            </w:r>
            <w:proofErr w:type="spellEnd"/>
          </w:p>
        </w:tc>
        <w:tc>
          <w:tcPr>
            <w:tcW w:w="2425" w:type="dxa"/>
          </w:tcPr>
          <w:p w14:paraId="62693AC2"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Highest Dec &amp; Jan</w:t>
            </w:r>
          </w:p>
        </w:tc>
        <w:tc>
          <w:tcPr>
            <w:tcW w:w="2446" w:type="dxa"/>
          </w:tcPr>
          <w:p w14:paraId="7A000762"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No evidence of an increase</w:t>
            </w:r>
          </w:p>
        </w:tc>
        <w:tc>
          <w:tcPr>
            <w:tcW w:w="2079" w:type="dxa"/>
          </w:tcPr>
          <w:p w14:paraId="6E282273"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0.47</w:t>
            </w:r>
          </w:p>
        </w:tc>
      </w:tr>
      <w:tr w:rsidR="00595941" w:rsidRPr="00B86FAB" w14:paraId="05306522" w14:textId="77777777" w:rsidTr="00E26D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8" w:type="dxa"/>
          </w:tcPr>
          <w:p w14:paraId="6D281FF7" w14:textId="77777777" w:rsidR="00595941" w:rsidRPr="00B86FAB" w:rsidRDefault="00595941" w:rsidP="00E26D3C">
            <w:pPr>
              <w:keepNext/>
              <w:rPr>
                <w:sz w:val="18"/>
                <w:szCs w:val="18"/>
              </w:rPr>
            </w:pPr>
            <w:proofErr w:type="spellStart"/>
            <w:r w:rsidRPr="00B86FAB">
              <w:rPr>
                <w:sz w:val="18"/>
                <w:szCs w:val="18"/>
              </w:rPr>
              <w:t>Notonectidae</w:t>
            </w:r>
            <w:proofErr w:type="spellEnd"/>
          </w:p>
        </w:tc>
        <w:tc>
          <w:tcPr>
            <w:tcW w:w="2425" w:type="dxa"/>
          </w:tcPr>
          <w:p w14:paraId="375F3361" w14:textId="77777777" w:rsidR="00595941" w:rsidRPr="00B86FAB" w:rsidRDefault="00595941" w:rsidP="00E26D3C">
            <w:pPr>
              <w:keepNext/>
              <w:cnfStyle w:val="000000010000" w:firstRow="0" w:lastRow="0" w:firstColumn="0" w:lastColumn="0" w:oddVBand="0" w:evenVBand="0" w:oddHBand="0" w:evenHBand="1" w:firstRowFirstColumn="0" w:firstRowLastColumn="0" w:lastRowFirstColumn="0" w:lastRowLastColumn="0"/>
              <w:rPr>
                <w:sz w:val="18"/>
                <w:szCs w:val="18"/>
              </w:rPr>
            </w:pPr>
            <w:r w:rsidRPr="00B86FAB">
              <w:rPr>
                <w:sz w:val="18"/>
                <w:szCs w:val="18"/>
              </w:rPr>
              <w:t>Highest b/w Dec 20- Feb 21</w:t>
            </w:r>
          </w:p>
        </w:tc>
        <w:tc>
          <w:tcPr>
            <w:tcW w:w="2446" w:type="dxa"/>
          </w:tcPr>
          <w:p w14:paraId="5A42D266" w14:textId="77777777" w:rsidR="00595941" w:rsidRPr="00B86FAB" w:rsidRDefault="00595941" w:rsidP="00E26D3C">
            <w:pPr>
              <w:keepNext/>
              <w:cnfStyle w:val="000000010000" w:firstRow="0" w:lastRow="0" w:firstColumn="0" w:lastColumn="0" w:oddVBand="0" w:evenVBand="0" w:oddHBand="0" w:evenHBand="1" w:firstRowFirstColumn="0" w:firstRowLastColumn="0" w:lastRowFirstColumn="0" w:lastRowLastColumn="0"/>
              <w:rPr>
                <w:sz w:val="18"/>
                <w:szCs w:val="18"/>
              </w:rPr>
            </w:pPr>
            <w:r w:rsidRPr="00B86FAB">
              <w:rPr>
                <w:sz w:val="18"/>
                <w:szCs w:val="18"/>
              </w:rPr>
              <w:t>No evidence of an increase</w:t>
            </w:r>
          </w:p>
        </w:tc>
        <w:tc>
          <w:tcPr>
            <w:tcW w:w="2079" w:type="dxa"/>
          </w:tcPr>
          <w:p w14:paraId="508E7BCE" w14:textId="77777777" w:rsidR="00595941" w:rsidRPr="00B86FAB" w:rsidRDefault="00595941" w:rsidP="00E26D3C">
            <w:pPr>
              <w:keepNext/>
              <w:cnfStyle w:val="000000010000" w:firstRow="0" w:lastRow="0" w:firstColumn="0" w:lastColumn="0" w:oddVBand="0" w:evenVBand="0" w:oddHBand="0" w:evenHBand="1" w:firstRowFirstColumn="0" w:firstRowLastColumn="0" w:lastRowFirstColumn="0" w:lastRowLastColumn="0"/>
              <w:rPr>
                <w:sz w:val="18"/>
                <w:szCs w:val="18"/>
              </w:rPr>
            </w:pPr>
            <w:r w:rsidRPr="00B86FAB">
              <w:rPr>
                <w:sz w:val="18"/>
                <w:szCs w:val="18"/>
              </w:rPr>
              <w:t>0.18</w:t>
            </w:r>
          </w:p>
        </w:tc>
      </w:tr>
      <w:tr w:rsidR="00595941" w:rsidRPr="00B86FAB" w14:paraId="7E501958" w14:textId="77777777" w:rsidTr="00E26D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8" w:type="dxa"/>
          </w:tcPr>
          <w:p w14:paraId="2CA46DEB" w14:textId="77777777" w:rsidR="00595941" w:rsidRPr="00B86FAB" w:rsidRDefault="00595941" w:rsidP="00E26D3C">
            <w:pPr>
              <w:keepNext/>
              <w:rPr>
                <w:sz w:val="18"/>
                <w:szCs w:val="18"/>
              </w:rPr>
            </w:pPr>
            <w:proofErr w:type="spellStart"/>
            <w:r w:rsidRPr="00B86FAB">
              <w:rPr>
                <w:sz w:val="18"/>
                <w:szCs w:val="18"/>
              </w:rPr>
              <w:t>Chironominae</w:t>
            </w:r>
            <w:proofErr w:type="spellEnd"/>
          </w:p>
        </w:tc>
        <w:tc>
          <w:tcPr>
            <w:tcW w:w="2425" w:type="dxa"/>
          </w:tcPr>
          <w:p w14:paraId="3B199C6D"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Highest b/w Nov 20- Jan 21</w:t>
            </w:r>
          </w:p>
        </w:tc>
        <w:tc>
          <w:tcPr>
            <w:tcW w:w="2446" w:type="dxa"/>
          </w:tcPr>
          <w:p w14:paraId="6092C315"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No evidence of an increase</w:t>
            </w:r>
          </w:p>
        </w:tc>
        <w:tc>
          <w:tcPr>
            <w:tcW w:w="2079" w:type="dxa"/>
          </w:tcPr>
          <w:p w14:paraId="7952F363"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0.18</w:t>
            </w:r>
          </w:p>
        </w:tc>
      </w:tr>
      <w:tr w:rsidR="00595941" w:rsidRPr="00B86FAB" w14:paraId="781985C9" w14:textId="77777777" w:rsidTr="00E26D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8" w:type="dxa"/>
          </w:tcPr>
          <w:p w14:paraId="61E932E3" w14:textId="77777777" w:rsidR="00595941" w:rsidRPr="00B86FAB" w:rsidRDefault="00595941" w:rsidP="00E26D3C">
            <w:pPr>
              <w:keepNext/>
              <w:rPr>
                <w:sz w:val="18"/>
                <w:szCs w:val="18"/>
              </w:rPr>
            </w:pPr>
            <w:proofErr w:type="spellStart"/>
            <w:r w:rsidRPr="00B86FAB">
              <w:rPr>
                <w:sz w:val="18"/>
                <w:szCs w:val="18"/>
              </w:rPr>
              <w:t>Orthocladiinae</w:t>
            </w:r>
            <w:proofErr w:type="spellEnd"/>
          </w:p>
        </w:tc>
        <w:tc>
          <w:tcPr>
            <w:tcW w:w="2425" w:type="dxa"/>
          </w:tcPr>
          <w:p w14:paraId="4A521A49" w14:textId="77777777" w:rsidR="00595941" w:rsidRPr="00B86FAB" w:rsidRDefault="00595941" w:rsidP="00E26D3C">
            <w:pPr>
              <w:keepNext/>
              <w:cnfStyle w:val="000000010000" w:firstRow="0" w:lastRow="0" w:firstColumn="0" w:lastColumn="0" w:oddVBand="0" w:evenVBand="0" w:oddHBand="0" w:evenHBand="1" w:firstRowFirstColumn="0" w:firstRowLastColumn="0" w:lastRowFirstColumn="0" w:lastRowLastColumn="0"/>
              <w:rPr>
                <w:sz w:val="18"/>
                <w:szCs w:val="18"/>
              </w:rPr>
            </w:pPr>
            <w:r w:rsidRPr="00B86FAB">
              <w:rPr>
                <w:sz w:val="18"/>
                <w:szCs w:val="18"/>
              </w:rPr>
              <w:t>Highest b/w Nov 20- Jan 21</w:t>
            </w:r>
          </w:p>
        </w:tc>
        <w:tc>
          <w:tcPr>
            <w:tcW w:w="2446" w:type="dxa"/>
          </w:tcPr>
          <w:p w14:paraId="4AC74AF8" w14:textId="77777777" w:rsidR="00595941" w:rsidRPr="00B86FAB" w:rsidRDefault="00595941" w:rsidP="00E26D3C">
            <w:pPr>
              <w:keepNext/>
              <w:cnfStyle w:val="000000010000" w:firstRow="0" w:lastRow="0" w:firstColumn="0" w:lastColumn="0" w:oddVBand="0" w:evenVBand="0" w:oddHBand="0" w:evenHBand="1" w:firstRowFirstColumn="0" w:firstRowLastColumn="0" w:lastRowFirstColumn="0" w:lastRowLastColumn="0"/>
              <w:rPr>
                <w:sz w:val="18"/>
                <w:szCs w:val="18"/>
              </w:rPr>
            </w:pPr>
            <w:r w:rsidRPr="00B86FAB">
              <w:rPr>
                <w:sz w:val="18"/>
                <w:szCs w:val="18"/>
              </w:rPr>
              <w:t>No evidence of an increase</w:t>
            </w:r>
          </w:p>
        </w:tc>
        <w:tc>
          <w:tcPr>
            <w:tcW w:w="2079" w:type="dxa"/>
          </w:tcPr>
          <w:p w14:paraId="5A93EDE0" w14:textId="77777777" w:rsidR="00595941" w:rsidRPr="00B86FAB" w:rsidRDefault="00595941" w:rsidP="00E26D3C">
            <w:pPr>
              <w:keepNext/>
              <w:cnfStyle w:val="000000010000" w:firstRow="0" w:lastRow="0" w:firstColumn="0" w:lastColumn="0" w:oddVBand="0" w:evenVBand="0" w:oddHBand="0" w:evenHBand="1" w:firstRowFirstColumn="0" w:firstRowLastColumn="0" w:lastRowFirstColumn="0" w:lastRowLastColumn="0"/>
              <w:rPr>
                <w:sz w:val="18"/>
                <w:szCs w:val="18"/>
              </w:rPr>
            </w:pPr>
            <w:r w:rsidRPr="00B86FAB">
              <w:rPr>
                <w:sz w:val="18"/>
                <w:szCs w:val="18"/>
              </w:rPr>
              <w:t>0.49</w:t>
            </w:r>
          </w:p>
        </w:tc>
      </w:tr>
      <w:tr w:rsidR="00595941" w:rsidRPr="00B86FAB" w14:paraId="12258D3D" w14:textId="77777777" w:rsidTr="00E26D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8" w:type="dxa"/>
          </w:tcPr>
          <w:p w14:paraId="062E60F1" w14:textId="77777777" w:rsidR="00595941" w:rsidRPr="00B86FAB" w:rsidRDefault="00595941" w:rsidP="00E26D3C">
            <w:pPr>
              <w:keepNext/>
              <w:rPr>
                <w:sz w:val="18"/>
                <w:szCs w:val="18"/>
              </w:rPr>
            </w:pPr>
            <w:proofErr w:type="spellStart"/>
            <w:r w:rsidRPr="00B86FAB">
              <w:rPr>
                <w:sz w:val="18"/>
                <w:szCs w:val="18"/>
              </w:rPr>
              <w:t>Tanypodinae</w:t>
            </w:r>
            <w:proofErr w:type="spellEnd"/>
          </w:p>
        </w:tc>
        <w:tc>
          <w:tcPr>
            <w:tcW w:w="2425" w:type="dxa"/>
          </w:tcPr>
          <w:p w14:paraId="3C49A6D6"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Highest Jan &amp; Feb</w:t>
            </w:r>
          </w:p>
        </w:tc>
        <w:tc>
          <w:tcPr>
            <w:tcW w:w="2446" w:type="dxa"/>
          </w:tcPr>
          <w:p w14:paraId="70923CCD"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Increase 20/21</w:t>
            </w:r>
          </w:p>
        </w:tc>
        <w:tc>
          <w:tcPr>
            <w:tcW w:w="2079" w:type="dxa"/>
          </w:tcPr>
          <w:p w14:paraId="3533753E"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0.02</w:t>
            </w:r>
          </w:p>
        </w:tc>
      </w:tr>
      <w:tr w:rsidR="00595941" w:rsidRPr="00B86FAB" w14:paraId="413C303B" w14:textId="77777777" w:rsidTr="00E26D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8" w:type="dxa"/>
          </w:tcPr>
          <w:p w14:paraId="45A81C1A" w14:textId="77777777" w:rsidR="00595941" w:rsidRPr="00B86FAB" w:rsidRDefault="00595941" w:rsidP="00E26D3C">
            <w:pPr>
              <w:keepNext/>
              <w:rPr>
                <w:sz w:val="18"/>
                <w:szCs w:val="18"/>
              </w:rPr>
            </w:pPr>
            <w:proofErr w:type="spellStart"/>
            <w:r w:rsidRPr="00B86FAB">
              <w:rPr>
                <w:sz w:val="18"/>
                <w:szCs w:val="18"/>
              </w:rPr>
              <w:t>Leptoceridae</w:t>
            </w:r>
            <w:proofErr w:type="spellEnd"/>
          </w:p>
        </w:tc>
        <w:tc>
          <w:tcPr>
            <w:tcW w:w="2425" w:type="dxa"/>
          </w:tcPr>
          <w:p w14:paraId="5D4ADB19" w14:textId="77777777" w:rsidR="00595941" w:rsidRPr="00B86FAB" w:rsidRDefault="00595941" w:rsidP="00E26D3C">
            <w:pPr>
              <w:keepNext/>
              <w:cnfStyle w:val="000000010000" w:firstRow="0" w:lastRow="0" w:firstColumn="0" w:lastColumn="0" w:oddVBand="0" w:evenVBand="0" w:oddHBand="0" w:evenHBand="1" w:firstRowFirstColumn="0" w:firstRowLastColumn="0" w:lastRowFirstColumn="0" w:lastRowLastColumn="0"/>
              <w:rPr>
                <w:sz w:val="18"/>
                <w:szCs w:val="18"/>
              </w:rPr>
            </w:pPr>
            <w:r w:rsidRPr="00B86FAB">
              <w:rPr>
                <w:sz w:val="18"/>
                <w:szCs w:val="18"/>
              </w:rPr>
              <w:t>Highest Dec</w:t>
            </w:r>
          </w:p>
        </w:tc>
        <w:tc>
          <w:tcPr>
            <w:tcW w:w="2446" w:type="dxa"/>
          </w:tcPr>
          <w:p w14:paraId="1BC43D21" w14:textId="77777777" w:rsidR="00595941" w:rsidRPr="00B86FAB" w:rsidRDefault="00595941" w:rsidP="00E26D3C">
            <w:pPr>
              <w:keepNext/>
              <w:cnfStyle w:val="000000010000" w:firstRow="0" w:lastRow="0" w:firstColumn="0" w:lastColumn="0" w:oddVBand="0" w:evenVBand="0" w:oddHBand="0" w:evenHBand="1" w:firstRowFirstColumn="0" w:firstRowLastColumn="0" w:lastRowFirstColumn="0" w:lastRowLastColumn="0"/>
              <w:rPr>
                <w:sz w:val="18"/>
                <w:szCs w:val="18"/>
              </w:rPr>
            </w:pPr>
            <w:r w:rsidRPr="00B86FAB">
              <w:rPr>
                <w:sz w:val="18"/>
                <w:szCs w:val="18"/>
              </w:rPr>
              <w:t>Increase in 20/21</w:t>
            </w:r>
          </w:p>
        </w:tc>
        <w:tc>
          <w:tcPr>
            <w:tcW w:w="2079" w:type="dxa"/>
          </w:tcPr>
          <w:p w14:paraId="5269D5CE" w14:textId="77777777" w:rsidR="00595941" w:rsidRPr="00B86FAB" w:rsidRDefault="00595941" w:rsidP="00E26D3C">
            <w:pPr>
              <w:keepNext/>
              <w:cnfStyle w:val="000000010000" w:firstRow="0" w:lastRow="0" w:firstColumn="0" w:lastColumn="0" w:oddVBand="0" w:evenVBand="0" w:oddHBand="0" w:evenHBand="1" w:firstRowFirstColumn="0" w:firstRowLastColumn="0" w:lastRowFirstColumn="0" w:lastRowLastColumn="0"/>
              <w:rPr>
                <w:sz w:val="18"/>
                <w:szCs w:val="18"/>
              </w:rPr>
            </w:pPr>
            <w:r w:rsidRPr="00B86FAB">
              <w:rPr>
                <w:sz w:val="18"/>
                <w:szCs w:val="18"/>
              </w:rPr>
              <w:t>0.03</w:t>
            </w:r>
          </w:p>
        </w:tc>
      </w:tr>
      <w:tr w:rsidR="00595941" w:rsidRPr="00B86FAB" w14:paraId="65AD7100" w14:textId="77777777" w:rsidTr="00E26D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8" w:type="dxa"/>
          </w:tcPr>
          <w:p w14:paraId="3D130C98" w14:textId="77777777" w:rsidR="00595941" w:rsidRPr="00B86FAB" w:rsidRDefault="00595941" w:rsidP="00E26D3C">
            <w:pPr>
              <w:keepNext/>
              <w:rPr>
                <w:sz w:val="18"/>
                <w:szCs w:val="18"/>
              </w:rPr>
            </w:pPr>
            <w:proofErr w:type="spellStart"/>
            <w:r w:rsidRPr="00B86FAB">
              <w:rPr>
                <w:sz w:val="18"/>
                <w:szCs w:val="18"/>
              </w:rPr>
              <w:t>Gomphidae</w:t>
            </w:r>
            <w:proofErr w:type="spellEnd"/>
          </w:p>
        </w:tc>
        <w:tc>
          <w:tcPr>
            <w:tcW w:w="2425" w:type="dxa"/>
          </w:tcPr>
          <w:p w14:paraId="1ED6EFCC"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Highest Jan &amp; Feb</w:t>
            </w:r>
          </w:p>
        </w:tc>
        <w:tc>
          <w:tcPr>
            <w:tcW w:w="2446" w:type="dxa"/>
          </w:tcPr>
          <w:p w14:paraId="36BA3103"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No evidence of an increase</w:t>
            </w:r>
          </w:p>
        </w:tc>
        <w:tc>
          <w:tcPr>
            <w:tcW w:w="2079" w:type="dxa"/>
          </w:tcPr>
          <w:p w14:paraId="1FF71A02" w14:textId="77777777" w:rsidR="00595941" w:rsidRPr="00B86FAB" w:rsidRDefault="00595941" w:rsidP="00E26D3C">
            <w:pPr>
              <w:keepNext/>
              <w:cnfStyle w:val="000000100000" w:firstRow="0" w:lastRow="0" w:firstColumn="0" w:lastColumn="0" w:oddVBand="0" w:evenVBand="0" w:oddHBand="1" w:evenHBand="0" w:firstRowFirstColumn="0" w:firstRowLastColumn="0" w:lastRowFirstColumn="0" w:lastRowLastColumn="0"/>
              <w:rPr>
                <w:sz w:val="18"/>
                <w:szCs w:val="18"/>
              </w:rPr>
            </w:pPr>
            <w:r w:rsidRPr="00B86FAB">
              <w:rPr>
                <w:sz w:val="18"/>
                <w:szCs w:val="18"/>
              </w:rPr>
              <w:t>0.33</w:t>
            </w:r>
          </w:p>
        </w:tc>
      </w:tr>
    </w:tbl>
    <w:p w14:paraId="49D508A2" w14:textId="77777777" w:rsidR="00595941" w:rsidRPr="00BA2632" w:rsidRDefault="00595941" w:rsidP="00595941">
      <w:pPr>
        <w:keepNext/>
        <w:jc w:val="center"/>
      </w:pPr>
      <w:r>
        <w:rPr>
          <w:noProof/>
          <w:lang w:val="en-GB"/>
        </w:rPr>
        <w:drawing>
          <wp:inline distT="0" distB="0" distL="0" distR="0" wp14:anchorId="2FE0135F" wp14:editId="742050CB">
            <wp:extent cx="5127763" cy="5279667"/>
            <wp:effectExtent l="0" t="0" r="0" b="0"/>
            <wp:docPr id="525" name="Picture 52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descr="Graphical user interface&#10;&#10;Description automatically generated with low confidence"/>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133987" cy="5286075"/>
                    </a:xfrm>
                    <a:prstGeom prst="rect">
                      <a:avLst/>
                    </a:prstGeom>
                    <a:noFill/>
                  </pic:spPr>
                </pic:pic>
              </a:graphicData>
            </a:graphic>
          </wp:inline>
        </w:drawing>
      </w:r>
    </w:p>
    <w:p w14:paraId="0CB8FD74" w14:textId="1435F4DA" w:rsidR="00595941" w:rsidRPr="00BA2632" w:rsidRDefault="00595941" w:rsidP="00595941">
      <w:pPr>
        <w:pStyle w:val="Caption"/>
      </w:pPr>
      <w:bookmarkStart w:id="364" w:name="_Ref49236444"/>
      <w:bookmarkStart w:id="365" w:name="_Toc83907762"/>
      <w:bookmarkStart w:id="366" w:name="_Toc84475739"/>
      <w:r w:rsidRPr="00BA2632">
        <w:t xml:space="preserve">Figure </w:t>
      </w:r>
      <w:r w:rsidR="00B85158">
        <w:rPr>
          <w:noProof/>
        </w:rPr>
        <w:t>6</w:t>
      </w:r>
      <w:r w:rsidR="00B85158">
        <w:noBreakHyphen/>
      </w:r>
      <w:r w:rsidR="00B85158">
        <w:rPr>
          <w:noProof/>
        </w:rPr>
        <w:t>2</w:t>
      </w:r>
      <w:bookmarkEnd w:id="364"/>
      <w:r w:rsidRPr="00BA2632">
        <w:t xml:space="preserve"> RBA macroinvertebrate sampling a) mean (</w:t>
      </w:r>
      <w:r w:rsidRPr="00BA2632">
        <w:rPr>
          <w:rFonts w:cstheme="minorHAnsi"/>
        </w:rPr>
        <w:t>±</w:t>
      </w:r>
      <w:r w:rsidRPr="00BA2632">
        <w:t xml:space="preserve"> standard deviation) total abundance of all taxa caught per sample in different months. Orange colour: before spring fresh</w:t>
      </w:r>
      <w:r>
        <w:t xml:space="preserve"> 2019</w:t>
      </w:r>
      <w:r w:rsidRPr="00BA2632">
        <w:t>;</w:t>
      </w:r>
      <w:r>
        <w:t xml:space="preserve"> Pale orange: before 2</w:t>
      </w:r>
      <w:r w:rsidRPr="00B80894">
        <w:rPr>
          <w:vertAlign w:val="superscript"/>
        </w:rPr>
        <w:t>nd</w:t>
      </w:r>
      <w:r>
        <w:t xml:space="preserve"> small spring fresh 2020;</w:t>
      </w:r>
      <w:r w:rsidRPr="00BA2632">
        <w:t xml:space="preserve"> blue colour: after spring fresh. </w:t>
      </w:r>
      <w:r>
        <w:t>b</w:t>
      </w:r>
      <w:r w:rsidRPr="00BA2632">
        <w:t>) abundance (</w:t>
      </w:r>
      <w:r w:rsidRPr="00BA2632">
        <w:rPr>
          <w:rFonts w:cstheme="minorHAnsi"/>
        </w:rPr>
        <w:t>±</w:t>
      </w:r>
      <w:r w:rsidRPr="00BA2632">
        <w:t xml:space="preserve"> standard deviation) of all taxa for all sites in different months.</w:t>
      </w:r>
      <w:bookmarkEnd w:id="365"/>
      <w:bookmarkEnd w:id="366"/>
    </w:p>
    <w:p w14:paraId="3DAF09DA" w14:textId="77777777" w:rsidR="00595941" w:rsidRPr="00595941" w:rsidRDefault="00595941" w:rsidP="00595941">
      <w:pPr>
        <w:rPr>
          <w:lang w:eastAsia="en-US"/>
        </w:rPr>
      </w:pPr>
    </w:p>
    <w:p w14:paraId="044FFA15" w14:textId="65756304" w:rsidR="00270F50" w:rsidRDefault="00270F50" w:rsidP="00270F50">
      <w:pPr>
        <w:pStyle w:val="Heading3"/>
      </w:pPr>
      <w:bookmarkStart w:id="367" w:name="_Toc84417375"/>
      <w:r w:rsidRPr="00BA2632">
        <w:lastRenderedPageBreak/>
        <w:t>RBA Crustaceans</w:t>
      </w:r>
      <w:bookmarkEnd w:id="367"/>
    </w:p>
    <w:p w14:paraId="2B3A0D34" w14:textId="77777777" w:rsidR="00595941" w:rsidRPr="00BA2632" w:rsidRDefault="00595941" w:rsidP="00595941">
      <w:r w:rsidRPr="00BA2632">
        <w:t xml:space="preserve">A total of </w:t>
      </w:r>
      <w:r>
        <w:t>2,512</w:t>
      </w:r>
      <w:r w:rsidRPr="00BA2632">
        <w:t xml:space="preserve"> crustacean individuals were collected in the RBA samples across all sampling periods. Three groups of crustaceans were collected (shrimps</w:t>
      </w:r>
      <w:r>
        <w:t xml:space="preserve">: </w:t>
      </w:r>
      <w:proofErr w:type="spellStart"/>
      <w:r>
        <w:rPr>
          <w:i/>
          <w:iCs/>
        </w:rPr>
        <w:t>Paratya</w:t>
      </w:r>
      <w:proofErr w:type="spellEnd"/>
      <w:r>
        <w:rPr>
          <w:i/>
          <w:iCs/>
        </w:rPr>
        <w:t xml:space="preserve"> </w:t>
      </w:r>
      <w:proofErr w:type="spellStart"/>
      <w:r>
        <w:rPr>
          <w:i/>
          <w:iCs/>
        </w:rPr>
        <w:t>australiensis</w:t>
      </w:r>
      <w:proofErr w:type="spellEnd"/>
      <w:r>
        <w:rPr>
          <w:i/>
          <w:iCs/>
        </w:rPr>
        <w:t xml:space="preserve"> </w:t>
      </w:r>
      <w:r>
        <w:t xml:space="preserve">and </w:t>
      </w:r>
      <w:proofErr w:type="spellStart"/>
      <w:r>
        <w:rPr>
          <w:i/>
          <w:iCs/>
        </w:rPr>
        <w:t>Caridina</w:t>
      </w:r>
      <w:proofErr w:type="spellEnd"/>
      <w:r>
        <w:rPr>
          <w:i/>
          <w:iCs/>
        </w:rPr>
        <w:t xml:space="preserve"> </w:t>
      </w:r>
      <w:r>
        <w:t>spp.;</w:t>
      </w:r>
      <w:r>
        <w:rPr>
          <w:i/>
          <w:iCs/>
        </w:rPr>
        <w:t xml:space="preserve"> </w:t>
      </w:r>
      <w:r w:rsidRPr="00BA2632">
        <w:t>prawns</w:t>
      </w:r>
      <w:r>
        <w:t xml:space="preserve">: </w:t>
      </w:r>
      <w:proofErr w:type="spellStart"/>
      <w:r w:rsidRPr="00013ADF">
        <w:rPr>
          <w:i/>
          <w:iCs/>
        </w:rPr>
        <w:t>Macrobrachium</w:t>
      </w:r>
      <w:proofErr w:type="spellEnd"/>
      <w:r w:rsidRPr="00013ADF">
        <w:rPr>
          <w:i/>
          <w:iCs/>
        </w:rPr>
        <w:t xml:space="preserve"> </w:t>
      </w:r>
      <w:proofErr w:type="spellStart"/>
      <w:r w:rsidRPr="00013ADF">
        <w:rPr>
          <w:i/>
          <w:iCs/>
        </w:rPr>
        <w:t>australiense</w:t>
      </w:r>
      <w:proofErr w:type="spellEnd"/>
      <w:r>
        <w:t>;</w:t>
      </w:r>
      <w:r w:rsidRPr="00BA2632">
        <w:t xml:space="preserve"> yabbies</w:t>
      </w:r>
      <w:r>
        <w:t xml:space="preserve">: </w:t>
      </w:r>
      <w:proofErr w:type="spellStart"/>
      <w:r>
        <w:rPr>
          <w:i/>
          <w:iCs/>
        </w:rPr>
        <w:t>Cherax</w:t>
      </w:r>
      <w:proofErr w:type="spellEnd"/>
      <w:r>
        <w:rPr>
          <w:i/>
          <w:iCs/>
        </w:rPr>
        <w:t xml:space="preserve"> </w:t>
      </w:r>
      <w:r>
        <w:t>spp.</w:t>
      </w:r>
      <w:r w:rsidRPr="00BA2632">
        <w:t>), with the shrimp</w:t>
      </w:r>
      <w:r>
        <w:t xml:space="preserve">, </w:t>
      </w:r>
      <w:proofErr w:type="spellStart"/>
      <w:r>
        <w:rPr>
          <w:i/>
          <w:iCs/>
        </w:rPr>
        <w:t>Paratya</w:t>
      </w:r>
      <w:proofErr w:type="spellEnd"/>
      <w:r>
        <w:rPr>
          <w:i/>
          <w:iCs/>
        </w:rPr>
        <w:t xml:space="preserve"> </w:t>
      </w:r>
      <w:proofErr w:type="spellStart"/>
      <w:r>
        <w:rPr>
          <w:i/>
          <w:iCs/>
        </w:rPr>
        <w:t>australiensis</w:t>
      </w:r>
      <w:proofErr w:type="spellEnd"/>
      <w:r w:rsidRPr="00BA2632">
        <w:t xml:space="preserve"> the most abundant crustacean taxon</w:t>
      </w:r>
      <w:r>
        <w:t xml:space="preserve">, followed by the prawns, </w:t>
      </w:r>
      <w:proofErr w:type="spellStart"/>
      <w:r w:rsidRPr="00013ADF">
        <w:rPr>
          <w:i/>
          <w:iCs/>
        </w:rPr>
        <w:t>Macrobrachium</w:t>
      </w:r>
      <w:proofErr w:type="spellEnd"/>
      <w:r w:rsidRPr="00013ADF">
        <w:rPr>
          <w:i/>
          <w:iCs/>
        </w:rPr>
        <w:t xml:space="preserve"> </w:t>
      </w:r>
      <w:proofErr w:type="spellStart"/>
      <w:r w:rsidRPr="00013ADF">
        <w:rPr>
          <w:i/>
          <w:iCs/>
        </w:rPr>
        <w:t>australiense</w:t>
      </w:r>
      <w:proofErr w:type="spellEnd"/>
      <w:r w:rsidRPr="00BA2632">
        <w:t xml:space="preserve"> within the lower Goulburn. </w:t>
      </w:r>
      <w:proofErr w:type="gramStart"/>
      <w:r w:rsidRPr="00BA2632">
        <w:t>A large number</w:t>
      </w:r>
      <w:r>
        <w:t xml:space="preserve"> </w:t>
      </w:r>
      <w:r w:rsidRPr="00BA2632">
        <w:t>of</w:t>
      </w:r>
      <w:proofErr w:type="gramEnd"/>
      <w:r w:rsidRPr="00BA2632">
        <w:t xml:space="preserve"> immature crustaceans were also collected across all sites.</w:t>
      </w:r>
    </w:p>
    <w:p w14:paraId="6D193EEF" w14:textId="06C94EE6" w:rsidR="00595941" w:rsidRPr="001A456E" w:rsidRDefault="00595941" w:rsidP="00595941">
      <w:r w:rsidRPr="001A456E">
        <w:t xml:space="preserve">The shrimp, </w:t>
      </w:r>
      <w:proofErr w:type="spellStart"/>
      <w:r w:rsidRPr="001A456E">
        <w:rPr>
          <w:i/>
          <w:iCs/>
        </w:rPr>
        <w:t>Paratya</w:t>
      </w:r>
      <w:proofErr w:type="spellEnd"/>
      <w:r w:rsidRPr="001A456E">
        <w:rPr>
          <w:i/>
          <w:iCs/>
        </w:rPr>
        <w:t xml:space="preserve"> </w:t>
      </w:r>
      <w:proofErr w:type="spellStart"/>
      <w:r w:rsidRPr="001A456E">
        <w:rPr>
          <w:i/>
          <w:iCs/>
        </w:rPr>
        <w:t>australiensis</w:t>
      </w:r>
      <w:proofErr w:type="spellEnd"/>
      <w:r w:rsidRPr="001A456E">
        <w:t xml:space="preserve"> had low mean abundances in November and December (post the delivery of the CEW Spring Fresh), increasing in January and February (</w:t>
      </w:r>
      <w:r w:rsidR="003B048A">
        <w:t xml:space="preserve">Figure </w:t>
      </w:r>
      <w:r w:rsidR="003B048A">
        <w:rPr>
          <w:noProof/>
        </w:rPr>
        <w:t>6</w:t>
      </w:r>
      <w:r w:rsidR="003B048A">
        <w:rPr>
          <w:noProof/>
        </w:rPr>
        <w:noBreakHyphen/>
        <w:t>3</w:t>
      </w:r>
      <w:r w:rsidRPr="001A456E">
        <w:t>a), which is a similar trend to the previous year. The highest mean abundances occurred in January and February which was mainly driven by shrimp collected at Kirwans Bridge and Riverview Drive (February 2021) (</w:t>
      </w:r>
      <w:r w:rsidR="003B048A">
        <w:t xml:space="preserve">Figure </w:t>
      </w:r>
      <w:r w:rsidR="003B048A">
        <w:rPr>
          <w:noProof/>
        </w:rPr>
        <w:t>6</w:t>
      </w:r>
      <w:r w:rsidR="003B048A">
        <w:rPr>
          <w:noProof/>
        </w:rPr>
        <w:noBreakHyphen/>
        <w:t>3</w:t>
      </w:r>
      <w:r w:rsidRPr="001A456E">
        <w:t>). Across all other sites, low mean abundances of shrimp were collected across all sampling times, with Stewarts Bridge containing the fewest shrimp (</w:t>
      </w:r>
      <w:r w:rsidR="003B048A">
        <w:t xml:space="preserve">Figure </w:t>
      </w:r>
      <w:r w:rsidR="003B048A">
        <w:rPr>
          <w:noProof/>
        </w:rPr>
        <w:t>6</w:t>
      </w:r>
      <w:r w:rsidR="003B048A">
        <w:rPr>
          <w:noProof/>
        </w:rPr>
        <w:noBreakHyphen/>
        <w:t>3</w:t>
      </w:r>
      <w:r w:rsidR="001A456E" w:rsidRPr="001A456E">
        <w:t>b</w:t>
      </w:r>
      <w:r w:rsidRPr="001A456E">
        <w:t>). Mean biomass (g/m</w:t>
      </w:r>
      <w:r w:rsidRPr="001A456E">
        <w:rPr>
          <w:vertAlign w:val="superscript"/>
        </w:rPr>
        <w:t>3</w:t>
      </w:r>
      <w:r w:rsidRPr="001A456E">
        <w:t>) of the shrimp was highest in November 2020 and April 2021 and lowest in December 2021 (</w:t>
      </w:r>
      <w:r w:rsidR="003B048A">
        <w:t xml:space="preserve">Figure </w:t>
      </w:r>
      <w:r w:rsidR="003B048A">
        <w:rPr>
          <w:noProof/>
        </w:rPr>
        <w:t>6</w:t>
      </w:r>
      <w:r w:rsidR="003B048A">
        <w:rPr>
          <w:noProof/>
        </w:rPr>
        <w:noBreakHyphen/>
        <w:t>4</w:t>
      </w:r>
      <w:r w:rsidR="001A456E" w:rsidRPr="001A456E">
        <w:t>a</w:t>
      </w:r>
      <w:r w:rsidRPr="001A456E">
        <w:t>).  Biomass was similar across most sites in November 2020 and was highest at Kirwans Bridge between January to April 2021 (</w:t>
      </w:r>
      <w:r w:rsidR="003B048A">
        <w:t xml:space="preserve">Figure </w:t>
      </w:r>
      <w:r w:rsidR="003B048A">
        <w:rPr>
          <w:noProof/>
        </w:rPr>
        <w:t>6</w:t>
      </w:r>
      <w:r w:rsidR="003B048A">
        <w:rPr>
          <w:noProof/>
        </w:rPr>
        <w:noBreakHyphen/>
        <w:t>4</w:t>
      </w:r>
      <w:r w:rsidR="001A456E" w:rsidRPr="001A456E">
        <w:t>b</w:t>
      </w:r>
      <w:r w:rsidRPr="001A456E">
        <w:t>).   Overall, there was no significant increase in average abundance (p=0.35) or biomass (p=0.26) of shrimps this year compared to the previous year.</w:t>
      </w:r>
    </w:p>
    <w:p w14:paraId="7C9035C1" w14:textId="5F4CE052" w:rsidR="00595941" w:rsidRPr="001A456E" w:rsidRDefault="00595941" w:rsidP="00595941">
      <w:r w:rsidRPr="001A456E">
        <w:t>Between November 2020 to January 2021 there were low mean abundances of prawns across all sites, with increasing abundances in February and April 2021 (</w:t>
      </w:r>
      <w:r w:rsidR="003B048A">
        <w:t xml:space="preserve">Figure </w:t>
      </w:r>
      <w:r w:rsidR="003B048A">
        <w:rPr>
          <w:noProof/>
        </w:rPr>
        <w:t>6</w:t>
      </w:r>
      <w:r w:rsidR="003B048A">
        <w:rPr>
          <w:noProof/>
        </w:rPr>
        <w:noBreakHyphen/>
        <w:t>3</w:t>
      </w:r>
      <w:r w:rsidR="001A456E" w:rsidRPr="001A456E">
        <w:t>c</w:t>
      </w:r>
      <w:r w:rsidRPr="001A456E">
        <w:t>).  While mean abundances of prawns increased in the summer months over both sampling years (2019-20 and 2020-21), prawn abundance increased earlier in 2019/20 compared to this year. No prawns were found at Kirwans bridge and very few were found at Salas Road (Murchison). Cemetery Bend had the highest mean abundances of prawns which was driven by a large increase in abundances in January and February. Apart from Salas Road (Murchison), more prawns were collected at the lower sites within the Goulburn (Lord Road (Loch Garry) to Stewarts Bridge) (</w:t>
      </w:r>
      <w:r w:rsidR="003B048A">
        <w:t xml:space="preserve">Figure </w:t>
      </w:r>
      <w:r w:rsidR="003B048A">
        <w:rPr>
          <w:noProof/>
        </w:rPr>
        <w:t>6</w:t>
      </w:r>
      <w:r w:rsidR="003B048A">
        <w:rPr>
          <w:noProof/>
        </w:rPr>
        <w:noBreakHyphen/>
        <w:t>3</w:t>
      </w:r>
      <w:r w:rsidR="001A456E" w:rsidRPr="001A456E">
        <w:t>d</w:t>
      </w:r>
      <w:r w:rsidRPr="001A456E">
        <w:t>). While prawn mean abundances were low in November, the mean biomass (g/m</w:t>
      </w:r>
      <w:r w:rsidRPr="001A456E">
        <w:rPr>
          <w:vertAlign w:val="superscript"/>
        </w:rPr>
        <w:t>3</w:t>
      </w:r>
      <w:r w:rsidRPr="001A456E">
        <w:t>) was highest, suggesting that larger bodied prawns were caught during this time (</w:t>
      </w:r>
      <w:r w:rsidR="003B048A">
        <w:t xml:space="preserve">Figure </w:t>
      </w:r>
      <w:r w:rsidR="003B048A">
        <w:rPr>
          <w:noProof/>
        </w:rPr>
        <w:t>6</w:t>
      </w:r>
      <w:r w:rsidR="003B048A">
        <w:rPr>
          <w:noProof/>
        </w:rPr>
        <w:noBreakHyphen/>
        <w:t>4</w:t>
      </w:r>
      <w:r w:rsidRPr="001A456E">
        <w:t>c, d). Mean biomass of prawns was similar across the other months, except in January 2021. Overall, there was no significant increase in average abundance (p=0.38) or biomass (p=0.49) of prawns this year compared to the previous year.</w:t>
      </w:r>
    </w:p>
    <w:p w14:paraId="436B32B6" w14:textId="2FE0B373" w:rsidR="00595941" w:rsidRDefault="00595941" w:rsidP="00595941">
      <w:r w:rsidRPr="001A456E">
        <w:t xml:space="preserve">Very few immature crustaceans were collected in November. An increase in immature crustaceans was observed after the CEW spring fresh, increasing substantially in December and January before decreasing in February and April, suggesting reproduction is occurring during these months </w:t>
      </w:r>
      <w:r w:rsidR="001A456E" w:rsidRPr="001A456E">
        <w:t>(</w:t>
      </w:r>
      <w:r w:rsidR="003B048A">
        <w:t xml:space="preserve">Figure </w:t>
      </w:r>
      <w:r w:rsidR="003B048A">
        <w:rPr>
          <w:noProof/>
        </w:rPr>
        <w:t>6</w:t>
      </w:r>
      <w:r w:rsidR="003B048A">
        <w:rPr>
          <w:noProof/>
        </w:rPr>
        <w:noBreakHyphen/>
        <w:t>5</w:t>
      </w:r>
      <w:r w:rsidRPr="001A456E">
        <w:t>a). The increase in immature crustaceans was seen a month earlier this year compared to the previous year (2019-20).  Immature crustaceans increased across all sites in December 2020 and increased in January at Riverview Drive, Lord Road and Cemetery Bend (</w:t>
      </w:r>
      <w:r w:rsidR="003B048A">
        <w:t xml:space="preserve">Figure </w:t>
      </w:r>
      <w:r w:rsidR="003B048A">
        <w:rPr>
          <w:noProof/>
        </w:rPr>
        <w:t>6</w:t>
      </w:r>
      <w:r w:rsidR="003B048A">
        <w:rPr>
          <w:noProof/>
        </w:rPr>
        <w:noBreakHyphen/>
        <w:t>5</w:t>
      </w:r>
      <w:r w:rsidRPr="001A456E">
        <w:t>b). While there was no significant increase in immature crustaceans this year compared to the previous year (p=0.19), this would have been partly driven by the change in timing of peak increase described above and the fact that the paired t-test explicitly compares each visit. Overall, there is an increase in the abundance of immature crustaceans in 2020</w:t>
      </w:r>
      <w:r w:rsidR="00065365">
        <w:t>-</w:t>
      </w:r>
      <w:r w:rsidRPr="001A456E">
        <w:t>21, suggesting the higher unregulated flows may be contributing to an increase in productivity of these crustaceans.</w:t>
      </w:r>
    </w:p>
    <w:p w14:paraId="028544DD" w14:textId="77777777" w:rsidR="00595941" w:rsidRDefault="00595941" w:rsidP="00595941"/>
    <w:p w14:paraId="4DAF9678" w14:textId="77777777" w:rsidR="00595941" w:rsidRDefault="00595941" w:rsidP="00595941">
      <w:pPr>
        <w:sectPr w:rsidR="00595941" w:rsidSect="00333A88">
          <w:headerReference w:type="default" r:id="rId58"/>
          <w:headerReference w:type="first" r:id="rId59"/>
          <w:footerReference w:type="first" r:id="rId60"/>
          <w:pgSz w:w="11906" w:h="16838" w:code="9"/>
          <w:pgMar w:top="567" w:right="851" w:bottom="851" w:left="1134" w:header="709" w:footer="709" w:gutter="0"/>
          <w:cols w:space="708"/>
          <w:titlePg/>
          <w:docGrid w:linePitch="360"/>
        </w:sectPr>
      </w:pPr>
    </w:p>
    <w:p w14:paraId="4C98F6CA" w14:textId="77777777" w:rsidR="002A472A" w:rsidRDefault="00595941" w:rsidP="002A472A">
      <w:pPr>
        <w:keepNext/>
        <w:jc w:val="center"/>
      </w:pPr>
      <w:r>
        <w:rPr>
          <w:noProof/>
          <w:lang w:val="en-GB"/>
        </w:rPr>
        <w:lastRenderedPageBreak/>
        <w:drawing>
          <wp:inline distT="0" distB="0" distL="0" distR="0" wp14:anchorId="6830DDA4" wp14:editId="410016A8">
            <wp:extent cx="4838700" cy="8187100"/>
            <wp:effectExtent l="0" t="0" r="0" b="0"/>
            <wp:docPr id="22" name="Picture 2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graphical user interface&#10;&#10;Description automatically generated"/>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856075" cy="8216499"/>
                    </a:xfrm>
                    <a:prstGeom prst="rect">
                      <a:avLst/>
                    </a:prstGeom>
                    <a:noFill/>
                  </pic:spPr>
                </pic:pic>
              </a:graphicData>
            </a:graphic>
          </wp:inline>
        </w:drawing>
      </w:r>
    </w:p>
    <w:p w14:paraId="642C5EAC" w14:textId="40DD2BF7" w:rsidR="00595941" w:rsidRDefault="002A472A" w:rsidP="002A472A">
      <w:pPr>
        <w:pStyle w:val="Caption"/>
      </w:pPr>
      <w:bookmarkStart w:id="368" w:name="_Ref83786796"/>
      <w:bookmarkStart w:id="369" w:name="_Toc83907763"/>
      <w:bookmarkStart w:id="370" w:name="_Toc84475740"/>
      <w:r>
        <w:t xml:space="preserve">Figure </w:t>
      </w:r>
      <w:r w:rsidR="00B85158">
        <w:rPr>
          <w:noProof/>
        </w:rPr>
        <w:t>6</w:t>
      </w:r>
      <w:r w:rsidR="00B85158">
        <w:noBreakHyphen/>
      </w:r>
      <w:r w:rsidR="00B85158">
        <w:rPr>
          <w:noProof/>
        </w:rPr>
        <w:t>3</w:t>
      </w:r>
      <w:bookmarkEnd w:id="368"/>
      <w:r>
        <w:t xml:space="preserve"> </w:t>
      </w:r>
      <w:r w:rsidRPr="00386E8A">
        <w:t xml:space="preserve">RBA crustacean sampling a) mean (± standard deviation) abundance of the shrimp </w:t>
      </w:r>
      <w:proofErr w:type="spellStart"/>
      <w:r w:rsidRPr="00121115">
        <w:rPr>
          <w:i/>
          <w:iCs w:val="0"/>
        </w:rPr>
        <w:t>Paratya</w:t>
      </w:r>
      <w:proofErr w:type="spellEnd"/>
      <w:r w:rsidRPr="00121115">
        <w:rPr>
          <w:i/>
          <w:iCs w:val="0"/>
        </w:rPr>
        <w:t xml:space="preserve"> </w:t>
      </w:r>
      <w:proofErr w:type="spellStart"/>
      <w:r w:rsidRPr="00121115">
        <w:rPr>
          <w:i/>
          <w:iCs w:val="0"/>
        </w:rPr>
        <w:t>australiensis</w:t>
      </w:r>
      <w:proofErr w:type="spellEnd"/>
      <w:r w:rsidRPr="00386E8A">
        <w:t xml:space="preserve"> per sample in different months. Orange colour: before spring fresh; light orange: before 2</w:t>
      </w:r>
      <w:r w:rsidRPr="007E1F94">
        <w:rPr>
          <w:vertAlign w:val="superscript"/>
        </w:rPr>
        <w:t>nd</w:t>
      </w:r>
      <w:r w:rsidRPr="00386E8A">
        <w:t xml:space="preserve"> small spring fresh blue colour: after spring fresh. </w:t>
      </w:r>
      <w:r w:rsidRPr="002A472A">
        <w:t xml:space="preserve">b) abundance of the shrimp </w:t>
      </w:r>
      <w:proofErr w:type="spellStart"/>
      <w:r w:rsidRPr="00121115">
        <w:rPr>
          <w:i/>
          <w:iCs w:val="0"/>
        </w:rPr>
        <w:t>Paratya</w:t>
      </w:r>
      <w:proofErr w:type="spellEnd"/>
      <w:r w:rsidRPr="00121115">
        <w:rPr>
          <w:i/>
          <w:iCs w:val="0"/>
        </w:rPr>
        <w:t xml:space="preserve"> </w:t>
      </w:r>
      <w:proofErr w:type="spellStart"/>
      <w:r w:rsidRPr="00121115">
        <w:rPr>
          <w:i/>
          <w:iCs w:val="0"/>
        </w:rPr>
        <w:t>australiensis</w:t>
      </w:r>
      <w:proofErr w:type="spellEnd"/>
      <w:r w:rsidRPr="002A472A">
        <w:t xml:space="preserve"> for all sites in different months. c) mean (± standard deviation) abundance of the prawn, </w:t>
      </w:r>
      <w:proofErr w:type="spellStart"/>
      <w:r w:rsidRPr="00121115">
        <w:rPr>
          <w:i/>
          <w:iCs w:val="0"/>
        </w:rPr>
        <w:t>Macrobrachium</w:t>
      </w:r>
      <w:proofErr w:type="spellEnd"/>
      <w:r w:rsidRPr="00121115">
        <w:rPr>
          <w:i/>
          <w:iCs w:val="0"/>
        </w:rPr>
        <w:t xml:space="preserve"> </w:t>
      </w:r>
      <w:proofErr w:type="spellStart"/>
      <w:r w:rsidRPr="00121115">
        <w:rPr>
          <w:i/>
          <w:iCs w:val="0"/>
        </w:rPr>
        <w:t>australiense</w:t>
      </w:r>
      <w:proofErr w:type="spellEnd"/>
      <w:r w:rsidRPr="002A472A">
        <w:t xml:space="preserve"> per sample in different months. Orange colour: before spring fresh; light orange: before 2</w:t>
      </w:r>
      <w:r w:rsidRPr="007E1F94">
        <w:rPr>
          <w:vertAlign w:val="superscript"/>
        </w:rPr>
        <w:t>nd</w:t>
      </w:r>
      <w:r w:rsidRPr="002A472A">
        <w:t xml:space="preserve"> small spring fresh blue colour: after spring fresh. d) abundance of the prawn, </w:t>
      </w:r>
      <w:proofErr w:type="spellStart"/>
      <w:r w:rsidRPr="00121115">
        <w:rPr>
          <w:i/>
          <w:iCs w:val="0"/>
        </w:rPr>
        <w:t>Macrobrachium</w:t>
      </w:r>
      <w:proofErr w:type="spellEnd"/>
      <w:r w:rsidRPr="00121115">
        <w:rPr>
          <w:i/>
          <w:iCs w:val="0"/>
        </w:rPr>
        <w:t xml:space="preserve"> </w:t>
      </w:r>
      <w:proofErr w:type="spellStart"/>
      <w:r w:rsidRPr="00121115">
        <w:rPr>
          <w:i/>
          <w:iCs w:val="0"/>
        </w:rPr>
        <w:t>australiense</w:t>
      </w:r>
      <w:proofErr w:type="spellEnd"/>
      <w:r w:rsidRPr="002A472A">
        <w:t xml:space="preserve"> for all sites in different months.</w:t>
      </w:r>
      <w:bookmarkEnd w:id="369"/>
      <w:bookmarkEnd w:id="370"/>
    </w:p>
    <w:p w14:paraId="442E3032" w14:textId="77777777" w:rsidR="008D0127" w:rsidRDefault="00595941" w:rsidP="008D0127">
      <w:pPr>
        <w:keepNext/>
        <w:jc w:val="center"/>
      </w:pPr>
      <w:r>
        <w:rPr>
          <w:noProof/>
          <w:lang w:val="en-GB"/>
        </w:rPr>
        <w:lastRenderedPageBreak/>
        <w:drawing>
          <wp:inline distT="0" distB="0" distL="0" distR="0" wp14:anchorId="4BF0E6F4" wp14:editId="11C4C9CB">
            <wp:extent cx="4937969" cy="8313420"/>
            <wp:effectExtent l="0" t="0" r="0" b="0"/>
            <wp:docPr id="528" name="Picture 5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descr="Chart&#10;&#10;Description automatically generated"/>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4954395" cy="8341074"/>
                    </a:xfrm>
                    <a:prstGeom prst="rect">
                      <a:avLst/>
                    </a:prstGeom>
                    <a:noFill/>
                  </pic:spPr>
                </pic:pic>
              </a:graphicData>
            </a:graphic>
          </wp:inline>
        </w:drawing>
      </w:r>
    </w:p>
    <w:p w14:paraId="6AEA3103" w14:textId="4923AD24" w:rsidR="00595941" w:rsidRDefault="008D0127" w:rsidP="00595941">
      <w:pPr>
        <w:pStyle w:val="Caption"/>
      </w:pPr>
      <w:bookmarkStart w:id="371" w:name="_Ref83788350"/>
      <w:bookmarkStart w:id="372" w:name="_Toc83907764"/>
      <w:bookmarkStart w:id="373" w:name="_Toc84475741"/>
      <w:r>
        <w:t xml:space="preserve">Figure </w:t>
      </w:r>
      <w:r w:rsidR="00B85158">
        <w:rPr>
          <w:noProof/>
        </w:rPr>
        <w:t>6</w:t>
      </w:r>
      <w:r w:rsidR="00B85158">
        <w:noBreakHyphen/>
      </w:r>
      <w:r w:rsidR="00B85158">
        <w:rPr>
          <w:noProof/>
        </w:rPr>
        <w:t>4</w:t>
      </w:r>
      <w:bookmarkEnd w:id="371"/>
      <w:r>
        <w:t xml:space="preserve"> </w:t>
      </w:r>
      <w:r w:rsidRPr="008952FC">
        <w:t>RBA crustacean sampling a) mean (± standard deviation) biomass (g/m</w:t>
      </w:r>
      <w:r w:rsidRPr="004D7650">
        <w:rPr>
          <w:vertAlign w:val="superscript"/>
        </w:rPr>
        <w:t>3</w:t>
      </w:r>
      <w:r w:rsidRPr="008952FC">
        <w:t xml:space="preserve">) of the shrimp </w:t>
      </w:r>
      <w:proofErr w:type="spellStart"/>
      <w:r w:rsidRPr="00121115">
        <w:rPr>
          <w:i/>
          <w:iCs w:val="0"/>
        </w:rPr>
        <w:t>Paratya</w:t>
      </w:r>
      <w:proofErr w:type="spellEnd"/>
      <w:r w:rsidRPr="00121115">
        <w:rPr>
          <w:i/>
          <w:iCs w:val="0"/>
        </w:rPr>
        <w:t xml:space="preserve"> </w:t>
      </w:r>
      <w:proofErr w:type="spellStart"/>
      <w:r w:rsidRPr="00121115">
        <w:rPr>
          <w:i/>
          <w:iCs w:val="0"/>
        </w:rPr>
        <w:t>australiensis</w:t>
      </w:r>
      <w:proofErr w:type="spellEnd"/>
      <w:r w:rsidRPr="008952FC">
        <w:t xml:space="preserve"> per sample in different months. Orange colour: before spring fresh; light orange: before 2</w:t>
      </w:r>
      <w:r w:rsidRPr="007E1F94">
        <w:rPr>
          <w:vertAlign w:val="superscript"/>
        </w:rPr>
        <w:t>nd</w:t>
      </w:r>
      <w:r w:rsidRPr="008952FC">
        <w:t xml:space="preserve"> small spring fresh blue colour: after spring fresh. </w:t>
      </w:r>
      <w:r>
        <w:t>b) biomass (g/m</w:t>
      </w:r>
      <w:r w:rsidRPr="00643C3F">
        <w:rPr>
          <w:vertAlign w:val="superscript"/>
        </w:rPr>
        <w:t>3</w:t>
      </w:r>
      <w:r>
        <w:t>)</w:t>
      </w:r>
      <w:r w:rsidRPr="00BA2632">
        <w:t xml:space="preserve"> of </w:t>
      </w:r>
      <w:r>
        <w:t xml:space="preserve">the shrimp </w:t>
      </w:r>
      <w:proofErr w:type="spellStart"/>
      <w:r>
        <w:rPr>
          <w:i/>
        </w:rPr>
        <w:t>Paratya</w:t>
      </w:r>
      <w:proofErr w:type="spellEnd"/>
      <w:r>
        <w:rPr>
          <w:i/>
        </w:rPr>
        <w:t xml:space="preserve"> </w:t>
      </w:r>
      <w:proofErr w:type="spellStart"/>
      <w:r>
        <w:rPr>
          <w:i/>
        </w:rPr>
        <w:t>australiensis</w:t>
      </w:r>
      <w:proofErr w:type="spellEnd"/>
      <w:r w:rsidRPr="00BA2632">
        <w:t xml:space="preserve"> for all sites in different months. c) mean (</w:t>
      </w:r>
      <w:r w:rsidRPr="00BA2632">
        <w:rPr>
          <w:rFonts w:cstheme="minorHAnsi"/>
        </w:rPr>
        <w:t>±</w:t>
      </w:r>
      <w:r w:rsidRPr="00BA2632">
        <w:t xml:space="preserve"> standard deviation) </w:t>
      </w:r>
      <w:r>
        <w:t>biomass (g/m</w:t>
      </w:r>
      <w:r w:rsidRPr="00643C3F">
        <w:rPr>
          <w:vertAlign w:val="superscript"/>
        </w:rPr>
        <w:t>3</w:t>
      </w:r>
      <w:r>
        <w:t>)</w:t>
      </w:r>
      <w:r w:rsidRPr="00BA2632">
        <w:t xml:space="preserve"> of </w:t>
      </w:r>
      <w:r>
        <w:t xml:space="preserve">the prawn, </w:t>
      </w:r>
      <w:proofErr w:type="spellStart"/>
      <w:r>
        <w:rPr>
          <w:i/>
        </w:rPr>
        <w:t>Macrobrachium</w:t>
      </w:r>
      <w:proofErr w:type="spellEnd"/>
      <w:r>
        <w:rPr>
          <w:i/>
        </w:rPr>
        <w:t xml:space="preserve"> </w:t>
      </w:r>
      <w:proofErr w:type="spellStart"/>
      <w:r>
        <w:rPr>
          <w:i/>
        </w:rPr>
        <w:t>australiense</w:t>
      </w:r>
      <w:proofErr w:type="spellEnd"/>
      <w:r w:rsidRPr="00BA2632">
        <w:t xml:space="preserve"> per sample in different months.</w:t>
      </w:r>
      <w:bookmarkEnd w:id="372"/>
      <w:bookmarkEnd w:id="373"/>
    </w:p>
    <w:p w14:paraId="2593330E" w14:textId="77777777" w:rsidR="00495AB0" w:rsidRDefault="00595941" w:rsidP="007E1F94">
      <w:pPr>
        <w:pStyle w:val="Caption"/>
        <w:keepNext/>
        <w:jc w:val="center"/>
      </w:pPr>
      <w:r>
        <w:rPr>
          <w:noProof/>
          <w:lang w:val="en-GB"/>
        </w:rPr>
        <w:lastRenderedPageBreak/>
        <w:drawing>
          <wp:inline distT="0" distB="0" distL="0" distR="0" wp14:anchorId="67EEFF44" wp14:editId="123E2137">
            <wp:extent cx="5058476" cy="5281200"/>
            <wp:effectExtent l="0" t="0" r="0" b="0"/>
            <wp:docPr id="529" name="Picture 52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A picture containing chart&#10;&#10;Description automatically generated"/>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058476" cy="5281200"/>
                    </a:xfrm>
                    <a:prstGeom prst="rect">
                      <a:avLst/>
                    </a:prstGeom>
                    <a:noFill/>
                  </pic:spPr>
                </pic:pic>
              </a:graphicData>
            </a:graphic>
          </wp:inline>
        </w:drawing>
      </w:r>
    </w:p>
    <w:p w14:paraId="35673188" w14:textId="70675E6C" w:rsidR="00595941" w:rsidRDefault="00495AB0" w:rsidP="00495AB0">
      <w:pPr>
        <w:pStyle w:val="Caption"/>
      </w:pPr>
      <w:bookmarkStart w:id="374" w:name="_Ref83788383"/>
      <w:bookmarkStart w:id="375" w:name="_Toc83907765"/>
      <w:bookmarkStart w:id="376" w:name="_Toc84475742"/>
      <w:r>
        <w:t xml:space="preserve">Figure </w:t>
      </w:r>
      <w:r w:rsidR="00B85158">
        <w:rPr>
          <w:noProof/>
        </w:rPr>
        <w:t>6</w:t>
      </w:r>
      <w:r w:rsidR="00B85158">
        <w:noBreakHyphen/>
      </w:r>
      <w:r w:rsidR="00B85158">
        <w:rPr>
          <w:noProof/>
        </w:rPr>
        <w:t>5</w:t>
      </w:r>
      <w:bookmarkEnd w:id="374"/>
      <w:r>
        <w:t xml:space="preserve"> </w:t>
      </w:r>
      <w:r w:rsidRPr="00090B41">
        <w:t>RBA crustacean sampling a) mean (± standard deviation) abundance of immature crustaceans per sample in different months. Orange colour: before spring fresh; light orange: before 2</w:t>
      </w:r>
      <w:r w:rsidRPr="007E1F94">
        <w:rPr>
          <w:vertAlign w:val="superscript"/>
        </w:rPr>
        <w:t>nd</w:t>
      </w:r>
      <w:r w:rsidRPr="00090B41">
        <w:t xml:space="preserve"> small spring fresh; green colour: after spring fresh. </w:t>
      </w:r>
      <w:r w:rsidRPr="00495AB0">
        <w:t>b) abundance of immature crustaceans for all sites in different months.</w:t>
      </w:r>
      <w:bookmarkEnd w:id="375"/>
      <w:bookmarkEnd w:id="376"/>
    </w:p>
    <w:p w14:paraId="2C3F3C43" w14:textId="7979CC7E" w:rsidR="00270F50" w:rsidRPr="00BA2632" w:rsidRDefault="00270F50" w:rsidP="00270F50">
      <w:pPr>
        <w:pStyle w:val="Heading3"/>
      </w:pPr>
      <w:bookmarkStart w:id="377" w:name="_Toc84417376"/>
      <w:r w:rsidRPr="00BA2632">
        <w:t>Crustaceans caught in bait traps</w:t>
      </w:r>
      <w:bookmarkEnd w:id="377"/>
    </w:p>
    <w:p w14:paraId="1B67364D" w14:textId="77777777" w:rsidR="00595941" w:rsidRPr="00004F63" w:rsidRDefault="00595941" w:rsidP="00595941">
      <w:pPr>
        <w:keepNext/>
        <w:rPr>
          <w:iCs/>
        </w:rPr>
      </w:pPr>
      <w:r w:rsidRPr="00BA2632">
        <w:t>A total of 4</w:t>
      </w:r>
      <w:r>
        <w:t>8</w:t>
      </w:r>
      <w:r w:rsidRPr="00BA2632">
        <w:t xml:space="preserve">7 crustacean individuals were collected in the bait traps across all sampling periods. Three groups of </w:t>
      </w:r>
      <w:r w:rsidRPr="00004F63">
        <w:t xml:space="preserve">crustaceans were collected (shrimps, </w:t>
      </w:r>
      <w:proofErr w:type="gramStart"/>
      <w:r w:rsidRPr="00004F63">
        <w:t>prawns</w:t>
      </w:r>
      <w:proofErr w:type="gramEnd"/>
      <w:r w:rsidRPr="00004F63">
        <w:t xml:space="preserve"> and yabbies).  </w:t>
      </w:r>
      <w:r w:rsidRPr="00004F63">
        <w:rPr>
          <w:iCs/>
        </w:rPr>
        <w:t>Prawns</w:t>
      </w:r>
      <w:r w:rsidRPr="00004F63">
        <w:rPr>
          <w:i/>
          <w:iCs/>
        </w:rPr>
        <w:t xml:space="preserve"> </w:t>
      </w:r>
      <w:r w:rsidRPr="00004F63">
        <w:t xml:space="preserve">were the most abundant crustacean caught within the bait traps, while only four </w:t>
      </w:r>
      <w:r w:rsidRPr="00004F63">
        <w:rPr>
          <w:iCs/>
        </w:rPr>
        <w:t>yabbies</w:t>
      </w:r>
      <w:r w:rsidRPr="00004F63">
        <w:t xml:space="preserve"> were caught during the sampling period. There is evidence of recruitment and breeding occurring of </w:t>
      </w:r>
      <w:r w:rsidRPr="00004F63">
        <w:rPr>
          <w:iCs/>
        </w:rPr>
        <w:t>shrimps and prawns</w:t>
      </w:r>
      <w:r w:rsidRPr="00004F63">
        <w:rPr>
          <w:i/>
        </w:rPr>
        <w:t xml:space="preserve"> </w:t>
      </w:r>
      <w:r w:rsidRPr="00004F63">
        <w:rPr>
          <w:iCs/>
        </w:rPr>
        <w:t>with a range of cohorts and females with eggs found across the sites within the lower Goulburn, particularly during the December – February sampling period.</w:t>
      </w:r>
    </w:p>
    <w:p w14:paraId="619AE2F1" w14:textId="15526B88" w:rsidR="00595941" w:rsidRPr="00004F63" w:rsidRDefault="00595941" w:rsidP="00595941">
      <w:pPr>
        <w:keepNext/>
      </w:pPr>
      <w:r w:rsidRPr="00004F63">
        <w:t>Mean abundance of the shrimps</w:t>
      </w:r>
      <w:r w:rsidRPr="00004F63">
        <w:rPr>
          <w:i/>
          <w:iCs/>
        </w:rPr>
        <w:t xml:space="preserve"> </w:t>
      </w:r>
      <w:r w:rsidRPr="00004F63">
        <w:t>across months and sites were highest between December 2020 and February 2021 after the CEW Spring Fresh (</w:t>
      </w:r>
      <w:r w:rsidR="003B048A" w:rsidRPr="007E1F94">
        <w:t xml:space="preserve">Figure </w:t>
      </w:r>
      <w:r w:rsidR="003B048A">
        <w:rPr>
          <w:noProof/>
        </w:rPr>
        <w:t>6</w:t>
      </w:r>
      <w:r w:rsidR="003B048A">
        <w:rPr>
          <w:noProof/>
        </w:rPr>
        <w:noBreakHyphen/>
        <w:t>6</w:t>
      </w:r>
      <w:r w:rsidR="00004F63" w:rsidRPr="00004F63">
        <w:t>a</w:t>
      </w:r>
      <w:r w:rsidRPr="00004F63">
        <w:t xml:space="preserve">). The highest abundances of </w:t>
      </w:r>
      <w:r w:rsidRPr="00004F63">
        <w:rPr>
          <w:iCs/>
        </w:rPr>
        <w:t xml:space="preserve">shrimps </w:t>
      </w:r>
      <w:r w:rsidRPr="00004F63">
        <w:t xml:space="preserve">were at Kirwans Bridge, followed by </w:t>
      </w:r>
      <w:r w:rsidR="00C46665" w:rsidRPr="00004F63">
        <w:t>McCoy’s</w:t>
      </w:r>
      <w:r w:rsidRPr="00004F63">
        <w:t xml:space="preserve"> Bridge and Salas Road (Murchison) (</w:t>
      </w:r>
      <w:r w:rsidR="003B048A" w:rsidRPr="007E1F94">
        <w:t xml:space="preserve">Figure </w:t>
      </w:r>
      <w:r w:rsidR="003B048A">
        <w:rPr>
          <w:noProof/>
        </w:rPr>
        <w:t>6</w:t>
      </w:r>
      <w:r w:rsidR="003B048A">
        <w:rPr>
          <w:noProof/>
        </w:rPr>
        <w:noBreakHyphen/>
        <w:t>6</w:t>
      </w:r>
      <w:r w:rsidR="00004F63" w:rsidRPr="00004F63">
        <w:t>b</w:t>
      </w:r>
      <w:r w:rsidRPr="00004F63">
        <w:t>). This was different to the previous year which had similar abundances across the sampling period. Mean biomass was similar across the sampling periods except for January 2021, which was slightly lower (</w:t>
      </w:r>
      <w:r w:rsidR="003B048A" w:rsidRPr="007E1F94">
        <w:t xml:space="preserve">Figure </w:t>
      </w:r>
      <w:r w:rsidR="003B048A">
        <w:rPr>
          <w:noProof/>
        </w:rPr>
        <w:t>6</w:t>
      </w:r>
      <w:r w:rsidR="003B048A">
        <w:rPr>
          <w:noProof/>
        </w:rPr>
        <w:noBreakHyphen/>
        <w:t>7</w:t>
      </w:r>
      <w:r w:rsidR="00004F63" w:rsidRPr="00004F63">
        <w:t>a</w:t>
      </w:r>
      <w:r w:rsidRPr="00004F63">
        <w:t xml:space="preserve">). Kirwans Bridge, </w:t>
      </w:r>
      <w:r w:rsidR="00C46665" w:rsidRPr="00004F63">
        <w:t>McCoy’s</w:t>
      </w:r>
      <w:r w:rsidRPr="00004F63">
        <w:t xml:space="preserve"> Bridge, Salas Road (Murchison) and Stewards Bridge had the highest biomass of shrimp (</w:t>
      </w:r>
      <w:r w:rsidR="003B048A" w:rsidRPr="007E1F94">
        <w:t xml:space="preserve">Figure </w:t>
      </w:r>
      <w:r w:rsidR="003B048A">
        <w:rPr>
          <w:noProof/>
        </w:rPr>
        <w:t>6</w:t>
      </w:r>
      <w:r w:rsidR="003B048A">
        <w:rPr>
          <w:noProof/>
        </w:rPr>
        <w:noBreakHyphen/>
        <w:t>7</w:t>
      </w:r>
      <w:r w:rsidR="00004F63" w:rsidRPr="00004F63">
        <w:t>b</w:t>
      </w:r>
      <w:r w:rsidRPr="00004F63">
        <w:t>). Overall, there was a significant increase in average abundance (p=0.01) and biomass (p=0.003) of shrimps this year compared to the previous year.</w:t>
      </w:r>
    </w:p>
    <w:p w14:paraId="0E010F85" w14:textId="383AA4E6" w:rsidR="00595941" w:rsidRPr="00004F63" w:rsidRDefault="00595941" w:rsidP="00595941">
      <w:pPr>
        <w:keepNext/>
      </w:pPr>
      <w:r w:rsidRPr="00004F63">
        <w:t>In comparison, the mean abundance of prawns was similar between the sampling months, highest in November 2020 after the CEW fresh delivery (</w:t>
      </w:r>
      <w:r w:rsidR="003B048A" w:rsidRPr="007E1F94">
        <w:t xml:space="preserve">Figure </w:t>
      </w:r>
      <w:r w:rsidR="003B048A">
        <w:rPr>
          <w:noProof/>
        </w:rPr>
        <w:t>6</w:t>
      </w:r>
      <w:r w:rsidR="003B048A">
        <w:rPr>
          <w:noProof/>
        </w:rPr>
        <w:noBreakHyphen/>
        <w:t>6</w:t>
      </w:r>
      <w:r w:rsidR="00004F63" w:rsidRPr="00004F63">
        <w:t>c</w:t>
      </w:r>
      <w:r w:rsidRPr="00004F63">
        <w:t>). No prawns were collected in the bait traps at Kirwans Bridge (</w:t>
      </w:r>
      <w:r w:rsidR="003B048A" w:rsidRPr="007E1F94">
        <w:t xml:space="preserve">Figure </w:t>
      </w:r>
      <w:r w:rsidR="003B048A">
        <w:rPr>
          <w:noProof/>
        </w:rPr>
        <w:t>6</w:t>
      </w:r>
      <w:r w:rsidR="003B048A">
        <w:rPr>
          <w:noProof/>
        </w:rPr>
        <w:noBreakHyphen/>
        <w:t>6</w:t>
      </w:r>
      <w:r w:rsidR="00004F63" w:rsidRPr="00004F63">
        <w:t>d</w:t>
      </w:r>
      <w:r w:rsidRPr="00004F63">
        <w:t>). Mean biomass of the prawns was also similar between sampling months, except in April where biomass was lower (</w:t>
      </w:r>
      <w:r w:rsidR="003B048A" w:rsidRPr="007E1F94">
        <w:t xml:space="preserve">Figure </w:t>
      </w:r>
      <w:r w:rsidR="003B048A">
        <w:rPr>
          <w:noProof/>
        </w:rPr>
        <w:t>6</w:t>
      </w:r>
      <w:r w:rsidR="003B048A">
        <w:rPr>
          <w:noProof/>
        </w:rPr>
        <w:noBreakHyphen/>
        <w:t>7</w:t>
      </w:r>
      <w:r w:rsidRPr="00004F63">
        <w:t xml:space="preserve">c).  Biomass was highest at </w:t>
      </w:r>
      <w:r w:rsidR="00C46665" w:rsidRPr="00004F63">
        <w:t>McCoy’s</w:t>
      </w:r>
      <w:r w:rsidRPr="00004F63">
        <w:t xml:space="preserve"> Bridge in November 2020 and Riverview Drive in February 2021 (</w:t>
      </w:r>
      <w:r w:rsidR="003B048A" w:rsidRPr="007E1F94">
        <w:t xml:space="preserve">Figure </w:t>
      </w:r>
      <w:r w:rsidR="003B048A">
        <w:rPr>
          <w:noProof/>
        </w:rPr>
        <w:t>6</w:t>
      </w:r>
      <w:r w:rsidR="003B048A">
        <w:rPr>
          <w:noProof/>
        </w:rPr>
        <w:noBreakHyphen/>
        <w:t>7</w:t>
      </w:r>
      <w:r w:rsidRPr="00004F63">
        <w:t xml:space="preserve">d). Overall, </w:t>
      </w:r>
      <w:r w:rsidRPr="00004F63">
        <w:lastRenderedPageBreak/>
        <w:t>there was no significant difference in average abundance (p=0.26) and biomass (p=0.29) of prawns this year compared to the previous year.</w:t>
      </w:r>
    </w:p>
    <w:p w14:paraId="59BD1E3B" w14:textId="77777777" w:rsidR="00595941" w:rsidRDefault="00595941" w:rsidP="00595941">
      <w:r w:rsidRPr="00004F63">
        <w:t>While the results show that shrimp and prawn abundance and biomass is generally higher following the Spring Fresh (from November onwards), this also coincides with warmer conditions, so it is unclear the extent to which abundance and biomass increases in response to flow or temperature / seasonal changes. An increase in the shrimp this year compared to last year does suggest that the higher unregulated flow in winter/spring 2020 may have contributed to the observed response.</w:t>
      </w:r>
    </w:p>
    <w:p w14:paraId="473DB11F" w14:textId="77777777" w:rsidR="00595941" w:rsidRPr="00BA2632" w:rsidRDefault="00595941" w:rsidP="00595941">
      <w:pPr>
        <w:keepNext/>
      </w:pPr>
    </w:p>
    <w:p w14:paraId="24C0DD7C" w14:textId="77777777" w:rsidR="00595941" w:rsidRDefault="00595941" w:rsidP="00595941">
      <w:pPr>
        <w:rPr>
          <w:noProof/>
        </w:rPr>
      </w:pPr>
    </w:p>
    <w:p w14:paraId="15FDB51E" w14:textId="77777777" w:rsidR="00595941" w:rsidRDefault="00595941" w:rsidP="00595941">
      <w:pPr>
        <w:rPr>
          <w:noProof/>
        </w:rPr>
      </w:pPr>
    </w:p>
    <w:p w14:paraId="4119F5EC" w14:textId="77777777" w:rsidR="00595941" w:rsidRDefault="00595941" w:rsidP="00595941">
      <w:pPr>
        <w:rPr>
          <w:noProof/>
        </w:rPr>
      </w:pPr>
    </w:p>
    <w:p w14:paraId="1BFC3727" w14:textId="77777777" w:rsidR="00595941" w:rsidRDefault="00595941" w:rsidP="00595941">
      <w:pPr>
        <w:rPr>
          <w:noProof/>
        </w:rPr>
      </w:pPr>
    </w:p>
    <w:p w14:paraId="35DC9388" w14:textId="77777777" w:rsidR="00595941" w:rsidRDefault="00595941" w:rsidP="00595941">
      <w:pPr>
        <w:rPr>
          <w:noProof/>
        </w:rPr>
      </w:pPr>
    </w:p>
    <w:p w14:paraId="6A14A35E" w14:textId="77777777" w:rsidR="00595941" w:rsidRDefault="00595941" w:rsidP="00595941">
      <w:pPr>
        <w:rPr>
          <w:noProof/>
        </w:rPr>
      </w:pPr>
    </w:p>
    <w:p w14:paraId="34CC3A9F" w14:textId="77777777" w:rsidR="00595941" w:rsidRDefault="00595941" w:rsidP="00595941">
      <w:pPr>
        <w:rPr>
          <w:noProof/>
        </w:rPr>
      </w:pPr>
    </w:p>
    <w:p w14:paraId="19F1A7B4" w14:textId="77777777" w:rsidR="00595941" w:rsidRDefault="00595941" w:rsidP="00595941">
      <w:pPr>
        <w:rPr>
          <w:noProof/>
        </w:rPr>
      </w:pPr>
    </w:p>
    <w:p w14:paraId="02C2BBB8" w14:textId="77777777" w:rsidR="00154578" w:rsidRDefault="00595941" w:rsidP="00154578">
      <w:pPr>
        <w:keepNext/>
        <w:jc w:val="center"/>
      </w:pPr>
      <w:r>
        <w:rPr>
          <w:noProof/>
          <w:lang w:val="en-GB"/>
        </w:rPr>
        <w:lastRenderedPageBreak/>
        <w:drawing>
          <wp:inline distT="0" distB="0" distL="0" distR="0" wp14:anchorId="34603D2B" wp14:editId="6B5F6FFD">
            <wp:extent cx="5257800" cy="8165228"/>
            <wp:effectExtent l="0" t="0" r="0" b="0"/>
            <wp:docPr id="26" name="Picture 2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10;&#10;Description automatically generated with medium confidence"/>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265330" cy="8176923"/>
                    </a:xfrm>
                    <a:prstGeom prst="rect">
                      <a:avLst/>
                    </a:prstGeom>
                    <a:noFill/>
                  </pic:spPr>
                </pic:pic>
              </a:graphicData>
            </a:graphic>
          </wp:inline>
        </w:drawing>
      </w:r>
    </w:p>
    <w:p w14:paraId="66BB51DF" w14:textId="5822F578" w:rsidR="00595941" w:rsidRPr="007E1F94" w:rsidRDefault="00154578" w:rsidP="00154578">
      <w:pPr>
        <w:pStyle w:val="Caption"/>
      </w:pPr>
      <w:bookmarkStart w:id="378" w:name="_Ref83788803"/>
      <w:bookmarkStart w:id="379" w:name="_Toc83907766"/>
      <w:bookmarkStart w:id="380" w:name="_Toc84475743"/>
      <w:r w:rsidRPr="007E1F94">
        <w:t xml:space="preserve">Figure </w:t>
      </w:r>
      <w:r w:rsidR="00B85158">
        <w:rPr>
          <w:noProof/>
        </w:rPr>
        <w:t>6</w:t>
      </w:r>
      <w:r w:rsidR="00B85158">
        <w:noBreakHyphen/>
      </w:r>
      <w:r w:rsidR="00B85158">
        <w:rPr>
          <w:noProof/>
        </w:rPr>
        <w:t>6</w:t>
      </w:r>
      <w:bookmarkEnd w:id="378"/>
      <w:r w:rsidRPr="007E1F94">
        <w:t xml:space="preserve"> Crustacean Bait Trap sampling a) mean (± standard deviation) total abundance of shrimps (</w:t>
      </w:r>
      <w:proofErr w:type="spellStart"/>
      <w:r w:rsidRPr="00121115">
        <w:rPr>
          <w:i/>
          <w:iCs w:val="0"/>
        </w:rPr>
        <w:t>Parataya</w:t>
      </w:r>
      <w:proofErr w:type="spellEnd"/>
      <w:r w:rsidRPr="00121115">
        <w:rPr>
          <w:i/>
          <w:iCs w:val="0"/>
        </w:rPr>
        <w:t xml:space="preserve"> </w:t>
      </w:r>
      <w:proofErr w:type="spellStart"/>
      <w:r w:rsidRPr="00121115">
        <w:rPr>
          <w:i/>
          <w:iCs w:val="0"/>
        </w:rPr>
        <w:t>australiensis</w:t>
      </w:r>
      <w:proofErr w:type="spellEnd"/>
      <w:r w:rsidRPr="007E1F94">
        <w:t>) caught per sample in different months. Orange colour: before spring fresh; light orange: before 2</w:t>
      </w:r>
      <w:r w:rsidRPr="007E1F94">
        <w:rPr>
          <w:vertAlign w:val="superscript"/>
        </w:rPr>
        <w:t>nd</w:t>
      </w:r>
      <w:r w:rsidRPr="007E1F94">
        <w:t xml:space="preserve"> small spring fresh; blue colour: after spring fresh. b) abundance of all shrimps for all sites in different months. c) mean (± standard deviation) total abundance of prawns (</w:t>
      </w:r>
      <w:proofErr w:type="spellStart"/>
      <w:r w:rsidRPr="00121115">
        <w:rPr>
          <w:i/>
          <w:iCs w:val="0"/>
        </w:rPr>
        <w:t>Macrobrachium</w:t>
      </w:r>
      <w:proofErr w:type="spellEnd"/>
      <w:r w:rsidRPr="00121115">
        <w:rPr>
          <w:i/>
          <w:iCs w:val="0"/>
        </w:rPr>
        <w:t xml:space="preserve"> </w:t>
      </w:r>
      <w:proofErr w:type="spellStart"/>
      <w:r w:rsidRPr="00121115">
        <w:rPr>
          <w:i/>
          <w:iCs w:val="0"/>
        </w:rPr>
        <w:t>australiense</w:t>
      </w:r>
      <w:proofErr w:type="spellEnd"/>
      <w:r w:rsidRPr="007E1F94">
        <w:t>) caught per sample in different months. Orange colour: before spring fresh; light orange: before 2</w:t>
      </w:r>
      <w:r w:rsidRPr="007E1F94">
        <w:rPr>
          <w:vertAlign w:val="superscript"/>
        </w:rPr>
        <w:t>nd</w:t>
      </w:r>
      <w:r w:rsidRPr="007E1F94">
        <w:t xml:space="preserve"> small spring fresh; gold colour: after spring fresh. d) abundance of all prawns for all sites in different months.</w:t>
      </w:r>
      <w:bookmarkEnd w:id="379"/>
      <w:bookmarkEnd w:id="380"/>
    </w:p>
    <w:p w14:paraId="4AAFBEB3" w14:textId="77777777" w:rsidR="004720F2" w:rsidRDefault="00595941" w:rsidP="004720F2">
      <w:pPr>
        <w:keepNext/>
        <w:jc w:val="center"/>
      </w:pPr>
      <w:r>
        <w:rPr>
          <w:noProof/>
          <w:lang w:val="en-GB"/>
        </w:rPr>
        <w:lastRenderedPageBreak/>
        <w:drawing>
          <wp:inline distT="0" distB="0" distL="0" distR="0" wp14:anchorId="7B05D531" wp14:editId="712C339A">
            <wp:extent cx="5398649" cy="8168640"/>
            <wp:effectExtent l="0" t="0" r="0" b="0"/>
            <wp:docPr id="530" name="Picture 53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Graphical user interface&#10;&#10;Description automatically generated"/>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404357" cy="8177276"/>
                    </a:xfrm>
                    <a:prstGeom prst="rect">
                      <a:avLst/>
                    </a:prstGeom>
                    <a:noFill/>
                  </pic:spPr>
                </pic:pic>
              </a:graphicData>
            </a:graphic>
          </wp:inline>
        </w:drawing>
      </w:r>
    </w:p>
    <w:p w14:paraId="009C52B8" w14:textId="71D27A50" w:rsidR="00595941" w:rsidRPr="007E1F94" w:rsidRDefault="004720F2" w:rsidP="004720F2">
      <w:pPr>
        <w:pStyle w:val="Caption"/>
      </w:pPr>
      <w:bookmarkStart w:id="381" w:name="_Ref83788839"/>
      <w:bookmarkStart w:id="382" w:name="_Toc83907767"/>
      <w:bookmarkStart w:id="383" w:name="_Toc84475744"/>
      <w:r w:rsidRPr="007E1F94">
        <w:t xml:space="preserve">Figure </w:t>
      </w:r>
      <w:r w:rsidR="00B85158">
        <w:rPr>
          <w:noProof/>
        </w:rPr>
        <w:t>6</w:t>
      </w:r>
      <w:r w:rsidR="00B85158">
        <w:noBreakHyphen/>
      </w:r>
      <w:r w:rsidR="00B85158">
        <w:rPr>
          <w:noProof/>
        </w:rPr>
        <w:t>7</w:t>
      </w:r>
      <w:bookmarkEnd w:id="381"/>
      <w:r w:rsidRPr="007E1F94">
        <w:t xml:space="preserve"> Crustacean Bait Trap sampling a) mean (± standard deviation) total biomass of shrimps (</w:t>
      </w:r>
      <w:proofErr w:type="spellStart"/>
      <w:r w:rsidRPr="00121115">
        <w:rPr>
          <w:i/>
          <w:iCs w:val="0"/>
        </w:rPr>
        <w:t>Parataya</w:t>
      </w:r>
      <w:proofErr w:type="spellEnd"/>
      <w:r w:rsidRPr="00121115">
        <w:rPr>
          <w:i/>
          <w:iCs w:val="0"/>
        </w:rPr>
        <w:t xml:space="preserve"> </w:t>
      </w:r>
      <w:proofErr w:type="spellStart"/>
      <w:r w:rsidRPr="00121115">
        <w:rPr>
          <w:i/>
          <w:iCs w:val="0"/>
        </w:rPr>
        <w:t>australiensis</w:t>
      </w:r>
      <w:proofErr w:type="spellEnd"/>
      <w:r w:rsidRPr="007E1F94">
        <w:t>) caught per sample in different months. Orange colour: before spring fresh; light orange: before 2</w:t>
      </w:r>
      <w:r w:rsidRPr="007E1F94">
        <w:rPr>
          <w:vertAlign w:val="superscript"/>
        </w:rPr>
        <w:t>nd</w:t>
      </w:r>
      <w:r w:rsidRPr="007E1F94">
        <w:t xml:space="preserve"> small spring fresh; blue colour: after spring fresh. b) Biomass of all shrimps for all sites in different months. c) mean (± standard deviation) total biomass of prawns (</w:t>
      </w:r>
      <w:proofErr w:type="spellStart"/>
      <w:r w:rsidRPr="00121115">
        <w:rPr>
          <w:i/>
          <w:iCs w:val="0"/>
        </w:rPr>
        <w:t>Macrobrachium</w:t>
      </w:r>
      <w:proofErr w:type="spellEnd"/>
      <w:r w:rsidRPr="00121115">
        <w:rPr>
          <w:i/>
          <w:iCs w:val="0"/>
        </w:rPr>
        <w:t xml:space="preserve"> </w:t>
      </w:r>
      <w:proofErr w:type="spellStart"/>
      <w:r w:rsidRPr="00121115">
        <w:rPr>
          <w:i/>
          <w:iCs w:val="0"/>
        </w:rPr>
        <w:t>australiense</w:t>
      </w:r>
      <w:proofErr w:type="spellEnd"/>
      <w:r w:rsidRPr="007E1F94">
        <w:t>) caught per sample in different months. Orange colour: before spring fresh; light orange: before 2</w:t>
      </w:r>
      <w:r w:rsidRPr="007E1F94">
        <w:rPr>
          <w:vertAlign w:val="superscript"/>
        </w:rPr>
        <w:t>nd</w:t>
      </w:r>
      <w:r w:rsidRPr="007E1F94">
        <w:t xml:space="preserve"> small spring fresh; gold colour: after spring fresh. d) Biomass of all prawns for all sites in different months.</w:t>
      </w:r>
      <w:bookmarkEnd w:id="382"/>
      <w:bookmarkEnd w:id="383"/>
    </w:p>
    <w:p w14:paraId="035CFC13" w14:textId="2FB427EF" w:rsidR="00595941" w:rsidRPr="00BA2632" w:rsidRDefault="00595941" w:rsidP="00595941">
      <w:r w:rsidRPr="00004F63">
        <w:lastRenderedPageBreak/>
        <w:t>Previous work in the LTIM Project has shown that crustaceans are more abundant in some type of complex habitat (</w:t>
      </w:r>
      <w:proofErr w:type="gramStart"/>
      <w:r w:rsidRPr="00004F63">
        <w:t>e.g.</w:t>
      </w:r>
      <w:proofErr w:type="gramEnd"/>
      <w:r w:rsidRPr="00004F63">
        <w:t xml:space="preserve"> macrophytes, snags, CPOM) compared to bare edges. The MER Program targets complex habitat to understand the preference of crustaceans to different types of </w:t>
      </w:r>
      <w:r w:rsidR="009040D4" w:rsidRPr="00004F63">
        <w:t>habitats</w:t>
      </w:r>
      <w:r w:rsidRPr="00004F63">
        <w:t xml:space="preserve">.  Overall, the shrimp showed an increasing trend </w:t>
      </w:r>
      <w:r w:rsidR="005F0DD2">
        <w:t>in</w:t>
      </w:r>
      <w:r w:rsidRPr="00004F63">
        <w:t xml:space="preserve"> abundance as percentage of complex habitat increased, which was driven by an increase in percentage of macrophyte cover rather than percentage of snags (</w:t>
      </w:r>
      <w:r w:rsidR="003B048A">
        <w:t xml:space="preserve">Figure </w:t>
      </w:r>
      <w:r w:rsidR="003B048A">
        <w:rPr>
          <w:noProof/>
        </w:rPr>
        <w:t>6</w:t>
      </w:r>
      <w:r w:rsidR="003B048A">
        <w:rPr>
          <w:noProof/>
        </w:rPr>
        <w:noBreakHyphen/>
        <w:t>8</w:t>
      </w:r>
      <w:r w:rsidR="00004F63" w:rsidRPr="00004F63">
        <w:t>a</w:t>
      </w:r>
      <w:r w:rsidRPr="00004F63">
        <w:t>, b, c). The majority of shrimp were found in bait traps in Kirwans Bridge which was dominated by macrophyte cover.  Across all other sites there was little macrophyte cover. In comparison, prawns did not show an obvious increasing or decreasing trend of abundance as the percentage of complex habitat or percentage of snag cover changed (</w:t>
      </w:r>
      <w:r w:rsidR="003B048A">
        <w:t xml:space="preserve">Figure </w:t>
      </w:r>
      <w:r w:rsidR="003B048A">
        <w:rPr>
          <w:noProof/>
        </w:rPr>
        <w:t>6</w:t>
      </w:r>
      <w:r w:rsidR="003B048A">
        <w:rPr>
          <w:noProof/>
        </w:rPr>
        <w:noBreakHyphen/>
        <w:t>8</w:t>
      </w:r>
      <w:r w:rsidR="00004F63" w:rsidRPr="00004F63">
        <w:t>d</w:t>
      </w:r>
      <w:r w:rsidRPr="00004F63">
        <w:t>, e). Prawn abundance was not plotted against percentage of macrophyte cover as the majority of macrophytes present within the Lower Goulburn is at Kirwans Bridge, where prawns are not found. The lack of a relationship between complex habitat and snags maybe due to the bait trap appearing to be a safe ‘habitat’ to prawns in otherwise open areas.</w:t>
      </w:r>
      <w:r w:rsidRPr="00BA2632">
        <w:t xml:space="preserve"> </w:t>
      </w:r>
    </w:p>
    <w:p w14:paraId="2834EB2A" w14:textId="77777777" w:rsidR="00004F63" w:rsidRDefault="00595941" w:rsidP="00004F63">
      <w:pPr>
        <w:keepNext/>
        <w:jc w:val="center"/>
      </w:pPr>
      <w:r>
        <w:rPr>
          <w:noProof/>
          <w:lang w:val="en-GB"/>
        </w:rPr>
        <w:drawing>
          <wp:inline distT="0" distB="0" distL="0" distR="0" wp14:anchorId="451D06B7" wp14:editId="77DE4A5E">
            <wp:extent cx="5438961" cy="6332220"/>
            <wp:effectExtent l="0" t="0" r="0" b="0"/>
            <wp:docPr id="531" name="Picture 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Diagram&#10;&#10;Description automatically generated"/>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451454" cy="6346765"/>
                    </a:xfrm>
                    <a:prstGeom prst="rect">
                      <a:avLst/>
                    </a:prstGeom>
                    <a:noFill/>
                  </pic:spPr>
                </pic:pic>
              </a:graphicData>
            </a:graphic>
          </wp:inline>
        </w:drawing>
      </w:r>
    </w:p>
    <w:p w14:paraId="213F16EB" w14:textId="145C512C" w:rsidR="00595941" w:rsidRPr="00BA2632" w:rsidRDefault="00004F63" w:rsidP="00004F63">
      <w:pPr>
        <w:pStyle w:val="Caption"/>
      </w:pPr>
      <w:bookmarkStart w:id="384" w:name="_Ref83788764"/>
      <w:bookmarkStart w:id="385" w:name="_Toc83907768"/>
      <w:bookmarkStart w:id="386" w:name="_Toc84475745"/>
      <w:r>
        <w:t xml:space="preserve">Figure </w:t>
      </w:r>
      <w:r w:rsidR="00B85158">
        <w:rPr>
          <w:noProof/>
        </w:rPr>
        <w:t>6</w:t>
      </w:r>
      <w:r w:rsidR="00B85158">
        <w:noBreakHyphen/>
      </w:r>
      <w:r w:rsidR="00B85158">
        <w:rPr>
          <w:noProof/>
        </w:rPr>
        <w:t>8</w:t>
      </w:r>
      <w:bookmarkEnd w:id="384"/>
      <w:r>
        <w:t xml:space="preserve"> </w:t>
      </w:r>
      <w:r w:rsidRPr="002D57AD">
        <w:t xml:space="preserve">Crustacean Bait Trap sampling a) shrimp abundance vs percentage of complex habitat. b) shrimp abundance vs percentage of snag cover. c) shrimp abundance vs percentage of macrophyte cover. d) prawn abundance vs percentage of complex habitat. </w:t>
      </w:r>
      <w:r w:rsidRPr="00004F63">
        <w:t>e) prawn abundance vs percentage of snag cover.</w:t>
      </w:r>
      <w:bookmarkEnd w:id="385"/>
      <w:bookmarkEnd w:id="386"/>
    </w:p>
    <w:p w14:paraId="0649957C" w14:textId="77777777" w:rsidR="00270F50" w:rsidRPr="00BA2632" w:rsidRDefault="00270F50" w:rsidP="00270F50">
      <w:pPr>
        <w:pStyle w:val="Caption"/>
      </w:pPr>
    </w:p>
    <w:p w14:paraId="70EAA105" w14:textId="4745A9C4" w:rsidR="00270F50" w:rsidRPr="00BA2632" w:rsidRDefault="00270F50" w:rsidP="00270F50">
      <w:pPr>
        <w:pStyle w:val="Heading2"/>
      </w:pPr>
      <w:bookmarkStart w:id="387" w:name="_Toc84416101"/>
      <w:bookmarkStart w:id="388" w:name="_Toc84417377"/>
      <w:bookmarkStart w:id="389" w:name="_Toc84475688"/>
      <w:r w:rsidRPr="00BA2632">
        <w:lastRenderedPageBreak/>
        <w:t>Discussion</w:t>
      </w:r>
      <w:bookmarkEnd w:id="387"/>
      <w:bookmarkEnd w:id="388"/>
      <w:bookmarkEnd w:id="389"/>
    </w:p>
    <w:p w14:paraId="0DFD10DB" w14:textId="76B77CEE" w:rsidR="00595941" w:rsidRPr="00326042" w:rsidRDefault="00595941" w:rsidP="00595941">
      <w:r w:rsidRPr="00326042">
        <w:t xml:space="preserve">Overall, the findings from the second year of the MER program </w:t>
      </w:r>
      <w:r>
        <w:t>were</w:t>
      </w:r>
      <w:r w:rsidRPr="00326042">
        <w:t xml:space="preserve"> </w:t>
      </w:r>
      <w:proofErr w:type="gramStart"/>
      <w:r w:rsidRPr="00326042">
        <w:t>similar to</w:t>
      </w:r>
      <w:proofErr w:type="gramEnd"/>
      <w:r w:rsidRPr="00326042">
        <w:t xml:space="preserve"> </w:t>
      </w:r>
      <w:r>
        <w:t xml:space="preserve">those of </w:t>
      </w:r>
      <w:r w:rsidRPr="00326042">
        <w:t>the previous year, suggesting that overall macroinvertebrate abundance and common taxa increase</w:t>
      </w:r>
      <w:r>
        <w:t>d</w:t>
      </w:r>
      <w:r w:rsidRPr="00326042">
        <w:t xml:space="preserve"> after the CEW Spring Fresh event, with the highest abundances occurring in the summer months December-February.  The abundance and biomass of the key crustacean species increase after the CEW Spring Fresh event</w:t>
      </w:r>
      <w:r>
        <w:t>,</w:t>
      </w:r>
      <w:r w:rsidRPr="00326042">
        <w:t xml:space="preserve"> particularly from December through to February.  The results also suggest that key crustaceans are utilising the edge habitats that contain some complex habitat (macrophytes, CPOM and or snags). After two years of sampling, we are still not able to determine how much of the increases are directly related to the flow events and how much is caused by seasonal changes, such as increased temperature. </w:t>
      </w:r>
      <w:r>
        <w:t>This is because spring freshes are being delivered every year in the system.</w:t>
      </w:r>
      <w:r w:rsidRPr="00326042">
        <w:t xml:space="preserve"> However, there has been some evidence that flow events can have small positive impacts on macroinvertebrate fauna, particularly the large</w:t>
      </w:r>
      <w:r>
        <w:t>-</w:t>
      </w:r>
      <w:r w:rsidRPr="00326042">
        <w:t xml:space="preserve">bodied crustaceans </w:t>
      </w:r>
      <w:r w:rsidRPr="00BA2632">
        <w:t>probably through the inundation and maintenance of important habitats</w:t>
      </w:r>
      <w:r>
        <w:t xml:space="preserve"> and increasing organic material</w:t>
      </w:r>
      <w:r w:rsidRPr="00BA2632">
        <w:t>.</w:t>
      </w:r>
      <w:r w:rsidRPr="00326042">
        <w:t xml:space="preserve"> The higher unregulated flows over winter and spring this year may have also increased the abundance and recruitment of some macroinvertebrates and crustaceans, presumably driven by an increase in the organic matter entering the river channel.</w:t>
      </w:r>
    </w:p>
    <w:p w14:paraId="407C5197" w14:textId="77777777" w:rsidR="00595941" w:rsidRPr="00BA2632" w:rsidRDefault="00595941" w:rsidP="00595941">
      <w:bookmarkStart w:id="390" w:name="_Hlk49408558"/>
      <w:r w:rsidRPr="00BA2632">
        <w:t>There is evidence of crustaceans reproducing within the Goulburn River after the CEW Spring Fresh event</w:t>
      </w:r>
      <w:r>
        <w:t>,</w:t>
      </w:r>
      <w:r w:rsidRPr="00BA2632">
        <w:t xml:space="preserve"> with large increases in immature crustaceans (shrimp and prawns) occurring in </w:t>
      </w:r>
      <w:r>
        <w:t xml:space="preserve">December and </w:t>
      </w:r>
      <w:r w:rsidRPr="00BA2632">
        <w:t xml:space="preserve">January.  During these periods of sampling, the flows were higher, allowing crustaceans to access bank vegetation and snag habitats in areas of slower flow that provided a sheltered environment to support immature crustaceans (shrimps, </w:t>
      </w:r>
      <w:proofErr w:type="gramStart"/>
      <w:r w:rsidRPr="00BA2632">
        <w:t>prawns</w:t>
      </w:r>
      <w:proofErr w:type="gramEnd"/>
      <w:r w:rsidRPr="00BA2632">
        <w:t xml:space="preserve"> and yabbies). The increase in macroinvertebrates and crustaceans in December-February is likely to be beneficial to native fish which spawn around November-December, providing an abundant food source for larvae and juveniles.</w:t>
      </w:r>
    </w:p>
    <w:bookmarkEnd w:id="390"/>
    <w:p w14:paraId="7C52D1E3" w14:textId="639B3463" w:rsidR="00595941" w:rsidRDefault="00595941" w:rsidP="00595941">
      <w:pPr>
        <w:rPr>
          <w:rFonts w:cstheme="minorHAnsi"/>
          <w:highlight w:val="yellow"/>
        </w:rPr>
      </w:pPr>
      <w:r w:rsidRPr="00BA2632">
        <w:rPr>
          <w:rFonts w:cstheme="minorHAnsi"/>
        </w:rPr>
        <w:t>Crustacean species have a clear preference for sections of the Goulburn River, with</w:t>
      </w:r>
      <w:r w:rsidRPr="00BA2632">
        <w:rPr>
          <w:rFonts w:cstheme="minorHAnsi"/>
          <w:i/>
          <w:iCs/>
        </w:rPr>
        <w:t xml:space="preserve"> </w:t>
      </w:r>
      <w:r w:rsidRPr="00BA2632">
        <w:rPr>
          <w:rFonts w:cstheme="minorHAnsi"/>
          <w:iCs/>
        </w:rPr>
        <w:t>shrimp</w:t>
      </w:r>
      <w:r w:rsidRPr="00BA2632">
        <w:rPr>
          <w:rFonts w:cstheme="minorHAnsi"/>
        </w:rPr>
        <w:t xml:space="preserve"> more abundant in the upstream reaches and prawns less so. It is still unclear </w:t>
      </w:r>
      <w:r w:rsidRPr="00672894">
        <w:rPr>
          <w:rFonts w:cstheme="minorHAnsi"/>
        </w:rPr>
        <w:t xml:space="preserve">as to why there are different distributions of crustacean species across the lower Goulburn. Previous work has demonstrated that both the shrimps and prawns were more abundant where there was some complex habitat present. This year’s data demonstrates that shrimp abundance increases with increasing macrophyte cover, </w:t>
      </w:r>
      <w:r>
        <w:rPr>
          <w:rFonts w:cstheme="minorHAnsi"/>
        </w:rPr>
        <w:t xml:space="preserve">primarily </w:t>
      </w:r>
      <w:r w:rsidRPr="00672894">
        <w:rPr>
          <w:rFonts w:cstheme="minorHAnsi"/>
        </w:rPr>
        <w:t>at Kirwans Bridge</w:t>
      </w:r>
      <w:r w:rsidR="004B409D">
        <w:rPr>
          <w:rFonts w:cstheme="minorHAnsi"/>
        </w:rPr>
        <w:t>, but not with increasing snag cover</w:t>
      </w:r>
      <w:r w:rsidRPr="00672894">
        <w:rPr>
          <w:rFonts w:cstheme="minorHAnsi"/>
        </w:rPr>
        <w:t xml:space="preserve">. </w:t>
      </w:r>
      <w:r w:rsidR="00CE625B">
        <w:rPr>
          <w:rFonts w:cstheme="minorHAnsi"/>
        </w:rPr>
        <w:t xml:space="preserve">We may hypothesize </w:t>
      </w:r>
      <w:r w:rsidR="004B409D">
        <w:rPr>
          <w:rFonts w:cstheme="minorHAnsi"/>
        </w:rPr>
        <w:t>that snags are used as fish habitat</w:t>
      </w:r>
      <w:r w:rsidR="00CE625B">
        <w:t xml:space="preserve">, </w:t>
      </w:r>
      <w:r w:rsidR="00A74060">
        <w:t xml:space="preserve">and thus there may be </w:t>
      </w:r>
      <w:r w:rsidR="00CE625B">
        <w:t>higher predation pressure</w:t>
      </w:r>
      <w:r w:rsidR="00A74060">
        <w:t>. M</w:t>
      </w:r>
      <w:r w:rsidR="00CE625B">
        <w:t>acrophyte</w:t>
      </w:r>
      <w:r w:rsidR="00A74060">
        <w:t>s may</w:t>
      </w:r>
      <w:r w:rsidR="00CE625B">
        <w:t xml:space="preserve"> offer better cover and perhaps </w:t>
      </w:r>
      <w:r w:rsidR="00A74060">
        <w:t>fewer fish.</w:t>
      </w:r>
      <w:r w:rsidRPr="00672894">
        <w:rPr>
          <w:rFonts w:cstheme="minorHAnsi"/>
        </w:rPr>
        <w:t xml:space="preserve"> The prawns did not have a clear relationship with increasing complex habitat or snag cover. More data are needed to understand the links between these crustacean species, habitat (vegetation/snags) and the food resources associated with each habitat to understand the drivers of abundance and biomass. It is still hypothesised that the link between habitat (vegetation), flow and crustaceans</w:t>
      </w:r>
      <w:r w:rsidRPr="00BA2632">
        <w:rPr>
          <w:rFonts w:cstheme="minorHAnsi"/>
        </w:rPr>
        <w:t xml:space="preserve"> is important for maintaining these populations</w:t>
      </w:r>
      <w:r>
        <w:rPr>
          <w:rFonts w:cstheme="minorHAnsi"/>
        </w:rPr>
        <w:t>, and this question is being partly addressed in the integrated research project (Section</w:t>
      </w:r>
      <w:r w:rsidR="003B048A">
        <w:rPr>
          <w:rFonts w:cstheme="minorHAnsi"/>
        </w:rPr>
        <w:t xml:space="preserve"> 12</w:t>
      </w:r>
      <w:r>
        <w:rPr>
          <w:rFonts w:cstheme="minorHAnsi"/>
        </w:rPr>
        <w:t>)</w:t>
      </w:r>
      <w:r w:rsidRPr="00BA2632">
        <w:rPr>
          <w:rFonts w:cstheme="minorHAnsi"/>
        </w:rPr>
        <w:t>.</w:t>
      </w:r>
    </w:p>
    <w:p w14:paraId="104AEEF9" w14:textId="7840B1B7" w:rsidR="00595941" w:rsidRDefault="00595941" w:rsidP="00595941">
      <w:r>
        <w:t xml:space="preserve">Given that </w:t>
      </w:r>
      <w:r w:rsidRPr="00BA2632">
        <w:t xml:space="preserve">it is still unclear what proportion </w:t>
      </w:r>
      <w:r>
        <w:t xml:space="preserve">of macroinvertebrate abundance and biomass increase </w:t>
      </w:r>
      <w:r w:rsidRPr="00BA2632">
        <w:t>is driven by flows and what proportion is driven by seasonal changes</w:t>
      </w:r>
      <w:r>
        <w:t>, i</w:t>
      </w:r>
      <w:r w:rsidRPr="00BA2632">
        <w:t>t is also unknown what combination of freshes and low flows are required to maximise production of these groups in the river.</w:t>
      </w:r>
      <w:r>
        <w:t xml:space="preserve"> </w:t>
      </w:r>
      <w:proofErr w:type="gramStart"/>
      <w:r>
        <w:t xml:space="preserve">Continuing the monitoring </w:t>
      </w:r>
      <w:r w:rsidRPr="00BA2632">
        <w:t>of macroinvertebrates and crustaceans over the duration of the MER Program, it</w:t>
      </w:r>
      <w:proofErr w:type="gramEnd"/>
      <w:r w:rsidRPr="00BA2632">
        <w:t xml:space="preserve"> </w:t>
      </w:r>
      <w:r>
        <w:t xml:space="preserve">is </w:t>
      </w:r>
      <w:r w:rsidRPr="00BA2632">
        <w:t xml:space="preserve">expected that there will be a greater understanding of the types of flows that are needed to maximise macroinvertebrates. </w:t>
      </w:r>
    </w:p>
    <w:p w14:paraId="3AE4C110" w14:textId="77777777" w:rsidR="00433FE6" w:rsidRPr="00BA2632" w:rsidRDefault="00433FE6">
      <w:pPr>
        <w:rPr>
          <w:rFonts w:ascii="Georgia" w:eastAsia="SimHei" w:hAnsi="Georgia" w:cs="Times New Roman"/>
          <w:b/>
          <w:color w:val="094183"/>
          <w:sz w:val="32"/>
          <w:szCs w:val="32"/>
          <w:lang w:eastAsia="en-US"/>
        </w:rPr>
      </w:pPr>
      <w:r w:rsidRPr="00BA2632">
        <w:br w:type="page"/>
      </w:r>
    </w:p>
    <w:p w14:paraId="06A655C0" w14:textId="374C6D0F" w:rsidR="00D21E9C" w:rsidRPr="00BA2632" w:rsidRDefault="00D21E9C" w:rsidP="00D21E9C">
      <w:pPr>
        <w:pStyle w:val="Heading1"/>
      </w:pPr>
      <w:bookmarkStart w:id="391" w:name="_Toc84335017"/>
      <w:bookmarkStart w:id="392" w:name="_Toc84416102"/>
      <w:bookmarkStart w:id="393" w:name="_Toc84417378"/>
      <w:bookmarkStart w:id="394" w:name="_Toc84475689"/>
      <w:r w:rsidRPr="00BA2632">
        <w:lastRenderedPageBreak/>
        <w:t>Vegetation</w:t>
      </w:r>
      <w:bookmarkEnd w:id="391"/>
      <w:bookmarkEnd w:id="392"/>
      <w:bookmarkEnd w:id="393"/>
      <w:bookmarkEnd w:id="394"/>
    </w:p>
    <w:p w14:paraId="36346996" w14:textId="2F8B8278" w:rsidR="00D21E9C" w:rsidRDefault="00D21E9C" w:rsidP="00D21E9C">
      <w:pPr>
        <w:pStyle w:val="Heading2"/>
      </w:pPr>
      <w:bookmarkStart w:id="395" w:name="_Toc84335018"/>
      <w:bookmarkStart w:id="396" w:name="_Toc84416103"/>
      <w:bookmarkStart w:id="397" w:name="_Toc84417379"/>
      <w:bookmarkStart w:id="398" w:name="_Toc84475690"/>
      <w:r w:rsidRPr="00BA2632">
        <w:t>Introduction</w:t>
      </w:r>
      <w:bookmarkEnd w:id="395"/>
      <w:bookmarkEnd w:id="396"/>
      <w:bookmarkEnd w:id="397"/>
      <w:bookmarkEnd w:id="398"/>
    </w:p>
    <w:p w14:paraId="13C37A3C" w14:textId="77777777" w:rsidR="00D21E9C" w:rsidRPr="00BA2632" w:rsidRDefault="00D21E9C" w:rsidP="00D21E9C">
      <w:pPr>
        <w:rPr>
          <w:rFonts w:ascii="Calibri" w:eastAsia="Calibri" w:hAnsi="Calibri" w:cs="Calibri"/>
          <w:szCs w:val="20"/>
        </w:rPr>
      </w:pPr>
      <w:r w:rsidRPr="00BA2632">
        <w:t xml:space="preserve">Riparian and aquatic vegetation </w:t>
      </w:r>
      <w:r>
        <w:t>communities hold intrinsic value and underpin</w:t>
      </w:r>
      <w:r w:rsidRPr="00BA2632">
        <w:t xml:space="preserve"> aquatic systems by: (1) supplying energy to support food webs, (2) providing habitat and dispersal corridors for fauna, (3) reducing erosion and (4) enhancing water quality. In the Goulburn River, </w:t>
      </w:r>
      <w:r>
        <w:rPr>
          <w:rFonts w:ascii="Calibri" w:eastAsia="Calibri" w:hAnsi="Calibri" w:cs="Calibri"/>
          <w:szCs w:val="20"/>
        </w:rPr>
        <w:t>several</w:t>
      </w:r>
      <w:r w:rsidRPr="7FE19553">
        <w:rPr>
          <w:rFonts w:ascii="Calibri" w:eastAsia="Calibri" w:hAnsi="Calibri" w:cs="Calibri"/>
          <w:szCs w:val="20"/>
        </w:rPr>
        <w:t xml:space="preserve"> factors have contributed to reducing the quantity, </w:t>
      </w:r>
      <w:proofErr w:type="gramStart"/>
      <w:r w:rsidRPr="7FE19553">
        <w:rPr>
          <w:rFonts w:ascii="Calibri" w:eastAsia="Calibri" w:hAnsi="Calibri" w:cs="Calibri"/>
          <w:szCs w:val="20"/>
        </w:rPr>
        <w:t>quality</w:t>
      </w:r>
      <w:proofErr w:type="gramEnd"/>
      <w:r w:rsidRPr="7FE19553">
        <w:rPr>
          <w:rFonts w:ascii="Calibri" w:eastAsia="Calibri" w:hAnsi="Calibri" w:cs="Calibri"/>
          <w:szCs w:val="20"/>
        </w:rPr>
        <w:t xml:space="preserve"> and diversity of riparian vegetation over the last 20 years. Th</w:t>
      </w:r>
      <w:r>
        <w:rPr>
          <w:rFonts w:ascii="Calibri" w:eastAsia="Calibri" w:hAnsi="Calibri" w:cs="Calibri"/>
          <w:szCs w:val="20"/>
        </w:rPr>
        <w:t>ese</w:t>
      </w:r>
      <w:r w:rsidRPr="7FE19553">
        <w:rPr>
          <w:rFonts w:ascii="Calibri" w:eastAsia="Calibri" w:hAnsi="Calibri" w:cs="Calibri"/>
          <w:szCs w:val="20"/>
        </w:rPr>
        <w:t xml:space="preserve"> </w:t>
      </w:r>
      <w:proofErr w:type="gramStart"/>
      <w:r w:rsidRPr="7FE19553">
        <w:rPr>
          <w:rFonts w:ascii="Calibri" w:eastAsia="Calibri" w:hAnsi="Calibri" w:cs="Calibri"/>
          <w:szCs w:val="20"/>
        </w:rPr>
        <w:t>include</w:t>
      </w:r>
      <w:r>
        <w:rPr>
          <w:rFonts w:ascii="Calibri" w:eastAsia="Calibri" w:hAnsi="Calibri" w:cs="Calibri"/>
          <w:szCs w:val="20"/>
        </w:rPr>
        <w:t>,</w:t>
      </w:r>
      <w:proofErr w:type="gramEnd"/>
      <w:r w:rsidRPr="7FE19553">
        <w:rPr>
          <w:rFonts w:ascii="Calibri" w:eastAsia="Calibri" w:hAnsi="Calibri" w:cs="Calibri"/>
          <w:szCs w:val="20"/>
        </w:rPr>
        <w:t xml:space="preserve"> the Millennium </w:t>
      </w:r>
      <w:r w:rsidRPr="00BA2632">
        <w:t xml:space="preserve">drought </w:t>
      </w:r>
      <w:r w:rsidRPr="7FE19553">
        <w:rPr>
          <w:rFonts w:ascii="Calibri" w:eastAsia="Calibri" w:hAnsi="Calibri" w:cs="Calibri"/>
          <w:szCs w:val="20"/>
        </w:rPr>
        <w:t xml:space="preserve">which was followed by large floods and more recently increased Intervalley Transfers (IVTs) to meet </w:t>
      </w:r>
      <w:r>
        <w:rPr>
          <w:rFonts w:ascii="Calibri" w:eastAsia="Calibri" w:hAnsi="Calibri" w:cs="Calibri"/>
          <w:szCs w:val="20"/>
        </w:rPr>
        <w:t>irrigation</w:t>
      </w:r>
      <w:r w:rsidRPr="7FE19553">
        <w:rPr>
          <w:rFonts w:ascii="Calibri" w:eastAsia="Calibri" w:hAnsi="Calibri" w:cs="Calibri"/>
          <w:szCs w:val="20"/>
        </w:rPr>
        <w:t xml:space="preserve"> demand.    </w:t>
      </w:r>
    </w:p>
    <w:p w14:paraId="4D350200" w14:textId="77777777" w:rsidR="00D21E9C" w:rsidRPr="00BA2632" w:rsidRDefault="00D21E9C" w:rsidP="00D21E9C">
      <w:r w:rsidRPr="00BA2632">
        <w:t xml:space="preserve">Minimum summer and winter low flows and periodic freshes are recommended to help rehabilitate and maintain </w:t>
      </w:r>
      <w:r>
        <w:t xml:space="preserve">riparian </w:t>
      </w:r>
      <w:r w:rsidRPr="00BA2632">
        <w:t xml:space="preserve">vegetation along the lower Goulburn River. The recommended flow components shape </w:t>
      </w:r>
      <w:r>
        <w:t xml:space="preserve">riparian and </w:t>
      </w:r>
      <w:r w:rsidRPr="00BA2632">
        <w:t xml:space="preserve">aquatic plant assemblages by influencing (1) inundation patterns in different elevation zones on the bank and hence which plants are promoted in each zone; (2) the abundance and diversity of plant propagules dispersing in water; and (3) where those propagules are deposited and germinate. </w:t>
      </w:r>
    </w:p>
    <w:p w14:paraId="059A884E" w14:textId="0EE525F9" w:rsidR="00D21E9C" w:rsidRPr="00337790" w:rsidRDefault="00D21E9C" w:rsidP="00D21E9C">
      <w:r w:rsidRPr="00BA2632">
        <w:t xml:space="preserve">Vegetation diversity was monitored at four sites in the lower Goulburn River as part of the Victorian Environmental Flows Monitoring and Assessment Program </w:t>
      </w:r>
      <w:r w:rsidR="00AC34E7">
        <w:rPr>
          <w:noProof/>
        </w:rPr>
        <w:t>(VEFMAP; Miller et al. 2015)</w:t>
      </w:r>
      <w:r w:rsidRPr="00BA2632">
        <w:t xml:space="preserve"> and the Commonwealth Short Term Monitoring Projects </w:t>
      </w:r>
      <w:r w:rsidR="00AC34E7">
        <w:rPr>
          <w:noProof/>
        </w:rPr>
        <w:t>(STIM; Stewardson et al. 2014, Webb et al. 2015)</w:t>
      </w:r>
      <w:r w:rsidRPr="00BA2632">
        <w:t xml:space="preserve">. Vegetation diversity monitoring in the LTIM Project </w:t>
      </w:r>
      <w:r w:rsidRPr="7FE19553">
        <w:rPr>
          <w:rFonts w:ascii="Calibri" w:eastAsia="Calibri" w:hAnsi="Calibri" w:cs="Calibri"/>
          <w:szCs w:val="20"/>
        </w:rPr>
        <w:t xml:space="preserve">(2014/15-2018/19) </w:t>
      </w:r>
      <w:r w:rsidRPr="00BA2632">
        <w:t>and</w:t>
      </w:r>
      <w:r>
        <w:t xml:space="preserve"> </w:t>
      </w:r>
      <w:r w:rsidRPr="00BA2632">
        <w:t>MER Program</w:t>
      </w:r>
      <w:r w:rsidRPr="7FE19553">
        <w:rPr>
          <w:rFonts w:ascii="Calibri" w:eastAsia="Calibri" w:hAnsi="Calibri" w:cs="Calibri"/>
          <w:szCs w:val="20"/>
        </w:rPr>
        <w:t xml:space="preserve"> </w:t>
      </w:r>
      <w:r>
        <w:t xml:space="preserve">(2019/20-2021/22) </w:t>
      </w:r>
      <w:r w:rsidRPr="7FE19553">
        <w:rPr>
          <w:rFonts w:ascii="Calibri" w:eastAsia="Calibri" w:hAnsi="Calibri" w:cs="Calibri"/>
          <w:szCs w:val="20"/>
        </w:rPr>
        <w:t>and</w:t>
      </w:r>
      <w:r w:rsidRPr="00BA2632">
        <w:t xml:space="preserve"> at two sites (Loch Garry and McCoy’s Bridge) in the lower Goulburn River is extending those data sets and allowing the effect of different flow components to be assessed </w:t>
      </w:r>
      <w:r>
        <w:t>under a broader range of (</w:t>
      </w:r>
      <w:proofErr w:type="spellStart"/>
      <w:r>
        <w:t>i</w:t>
      </w:r>
      <w:proofErr w:type="spellEnd"/>
      <w:r>
        <w:t xml:space="preserve">) climatic conditions, (ii) unregulated flows and (iii) Intervalley Transfers (IVTs) to meet irrigation demand. </w:t>
      </w:r>
      <w:r w:rsidRPr="00BA2632">
        <w:t>The results are being used to identify what flows are needed to maintain or rehabilitate riparian vegetation in the lower Goulburn River depending on its current condition and state of recovery. They can also be used to broadly inform appropriate water management in other systems recovering from extreme events.</w:t>
      </w:r>
    </w:p>
    <w:p w14:paraId="146BC4B2" w14:textId="2DE425A2" w:rsidR="00D21E9C" w:rsidRDefault="00D21E9C" w:rsidP="00D21E9C">
      <w:pPr>
        <w:pStyle w:val="Heading2"/>
      </w:pPr>
      <w:bookmarkStart w:id="399" w:name="_Toc84335019"/>
      <w:bookmarkStart w:id="400" w:name="_Toc84416104"/>
      <w:bookmarkStart w:id="401" w:name="_Toc84417380"/>
      <w:bookmarkStart w:id="402" w:name="_Toc84475691"/>
      <w:r w:rsidRPr="00BA2632">
        <w:t>Area specific evaluation questions</w:t>
      </w:r>
      <w:bookmarkEnd w:id="399"/>
      <w:bookmarkEnd w:id="400"/>
      <w:bookmarkEnd w:id="401"/>
      <w:bookmarkEnd w:id="402"/>
    </w:p>
    <w:p w14:paraId="0565A886" w14:textId="77777777" w:rsidR="00D21E9C" w:rsidRPr="00BA2632" w:rsidRDefault="00D21E9C" w:rsidP="00D21E9C">
      <w:r w:rsidRPr="00BA2632">
        <w:t>To determine the contribution of Commonwealth environmental water in selected areas, and to improve understanding of the relationship between specific watering actions and ecological objectives for assets, the following questions are being addressed</w:t>
      </w:r>
      <w:r>
        <w:t xml:space="preserve"> in the Goulburn selected area</w:t>
      </w:r>
      <w:r w:rsidRPr="00BA2632">
        <w:t xml:space="preserve">. This information also </w:t>
      </w:r>
      <w:r>
        <w:t>contributes to broader</w:t>
      </w:r>
      <w:r w:rsidRPr="00BA2632">
        <w:t xml:space="preserve"> Basin-scale evaluation – where area-level results are </w:t>
      </w:r>
      <w:r>
        <w:t>pooled to enable evaluation at a larger spatial scale</w:t>
      </w:r>
      <w:r w:rsidRPr="00BA2632">
        <w:t>.</w:t>
      </w:r>
    </w:p>
    <w:p w14:paraId="27FED793" w14:textId="51FBDE63" w:rsidR="00D21E9C" w:rsidRPr="00BA2632" w:rsidRDefault="00D21E9C" w:rsidP="00D21E9C">
      <w:r w:rsidRPr="00BA2632">
        <w:t>The key area-scale evaluation questions and relevant indicators for vegetation are listed in</w:t>
      </w:r>
      <w:r>
        <w:t xml:space="preserve"> </w:t>
      </w:r>
      <w:r w:rsidR="003B048A" w:rsidRPr="00BA2632">
        <w:t xml:space="preserve">Table </w:t>
      </w:r>
      <w:r w:rsidR="003B048A">
        <w:rPr>
          <w:noProof/>
        </w:rPr>
        <w:t>7</w:t>
      </w:r>
      <w:r w:rsidR="003B048A">
        <w:noBreakHyphen/>
      </w:r>
      <w:r w:rsidR="003B048A">
        <w:rPr>
          <w:noProof/>
        </w:rPr>
        <w:t>1</w:t>
      </w:r>
      <w:r w:rsidRPr="00BA2632">
        <w:t>.</w:t>
      </w:r>
    </w:p>
    <w:p w14:paraId="76A0F366" w14:textId="266A5929" w:rsidR="00D21E9C" w:rsidRPr="00BA2632" w:rsidRDefault="00D21E9C" w:rsidP="00D21E9C">
      <w:pPr>
        <w:pStyle w:val="Caption"/>
      </w:pPr>
      <w:bookmarkStart w:id="403" w:name="_Ref84409685"/>
      <w:bookmarkStart w:id="404" w:name="_Toc95391485"/>
      <w:r w:rsidRPr="00BA2632">
        <w:t xml:space="preserve">Table </w:t>
      </w:r>
      <w:r w:rsidR="000B75AF">
        <w:rPr>
          <w:noProof/>
        </w:rPr>
        <w:t>7</w:t>
      </w:r>
      <w:r w:rsidR="000B75AF">
        <w:noBreakHyphen/>
      </w:r>
      <w:r w:rsidR="000B75AF">
        <w:rPr>
          <w:noProof/>
        </w:rPr>
        <w:t>1</w:t>
      </w:r>
      <w:bookmarkEnd w:id="403"/>
      <w:r w:rsidRPr="00BA2632">
        <w:t xml:space="preserve"> Vegetation key evaluation questions for the Goulburn selected area and associated indicators and evaluation approaches.</w:t>
      </w:r>
      <w:bookmarkEnd w:id="404"/>
    </w:p>
    <w:tbl>
      <w:tblPr>
        <w:tblStyle w:val="LightList-Accent11"/>
        <w:tblpPr w:leftFromText="180" w:rightFromText="180" w:vertAnchor="text" w:horzAnchor="margin" w:tblpXSpec="center" w:tblpY="11"/>
        <w:tblW w:w="10060" w:type="dxa"/>
        <w:tblLook w:val="04A0" w:firstRow="1" w:lastRow="0" w:firstColumn="1" w:lastColumn="0" w:noHBand="0" w:noVBand="1"/>
      </w:tblPr>
      <w:tblGrid>
        <w:gridCol w:w="3676"/>
        <w:gridCol w:w="3402"/>
        <w:gridCol w:w="2982"/>
      </w:tblGrid>
      <w:tr w:rsidR="00D21E9C" w:rsidRPr="00BA2632" w14:paraId="27DBE9C6" w14:textId="77777777" w:rsidTr="00D21E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tcPr>
          <w:p w14:paraId="17A67775" w14:textId="77777777" w:rsidR="00D21E9C" w:rsidRPr="00BA2632" w:rsidRDefault="00D21E9C" w:rsidP="00D21E9C">
            <w:pPr>
              <w:jc w:val="left"/>
              <w:rPr>
                <w:rFonts w:cstheme="minorHAnsi"/>
                <w:b w:val="0"/>
                <w:sz w:val="18"/>
                <w:szCs w:val="18"/>
              </w:rPr>
            </w:pPr>
            <w:r w:rsidRPr="00BA2632">
              <w:rPr>
                <w:rFonts w:cstheme="minorHAnsi"/>
                <w:sz w:val="18"/>
                <w:szCs w:val="18"/>
              </w:rPr>
              <w:t>Key Evaluation Questions</w:t>
            </w:r>
          </w:p>
        </w:tc>
        <w:tc>
          <w:tcPr>
            <w:tcW w:w="3402" w:type="dxa"/>
          </w:tcPr>
          <w:p w14:paraId="68419074" w14:textId="77777777" w:rsidR="00D21E9C" w:rsidRPr="00BA2632" w:rsidRDefault="00D21E9C" w:rsidP="00D21E9C">
            <w:pPr>
              <w:jc w:val="left"/>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BA2632">
              <w:rPr>
                <w:rFonts w:cstheme="minorHAnsi"/>
                <w:sz w:val="18"/>
                <w:szCs w:val="18"/>
              </w:rPr>
              <w:t>Indicator</w:t>
            </w:r>
          </w:p>
        </w:tc>
        <w:tc>
          <w:tcPr>
            <w:tcW w:w="2982" w:type="dxa"/>
          </w:tcPr>
          <w:p w14:paraId="364FA0E3" w14:textId="77777777" w:rsidR="00D21E9C" w:rsidRPr="00BA2632" w:rsidRDefault="00D21E9C" w:rsidP="00D21E9C">
            <w:pPr>
              <w:jc w:val="left"/>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BA2632">
              <w:rPr>
                <w:rFonts w:cstheme="minorHAnsi"/>
                <w:sz w:val="18"/>
                <w:szCs w:val="18"/>
              </w:rPr>
              <w:t>Evaluation Approaches</w:t>
            </w:r>
          </w:p>
        </w:tc>
      </w:tr>
      <w:tr w:rsidR="00D21E9C" w:rsidRPr="00BA2632" w14:paraId="47237813" w14:textId="77777777" w:rsidTr="00D21E9C">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0060" w:type="dxa"/>
            <w:gridSpan w:val="3"/>
            <w:vAlign w:val="center"/>
          </w:tcPr>
          <w:p w14:paraId="3AA42B72" w14:textId="77777777" w:rsidR="00D21E9C" w:rsidRPr="00BA2632" w:rsidRDefault="00D21E9C" w:rsidP="00D21E9C">
            <w:pPr>
              <w:pStyle w:val="Tablebullet"/>
              <w:ind w:left="283"/>
              <w:jc w:val="center"/>
              <w:rPr>
                <w:rFonts w:cstheme="minorHAnsi"/>
                <w:sz w:val="18"/>
                <w:szCs w:val="18"/>
              </w:rPr>
            </w:pPr>
            <w:r w:rsidRPr="00BA2632">
              <w:rPr>
                <w:rFonts w:cstheme="minorHAnsi"/>
                <w:sz w:val="18"/>
                <w:szCs w:val="18"/>
              </w:rPr>
              <w:t>Area Scale evaluation questions</w:t>
            </w:r>
          </w:p>
        </w:tc>
      </w:tr>
      <w:tr w:rsidR="00D21E9C" w:rsidRPr="00BA2632" w14:paraId="56676064" w14:textId="77777777" w:rsidTr="00D21E9C">
        <w:trPr>
          <w:trHeight w:val="702"/>
        </w:trPr>
        <w:tc>
          <w:tcPr>
            <w:cnfStyle w:val="001000000000" w:firstRow="0" w:lastRow="0" w:firstColumn="1" w:lastColumn="0" w:oddVBand="0" w:evenVBand="0" w:oddHBand="0" w:evenHBand="0" w:firstRowFirstColumn="0" w:firstRowLastColumn="0" w:lastRowFirstColumn="0" w:lastRowLastColumn="0"/>
            <w:tcW w:w="3676" w:type="dxa"/>
          </w:tcPr>
          <w:p w14:paraId="36C24B91" w14:textId="77777777" w:rsidR="00D21E9C" w:rsidRPr="00BA2632" w:rsidRDefault="00D21E9C" w:rsidP="00D21E9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 xml:space="preserve">Does the CEW contribution to </w:t>
            </w:r>
            <w:r>
              <w:rPr>
                <w:rStyle w:val="Strong"/>
                <w:rFonts w:ascii="Calibri" w:hAnsi="Calibri" w:cstheme="minorHAnsi"/>
                <w:sz w:val="18"/>
                <w:szCs w:val="18"/>
              </w:rPr>
              <w:t>Spring Fresh</w:t>
            </w:r>
            <w:r w:rsidRPr="00BA2632">
              <w:rPr>
                <w:rStyle w:val="Strong"/>
                <w:rFonts w:ascii="Calibri" w:hAnsi="Calibri" w:cstheme="minorHAnsi"/>
                <w:sz w:val="18"/>
                <w:szCs w:val="18"/>
              </w:rPr>
              <w:t>es increase the abundance of riparian vegetation on the bank face?</w:t>
            </w:r>
          </w:p>
        </w:tc>
        <w:tc>
          <w:tcPr>
            <w:tcW w:w="3402" w:type="dxa"/>
          </w:tcPr>
          <w:p w14:paraId="56D9CB46" w14:textId="77777777" w:rsidR="00D21E9C" w:rsidRPr="00BA2632" w:rsidRDefault="00D21E9C" w:rsidP="00D21E9C">
            <w:pPr>
              <w:pStyle w:val="Tablebullet"/>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 xml:space="preserve">Cover of all ground layer vegetation </w:t>
            </w:r>
          </w:p>
          <w:p w14:paraId="7C580ED9" w14:textId="77777777" w:rsidR="00D21E9C" w:rsidRPr="00BA2632" w:rsidRDefault="00D21E9C" w:rsidP="00D21E9C">
            <w:pPr>
              <w:pStyle w:val="Tablebullet"/>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Cover of focal plant groups</w:t>
            </w:r>
          </w:p>
          <w:p w14:paraId="593E938A" w14:textId="77777777" w:rsidR="00D21E9C" w:rsidRPr="00BA2632" w:rsidRDefault="00D21E9C" w:rsidP="00D21E9C">
            <w:pPr>
              <w:pStyle w:val="Tablebullet"/>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Cover of focal taxa</w:t>
            </w:r>
          </w:p>
        </w:tc>
        <w:tc>
          <w:tcPr>
            <w:tcW w:w="2982" w:type="dxa"/>
          </w:tcPr>
          <w:p w14:paraId="50AF06F3" w14:textId="77777777" w:rsidR="00D21E9C" w:rsidRPr="00BA2632" w:rsidRDefault="00D21E9C" w:rsidP="00D21E9C">
            <w:pPr>
              <w:pStyle w:val="Tablebullet"/>
              <w:numPr>
                <w:ilvl w:val="0"/>
                <w:numId w:val="16"/>
              </w:numPr>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 xml:space="preserve">Visual comparison of pre and post </w:t>
            </w:r>
            <w:r>
              <w:rPr>
                <w:rFonts w:cstheme="minorHAnsi"/>
                <w:sz w:val="18"/>
                <w:szCs w:val="18"/>
              </w:rPr>
              <w:t>Spring Fresh data summary plots for vegetation</w:t>
            </w:r>
            <w:r w:rsidRPr="00BA2632">
              <w:rPr>
                <w:rFonts w:cstheme="minorHAnsi"/>
                <w:sz w:val="18"/>
                <w:szCs w:val="18"/>
              </w:rPr>
              <w:t xml:space="preserve"> cover</w:t>
            </w:r>
          </w:p>
          <w:p w14:paraId="65AA6EBE" w14:textId="77777777" w:rsidR="00D21E9C" w:rsidRPr="00BA2632" w:rsidRDefault="00D21E9C" w:rsidP="00D21E9C">
            <w:pPr>
              <w:pStyle w:val="Tablebullet"/>
              <w:numPr>
                <w:ilvl w:val="0"/>
                <w:numId w:val="16"/>
              </w:numPr>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 xml:space="preserve">Visual comparison of </w:t>
            </w:r>
            <w:r>
              <w:rPr>
                <w:rFonts w:cstheme="minorHAnsi"/>
                <w:sz w:val="18"/>
                <w:szCs w:val="18"/>
              </w:rPr>
              <w:t xml:space="preserve">data summary plots for </w:t>
            </w:r>
            <w:r w:rsidRPr="00BA2632">
              <w:rPr>
                <w:rFonts w:cstheme="minorHAnsi"/>
                <w:sz w:val="18"/>
                <w:szCs w:val="18"/>
              </w:rPr>
              <w:t xml:space="preserve">the cover of focal taxa and plant groups across bank zones </w:t>
            </w:r>
          </w:p>
        </w:tc>
      </w:tr>
      <w:tr w:rsidR="00D21E9C" w:rsidRPr="00BA2632" w14:paraId="75616653" w14:textId="77777777" w:rsidTr="00D21E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tcPr>
          <w:p w14:paraId="56E9AF59" w14:textId="77777777" w:rsidR="00D21E9C" w:rsidRPr="00BA2632" w:rsidRDefault="00D21E9C" w:rsidP="00D21E9C">
            <w:pPr>
              <w:pStyle w:val="Tablesmalltext"/>
              <w:jc w:val="left"/>
              <w:rPr>
                <w:rStyle w:val="Strong"/>
                <w:rFonts w:ascii="Calibri" w:hAnsi="Calibri" w:cstheme="minorHAnsi"/>
                <w:bCs/>
                <w:sz w:val="18"/>
                <w:szCs w:val="18"/>
              </w:rPr>
            </w:pPr>
            <w:r w:rsidRPr="00BA2632">
              <w:rPr>
                <w:rStyle w:val="Strong"/>
                <w:rFonts w:ascii="Calibri" w:hAnsi="Calibri" w:cstheme="minorHAnsi"/>
                <w:bCs/>
                <w:sz w:val="18"/>
                <w:szCs w:val="18"/>
              </w:rPr>
              <w:t xml:space="preserve">Do flows shift the distribution of riparian vegetation communities on the bank face </w:t>
            </w:r>
          </w:p>
        </w:tc>
        <w:tc>
          <w:tcPr>
            <w:tcW w:w="3402" w:type="dxa"/>
          </w:tcPr>
          <w:p w14:paraId="5DF8CD0F" w14:textId="77777777" w:rsidR="00D21E9C" w:rsidRPr="00BA2632" w:rsidRDefault="00D21E9C" w:rsidP="00D21E9C">
            <w:pPr>
              <w:pStyle w:val="Tablebullet"/>
              <w:numPr>
                <w:ilvl w:val="0"/>
                <w:numId w:val="16"/>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 xml:space="preserve">Cover of all ground layer vegetation </w:t>
            </w:r>
          </w:p>
          <w:p w14:paraId="2CDFAF96" w14:textId="77777777" w:rsidR="00D21E9C" w:rsidRPr="00BA2632" w:rsidRDefault="00D21E9C" w:rsidP="00D21E9C">
            <w:pPr>
              <w:pStyle w:val="Tablebullet"/>
              <w:numPr>
                <w:ilvl w:val="0"/>
                <w:numId w:val="16"/>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Cover of focal plant groups</w:t>
            </w:r>
          </w:p>
          <w:p w14:paraId="1C5FDFFE" w14:textId="77777777" w:rsidR="00D21E9C" w:rsidRPr="00BA2632" w:rsidRDefault="00D21E9C" w:rsidP="00D21E9C">
            <w:pPr>
              <w:pStyle w:val="Tablebullet"/>
              <w:numPr>
                <w:ilvl w:val="0"/>
                <w:numId w:val="16"/>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Cover of focal taxa</w:t>
            </w:r>
          </w:p>
        </w:tc>
        <w:tc>
          <w:tcPr>
            <w:tcW w:w="2982" w:type="dxa"/>
          </w:tcPr>
          <w:p w14:paraId="2520C63A" w14:textId="77777777" w:rsidR="00D21E9C" w:rsidRPr="00BA2632" w:rsidRDefault="00D21E9C" w:rsidP="00D21E9C">
            <w:pPr>
              <w:pStyle w:val="Tablebullet"/>
              <w:numPr>
                <w:ilvl w:val="0"/>
                <w:numId w:val="16"/>
              </w:numPr>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 xml:space="preserve">Visual comparison of </w:t>
            </w:r>
            <w:r>
              <w:rPr>
                <w:rFonts w:cstheme="minorHAnsi"/>
                <w:sz w:val="18"/>
                <w:szCs w:val="18"/>
              </w:rPr>
              <w:t xml:space="preserve">data summary plots for </w:t>
            </w:r>
            <w:r w:rsidRPr="00BA2632">
              <w:rPr>
                <w:rFonts w:cstheme="minorHAnsi"/>
                <w:sz w:val="18"/>
                <w:szCs w:val="18"/>
              </w:rPr>
              <w:t>the cover of focal taxa and plant groups across bank zones</w:t>
            </w:r>
          </w:p>
        </w:tc>
      </w:tr>
      <w:tr w:rsidR="00D21E9C" w:rsidRPr="00BA2632" w14:paraId="22C9AF6F" w14:textId="77777777" w:rsidTr="00D21E9C">
        <w:tc>
          <w:tcPr>
            <w:cnfStyle w:val="001000000000" w:firstRow="0" w:lastRow="0" w:firstColumn="1" w:lastColumn="0" w:oddVBand="0" w:evenVBand="0" w:oddHBand="0" w:evenHBand="0" w:firstRowFirstColumn="0" w:firstRowLastColumn="0" w:lastRowFirstColumn="0" w:lastRowLastColumn="0"/>
            <w:tcW w:w="3676" w:type="dxa"/>
          </w:tcPr>
          <w:p w14:paraId="349F7464" w14:textId="77777777" w:rsidR="00D21E9C" w:rsidRPr="00BA2632" w:rsidRDefault="00D21E9C" w:rsidP="00D21E9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What influence do hydraulic variables have on the abundance of riparian vegetation communities?</w:t>
            </w:r>
          </w:p>
        </w:tc>
        <w:tc>
          <w:tcPr>
            <w:tcW w:w="3402" w:type="dxa"/>
          </w:tcPr>
          <w:p w14:paraId="6440EC14" w14:textId="77777777" w:rsidR="00D21E9C" w:rsidRPr="00BA2632" w:rsidRDefault="00D21E9C" w:rsidP="00D21E9C">
            <w:pPr>
              <w:pStyle w:val="Tablebullet"/>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 xml:space="preserve">Cover of all ground layer vegetation </w:t>
            </w:r>
          </w:p>
          <w:p w14:paraId="29ADAD9C" w14:textId="77777777" w:rsidR="00D21E9C" w:rsidRPr="00BA2632" w:rsidRDefault="00D21E9C" w:rsidP="00D21E9C">
            <w:pPr>
              <w:pStyle w:val="Tablebullet"/>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Cover of focal plant groups</w:t>
            </w:r>
          </w:p>
          <w:p w14:paraId="06E9F432" w14:textId="77777777" w:rsidR="00D21E9C" w:rsidRPr="00BA2632" w:rsidRDefault="00D21E9C" w:rsidP="00D21E9C">
            <w:pPr>
              <w:pStyle w:val="Tablebullet"/>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Cover of focal taxa</w:t>
            </w:r>
          </w:p>
        </w:tc>
        <w:tc>
          <w:tcPr>
            <w:tcW w:w="2982" w:type="dxa"/>
          </w:tcPr>
          <w:p w14:paraId="5849D052" w14:textId="77777777" w:rsidR="00D21E9C" w:rsidRPr="00BA2632" w:rsidRDefault="00D21E9C" w:rsidP="00D21E9C">
            <w:pPr>
              <w:pStyle w:val="Tablebullet"/>
              <w:numPr>
                <w:ilvl w:val="0"/>
                <w:numId w:val="16"/>
              </w:numPr>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Bayesian models</w:t>
            </w:r>
          </w:p>
        </w:tc>
      </w:tr>
      <w:tr w:rsidR="00D21E9C" w:rsidRPr="00BA2632" w14:paraId="25963A31" w14:textId="77777777" w:rsidTr="00D21E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tcPr>
          <w:p w14:paraId="2E5C0067" w14:textId="77777777" w:rsidR="00D21E9C" w:rsidRPr="00BA2632" w:rsidRDefault="00D21E9C" w:rsidP="00D21E9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Is there a positive trend in the abundance of riparian vegetation communities over the medium-long term?</w:t>
            </w:r>
          </w:p>
        </w:tc>
        <w:tc>
          <w:tcPr>
            <w:tcW w:w="3402" w:type="dxa"/>
          </w:tcPr>
          <w:p w14:paraId="1A884969" w14:textId="77777777" w:rsidR="00D21E9C" w:rsidRPr="00BA2632" w:rsidRDefault="00D21E9C" w:rsidP="00D21E9C">
            <w:pPr>
              <w:pStyle w:val="Tablebullet"/>
              <w:numPr>
                <w:ilvl w:val="0"/>
                <w:numId w:val="16"/>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 xml:space="preserve">Cover of all ground layer vegetation </w:t>
            </w:r>
          </w:p>
          <w:p w14:paraId="7974FA63" w14:textId="77777777" w:rsidR="00D21E9C" w:rsidRPr="00BA2632" w:rsidRDefault="00D21E9C" w:rsidP="00D21E9C">
            <w:pPr>
              <w:pStyle w:val="Tablebullet"/>
              <w:numPr>
                <w:ilvl w:val="0"/>
                <w:numId w:val="16"/>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Cover of focal plant groups</w:t>
            </w:r>
          </w:p>
          <w:p w14:paraId="17B69F7A" w14:textId="77777777" w:rsidR="00D21E9C" w:rsidRPr="00BA2632" w:rsidRDefault="00D21E9C" w:rsidP="00D21E9C">
            <w:pPr>
              <w:pStyle w:val="Tablebullet"/>
              <w:numPr>
                <w:ilvl w:val="0"/>
                <w:numId w:val="16"/>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Cover of focal taxa</w:t>
            </w:r>
          </w:p>
        </w:tc>
        <w:tc>
          <w:tcPr>
            <w:tcW w:w="2982" w:type="dxa"/>
          </w:tcPr>
          <w:p w14:paraId="5410DA5E" w14:textId="77777777" w:rsidR="00D21E9C" w:rsidRPr="00BA2632" w:rsidRDefault="00D21E9C" w:rsidP="00D21E9C">
            <w:pPr>
              <w:pStyle w:val="Tablebullet"/>
              <w:numPr>
                <w:ilvl w:val="0"/>
                <w:numId w:val="16"/>
              </w:numPr>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 xml:space="preserve">Visual </w:t>
            </w:r>
            <w:r>
              <w:rPr>
                <w:rFonts w:cstheme="minorHAnsi"/>
                <w:sz w:val="18"/>
                <w:szCs w:val="18"/>
              </w:rPr>
              <w:t xml:space="preserve">and statistical </w:t>
            </w:r>
            <w:r w:rsidRPr="00BA2632">
              <w:rPr>
                <w:rFonts w:cstheme="minorHAnsi"/>
                <w:sz w:val="18"/>
                <w:szCs w:val="18"/>
              </w:rPr>
              <w:t>examination of changes</w:t>
            </w:r>
            <w:r>
              <w:rPr>
                <w:rFonts w:cstheme="minorHAnsi"/>
                <w:sz w:val="18"/>
                <w:szCs w:val="18"/>
              </w:rPr>
              <w:t xml:space="preserve"> in cover of indicators </w:t>
            </w:r>
            <w:r w:rsidRPr="00BA2632">
              <w:rPr>
                <w:rFonts w:cstheme="minorHAnsi"/>
                <w:sz w:val="18"/>
                <w:szCs w:val="18"/>
              </w:rPr>
              <w:lastRenderedPageBreak/>
              <w:t xml:space="preserve">over time </w:t>
            </w:r>
            <w:r>
              <w:rPr>
                <w:rFonts w:cstheme="minorHAnsi"/>
                <w:sz w:val="18"/>
                <w:szCs w:val="18"/>
              </w:rPr>
              <w:t>characterised by regression lines.</w:t>
            </w:r>
            <w:r w:rsidRPr="00BA2632" w:rsidDel="00934EF8">
              <w:rPr>
                <w:rFonts w:cstheme="minorHAnsi"/>
                <w:sz w:val="18"/>
                <w:szCs w:val="18"/>
              </w:rPr>
              <w:t xml:space="preserve"> </w:t>
            </w:r>
          </w:p>
        </w:tc>
      </w:tr>
      <w:tr w:rsidR="00D21E9C" w:rsidRPr="00BA2632" w14:paraId="62B95BD7" w14:textId="77777777" w:rsidTr="00D21E9C">
        <w:tc>
          <w:tcPr>
            <w:cnfStyle w:val="001000000000" w:firstRow="0" w:lastRow="0" w:firstColumn="1" w:lastColumn="0" w:oddVBand="0" w:evenVBand="0" w:oddHBand="0" w:evenHBand="0" w:firstRowFirstColumn="0" w:firstRowLastColumn="0" w:lastRowFirstColumn="0" w:lastRowLastColumn="0"/>
            <w:tcW w:w="3676" w:type="dxa"/>
          </w:tcPr>
          <w:p w14:paraId="0F432ED0" w14:textId="77777777" w:rsidR="00D21E9C" w:rsidRPr="00BA2632" w:rsidRDefault="00D21E9C" w:rsidP="00D21E9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lastRenderedPageBreak/>
              <w:t xml:space="preserve">How does the annual flow regime (natural, </w:t>
            </w:r>
            <w:proofErr w:type="gramStart"/>
            <w:r w:rsidRPr="00BA2632">
              <w:rPr>
                <w:rStyle w:val="Strong"/>
                <w:rFonts w:ascii="Calibri" w:hAnsi="Calibri" w:cstheme="minorHAnsi"/>
                <w:sz w:val="18"/>
                <w:szCs w:val="18"/>
              </w:rPr>
              <w:t>environmental</w:t>
            </w:r>
            <w:proofErr w:type="gramEnd"/>
            <w:r w:rsidRPr="00BA2632">
              <w:rPr>
                <w:rStyle w:val="Strong"/>
                <w:rFonts w:ascii="Calibri" w:hAnsi="Calibri" w:cstheme="minorHAnsi"/>
                <w:sz w:val="18"/>
                <w:szCs w:val="18"/>
              </w:rPr>
              <w:t xml:space="preserve"> or consumptive) influence the abundance of riparian vegetation communities at the end of the growth season?</w:t>
            </w:r>
          </w:p>
        </w:tc>
        <w:tc>
          <w:tcPr>
            <w:tcW w:w="3402" w:type="dxa"/>
          </w:tcPr>
          <w:p w14:paraId="1F67A034" w14:textId="77777777" w:rsidR="00D21E9C" w:rsidRPr="00BA2632" w:rsidRDefault="00D21E9C" w:rsidP="00D21E9C">
            <w:pPr>
              <w:pStyle w:val="Tablebullet"/>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 xml:space="preserve">Cover of all ground layer vegetation </w:t>
            </w:r>
          </w:p>
          <w:p w14:paraId="6579BF08" w14:textId="77777777" w:rsidR="00D21E9C" w:rsidRPr="00BA2632" w:rsidRDefault="00D21E9C" w:rsidP="00D21E9C">
            <w:pPr>
              <w:pStyle w:val="Tablebullet"/>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Cover of focal plant groups</w:t>
            </w:r>
          </w:p>
          <w:p w14:paraId="0AA29570" w14:textId="77777777" w:rsidR="00D21E9C" w:rsidRPr="00BA2632" w:rsidRDefault="00D21E9C" w:rsidP="00D21E9C">
            <w:pPr>
              <w:pStyle w:val="Tablebullet"/>
              <w:numPr>
                <w:ilvl w:val="0"/>
                <w:numId w:val="16"/>
              </w:num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Cover of focal taxa</w:t>
            </w:r>
          </w:p>
        </w:tc>
        <w:tc>
          <w:tcPr>
            <w:tcW w:w="2982" w:type="dxa"/>
          </w:tcPr>
          <w:p w14:paraId="1A4BA303" w14:textId="77777777" w:rsidR="00D21E9C" w:rsidRPr="00BA2632" w:rsidRDefault="00D21E9C" w:rsidP="00D21E9C">
            <w:pPr>
              <w:pStyle w:val="Tablebullet"/>
              <w:numPr>
                <w:ilvl w:val="0"/>
                <w:numId w:val="16"/>
              </w:numPr>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Visual examination of changes over time</w:t>
            </w:r>
          </w:p>
        </w:tc>
      </w:tr>
    </w:tbl>
    <w:p w14:paraId="7C053852" w14:textId="77777777" w:rsidR="00D21E9C" w:rsidRPr="00C6383C" w:rsidRDefault="00D21E9C" w:rsidP="00D21E9C">
      <w:pPr>
        <w:rPr>
          <w:lang w:eastAsia="en-US"/>
        </w:rPr>
      </w:pPr>
    </w:p>
    <w:p w14:paraId="6F4E8D3C" w14:textId="19258E35" w:rsidR="00D21E9C" w:rsidRDefault="00D21E9C" w:rsidP="00D21E9C">
      <w:pPr>
        <w:pStyle w:val="Heading2"/>
      </w:pPr>
      <w:bookmarkStart w:id="405" w:name="_Toc84335020"/>
      <w:bookmarkStart w:id="406" w:name="_Toc84416105"/>
      <w:bookmarkStart w:id="407" w:name="_Toc84417381"/>
      <w:bookmarkStart w:id="408" w:name="_Toc84475692"/>
      <w:r w:rsidRPr="00BA2632">
        <w:t>Main findings from the vegetation monitoring program</w:t>
      </w:r>
      <w:bookmarkEnd w:id="405"/>
      <w:bookmarkEnd w:id="406"/>
      <w:bookmarkEnd w:id="407"/>
      <w:bookmarkEnd w:id="408"/>
    </w:p>
    <w:p w14:paraId="338D22EB" w14:textId="431A8303" w:rsidR="00D21E9C" w:rsidRPr="00C6383C" w:rsidRDefault="00D21E9C" w:rsidP="00D21E9C">
      <w:pPr>
        <w:rPr>
          <w:lang w:eastAsia="en-US"/>
        </w:rPr>
      </w:pPr>
      <w:r w:rsidRPr="00BA2632">
        <w:rPr>
          <w:lang w:eastAsia="en-US"/>
        </w:rPr>
        <w:t xml:space="preserve">The following sections provides a high-level summary of the outcomes </w:t>
      </w:r>
      <w:r>
        <w:rPr>
          <w:lang w:eastAsia="en-US"/>
        </w:rPr>
        <w:t xml:space="preserve">and implications </w:t>
      </w:r>
      <w:r w:rsidRPr="00BA2632">
        <w:rPr>
          <w:lang w:eastAsia="en-US"/>
        </w:rPr>
        <w:t>of the 2020</w:t>
      </w:r>
      <w:r>
        <w:rPr>
          <w:lang w:eastAsia="en-US"/>
        </w:rPr>
        <w:t>-21</w:t>
      </w:r>
      <w:r w:rsidRPr="00BA2632">
        <w:rPr>
          <w:lang w:eastAsia="en-US"/>
        </w:rPr>
        <w:t xml:space="preserve"> monitoring and </w:t>
      </w:r>
      <w:r>
        <w:rPr>
          <w:lang w:eastAsia="en-US"/>
        </w:rPr>
        <w:t>comparison</w:t>
      </w:r>
      <w:r w:rsidRPr="00BA2632">
        <w:rPr>
          <w:lang w:eastAsia="en-US"/>
        </w:rPr>
        <w:t xml:space="preserve"> of these findings to previous years</w:t>
      </w:r>
      <w:r>
        <w:rPr>
          <w:lang w:eastAsia="en-US"/>
        </w:rPr>
        <w:t>’</w:t>
      </w:r>
      <w:r w:rsidRPr="00BA2632">
        <w:rPr>
          <w:lang w:eastAsia="en-US"/>
        </w:rPr>
        <w:t xml:space="preserve"> outcomes.</w:t>
      </w:r>
    </w:p>
    <w:p w14:paraId="48816F68" w14:textId="75FC7F82" w:rsidR="00D21E9C" w:rsidRDefault="00D21E9C" w:rsidP="00D21E9C">
      <w:pPr>
        <w:pStyle w:val="Heading3"/>
      </w:pPr>
      <w:bookmarkStart w:id="409" w:name="_Toc84417382"/>
      <w:r w:rsidRPr="00BA2632">
        <w:t>20</w:t>
      </w:r>
      <w:r>
        <w:t>20/</w:t>
      </w:r>
      <w:r w:rsidRPr="00BA2632">
        <w:t>2</w:t>
      </w:r>
      <w:r>
        <w:t>1</w:t>
      </w:r>
      <w:r w:rsidRPr="00BA2632">
        <w:t xml:space="preserve"> findings</w:t>
      </w:r>
      <w:bookmarkEnd w:id="409"/>
    </w:p>
    <w:p w14:paraId="289BC10C" w14:textId="77777777" w:rsidR="00D21E9C" w:rsidRDefault="00D21E9C" w:rsidP="00D21E9C">
      <w:pPr>
        <w:pStyle w:val="Para0"/>
        <w:rPr>
          <w:rFonts w:asciiTheme="minorHAnsi" w:hAnsiTheme="minorHAnsi" w:cstheme="minorBidi"/>
        </w:rPr>
      </w:pPr>
      <w:r w:rsidRPr="00BA2632">
        <w:rPr>
          <w:rFonts w:asciiTheme="minorHAnsi" w:hAnsiTheme="minorHAnsi" w:cstheme="minorBidi"/>
        </w:rPr>
        <w:t>The main findings from the 20</w:t>
      </w:r>
      <w:r>
        <w:rPr>
          <w:rFonts w:asciiTheme="minorHAnsi" w:hAnsiTheme="minorHAnsi" w:cstheme="minorBidi"/>
        </w:rPr>
        <w:t>20</w:t>
      </w:r>
      <w:r w:rsidRPr="00BA2632">
        <w:rPr>
          <w:rFonts w:asciiTheme="minorHAnsi" w:hAnsiTheme="minorHAnsi" w:cstheme="minorBidi"/>
        </w:rPr>
        <w:t>-2</w:t>
      </w:r>
      <w:r>
        <w:rPr>
          <w:rFonts w:asciiTheme="minorHAnsi" w:hAnsiTheme="minorHAnsi" w:cstheme="minorBidi"/>
        </w:rPr>
        <w:t>1</w:t>
      </w:r>
      <w:r w:rsidRPr="00BA2632">
        <w:rPr>
          <w:rFonts w:asciiTheme="minorHAnsi" w:hAnsiTheme="minorHAnsi" w:cstheme="minorBidi"/>
        </w:rPr>
        <w:t xml:space="preserve"> monitoring are:</w:t>
      </w:r>
    </w:p>
    <w:p w14:paraId="7A49C225" w14:textId="77777777" w:rsidR="00D21E9C" w:rsidRPr="00C1138E" w:rsidRDefault="00D21E9C" w:rsidP="00DE6E94">
      <w:pPr>
        <w:pStyle w:val="ListParagraph"/>
        <w:numPr>
          <w:ilvl w:val="0"/>
          <w:numId w:val="81"/>
        </w:numPr>
        <w:rPr>
          <w:szCs w:val="32"/>
        </w:rPr>
      </w:pPr>
      <w:r>
        <w:t>Spring Fresh</w:t>
      </w:r>
      <w:r w:rsidRPr="00BA2632">
        <w:t>es appear to support water depend</w:t>
      </w:r>
      <w:r>
        <w:t>e</w:t>
      </w:r>
      <w:r w:rsidRPr="00BA2632">
        <w:t>nt</w:t>
      </w:r>
      <w:r>
        <w:t xml:space="preserve"> (species that depend on inundation from the river for some or </w:t>
      </w:r>
      <w:proofErr w:type="gramStart"/>
      <w:r>
        <w:t>all of</w:t>
      </w:r>
      <w:proofErr w:type="gramEnd"/>
      <w:r>
        <w:t xml:space="preserve"> their life history requirements) </w:t>
      </w:r>
      <w:r w:rsidRPr="00BA2632">
        <w:t>species</w:t>
      </w:r>
      <w:r>
        <w:t xml:space="preserve"> </w:t>
      </w:r>
      <w:r w:rsidRPr="00BA2632">
        <w:t xml:space="preserve">as their </w:t>
      </w:r>
      <w:r>
        <w:t>cover and occurrence</w:t>
      </w:r>
      <w:r w:rsidRPr="00BA2632">
        <w:t xml:space="preserve"> on the bank continues to be greatest in bank zones inundated by </w:t>
      </w:r>
      <w:r>
        <w:t>Spring Fresh</w:t>
      </w:r>
      <w:r w:rsidRPr="00BA2632">
        <w:t>es.</w:t>
      </w:r>
      <w:r w:rsidRPr="00A11C14">
        <w:t xml:space="preserve"> </w:t>
      </w:r>
      <w:r>
        <w:rPr>
          <w:rFonts w:cstheme="minorHAnsi"/>
        </w:rPr>
        <w:t>V</w:t>
      </w:r>
      <w:r w:rsidRPr="00AF6EAA">
        <w:rPr>
          <w:rFonts w:cstheme="minorHAnsi"/>
        </w:rPr>
        <w:t xml:space="preserve">egetation responses to the </w:t>
      </w:r>
      <w:r>
        <w:rPr>
          <w:rFonts w:cstheme="minorHAnsi"/>
        </w:rPr>
        <w:t xml:space="preserve">Spring Fresh could not be directly examined in </w:t>
      </w:r>
      <w:r w:rsidRPr="00AF6EAA">
        <w:rPr>
          <w:rFonts w:cstheme="minorHAnsi"/>
        </w:rPr>
        <w:t>2020-21</w:t>
      </w:r>
      <w:r>
        <w:rPr>
          <w:rFonts w:cstheme="minorHAnsi"/>
        </w:rPr>
        <w:t xml:space="preserve"> as high natural flows prevented sampling prior to the Spring Fresh</w:t>
      </w:r>
      <w:r w:rsidRPr="00AF6EAA">
        <w:rPr>
          <w:rFonts w:cstheme="minorHAnsi"/>
        </w:rPr>
        <w:t>.</w:t>
      </w:r>
      <w:r w:rsidRPr="000243B2">
        <w:rPr>
          <w:rFonts w:cstheme="minorHAnsi"/>
        </w:rPr>
        <w:t xml:space="preserve"> </w:t>
      </w:r>
    </w:p>
    <w:p w14:paraId="7AAA0F02" w14:textId="327C00F0" w:rsidR="00D21E9C" w:rsidRPr="00C1138E" w:rsidRDefault="00D21E9C" w:rsidP="00DE6E94">
      <w:pPr>
        <w:pStyle w:val="Para0"/>
        <w:numPr>
          <w:ilvl w:val="0"/>
          <w:numId w:val="81"/>
        </w:numPr>
        <w:rPr>
          <w:rFonts w:cstheme="minorHAnsi"/>
        </w:rPr>
      </w:pPr>
      <w:r w:rsidRPr="003704AD">
        <w:rPr>
          <w:rFonts w:asciiTheme="minorHAnsi" w:hAnsiTheme="minorHAnsi" w:cstheme="minorHAnsi"/>
        </w:rPr>
        <w:t>Lower and more stable flows over summer in 2020-21 following the recession of the fish spawn</w:t>
      </w:r>
      <w:r>
        <w:rPr>
          <w:rFonts w:asciiTheme="minorHAnsi" w:hAnsiTheme="minorHAnsi" w:cstheme="minorHAnsi"/>
        </w:rPr>
        <w:t>ing</w:t>
      </w:r>
      <w:r w:rsidRPr="003704AD">
        <w:rPr>
          <w:rFonts w:asciiTheme="minorHAnsi" w:hAnsiTheme="minorHAnsi" w:cstheme="minorHAnsi"/>
        </w:rPr>
        <w:t xml:space="preserve"> fresh resulted in the establishment of narrow bands of water dependant vegetation along the river fringe (Zone 1b) in March 2021. These newly established bands were patchily distributed along the river and comprised mostly of </w:t>
      </w:r>
      <w:r>
        <w:rPr>
          <w:rFonts w:asciiTheme="minorHAnsi" w:hAnsiTheme="minorHAnsi" w:cstheme="minorHAnsi"/>
        </w:rPr>
        <w:t xml:space="preserve">sedges (mostly </w:t>
      </w:r>
      <w:r w:rsidRPr="003704AD">
        <w:rPr>
          <w:rFonts w:asciiTheme="minorHAnsi" w:hAnsiTheme="minorHAnsi" w:cstheme="minorHAnsi"/>
          <w:i/>
          <w:iCs/>
        </w:rPr>
        <w:t xml:space="preserve">Cyperus </w:t>
      </w:r>
      <w:r w:rsidRPr="00AE2341">
        <w:rPr>
          <w:rFonts w:asciiTheme="minorHAnsi" w:hAnsiTheme="minorHAnsi" w:cstheme="minorHAnsi"/>
        </w:rPr>
        <w:t>spp</w:t>
      </w:r>
      <w:r>
        <w:rPr>
          <w:rFonts w:asciiTheme="minorHAnsi" w:hAnsiTheme="minorHAnsi" w:cstheme="minorHAnsi"/>
        </w:rPr>
        <w:t>.</w:t>
      </w:r>
      <w:r w:rsidRPr="00CF71A9">
        <w:rPr>
          <w:rFonts w:asciiTheme="minorHAnsi" w:hAnsiTheme="minorHAnsi" w:cstheme="minorHAnsi"/>
        </w:rPr>
        <w:t>)</w:t>
      </w:r>
      <w:r w:rsidR="0079354B">
        <w:rPr>
          <w:rFonts w:asciiTheme="minorHAnsi" w:hAnsiTheme="minorHAnsi" w:cstheme="minorHAnsi"/>
        </w:rPr>
        <w:t>,</w:t>
      </w:r>
      <w:r>
        <w:rPr>
          <w:rFonts w:asciiTheme="minorHAnsi" w:hAnsiTheme="minorHAnsi" w:cstheme="minorHAnsi"/>
          <w:i/>
          <w:iCs/>
        </w:rPr>
        <w:t xml:space="preserve"> </w:t>
      </w:r>
      <w:r>
        <w:rPr>
          <w:rFonts w:asciiTheme="minorHAnsi" w:hAnsiTheme="minorHAnsi" w:cstheme="minorHAnsi"/>
        </w:rPr>
        <w:t>w</w:t>
      </w:r>
      <w:r w:rsidRPr="00CF71A9">
        <w:rPr>
          <w:rFonts w:asciiTheme="minorHAnsi" w:hAnsiTheme="minorHAnsi" w:cstheme="minorHAnsi"/>
        </w:rPr>
        <w:t xml:space="preserve">ater </w:t>
      </w:r>
      <w:r>
        <w:rPr>
          <w:rFonts w:asciiTheme="minorHAnsi" w:hAnsiTheme="minorHAnsi" w:cstheme="minorHAnsi"/>
        </w:rPr>
        <w:t>p</w:t>
      </w:r>
      <w:r w:rsidRPr="00CF71A9">
        <w:rPr>
          <w:rFonts w:asciiTheme="minorHAnsi" w:hAnsiTheme="minorHAnsi" w:cstheme="minorHAnsi"/>
        </w:rPr>
        <w:t>epper</w:t>
      </w:r>
      <w:r>
        <w:rPr>
          <w:rFonts w:asciiTheme="minorHAnsi" w:hAnsiTheme="minorHAnsi" w:cstheme="minorHAnsi"/>
          <w:i/>
          <w:iCs/>
        </w:rPr>
        <w:t xml:space="preserve"> (</w:t>
      </w:r>
      <w:proofErr w:type="spellStart"/>
      <w:r w:rsidRPr="003704AD">
        <w:rPr>
          <w:rFonts w:asciiTheme="minorHAnsi" w:hAnsiTheme="minorHAnsi" w:cstheme="minorHAnsi"/>
          <w:i/>
          <w:iCs/>
        </w:rPr>
        <w:t>Persicaria</w:t>
      </w:r>
      <w:proofErr w:type="spellEnd"/>
      <w:r w:rsidRPr="003704AD">
        <w:rPr>
          <w:rFonts w:asciiTheme="minorHAnsi" w:hAnsiTheme="minorHAnsi" w:cstheme="minorHAnsi"/>
          <w:i/>
          <w:iCs/>
        </w:rPr>
        <w:t xml:space="preserve"> hydropiper</w:t>
      </w:r>
      <w:r>
        <w:rPr>
          <w:rFonts w:asciiTheme="minorHAnsi" w:hAnsiTheme="minorHAnsi" w:cstheme="minorHAnsi"/>
          <w:i/>
          <w:iCs/>
        </w:rPr>
        <w:t xml:space="preserve">) </w:t>
      </w:r>
      <w:r w:rsidRPr="00CF71A9">
        <w:rPr>
          <w:rFonts w:asciiTheme="minorHAnsi" w:hAnsiTheme="minorHAnsi" w:cstheme="minorHAnsi"/>
        </w:rPr>
        <w:t>and</w:t>
      </w:r>
      <w:r w:rsidRPr="003704AD">
        <w:rPr>
          <w:rFonts w:asciiTheme="minorHAnsi" w:hAnsiTheme="minorHAnsi" w:cstheme="minorHAnsi"/>
          <w:i/>
          <w:iCs/>
        </w:rPr>
        <w:t xml:space="preserve"> </w:t>
      </w:r>
      <w:r>
        <w:rPr>
          <w:rFonts w:asciiTheme="minorHAnsi" w:hAnsiTheme="minorHAnsi" w:cstheme="minorHAnsi"/>
        </w:rPr>
        <w:t>p</w:t>
      </w:r>
      <w:r w:rsidRPr="00CF71A9">
        <w:rPr>
          <w:rFonts w:asciiTheme="minorHAnsi" w:hAnsiTheme="minorHAnsi" w:cstheme="minorHAnsi"/>
        </w:rPr>
        <w:t xml:space="preserve">ale </w:t>
      </w:r>
      <w:r>
        <w:rPr>
          <w:rFonts w:asciiTheme="minorHAnsi" w:hAnsiTheme="minorHAnsi" w:cstheme="minorHAnsi"/>
        </w:rPr>
        <w:t>k</w:t>
      </w:r>
      <w:r w:rsidRPr="00CF71A9">
        <w:rPr>
          <w:rFonts w:asciiTheme="minorHAnsi" w:hAnsiTheme="minorHAnsi" w:cstheme="minorHAnsi"/>
        </w:rPr>
        <w:t>notweed</w:t>
      </w:r>
      <w:r>
        <w:rPr>
          <w:rFonts w:asciiTheme="minorHAnsi" w:hAnsiTheme="minorHAnsi" w:cstheme="minorHAnsi"/>
          <w:i/>
          <w:iCs/>
        </w:rPr>
        <w:t xml:space="preserve"> </w:t>
      </w:r>
      <w:r w:rsidRPr="00CF71A9">
        <w:rPr>
          <w:rFonts w:asciiTheme="minorHAnsi" w:hAnsiTheme="minorHAnsi" w:cstheme="minorHAnsi"/>
        </w:rPr>
        <w:t>(</w:t>
      </w:r>
      <w:proofErr w:type="spellStart"/>
      <w:r w:rsidRPr="003704AD">
        <w:rPr>
          <w:rFonts w:asciiTheme="minorHAnsi" w:hAnsiTheme="minorHAnsi" w:cstheme="minorHAnsi"/>
          <w:i/>
          <w:iCs/>
        </w:rPr>
        <w:t>Persicaria</w:t>
      </w:r>
      <w:proofErr w:type="spellEnd"/>
      <w:r w:rsidRPr="003704AD">
        <w:rPr>
          <w:rFonts w:asciiTheme="minorHAnsi" w:hAnsiTheme="minorHAnsi" w:cstheme="minorHAnsi"/>
          <w:i/>
          <w:iCs/>
        </w:rPr>
        <w:t xml:space="preserve"> </w:t>
      </w:r>
      <w:proofErr w:type="spellStart"/>
      <w:r w:rsidRPr="003704AD">
        <w:rPr>
          <w:rFonts w:asciiTheme="minorHAnsi" w:hAnsiTheme="minorHAnsi" w:cstheme="minorHAnsi"/>
          <w:i/>
          <w:iCs/>
        </w:rPr>
        <w:t>lapathifolia</w:t>
      </w:r>
      <w:proofErr w:type="spellEnd"/>
      <w:r w:rsidRPr="00CF71A9">
        <w:rPr>
          <w:rFonts w:asciiTheme="minorHAnsi" w:hAnsiTheme="minorHAnsi" w:cstheme="minorHAnsi"/>
        </w:rPr>
        <w:t>)</w:t>
      </w:r>
      <w:r w:rsidRPr="003704AD">
        <w:rPr>
          <w:rFonts w:asciiTheme="minorHAnsi" w:hAnsiTheme="minorHAnsi" w:cstheme="minorHAnsi"/>
        </w:rPr>
        <w:t xml:space="preserve">. Many plants </w:t>
      </w:r>
      <w:r>
        <w:rPr>
          <w:rFonts w:asciiTheme="minorHAnsi" w:hAnsiTheme="minorHAnsi" w:cstheme="minorHAnsi"/>
        </w:rPr>
        <w:t>along the fringing zone</w:t>
      </w:r>
      <w:r w:rsidRPr="003704AD">
        <w:rPr>
          <w:rFonts w:asciiTheme="minorHAnsi" w:hAnsiTheme="minorHAnsi" w:cstheme="minorHAnsi"/>
        </w:rPr>
        <w:t xml:space="preserve"> were setting seed in March 2021 after ~13 weeks of lower flows. Although some recovery of fringing vegetation has been achieved</w:t>
      </w:r>
      <w:r>
        <w:rPr>
          <w:rFonts w:asciiTheme="minorHAnsi" w:hAnsiTheme="minorHAnsi" w:cstheme="minorHAnsi"/>
        </w:rPr>
        <w:t xml:space="preserve"> from the previous year,</w:t>
      </w:r>
      <w:r w:rsidRPr="003704AD">
        <w:rPr>
          <w:rFonts w:asciiTheme="minorHAnsi" w:hAnsiTheme="minorHAnsi" w:cstheme="minorHAnsi"/>
        </w:rPr>
        <w:t xml:space="preserve"> there was little to no response of vegetation in Zone 1a, the lowest elevation surveyed, and lower flows may be required for vegetation to establish in this zone.</w:t>
      </w:r>
    </w:p>
    <w:p w14:paraId="690EAC72" w14:textId="1DFC21FD" w:rsidR="00D21E9C" w:rsidRPr="00C1138E" w:rsidRDefault="00D21E9C" w:rsidP="00DE6E94">
      <w:pPr>
        <w:pStyle w:val="Para0"/>
        <w:numPr>
          <w:ilvl w:val="0"/>
          <w:numId w:val="81"/>
        </w:numPr>
        <w:rPr>
          <w:rFonts w:asciiTheme="minorHAnsi" w:hAnsiTheme="minorHAnsi" w:cstheme="minorHAnsi"/>
        </w:rPr>
      </w:pPr>
      <w:r w:rsidRPr="00C1138E">
        <w:rPr>
          <w:rFonts w:asciiTheme="minorHAnsi" w:eastAsia="Times New Roman" w:hAnsiTheme="minorHAnsi" w:cstheme="minorHAnsi"/>
          <w:szCs w:val="20"/>
        </w:rPr>
        <w:t>Environment</w:t>
      </w:r>
      <w:r>
        <w:rPr>
          <w:rFonts w:asciiTheme="minorHAnsi" w:eastAsia="Times New Roman" w:hAnsiTheme="minorHAnsi" w:cstheme="minorHAnsi"/>
          <w:szCs w:val="20"/>
        </w:rPr>
        <w:t>al</w:t>
      </w:r>
      <w:r w:rsidRPr="00C1138E">
        <w:rPr>
          <w:rFonts w:asciiTheme="minorHAnsi" w:eastAsia="Times New Roman" w:hAnsiTheme="minorHAnsi" w:cstheme="minorHAnsi"/>
          <w:szCs w:val="20"/>
        </w:rPr>
        <w:t xml:space="preserve"> flows in 2020-21 were also used to prevent water levels dropping and triggering germination along the river fringe (Zone 1a and 1b) between the </w:t>
      </w:r>
      <w:r>
        <w:rPr>
          <w:rFonts w:asciiTheme="minorHAnsi" w:eastAsia="Times New Roman" w:hAnsiTheme="minorHAnsi" w:cstheme="minorHAnsi"/>
          <w:szCs w:val="20"/>
        </w:rPr>
        <w:t>Spring Fresh</w:t>
      </w:r>
      <w:r w:rsidRPr="00C1138E">
        <w:rPr>
          <w:rFonts w:asciiTheme="minorHAnsi" w:eastAsia="Times New Roman" w:hAnsiTheme="minorHAnsi" w:cstheme="minorHAnsi"/>
          <w:szCs w:val="20"/>
        </w:rPr>
        <w:t xml:space="preserve"> and the fish spawning fresh when successful establishment of new </w:t>
      </w:r>
      <w:proofErr w:type="spellStart"/>
      <w:r w:rsidRPr="00C1138E">
        <w:rPr>
          <w:rFonts w:asciiTheme="minorHAnsi" w:eastAsia="Times New Roman" w:hAnsiTheme="minorHAnsi" w:cstheme="minorHAnsi"/>
          <w:szCs w:val="20"/>
        </w:rPr>
        <w:t>germinants</w:t>
      </w:r>
      <w:proofErr w:type="spellEnd"/>
      <w:r w:rsidRPr="00C1138E">
        <w:rPr>
          <w:rFonts w:asciiTheme="minorHAnsi" w:eastAsia="Times New Roman" w:hAnsiTheme="minorHAnsi" w:cstheme="minorHAnsi"/>
          <w:szCs w:val="20"/>
        </w:rPr>
        <w:t xml:space="preserve"> could be impacted by the fish spawning fresh. Survey</w:t>
      </w:r>
      <w:r>
        <w:rPr>
          <w:rFonts w:asciiTheme="minorHAnsi" w:eastAsia="Times New Roman" w:hAnsiTheme="minorHAnsi" w:cstheme="minorHAnsi"/>
          <w:szCs w:val="20"/>
        </w:rPr>
        <w:t>s</w:t>
      </w:r>
      <w:r w:rsidRPr="00C1138E">
        <w:rPr>
          <w:rFonts w:asciiTheme="minorHAnsi" w:eastAsia="Times New Roman" w:hAnsiTheme="minorHAnsi" w:cstheme="minorHAnsi"/>
          <w:szCs w:val="20"/>
        </w:rPr>
        <w:t xml:space="preserve"> in November 2020 (after </w:t>
      </w:r>
      <w:r>
        <w:rPr>
          <w:rFonts w:asciiTheme="minorHAnsi" w:eastAsia="Times New Roman" w:hAnsiTheme="minorHAnsi" w:cstheme="minorHAnsi"/>
          <w:szCs w:val="20"/>
        </w:rPr>
        <w:t>Spring Fresh</w:t>
      </w:r>
      <w:r w:rsidRPr="00C1138E">
        <w:rPr>
          <w:rFonts w:asciiTheme="minorHAnsi" w:eastAsia="Times New Roman" w:hAnsiTheme="minorHAnsi" w:cstheme="minorHAnsi"/>
          <w:szCs w:val="20"/>
        </w:rPr>
        <w:t xml:space="preserve">) and again in December 2020 (after the fish spawning fresh) found that the cover of water dependant vegetation along the river fringe (Zone 1a and 1b) was low, suggesting that recruitment was likely suppressed by this strategy. Following the recession of the fish </w:t>
      </w:r>
      <w:r>
        <w:rPr>
          <w:rFonts w:asciiTheme="minorHAnsi" w:eastAsia="Times New Roman" w:hAnsiTheme="minorHAnsi" w:cstheme="minorHAnsi"/>
          <w:szCs w:val="20"/>
        </w:rPr>
        <w:t xml:space="preserve">spawning </w:t>
      </w:r>
      <w:r w:rsidRPr="00C1138E">
        <w:rPr>
          <w:rFonts w:asciiTheme="minorHAnsi" w:eastAsia="Times New Roman" w:hAnsiTheme="minorHAnsi" w:cstheme="minorHAnsi"/>
          <w:szCs w:val="20"/>
        </w:rPr>
        <w:t>fresh</w:t>
      </w:r>
      <w:r>
        <w:rPr>
          <w:rFonts w:asciiTheme="minorHAnsi" w:eastAsia="Times New Roman" w:hAnsiTheme="minorHAnsi" w:cstheme="minorHAnsi"/>
          <w:szCs w:val="20"/>
        </w:rPr>
        <w:t>, fringing vegetation recruited but it</w:t>
      </w:r>
      <w:r w:rsidRPr="00C1138E">
        <w:rPr>
          <w:rFonts w:asciiTheme="minorHAnsi" w:eastAsia="Times New Roman" w:hAnsiTheme="minorHAnsi" w:cstheme="minorHAnsi"/>
          <w:szCs w:val="20"/>
        </w:rPr>
        <w:t xml:space="preserve"> </w:t>
      </w:r>
      <w:r>
        <w:rPr>
          <w:rFonts w:asciiTheme="minorHAnsi" w:eastAsia="Times New Roman" w:hAnsiTheme="minorHAnsi" w:cstheme="minorHAnsi"/>
          <w:szCs w:val="20"/>
        </w:rPr>
        <w:t xml:space="preserve">was </w:t>
      </w:r>
      <w:r w:rsidRPr="00C1138E">
        <w:rPr>
          <w:rFonts w:asciiTheme="minorHAnsi" w:eastAsia="Times New Roman" w:hAnsiTheme="minorHAnsi" w:cstheme="minorHAnsi"/>
          <w:szCs w:val="20"/>
        </w:rPr>
        <w:t xml:space="preserve">unclear to what extent the strategy of suppressing germination along the fringing zone between the </w:t>
      </w:r>
      <w:r>
        <w:rPr>
          <w:rFonts w:asciiTheme="minorHAnsi" w:eastAsia="Times New Roman" w:hAnsiTheme="minorHAnsi" w:cstheme="minorHAnsi"/>
          <w:szCs w:val="20"/>
        </w:rPr>
        <w:t>Spring Fresh</w:t>
      </w:r>
      <w:r w:rsidRPr="00C1138E">
        <w:rPr>
          <w:rFonts w:asciiTheme="minorHAnsi" w:eastAsia="Times New Roman" w:hAnsiTheme="minorHAnsi" w:cstheme="minorHAnsi"/>
          <w:szCs w:val="20"/>
        </w:rPr>
        <w:t xml:space="preserve"> and </w:t>
      </w:r>
      <w:r>
        <w:rPr>
          <w:rFonts w:asciiTheme="minorHAnsi" w:eastAsia="Times New Roman" w:hAnsiTheme="minorHAnsi" w:cstheme="minorHAnsi"/>
          <w:szCs w:val="20"/>
        </w:rPr>
        <w:t xml:space="preserve">the </w:t>
      </w:r>
      <w:r w:rsidRPr="00C1138E">
        <w:rPr>
          <w:rFonts w:asciiTheme="minorHAnsi" w:eastAsia="Times New Roman" w:hAnsiTheme="minorHAnsi" w:cstheme="minorHAnsi"/>
          <w:szCs w:val="20"/>
        </w:rPr>
        <w:t xml:space="preserve">fish fresh contributed to </w:t>
      </w:r>
      <w:r>
        <w:rPr>
          <w:rFonts w:asciiTheme="minorHAnsi" w:eastAsia="Times New Roman" w:hAnsiTheme="minorHAnsi" w:cstheme="minorHAnsi"/>
          <w:szCs w:val="20"/>
        </w:rPr>
        <w:t xml:space="preserve">this positive </w:t>
      </w:r>
      <w:r w:rsidRPr="00C1138E">
        <w:rPr>
          <w:rFonts w:asciiTheme="minorHAnsi" w:eastAsia="Times New Roman" w:hAnsiTheme="minorHAnsi" w:cstheme="minorHAnsi"/>
          <w:szCs w:val="20"/>
        </w:rPr>
        <w:t>outcome and further research is needed.</w:t>
      </w:r>
    </w:p>
    <w:p w14:paraId="72FA80D4" w14:textId="77777777" w:rsidR="00D21E9C" w:rsidRDefault="00D21E9C" w:rsidP="00DE6E94">
      <w:pPr>
        <w:pStyle w:val="Para0"/>
        <w:numPr>
          <w:ilvl w:val="0"/>
          <w:numId w:val="81"/>
        </w:numPr>
        <w:rPr>
          <w:rFonts w:asciiTheme="minorHAnsi" w:hAnsiTheme="minorHAnsi" w:cstheme="minorBidi"/>
        </w:rPr>
      </w:pPr>
      <w:r>
        <w:rPr>
          <w:rFonts w:asciiTheme="minorHAnsi" w:hAnsiTheme="minorHAnsi" w:cstheme="minorBidi"/>
        </w:rPr>
        <w:t xml:space="preserve">Since 2014 the summed cover of all ground layer plants over time has shown a small positive trend at both Loch Garry and McCoy’s Bridge, but trends vary for different regions of the bank. Positive trends in the summed cover of ground layer plants are generally found at higher elevation, particularly in Zone 3. In contrast, the summed cover of fringing vegetation (Zone 1a and Zone 1b) has oscillated over time with no discernible trend. This is consistent with the vulnerability of this zone to unnatural high summer flows associated with IVT delivery. </w:t>
      </w:r>
    </w:p>
    <w:p w14:paraId="0F2D490B" w14:textId="77777777" w:rsidR="00D21E9C" w:rsidRPr="00F41887" w:rsidRDefault="00D21E9C" w:rsidP="00D21E9C">
      <w:pPr>
        <w:pStyle w:val="Para0"/>
        <w:numPr>
          <w:ilvl w:val="0"/>
          <w:numId w:val="22"/>
        </w:numPr>
        <w:rPr>
          <w:rFonts w:asciiTheme="minorHAnsi" w:hAnsiTheme="minorHAnsi" w:cstheme="minorBidi"/>
        </w:rPr>
      </w:pPr>
      <w:r w:rsidRPr="001F3588">
        <w:rPr>
          <w:rFonts w:asciiTheme="minorHAnsi" w:hAnsiTheme="minorHAnsi" w:cstheme="minorBidi"/>
        </w:rPr>
        <w:t xml:space="preserve">Models </w:t>
      </w:r>
      <w:r>
        <w:rPr>
          <w:rFonts w:asciiTheme="minorHAnsi" w:hAnsiTheme="minorHAnsi" w:cstheme="minorBidi"/>
        </w:rPr>
        <w:t>that examine</w:t>
      </w:r>
      <w:r w:rsidRPr="001F3588">
        <w:rPr>
          <w:rFonts w:asciiTheme="minorHAnsi" w:hAnsiTheme="minorHAnsi" w:cstheme="minorBidi"/>
        </w:rPr>
        <w:t xml:space="preserve"> responses </w:t>
      </w:r>
      <w:r>
        <w:rPr>
          <w:rFonts w:asciiTheme="minorHAnsi" w:hAnsiTheme="minorHAnsi" w:cstheme="minorBidi"/>
        </w:rPr>
        <w:t>of</w:t>
      </w:r>
      <w:r w:rsidRPr="001F3588">
        <w:rPr>
          <w:rFonts w:asciiTheme="minorHAnsi" w:hAnsiTheme="minorHAnsi" w:cstheme="minorBidi"/>
        </w:rPr>
        <w:t xml:space="preserve"> vegetation to inundation &gt;25</w:t>
      </w:r>
      <w:r>
        <w:rPr>
          <w:rFonts w:asciiTheme="minorHAnsi" w:hAnsiTheme="minorHAnsi" w:cstheme="minorBidi"/>
        </w:rPr>
        <w:t xml:space="preserve"> </w:t>
      </w:r>
      <w:r w:rsidRPr="001F3588">
        <w:rPr>
          <w:rFonts w:asciiTheme="minorHAnsi" w:hAnsiTheme="minorHAnsi" w:cstheme="minorBidi"/>
        </w:rPr>
        <w:t>cm found that water dependant species declined steadily after 40 days of inundation &gt;25</w:t>
      </w:r>
      <w:r>
        <w:rPr>
          <w:rFonts w:asciiTheme="minorHAnsi" w:hAnsiTheme="minorHAnsi" w:cstheme="minorBidi"/>
        </w:rPr>
        <w:t xml:space="preserve"> </w:t>
      </w:r>
      <w:r w:rsidRPr="001F3588">
        <w:rPr>
          <w:rFonts w:asciiTheme="minorHAnsi" w:hAnsiTheme="minorHAnsi" w:cstheme="minorBidi"/>
        </w:rPr>
        <w:t>cm over the IVT period</w:t>
      </w:r>
      <w:r>
        <w:rPr>
          <w:rFonts w:asciiTheme="minorHAnsi" w:hAnsiTheme="minorHAnsi" w:cstheme="minorBidi"/>
        </w:rPr>
        <w:t xml:space="preserve"> although sensitivity varied among species with the group. It is uncertain how response differ if inundation is continuous or intermittent. Individual inundation however should be less than two weeks as currently recommended. </w:t>
      </w:r>
    </w:p>
    <w:p w14:paraId="5757E092" w14:textId="13DE5EB8" w:rsidR="00D21E9C" w:rsidRDefault="00D21E9C" w:rsidP="00D21E9C">
      <w:pPr>
        <w:pStyle w:val="Heading3"/>
      </w:pPr>
      <w:bookmarkStart w:id="410" w:name="_Toc84417383"/>
      <w:r w:rsidRPr="00BA2632">
        <w:t>Summary of previous findings and implications for any new finding</w:t>
      </w:r>
      <w:bookmarkEnd w:id="410"/>
      <w:r w:rsidRPr="00BA2632">
        <w:t xml:space="preserve"> </w:t>
      </w:r>
    </w:p>
    <w:p w14:paraId="614F1602" w14:textId="77777777" w:rsidR="00D21E9C" w:rsidRPr="00BA2632" w:rsidRDefault="00D21E9C" w:rsidP="00D21E9C">
      <w:pPr>
        <w:rPr>
          <w:b/>
          <w:bCs/>
          <w:i/>
          <w:iCs/>
          <w:lang w:eastAsia="en-US"/>
        </w:rPr>
      </w:pPr>
      <w:r w:rsidRPr="00BA2632">
        <w:rPr>
          <w:b/>
          <w:bCs/>
          <w:i/>
          <w:iCs/>
          <w:lang w:eastAsia="en-US"/>
        </w:rPr>
        <w:t>Previous findings:</w:t>
      </w:r>
    </w:p>
    <w:p w14:paraId="320C23D1" w14:textId="77777777" w:rsidR="00D21E9C" w:rsidRPr="00266590" w:rsidRDefault="00D21E9C" w:rsidP="00D21E9C">
      <w:pPr>
        <w:pStyle w:val="Para0"/>
        <w:ind w:left="360"/>
        <w:rPr>
          <w:rFonts w:asciiTheme="minorHAnsi" w:hAnsiTheme="minorHAnsi" w:cstheme="minorHAnsi"/>
          <w:i/>
          <w:iCs/>
          <w:u w:val="single"/>
        </w:rPr>
      </w:pPr>
      <w:r w:rsidRPr="00266590">
        <w:rPr>
          <w:rFonts w:asciiTheme="minorHAnsi" w:hAnsiTheme="minorHAnsi" w:cstheme="minorHAnsi"/>
          <w:i/>
          <w:iCs/>
          <w:u w:val="single"/>
        </w:rPr>
        <w:t>Spring Freshes</w:t>
      </w:r>
    </w:p>
    <w:p w14:paraId="16C6E1A5" w14:textId="77777777" w:rsidR="00D21E9C" w:rsidRPr="000262EF" w:rsidRDefault="00D21E9C" w:rsidP="00D21E9C">
      <w:pPr>
        <w:pStyle w:val="Para0"/>
        <w:numPr>
          <w:ilvl w:val="0"/>
          <w:numId w:val="25"/>
        </w:numPr>
        <w:rPr>
          <w:rFonts w:asciiTheme="minorHAnsi" w:hAnsiTheme="minorHAnsi" w:cstheme="minorHAnsi"/>
        </w:rPr>
      </w:pPr>
      <w:r w:rsidRPr="000262EF">
        <w:rPr>
          <w:rFonts w:asciiTheme="minorHAnsi" w:hAnsiTheme="minorHAnsi" w:cstheme="minorHAnsi"/>
        </w:rPr>
        <w:t xml:space="preserve">The mean summed cover of water dependent vegetation across all sampling locations at both sites increased following </w:t>
      </w:r>
      <w:r>
        <w:rPr>
          <w:rFonts w:asciiTheme="minorHAnsi" w:hAnsiTheme="minorHAnsi" w:cstheme="minorHAnsi"/>
        </w:rPr>
        <w:t>Spring Fresh</w:t>
      </w:r>
      <w:r w:rsidRPr="000262EF">
        <w:rPr>
          <w:rFonts w:asciiTheme="minorHAnsi" w:hAnsiTheme="minorHAnsi" w:cstheme="minorHAnsi"/>
        </w:rPr>
        <w:t>es in 2014–</w:t>
      </w:r>
      <w:r w:rsidRPr="00AF6EAA">
        <w:rPr>
          <w:rFonts w:asciiTheme="minorHAnsi" w:hAnsiTheme="minorHAnsi" w:cstheme="minorHAnsi"/>
        </w:rPr>
        <w:t xml:space="preserve">15, 2015–16 and 2018-19. Increases were again observed at Loch Garry but not at McCoy’s Bridge in 2019-20. This </w:t>
      </w:r>
      <w:r>
        <w:rPr>
          <w:rFonts w:asciiTheme="minorHAnsi" w:hAnsiTheme="minorHAnsi" w:cstheme="minorHAnsi"/>
        </w:rPr>
        <w:t xml:space="preserve">difference between Loch Gary and McCoy’s Bridge </w:t>
      </w:r>
      <w:r w:rsidRPr="00AF6EAA">
        <w:rPr>
          <w:rFonts w:asciiTheme="minorHAnsi" w:hAnsiTheme="minorHAnsi" w:cstheme="minorHAnsi"/>
        </w:rPr>
        <w:t xml:space="preserve">may be because post </w:t>
      </w:r>
      <w:r>
        <w:rPr>
          <w:rFonts w:asciiTheme="minorHAnsi" w:hAnsiTheme="minorHAnsi" w:cstheme="minorHAnsi"/>
        </w:rPr>
        <w:t>Spring Fresh</w:t>
      </w:r>
      <w:r w:rsidRPr="00AF6EAA">
        <w:rPr>
          <w:rFonts w:asciiTheme="minorHAnsi" w:hAnsiTheme="minorHAnsi" w:cstheme="minorHAnsi"/>
        </w:rPr>
        <w:t xml:space="preserve"> surveys occurred two weeks earlier than previous years and because responses at McCoy’s Bridge may be </w:t>
      </w:r>
      <w:r w:rsidRPr="00AF6EAA">
        <w:rPr>
          <w:rFonts w:asciiTheme="minorHAnsi" w:hAnsiTheme="minorHAnsi" w:cstheme="minorHAnsi"/>
        </w:rPr>
        <w:lastRenderedPageBreak/>
        <w:t xml:space="preserve">slower than at Loch Garry. In 2020-21 natural high flows prevented an assessment of vegetation responses to the </w:t>
      </w:r>
      <w:r>
        <w:rPr>
          <w:rFonts w:asciiTheme="minorHAnsi" w:hAnsiTheme="minorHAnsi" w:cstheme="minorHAnsi"/>
        </w:rPr>
        <w:t>Spring Fresh</w:t>
      </w:r>
      <w:r w:rsidRPr="00AF6EAA">
        <w:rPr>
          <w:rFonts w:asciiTheme="minorHAnsi" w:hAnsiTheme="minorHAnsi" w:cstheme="minorHAnsi"/>
        </w:rPr>
        <w:t>. While increases in cover are</w:t>
      </w:r>
      <w:r>
        <w:rPr>
          <w:rFonts w:asciiTheme="minorHAnsi" w:hAnsiTheme="minorHAnsi" w:cstheme="minorHAnsi"/>
        </w:rPr>
        <w:t xml:space="preserve"> positively</w:t>
      </w:r>
      <w:r w:rsidRPr="00AF6EAA">
        <w:rPr>
          <w:rFonts w:asciiTheme="minorHAnsi" w:hAnsiTheme="minorHAnsi" w:cstheme="minorHAnsi"/>
        </w:rPr>
        <w:t xml:space="preserve"> correlated with </w:t>
      </w:r>
      <w:r>
        <w:rPr>
          <w:rFonts w:asciiTheme="minorHAnsi" w:hAnsiTheme="minorHAnsi" w:cstheme="minorHAnsi"/>
        </w:rPr>
        <w:t>Spring Fresh</w:t>
      </w:r>
      <w:r w:rsidRPr="00AF6EAA">
        <w:rPr>
          <w:rFonts w:asciiTheme="minorHAnsi" w:hAnsiTheme="minorHAnsi" w:cstheme="minorHAnsi"/>
        </w:rPr>
        <w:t xml:space="preserve">es it is not known what portion of the increase can be attributed to seasonal patterns of plant growth that would have occurred without the delivery of </w:t>
      </w:r>
      <w:r>
        <w:rPr>
          <w:rFonts w:asciiTheme="minorHAnsi" w:hAnsiTheme="minorHAnsi" w:cstheme="minorHAnsi"/>
        </w:rPr>
        <w:t>Spring Fresh</w:t>
      </w:r>
      <w:r w:rsidRPr="00AF6EAA">
        <w:rPr>
          <w:rFonts w:asciiTheme="minorHAnsi" w:hAnsiTheme="minorHAnsi" w:cstheme="minorHAnsi"/>
        </w:rPr>
        <w:t xml:space="preserve">es. </w:t>
      </w:r>
    </w:p>
    <w:p w14:paraId="66CB2CD0" w14:textId="77777777" w:rsidR="00D21E9C" w:rsidRPr="00CF00EA" w:rsidRDefault="00D21E9C" w:rsidP="00D21E9C">
      <w:pPr>
        <w:pStyle w:val="Para0"/>
        <w:numPr>
          <w:ilvl w:val="0"/>
          <w:numId w:val="25"/>
        </w:numPr>
        <w:rPr>
          <w:rFonts w:asciiTheme="minorHAnsi" w:hAnsiTheme="minorHAnsi" w:cstheme="minorHAnsi"/>
        </w:rPr>
      </w:pPr>
      <w:r w:rsidRPr="00DA431C">
        <w:rPr>
          <w:rFonts w:asciiTheme="minorHAnsi" w:hAnsiTheme="minorHAnsi" w:cstheme="minorHAnsi"/>
        </w:rPr>
        <w:t xml:space="preserve">The extent and duration of inundation provided by </w:t>
      </w:r>
      <w:r>
        <w:rPr>
          <w:rFonts w:asciiTheme="minorHAnsi" w:hAnsiTheme="minorHAnsi" w:cstheme="minorHAnsi"/>
        </w:rPr>
        <w:t>Spring Fresh</w:t>
      </w:r>
      <w:r w:rsidRPr="00DA431C">
        <w:rPr>
          <w:rFonts w:asciiTheme="minorHAnsi" w:hAnsiTheme="minorHAnsi" w:cstheme="minorHAnsi"/>
        </w:rPr>
        <w:t xml:space="preserve">es is correlated with the distribution and cover of vegetation </w:t>
      </w:r>
      <w:r>
        <w:rPr>
          <w:rFonts w:asciiTheme="minorHAnsi" w:hAnsiTheme="minorHAnsi" w:cstheme="minorHAnsi"/>
        </w:rPr>
        <w:t>up</w:t>
      </w:r>
      <w:r w:rsidRPr="00DA431C">
        <w:rPr>
          <w:rFonts w:asciiTheme="minorHAnsi" w:hAnsiTheme="minorHAnsi" w:cstheme="minorHAnsi"/>
        </w:rPr>
        <w:t xml:space="preserve"> the bank. Water </w:t>
      </w:r>
      <w:r w:rsidRPr="00AB1963">
        <w:rPr>
          <w:rFonts w:asciiTheme="minorHAnsi" w:hAnsiTheme="minorHAnsi" w:cstheme="minorHAnsi"/>
        </w:rPr>
        <w:t xml:space="preserve">dependent taxa have higher cover in regions of the bank inundated by </w:t>
      </w:r>
      <w:r>
        <w:rPr>
          <w:rFonts w:asciiTheme="minorHAnsi" w:hAnsiTheme="minorHAnsi" w:cstheme="minorHAnsi"/>
        </w:rPr>
        <w:t>Spring Fresh</w:t>
      </w:r>
      <w:r w:rsidRPr="00AB1963">
        <w:rPr>
          <w:rFonts w:asciiTheme="minorHAnsi" w:hAnsiTheme="minorHAnsi" w:cstheme="minorHAnsi"/>
        </w:rPr>
        <w:t>es. In contrast, the perennial native</w:t>
      </w:r>
      <w:r w:rsidRPr="000262EF">
        <w:rPr>
          <w:rFonts w:asciiTheme="minorHAnsi" w:hAnsiTheme="minorHAnsi" w:cstheme="minorHAnsi"/>
        </w:rPr>
        <w:t xml:space="preserve"> common tussock grass </w:t>
      </w:r>
      <w:r>
        <w:rPr>
          <w:rFonts w:asciiTheme="minorHAnsi" w:hAnsiTheme="minorHAnsi" w:cstheme="minorHAnsi"/>
        </w:rPr>
        <w:t>(</w:t>
      </w:r>
      <w:r w:rsidRPr="00CF71A9">
        <w:rPr>
          <w:rFonts w:asciiTheme="minorHAnsi" w:hAnsiTheme="minorHAnsi" w:cstheme="minorHAnsi"/>
          <w:i/>
          <w:iCs/>
        </w:rPr>
        <w:t xml:space="preserve">Poa </w:t>
      </w:r>
      <w:proofErr w:type="spellStart"/>
      <w:r w:rsidRPr="00CF71A9">
        <w:rPr>
          <w:rFonts w:asciiTheme="minorHAnsi" w:hAnsiTheme="minorHAnsi" w:cstheme="minorHAnsi"/>
          <w:i/>
          <w:iCs/>
        </w:rPr>
        <w:t>labillardierei</w:t>
      </w:r>
      <w:proofErr w:type="spellEnd"/>
      <w:r>
        <w:rPr>
          <w:rFonts w:asciiTheme="minorHAnsi" w:hAnsiTheme="minorHAnsi" w:cstheme="minorHAnsi"/>
        </w:rPr>
        <w:t xml:space="preserve">) </w:t>
      </w:r>
      <w:r w:rsidRPr="000262EF">
        <w:rPr>
          <w:rFonts w:asciiTheme="minorHAnsi" w:hAnsiTheme="minorHAnsi" w:cstheme="minorHAnsi"/>
        </w:rPr>
        <w:t>is more restricted in its distribution to</w:t>
      </w:r>
      <w:r>
        <w:rPr>
          <w:rFonts w:asciiTheme="minorHAnsi" w:hAnsiTheme="minorHAnsi" w:cstheme="minorHAnsi"/>
        </w:rPr>
        <w:t xml:space="preserve"> </w:t>
      </w:r>
      <w:r w:rsidRPr="000262EF">
        <w:rPr>
          <w:rFonts w:asciiTheme="minorHAnsi" w:hAnsiTheme="minorHAnsi" w:cstheme="minorHAnsi"/>
        </w:rPr>
        <w:t xml:space="preserve">elevations at the upper margins or above the level inundated by </w:t>
      </w:r>
      <w:r>
        <w:rPr>
          <w:rFonts w:asciiTheme="minorHAnsi" w:hAnsiTheme="minorHAnsi" w:cstheme="minorHAnsi"/>
        </w:rPr>
        <w:t>Spring Fresh</w:t>
      </w:r>
      <w:r w:rsidRPr="000262EF">
        <w:rPr>
          <w:rFonts w:asciiTheme="minorHAnsi" w:hAnsiTheme="minorHAnsi" w:cstheme="minorHAnsi"/>
        </w:rPr>
        <w:t xml:space="preserve">es. This pattern has persisted over time. </w:t>
      </w:r>
      <w:r>
        <w:rPr>
          <w:rFonts w:asciiTheme="minorHAnsi" w:hAnsiTheme="minorHAnsi" w:cstheme="minorHAnsi"/>
        </w:rPr>
        <w:t>Similarly, t</w:t>
      </w:r>
      <w:r w:rsidRPr="0045465A">
        <w:rPr>
          <w:rFonts w:asciiTheme="minorHAnsi" w:hAnsiTheme="minorHAnsi" w:cstheme="minorHAnsi"/>
        </w:rPr>
        <w:t xml:space="preserve">he recruitment </w:t>
      </w:r>
      <w:r>
        <w:rPr>
          <w:rFonts w:asciiTheme="minorHAnsi" w:hAnsiTheme="minorHAnsi" w:cstheme="minorHAnsi"/>
        </w:rPr>
        <w:t xml:space="preserve">of </w:t>
      </w:r>
      <w:r w:rsidRPr="0045465A">
        <w:rPr>
          <w:rFonts w:asciiTheme="minorHAnsi" w:hAnsiTheme="minorHAnsi" w:cstheme="minorHAnsi"/>
        </w:rPr>
        <w:t>silver wattle (</w:t>
      </w:r>
      <w:r w:rsidRPr="0045465A">
        <w:rPr>
          <w:rFonts w:asciiTheme="minorHAnsi" w:hAnsiTheme="minorHAnsi" w:cstheme="minorHAnsi"/>
          <w:i/>
        </w:rPr>
        <w:t>Acacia dealbata</w:t>
      </w:r>
      <w:r w:rsidRPr="0045465A">
        <w:rPr>
          <w:rFonts w:asciiTheme="minorHAnsi" w:hAnsiTheme="minorHAnsi" w:cstheme="minorHAnsi"/>
        </w:rPr>
        <w:t>) and river red gum (</w:t>
      </w:r>
      <w:r w:rsidRPr="0045465A">
        <w:rPr>
          <w:rFonts w:asciiTheme="minorHAnsi" w:hAnsiTheme="minorHAnsi" w:cstheme="minorHAnsi"/>
          <w:i/>
        </w:rPr>
        <w:t>Eucalyptus camaldulensis</w:t>
      </w:r>
      <w:r w:rsidRPr="0045465A">
        <w:rPr>
          <w:rFonts w:asciiTheme="minorHAnsi" w:hAnsiTheme="minorHAnsi" w:cstheme="minorHAnsi"/>
        </w:rPr>
        <w:t xml:space="preserve">) is restricted to higher areas of the bank </w:t>
      </w:r>
      <w:r>
        <w:rPr>
          <w:rFonts w:asciiTheme="minorHAnsi" w:hAnsiTheme="minorHAnsi" w:cstheme="minorHAnsi"/>
        </w:rPr>
        <w:t>that</w:t>
      </w:r>
      <w:r w:rsidRPr="0045465A">
        <w:rPr>
          <w:rFonts w:asciiTheme="minorHAnsi" w:hAnsiTheme="minorHAnsi" w:cstheme="minorHAnsi"/>
        </w:rPr>
        <w:t xml:space="preserve"> experience shallow and less frequent inundation. </w:t>
      </w:r>
    </w:p>
    <w:p w14:paraId="1B831868" w14:textId="77777777" w:rsidR="00D21E9C" w:rsidRPr="00266590" w:rsidRDefault="00D21E9C" w:rsidP="00D21E9C">
      <w:pPr>
        <w:pStyle w:val="Para0"/>
        <w:ind w:left="360"/>
        <w:rPr>
          <w:rFonts w:asciiTheme="minorHAnsi" w:hAnsiTheme="minorHAnsi" w:cstheme="minorHAnsi"/>
          <w:i/>
          <w:iCs/>
          <w:u w:val="single"/>
        </w:rPr>
      </w:pPr>
      <w:r w:rsidRPr="00266590">
        <w:rPr>
          <w:rFonts w:asciiTheme="minorHAnsi" w:hAnsiTheme="minorHAnsi" w:cstheme="minorHAnsi"/>
          <w:i/>
          <w:iCs/>
          <w:u w:val="single"/>
        </w:rPr>
        <w:t>Low summer flows and Inter-Valley Transfer (IVTs)</w:t>
      </w:r>
    </w:p>
    <w:p w14:paraId="0F4C1664" w14:textId="77777777" w:rsidR="00D21E9C" w:rsidRPr="00AE2341" w:rsidRDefault="00D21E9C" w:rsidP="00D21E9C">
      <w:pPr>
        <w:pStyle w:val="Para0"/>
        <w:numPr>
          <w:ilvl w:val="0"/>
          <w:numId w:val="26"/>
        </w:numPr>
        <w:rPr>
          <w:rFonts w:asciiTheme="minorHAnsi" w:hAnsiTheme="minorHAnsi" w:cstheme="minorHAnsi"/>
        </w:rPr>
      </w:pPr>
      <w:r w:rsidRPr="00AF6EAA">
        <w:rPr>
          <w:rFonts w:asciiTheme="minorHAnsi" w:hAnsiTheme="minorHAnsi" w:cstheme="minorHAnsi"/>
        </w:rPr>
        <w:t xml:space="preserve">Prolonged high river discharges delivered for consumptive use as IVTs in 2018-19 eliminated much of the </w:t>
      </w:r>
      <w:r>
        <w:rPr>
          <w:rFonts w:asciiTheme="minorHAnsi" w:hAnsiTheme="minorHAnsi" w:cstheme="minorHAnsi"/>
        </w:rPr>
        <w:t xml:space="preserve">fringing vegetation (Zone 1a and Zone 1b) that had established under low flows </w:t>
      </w:r>
      <w:r w:rsidRPr="00252736">
        <w:rPr>
          <w:rFonts w:asciiTheme="minorHAnsi" w:hAnsiTheme="minorHAnsi" w:cstheme="minorHAnsi"/>
        </w:rPr>
        <w:t>in 2015</w:t>
      </w:r>
      <w:r>
        <w:rPr>
          <w:rFonts w:asciiTheme="minorHAnsi" w:hAnsiTheme="minorHAnsi" w:cstheme="minorHAnsi"/>
        </w:rPr>
        <w:t>-</w:t>
      </w:r>
      <w:r w:rsidRPr="00252736">
        <w:rPr>
          <w:rFonts w:asciiTheme="minorHAnsi" w:hAnsiTheme="minorHAnsi" w:cstheme="minorHAnsi"/>
        </w:rPr>
        <w:t>16</w:t>
      </w:r>
      <w:r w:rsidRPr="00AF6EAA">
        <w:rPr>
          <w:rFonts w:asciiTheme="minorHAnsi" w:hAnsiTheme="minorHAnsi" w:cstheme="minorHAnsi"/>
        </w:rPr>
        <w:t xml:space="preserve">. </w:t>
      </w:r>
      <w:r>
        <w:rPr>
          <w:rFonts w:asciiTheme="minorHAnsi" w:hAnsiTheme="minorHAnsi" w:cstheme="minorHAnsi"/>
        </w:rPr>
        <w:t xml:space="preserve"> I</w:t>
      </w:r>
      <w:r w:rsidRPr="00AF6EAA">
        <w:rPr>
          <w:rFonts w:asciiTheme="minorHAnsi" w:hAnsiTheme="minorHAnsi" w:cstheme="minorHAnsi"/>
        </w:rPr>
        <w:t>n September prior to IVT delivery in 2019-20</w:t>
      </w:r>
      <w:r>
        <w:rPr>
          <w:rFonts w:asciiTheme="minorHAnsi" w:hAnsiTheme="minorHAnsi" w:cstheme="minorHAnsi"/>
        </w:rPr>
        <w:t xml:space="preserve"> t</w:t>
      </w:r>
      <w:r w:rsidRPr="00AF6EAA">
        <w:rPr>
          <w:rFonts w:asciiTheme="minorHAnsi" w:hAnsiTheme="minorHAnsi" w:cstheme="minorHAnsi"/>
        </w:rPr>
        <w:t xml:space="preserve">here was no evidence that vegetation was re-establishing </w:t>
      </w:r>
      <w:r>
        <w:rPr>
          <w:rFonts w:asciiTheme="minorHAnsi" w:hAnsiTheme="minorHAnsi" w:cstheme="minorHAnsi"/>
        </w:rPr>
        <w:t xml:space="preserve">under the unnaturally high summer flow resulting from IVTs delivered in 2018-19, </w:t>
      </w:r>
      <w:r w:rsidRPr="00AF6EAA">
        <w:rPr>
          <w:rFonts w:asciiTheme="minorHAnsi" w:hAnsiTheme="minorHAnsi" w:cstheme="minorHAnsi"/>
        </w:rPr>
        <w:t xml:space="preserve">although some patches of germination were observed. </w:t>
      </w:r>
      <w:r>
        <w:rPr>
          <w:rFonts w:asciiTheme="minorHAnsi" w:hAnsiTheme="minorHAnsi" w:cstheme="minorHAnsi"/>
        </w:rPr>
        <w:t>F</w:t>
      </w:r>
      <w:r w:rsidRPr="00AF6EAA">
        <w:rPr>
          <w:rFonts w:asciiTheme="minorHAnsi" w:hAnsiTheme="minorHAnsi" w:cstheme="minorHAnsi"/>
        </w:rPr>
        <w:t xml:space="preserve">ollowing IVT delivery in 2019-20 </w:t>
      </w:r>
      <w:r>
        <w:rPr>
          <w:rFonts w:asciiTheme="minorHAnsi" w:hAnsiTheme="minorHAnsi" w:cstheme="minorHAnsi"/>
        </w:rPr>
        <w:t>t</w:t>
      </w:r>
      <w:r w:rsidRPr="00AF6EAA">
        <w:rPr>
          <w:rFonts w:asciiTheme="minorHAnsi" w:hAnsiTheme="minorHAnsi" w:cstheme="minorHAnsi"/>
        </w:rPr>
        <w:t xml:space="preserve">here were no further reductions in vegetation as most vegetation in this </w:t>
      </w:r>
      <w:r>
        <w:rPr>
          <w:rFonts w:asciiTheme="minorHAnsi" w:hAnsiTheme="minorHAnsi" w:cstheme="minorHAnsi"/>
        </w:rPr>
        <w:t>bank zone</w:t>
      </w:r>
      <w:r w:rsidRPr="00AF6EAA">
        <w:rPr>
          <w:rFonts w:asciiTheme="minorHAnsi" w:hAnsiTheme="minorHAnsi" w:cstheme="minorHAnsi"/>
        </w:rPr>
        <w:t xml:space="preserve"> had already been lost in 2018-19. At higher elevations where IVT flows are likely to result in only very shallow inundation the cover of grasses increased. </w:t>
      </w:r>
      <w:r w:rsidRPr="00B34028">
        <w:rPr>
          <w:rFonts w:asciiTheme="minorHAnsi" w:hAnsiTheme="minorHAnsi" w:cstheme="minorHAnsi"/>
        </w:rPr>
        <w:t>Suitable hydrau</w:t>
      </w:r>
      <w:r w:rsidRPr="00436725">
        <w:rPr>
          <w:rFonts w:asciiTheme="minorHAnsi" w:hAnsiTheme="minorHAnsi" w:cstheme="minorHAnsi"/>
        </w:rPr>
        <w:t xml:space="preserve">lic habitat may be experienced for some plant taxa on low lying benches under higher summer flows associated with IVT delivery, but the spatial extent of these features is not well mapped. </w:t>
      </w:r>
    </w:p>
    <w:p w14:paraId="7503AE2D" w14:textId="77777777" w:rsidR="00D21E9C" w:rsidRPr="00CB203D" w:rsidRDefault="00D21E9C" w:rsidP="00DE6E94">
      <w:pPr>
        <w:pStyle w:val="Para0"/>
        <w:numPr>
          <w:ilvl w:val="0"/>
          <w:numId w:val="81"/>
        </w:numPr>
        <w:rPr>
          <w:rFonts w:cstheme="minorHAnsi"/>
        </w:rPr>
      </w:pPr>
      <w:r w:rsidRPr="007606E2">
        <w:rPr>
          <w:rFonts w:asciiTheme="minorHAnsi" w:hAnsiTheme="minorHAnsi" w:cstheme="minorHAnsi"/>
        </w:rPr>
        <w:t xml:space="preserve">Lower and more stable flows over summer in 2020-21 resulted in the establishment of narrow bands of water dependant vegetation along the river fringe (Zone 1b). These newly established bands were patchily distributed along the river and comprised mostly of </w:t>
      </w:r>
      <w:r>
        <w:rPr>
          <w:rFonts w:asciiTheme="minorHAnsi" w:hAnsiTheme="minorHAnsi" w:cstheme="minorHAnsi"/>
        </w:rPr>
        <w:t xml:space="preserve">sedges (mostly </w:t>
      </w:r>
      <w:r w:rsidRPr="003704AD">
        <w:rPr>
          <w:rFonts w:asciiTheme="minorHAnsi" w:hAnsiTheme="minorHAnsi" w:cstheme="minorHAnsi"/>
          <w:i/>
          <w:iCs/>
        </w:rPr>
        <w:t xml:space="preserve">Cyperus </w:t>
      </w:r>
      <w:r w:rsidRPr="00AE2341">
        <w:rPr>
          <w:rFonts w:asciiTheme="minorHAnsi" w:hAnsiTheme="minorHAnsi" w:cstheme="minorHAnsi"/>
        </w:rPr>
        <w:t>spp.</w:t>
      </w:r>
      <w:r w:rsidRPr="007522F3">
        <w:rPr>
          <w:rFonts w:asciiTheme="minorHAnsi" w:hAnsiTheme="minorHAnsi" w:cstheme="minorHAnsi"/>
        </w:rPr>
        <w:t>)</w:t>
      </w:r>
      <w:r>
        <w:rPr>
          <w:rFonts w:asciiTheme="minorHAnsi" w:hAnsiTheme="minorHAnsi" w:cstheme="minorHAnsi"/>
        </w:rPr>
        <w:t>,</w:t>
      </w:r>
      <w:r>
        <w:rPr>
          <w:rFonts w:asciiTheme="minorHAnsi" w:hAnsiTheme="minorHAnsi" w:cstheme="minorHAnsi"/>
          <w:i/>
          <w:iCs/>
        </w:rPr>
        <w:t xml:space="preserve"> </w:t>
      </w:r>
      <w:r>
        <w:rPr>
          <w:rFonts w:asciiTheme="minorHAnsi" w:hAnsiTheme="minorHAnsi" w:cstheme="minorHAnsi"/>
        </w:rPr>
        <w:t>w</w:t>
      </w:r>
      <w:r w:rsidRPr="007522F3">
        <w:rPr>
          <w:rFonts w:asciiTheme="minorHAnsi" w:hAnsiTheme="minorHAnsi" w:cstheme="minorHAnsi"/>
        </w:rPr>
        <w:t xml:space="preserve">ater </w:t>
      </w:r>
      <w:r>
        <w:rPr>
          <w:rFonts w:asciiTheme="minorHAnsi" w:hAnsiTheme="minorHAnsi" w:cstheme="minorHAnsi"/>
        </w:rPr>
        <w:t>p</w:t>
      </w:r>
      <w:r w:rsidRPr="007522F3">
        <w:rPr>
          <w:rFonts w:asciiTheme="minorHAnsi" w:hAnsiTheme="minorHAnsi" w:cstheme="minorHAnsi"/>
        </w:rPr>
        <w:t>epper</w:t>
      </w:r>
      <w:r>
        <w:rPr>
          <w:rFonts w:asciiTheme="minorHAnsi" w:hAnsiTheme="minorHAnsi" w:cstheme="minorHAnsi"/>
          <w:i/>
          <w:iCs/>
        </w:rPr>
        <w:t xml:space="preserve"> (</w:t>
      </w:r>
      <w:proofErr w:type="spellStart"/>
      <w:r w:rsidRPr="003704AD">
        <w:rPr>
          <w:rFonts w:asciiTheme="minorHAnsi" w:hAnsiTheme="minorHAnsi" w:cstheme="minorHAnsi"/>
          <w:i/>
          <w:iCs/>
        </w:rPr>
        <w:t>Persicaria</w:t>
      </w:r>
      <w:proofErr w:type="spellEnd"/>
      <w:r w:rsidRPr="003704AD">
        <w:rPr>
          <w:rFonts w:asciiTheme="minorHAnsi" w:hAnsiTheme="minorHAnsi" w:cstheme="minorHAnsi"/>
          <w:i/>
          <w:iCs/>
        </w:rPr>
        <w:t xml:space="preserve"> hydropiper</w:t>
      </w:r>
      <w:r>
        <w:rPr>
          <w:rFonts w:asciiTheme="minorHAnsi" w:hAnsiTheme="minorHAnsi" w:cstheme="minorHAnsi"/>
          <w:i/>
          <w:iCs/>
        </w:rPr>
        <w:t xml:space="preserve">) </w:t>
      </w:r>
      <w:r w:rsidRPr="007522F3">
        <w:rPr>
          <w:rFonts w:asciiTheme="minorHAnsi" w:hAnsiTheme="minorHAnsi" w:cstheme="minorHAnsi"/>
        </w:rPr>
        <w:t>and</w:t>
      </w:r>
      <w:r w:rsidRPr="003704AD">
        <w:rPr>
          <w:rFonts w:asciiTheme="minorHAnsi" w:hAnsiTheme="minorHAnsi" w:cstheme="minorHAnsi"/>
          <w:i/>
          <w:iCs/>
        </w:rPr>
        <w:t xml:space="preserve"> </w:t>
      </w:r>
      <w:r>
        <w:rPr>
          <w:rFonts w:asciiTheme="minorHAnsi" w:hAnsiTheme="minorHAnsi" w:cstheme="minorHAnsi"/>
        </w:rPr>
        <w:t>p</w:t>
      </w:r>
      <w:r w:rsidRPr="007522F3">
        <w:rPr>
          <w:rFonts w:asciiTheme="minorHAnsi" w:hAnsiTheme="minorHAnsi" w:cstheme="minorHAnsi"/>
        </w:rPr>
        <w:t xml:space="preserve">ale </w:t>
      </w:r>
      <w:r>
        <w:rPr>
          <w:rFonts w:asciiTheme="minorHAnsi" w:hAnsiTheme="minorHAnsi" w:cstheme="minorHAnsi"/>
        </w:rPr>
        <w:t>k</w:t>
      </w:r>
      <w:r w:rsidRPr="007522F3">
        <w:rPr>
          <w:rFonts w:asciiTheme="minorHAnsi" w:hAnsiTheme="minorHAnsi" w:cstheme="minorHAnsi"/>
        </w:rPr>
        <w:t>notweed</w:t>
      </w:r>
      <w:r>
        <w:rPr>
          <w:rFonts w:asciiTheme="minorHAnsi" w:hAnsiTheme="minorHAnsi" w:cstheme="minorHAnsi"/>
          <w:i/>
          <w:iCs/>
        </w:rPr>
        <w:t xml:space="preserve"> </w:t>
      </w:r>
      <w:r w:rsidRPr="007522F3">
        <w:rPr>
          <w:rFonts w:asciiTheme="minorHAnsi" w:hAnsiTheme="minorHAnsi" w:cstheme="minorHAnsi"/>
        </w:rPr>
        <w:t>(</w:t>
      </w:r>
      <w:proofErr w:type="spellStart"/>
      <w:r w:rsidRPr="003704AD">
        <w:rPr>
          <w:rFonts w:asciiTheme="minorHAnsi" w:hAnsiTheme="minorHAnsi" w:cstheme="minorHAnsi"/>
          <w:i/>
          <w:iCs/>
        </w:rPr>
        <w:t>Persicaria</w:t>
      </w:r>
      <w:proofErr w:type="spellEnd"/>
      <w:r w:rsidRPr="003704AD">
        <w:rPr>
          <w:rFonts w:asciiTheme="minorHAnsi" w:hAnsiTheme="minorHAnsi" w:cstheme="minorHAnsi"/>
          <w:i/>
          <w:iCs/>
        </w:rPr>
        <w:t xml:space="preserve"> </w:t>
      </w:r>
      <w:proofErr w:type="spellStart"/>
      <w:r w:rsidRPr="003704AD">
        <w:rPr>
          <w:rFonts w:asciiTheme="minorHAnsi" w:hAnsiTheme="minorHAnsi" w:cstheme="minorHAnsi"/>
          <w:i/>
          <w:iCs/>
        </w:rPr>
        <w:t>lapathifolia</w:t>
      </w:r>
      <w:proofErr w:type="spellEnd"/>
      <w:r w:rsidRPr="007522F3">
        <w:rPr>
          <w:rFonts w:asciiTheme="minorHAnsi" w:hAnsiTheme="minorHAnsi" w:cstheme="minorHAnsi"/>
        </w:rPr>
        <w:t>)</w:t>
      </w:r>
      <w:r w:rsidRPr="003704AD">
        <w:rPr>
          <w:rFonts w:asciiTheme="minorHAnsi" w:hAnsiTheme="minorHAnsi" w:cstheme="minorHAnsi"/>
        </w:rPr>
        <w:t xml:space="preserve">. </w:t>
      </w:r>
      <w:r w:rsidRPr="007606E2">
        <w:rPr>
          <w:rFonts w:asciiTheme="minorHAnsi" w:hAnsiTheme="minorHAnsi" w:cstheme="minorHAnsi"/>
        </w:rPr>
        <w:t xml:space="preserve">Many plants that had established were setting seed in March 2021 after ~13 weeks of lower flows. Although some recovery of fringing vegetation has been achieved </w:t>
      </w:r>
      <w:r>
        <w:rPr>
          <w:rFonts w:asciiTheme="minorHAnsi" w:hAnsiTheme="minorHAnsi" w:cstheme="minorHAnsi"/>
        </w:rPr>
        <w:t xml:space="preserve">there was little to no response of vegetation in Zone 1a, the lowest elevation surveyed, and lower flows may be required for vegetation to establish in this zone.  </w:t>
      </w:r>
    </w:p>
    <w:p w14:paraId="293DE8DD" w14:textId="06B40C46" w:rsidR="00D21E9C" w:rsidRDefault="00D21E9C" w:rsidP="00DE6E94">
      <w:pPr>
        <w:pStyle w:val="ListParagraph"/>
        <w:numPr>
          <w:ilvl w:val="0"/>
          <w:numId w:val="81"/>
        </w:numPr>
      </w:pPr>
      <w:r w:rsidRPr="00BA2632">
        <w:t>The narrowing of the littoral band of vegetation due to higher IVT demand</w:t>
      </w:r>
      <w:r>
        <w:t xml:space="preserve"> </w:t>
      </w:r>
      <w:r>
        <w:rPr>
          <w:rFonts w:cstheme="minorHAnsi"/>
        </w:rPr>
        <w:t>(and therefore larger/longer summer flows)</w:t>
      </w:r>
      <w:r w:rsidRPr="00BA2632">
        <w:t xml:space="preserve"> is expected to reduce the resilience of vegetation by limiting propagule supply and reducing the buffering capacity that wider </w:t>
      </w:r>
      <w:r>
        <w:t>bands</w:t>
      </w:r>
      <w:r w:rsidRPr="00BA2632">
        <w:t xml:space="preserve"> may offer </w:t>
      </w:r>
      <w:r>
        <w:t>against</w:t>
      </w:r>
      <w:r w:rsidRPr="00BA2632">
        <w:t xml:space="preserve"> high flow velocities. This increases vulnerability to erosion and further loss of vegetation. The loss of vegetation at the toe of bank increases the risk of erosion and subsequent changes in channel geomorphology that are not easily reversed.</w:t>
      </w:r>
    </w:p>
    <w:p w14:paraId="471B2B25" w14:textId="77777777" w:rsidR="00D21E9C" w:rsidRPr="00266590" w:rsidRDefault="00D21E9C" w:rsidP="00D21E9C">
      <w:pPr>
        <w:pStyle w:val="Para0"/>
        <w:ind w:left="360"/>
        <w:rPr>
          <w:rFonts w:asciiTheme="minorHAnsi" w:hAnsiTheme="minorHAnsi" w:cstheme="minorHAnsi"/>
          <w:i/>
          <w:iCs/>
          <w:u w:val="single"/>
        </w:rPr>
      </w:pPr>
      <w:r w:rsidRPr="00266590">
        <w:rPr>
          <w:rFonts w:asciiTheme="minorHAnsi" w:hAnsiTheme="minorHAnsi" w:cstheme="minorHAnsi"/>
          <w:i/>
          <w:iCs/>
          <w:u w:val="single"/>
        </w:rPr>
        <w:t>Autumn fresh</w:t>
      </w:r>
    </w:p>
    <w:p w14:paraId="78530181" w14:textId="77777777" w:rsidR="00D21E9C" w:rsidRPr="00BA2632" w:rsidRDefault="00D21E9C" w:rsidP="00D21E9C">
      <w:pPr>
        <w:pStyle w:val="Para0"/>
        <w:numPr>
          <w:ilvl w:val="0"/>
          <w:numId w:val="26"/>
        </w:numPr>
        <w:rPr>
          <w:rFonts w:asciiTheme="minorHAnsi" w:hAnsiTheme="minorHAnsi" w:cstheme="minorHAnsi"/>
        </w:rPr>
      </w:pPr>
      <w:r w:rsidRPr="00BA2632">
        <w:rPr>
          <w:rFonts w:asciiTheme="minorHAnsi" w:hAnsiTheme="minorHAnsi" w:cstheme="minorHAnsi"/>
        </w:rPr>
        <w:t>There was no evidence that the delivery of a fresh in March 2017 had any immediate negative outcome on bank vegetation. There is some evidence that grasses</w:t>
      </w:r>
      <w:r>
        <w:rPr>
          <w:rFonts w:asciiTheme="minorHAnsi" w:hAnsiTheme="minorHAnsi" w:cstheme="minorHAnsi"/>
        </w:rPr>
        <w:t xml:space="preserve"> at higher elevations</w:t>
      </w:r>
      <w:r w:rsidRPr="00BA2632">
        <w:rPr>
          <w:rFonts w:asciiTheme="minorHAnsi" w:hAnsiTheme="minorHAnsi" w:cstheme="minorHAnsi"/>
        </w:rPr>
        <w:t xml:space="preserve"> benefited from this late season watering. </w:t>
      </w:r>
    </w:p>
    <w:p w14:paraId="236DB49D" w14:textId="77777777" w:rsidR="00D21E9C" w:rsidRPr="00266590" w:rsidRDefault="00D21E9C" w:rsidP="00D21E9C">
      <w:pPr>
        <w:pStyle w:val="Para0"/>
        <w:ind w:left="360"/>
        <w:rPr>
          <w:rFonts w:asciiTheme="minorHAnsi" w:hAnsiTheme="minorHAnsi" w:cstheme="minorHAnsi"/>
          <w:i/>
          <w:iCs/>
          <w:u w:val="single"/>
        </w:rPr>
      </w:pPr>
      <w:r w:rsidRPr="00266590">
        <w:rPr>
          <w:rFonts w:asciiTheme="minorHAnsi" w:hAnsiTheme="minorHAnsi" w:cstheme="minorHAnsi"/>
          <w:i/>
          <w:iCs/>
          <w:u w:val="single"/>
        </w:rPr>
        <w:t>Differences between sites</w:t>
      </w:r>
    </w:p>
    <w:p w14:paraId="42B6C387" w14:textId="77777777" w:rsidR="00D21E9C" w:rsidRPr="00870988" w:rsidRDefault="00D21E9C" w:rsidP="00D21E9C">
      <w:pPr>
        <w:pStyle w:val="Para0"/>
        <w:numPr>
          <w:ilvl w:val="0"/>
          <w:numId w:val="26"/>
        </w:numPr>
        <w:rPr>
          <w:rFonts w:asciiTheme="minorHAnsi" w:hAnsiTheme="minorHAnsi" w:cstheme="minorHAnsi"/>
        </w:rPr>
      </w:pPr>
      <w:r w:rsidRPr="002D0F5F">
        <w:rPr>
          <w:rFonts w:asciiTheme="minorHAnsi" w:hAnsiTheme="minorHAnsi" w:cstheme="minorHAnsi"/>
        </w:rPr>
        <w:t>Vegetation cover is consistently lower at McCoy’s Bridge compared with Loch Garry but responses of vegetation to environmental water and unregulated flows are generally similar.</w:t>
      </w:r>
      <w:r>
        <w:rPr>
          <w:rFonts w:asciiTheme="minorHAnsi" w:hAnsiTheme="minorHAnsi" w:cstheme="minorHAnsi"/>
        </w:rPr>
        <w:t xml:space="preserve"> </w:t>
      </w:r>
      <w:r w:rsidRPr="002D0F5F">
        <w:rPr>
          <w:rFonts w:asciiTheme="minorHAnsi" w:hAnsiTheme="minorHAnsi" w:cstheme="minorHAnsi"/>
        </w:rPr>
        <w:t xml:space="preserve">The reason for differences in </w:t>
      </w:r>
      <w:r>
        <w:rPr>
          <w:rFonts w:asciiTheme="minorHAnsi" w:hAnsiTheme="minorHAnsi" w:cstheme="minorHAnsi"/>
        </w:rPr>
        <w:t xml:space="preserve">vegetation </w:t>
      </w:r>
      <w:r w:rsidRPr="002D0F5F">
        <w:rPr>
          <w:rFonts w:asciiTheme="minorHAnsi" w:hAnsiTheme="minorHAnsi" w:cstheme="minorHAnsi"/>
        </w:rPr>
        <w:t xml:space="preserve">cover </w:t>
      </w:r>
      <w:r>
        <w:rPr>
          <w:rFonts w:asciiTheme="minorHAnsi" w:hAnsiTheme="minorHAnsi" w:cstheme="minorHAnsi"/>
        </w:rPr>
        <w:t>between</w:t>
      </w:r>
      <w:r w:rsidRPr="002D0F5F">
        <w:rPr>
          <w:rFonts w:asciiTheme="minorHAnsi" w:hAnsiTheme="minorHAnsi" w:cstheme="minorHAnsi"/>
        </w:rPr>
        <w:t xml:space="preserve"> the two sites is not known but may reflect differences in channel shape, the aspect of sampled transects, or differences in subsurface water inflows. Loch Garry potentially receives higher subsurface water inflows from the closer proximity of large wetlands compared to McCoy’s which experiences more human activity and </w:t>
      </w:r>
      <w:r>
        <w:rPr>
          <w:rFonts w:asciiTheme="minorHAnsi" w:hAnsiTheme="minorHAnsi" w:cstheme="minorHAnsi"/>
        </w:rPr>
        <w:t>livestock</w:t>
      </w:r>
      <w:r w:rsidRPr="002D0F5F">
        <w:rPr>
          <w:rFonts w:asciiTheme="minorHAnsi" w:hAnsiTheme="minorHAnsi" w:cstheme="minorHAnsi"/>
        </w:rPr>
        <w:t xml:space="preserve"> grazing (</w:t>
      </w:r>
      <w:r w:rsidRPr="002D0F5F">
        <w:rPr>
          <w:rFonts w:asciiTheme="minorHAnsi" w:hAnsiTheme="minorHAnsi" w:cstheme="minorHAnsi"/>
          <w:i/>
        </w:rPr>
        <w:t>pers</w:t>
      </w:r>
      <w:r w:rsidRPr="002D0F5F">
        <w:rPr>
          <w:rFonts w:asciiTheme="minorHAnsi" w:hAnsiTheme="minorHAnsi" w:cstheme="minorHAnsi"/>
        </w:rPr>
        <w:t>.</w:t>
      </w:r>
      <w:r w:rsidRPr="002D0F5F">
        <w:rPr>
          <w:rFonts w:asciiTheme="minorHAnsi" w:hAnsiTheme="minorHAnsi" w:cstheme="minorHAnsi"/>
          <w:i/>
        </w:rPr>
        <w:t xml:space="preserve"> obs.</w:t>
      </w:r>
      <w:r w:rsidRPr="002D0F5F">
        <w:rPr>
          <w:rFonts w:asciiTheme="minorHAnsi" w:hAnsiTheme="minorHAnsi" w:cstheme="minorHAnsi"/>
        </w:rPr>
        <w:t xml:space="preserve"> D. Lovell, GBCMA).</w:t>
      </w:r>
    </w:p>
    <w:p w14:paraId="7877D95F" w14:textId="77777777" w:rsidR="00D21E9C" w:rsidRPr="00266590" w:rsidRDefault="00D21E9C" w:rsidP="00D21E9C">
      <w:pPr>
        <w:pStyle w:val="Para0"/>
        <w:ind w:left="360"/>
        <w:rPr>
          <w:rFonts w:asciiTheme="minorHAnsi" w:hAnsiTheme="minorHAnsi" w:cstheme="minorBidi"/>
          <w:i/>
          <w:iCs/>
          <w:u w:val="single"/>
        </w:rPr>
      </w:pPr>
      <w:r w:rsidRPr="00266590">
        <w:rPr>
          <w:rFonts w:asciiTheme="minorHAnsi" w:hAnsiTheme="minorHAnsi" w:cstheme="minorBidi"/>
          <w:i/>
          <w:iCs/>
          <w:u w:val="single"/>
        </w:rPr>
        <w:t>Temporal trends</w:t>
      </w:r>
    </w:p>
    <w:p w14:paraId="28DB0EB8" w14:textId="6A91E91D" w:rsidR="00D21E9C" w:rsidRPr="0076656C" w:rsidRDefault="00D21E9C" w:rsidP="00D21E9C">
      <w:pPr>
        <w:pStyle w:val="Para0"/>
        <w:numPr>
          <w:ilvl w:val="0"/>
          <w:numId w:val="26"/>
        </w:numPr>
        <w:rPr>
          <w:rFonts w:asciiTheme="minorHAnsi" w:hAnsiTheme="minorHAnsi" w:cstheme="minorHAnsi"/>
        </w:rPr>
      </w:pPr>
      <w:r w:rsidRPr="00DB69B0">
        <w:rPr>
          <w:rFonts w:asciiTheme="minorHAnsi" w:hAnsiTheme="minorHAnsi" w:cstheme="minorHAnsi"/>
        </w:rPr>
        <w:t xml:space="preserve">There has been a small increase in the summed cover of all ground layer plants between 2014 and 2021 at both Loch Garry and </w:t>
      </w:r>
      <w:proofErr w:type="spellStart"/>
      <w:r w:rsidRPr="00DB69B0">
        <w:rPr>
          <w:rFonts w:asciiTheme="minorHAnsi" w:hAnsiTheme="minorHAnsi" w:cstheme="minorHAnsi"/>
        </w:rPr>
        <w:t>McCoys</w:t>
      </w:r>
      <w:proofErr w:type="spellEnd"/>
      <w:r w:rsidRPr="00DB69B0">
        <w:rPr>
          <w:rFonts w:asciiTheme="minorHAnsi" w:hAnsiTheme="minorHAnsi" w:cstheme="minorHAnsi"/>
        </w:rPr>
        <w:t xml:space="preserve"> Bridge</w:t>
      </w:r>
      <w:r>
        <w:rPr>
          <w:rFonts w:asciiTheme="minorHAnsi" w:hAnsiTheme="minorHAnsi" w:cstheme="minorHAnsi"/>
        </w:rPr>
        <w:t>.</w:t>
      </w:r>
      <w:r w:rsidRPr="00DB69B0">
        <w:rPr>
          <w:rFonts w:asciiTheme="minorHAnsi" w:hAnsiTheme="minorHAnsi" w:cstheme="minorHAnsi"/>
        </w:rPr>
        <w:t xml:space="preserve"> </w:t>
      </w:r>
      <w:r>
        <w:rPr>
          <w:rFonts w:asciiTheme="minorHAnsi" w:hAnsiTheme="minorHAnsi" w:cstheme="minorHAnsi"/>
        </w:rPr>
        <w:t>Trends, however,</w:t>
      </w:r>
      <w:r w:rsidRPr="00DB69B0">
        <w:rPr>
          <w:rFonts w:asciiTheme="minorHAnsi" w:hAnsiTheme="minorHAnsi" w:cstheme="minorHAnsi"/>
        </w:rPr>
        <w:t xml:space="preserve"> </w:t>
      </w:r>
      <w:r>
        <w:rPr>
          <w:rFonts w:asciiTheme="minorHAnsi" w:hAnsiTheme="minorHAnsi" w:cstheme="minorHAnsi"/>
        </w:rPr>
        <w:t>vary</w:t>
      </w:r>
      <w:r w:rsidRPr="00DB69B0">
        <w:rPr>
          <w:rFonts w:asciiTheme="minorHAnsi" w:hAnsiTheme="minorHAnsi" w:cstheme="minorHAnsi"/>
        </w:rPr>
        <w:t xml:space="preserve"> </w:t>
      </w:r>
      <w:r w:rsidRPr="00A86873">
        <w:rPr>
          <w:rFonts w:asciiTheme="minorHAnsi" w:hAnsiTheme="minorHAnsi" w:cstheme="minorHAnsi"/>
        </w:rPr>
        <w:t xml:space="preserve">for different </w:t>
      </w:r>
      <w:r>
        <w:rPr>
          <w:rFonts w:asciiTheme="minorHAnsi" w:hAnsiTheme="minorHAnsi" w:cstheme="minorHAnsi"/>
        </w:rPr>
        <w:t>zones</w:t>
      </w:r>
      <w:r w:rsidRPr="00A86873">
        <w:rPr>
          <w:rFonts w:asciiTheme="minorHAnsi" w:hAnsiTheme="minorHAnsi" w:cstheme="minorHAnsi"/>
        </w:rPr>
        <w:t xml:space="preserve"> of the bank.</w:t>
      </w:r>
      <w:r w:rsidR="00E17A1D">
        <w:rPr>
          <w:rFonts w:asciiTheme="minorHAnsi" w:hAnsiTheme="minorHAnsi" w:cstheme="minorHAnsi"/>
        </w:rPr>
        <w:t xml:space="preserve"> </w:t>
      </w:r>
      <w:r w:rsidRPr="0076656C">
        <w:rPr>
          <w:rFonts w:asciiTheme="minorHAnsi" w:hAnsiTheme="minorHAnsi" w:cstheme="minorHAnsi"/>
        </w:rPr>
        <w:t xml:space="preserve">Positive trends in the summed cover of ground layer plants at both sites </w:t>
      </w:r>
      <w:r>
        <w:rPr>
          <w:rFonts w:asciiTheme="minorHAnsi" w:hAnsiTheme="minorHAnsi" w:cstheme="minorHAnsi"/>
        </w:rPr>
        <w:t>are</w:t>
      </w:r>
      <w:r w:rsidRPr="0076656C">
        <w:rPr>
          <w:rFonts w:asciiTheme="minorHAnsi" w:hAnsiTheme="minorHAnsi" w:cstheme="minorHAnsi"/>
        </w:rPr>
        <w:t xml:space="preserve"> found at high</w:t>
      </w:r>
      <w:r>
        <w:rPr>
          <w:rFonts w:asciiTheme="minorHAnsi" w:hAnsiTheme="minorHAnsi" w:cstheme="minorHAnsi"/>
        </w:rPr>
        <w:t>er</w:t>
      </w:r>
      <w:r w:rsidRPr="0076656C">
        <w:rPr>
          <w:rFonts w:asciiTheme="minorHAnsi" w:hAnsiTheme="minorHAnsi" w:cstheme="minorHAnsi"/>
        </w:rPr>
        <w:t xml:space="preserve"> elevation</w:t>
      </w:r>
      <w:r>
        <w:rPr>
          <w:rFonts w:asciiTheme="minorHAnsi" w:hAnsiTheme="minorHAnsi" w:cstheme="minorHAnsi"/>
        </w:rPr>
        <w:t>s (Zone 3)</w:t>
      </w:r>
      <w:r w:rsidRPr="0076656C">
        <w:rPr>
          <w:rFonts w:asciiTheme="minorHAnsi" w:hAnsiTheme="minorHAnsi" w:cstheme="minorHAnsi"/>
        </w:rPr>
        <w:t xml:space="preserve">. Increases are </w:t>
      </w:r>
      <w:r w:rsidRPr="00870988">
        <w:rPr>
          <w:rFonts w:asciiTheme="minorHAnsi" w:hAnsiTheme="minorHAnsi" w:cstheme="minorHAnsi"/>
        </w:rPr>
        <w:t>largely</w:t>
      </w:r>
      <w:r w:rsidRPr="0076656C">
        <w:rPr>
          <w:rFonts w:asciiTheme="minorHAnsi" w:hAnsiTheme="minorHAnsi" w:cstheme="minorHAnsi"/>
        </w:rPr>
        <w:t xml:space="preserve"> d</w:t>
      </w:r>
      <w:r w:rsidRPr="00870988">
        <w:rPr>
          <w:rFonts w:asciiTheme="minorHAnsi" w:hAnsiTheme="minorHAnsi" w:cstheme="minorHAnsi"/>
        </w:rPr>
        <w:t>ue to increased cover of grasses, notably common tussock grass</w:t>
      </w:r>
      <w:r w:rsidRPr="00870988">
        <w:rPr>
          <w:rFonts w:asciiTheme="minorHAnsi" w:hAnsiTheme="minorHAnsi" w:cstheme="minorHAnsi"/>
          <w:i/>
        </w:rPr>
        <w:t xml:space="preserve"> </w:t>
      </w:r>
      <w:r w:rsidRPr="00870988">
        <w:rPr>
          <w:rFonts w:asciiTheme="minorHAnsi" w:hAnsiTheme="minorHAnsi" w:cstheme="minorHAnsi"/>
        </w:rPr>
        <w:t>(</w:t>
      </w:r>
      <w:r w:rsidRPr="00870988">
        <w:rPr>
          <w:rFonts w:asciiTheme="minorHAnsi" w:hAnsiTheme="minorHAnsi" w:cstheme="minorHAnsi"/>
          <w:i/>
        </w:rPr>
        <w:t xml:space="preserve">Poa </w:t>
      </w:r>
      <w:proofErr w:type="spellStart"/>
      <w:r w:rsidRPr="00870988">
        <w:rPr>
          <w:rFonts w:asciiTheme="minorHAnsi" w:hAnsiTheme="minorHAnsi" w:cstheme="minorHAnsi"/>
          <w:i/>
        </w:rPr>
        <w:t>labillardierei</w:t>
      </w:r>
      <w:proofErr w:type="spellEnd"/>
      <w:r w:rsidRPr="00870988">
        <w:rPr>
          <w:rFonts w:asciiTheme="minorHAnsi" w:hAnsiTheme="minorHAnsi" w:cstheme="minorHAnsi"/>
        </w:rPr>
        <w:t>).</w:t>
      </w:r>
      <w:r>
        <w:rPr>
          <w:rFonts w:asciiTheme="minorHAnsi" w:hAnsiTheme="minorHAnsi" w:cstheme="minorHAnsi"/>
        </w:rPr>
        <w:t xml:space="preserve"> </w:t>
      </w:r>
      <w:r w:rsidRPr="0076656C">
        <w:rPr>
          <w:rFonts w:asciiTheme="minorHAnsi" w:hAnsiTheme="minorHAnsi" w:cstheme="minorBidi"/>
        </w:rPr>
        <w:t xml:space="preserve">In contrast, the summed </w:t>
      </w:r>
      <w:r w:rsidRPr="0076656C">
        <w:rPr>
          <w:rFonts w:asciiTheme="minorHAnsi" w:hAnsiTheme="minorHAnsi" w:cstheme="minorBidi"/>
        </w:rPr>
        <w:lastRenderedPageBreak/>
        <w:t xml:space="preserve">cover of </w:t>
      </w:r>
      <w:r>
        <w:rPr>
          <w:rFonts w:asciiTheme="minorHAnsi" w:hAnsiTheme="minorHAnsi" w:cstheme="minorBidi"/>
        </w:rPr>
        <w:t xml:space="preserve">vegetation in </w:t>
      </w:r>
      <w:r w:rsidRPr="0076656C">
        <w:rPr>
          <w:rFonts w:asciiTheme="minorHAnsi" w:hAnsiTheme="minorHAnsi" w:cstheme="minorBidi"/>
        </w:rPr>
        <w:t>Zone 1a and Zone 1b</w:t>
      </w:r>
      <w:r>
        <w:rPr>
          <w:rFonts w:asciiTheme="minorHAnsi" w:hAnsiTheme="minorHAnsi" w:cstheme="minorBidi"/>
        </w:rPr>
        <w:t xml:space="preserve"> (the lowest surveyed elevations at the toe/fringe) </w:t>
      </w:r>
      <w:r w:rsidRPr="0076656C">
        <w:rPr>
          <w:rFonts w:asciiTheme="minorHAnsi" w:hAnsiTheme="minorHAnsi" w:cstheme="minorBidi"/>
        </w:rPr>
        <w:t>h</w:t>
      </w:r>
      <w:r>
        <w:rPr>
          <w:rFonts w:asciiTheme="minorHAnsi" w:hAnsiTheme="minorHAnsi" w:cstheme="minorBidi"/>
        </w:rPr>
        <w:t>ave</w:t>
      </w:r>
      <w:r w:rsidRPr="0076656C">
        <w:rPr>
          <w:rFonts w:asciiTheme="minorHAnsi" w:hAnsiTheme="minorHAnsi" w:cstheme="minorBidi"/>
        </w:rPr>
        <w:t xml:space="preserve"> oscillated over time</w:t>
      </w:r>
      <w:r>
        <w:rPr>
          <w:rFonts w:asciiTheme="minorHAnsi" w:hAnsiTheme="minorHAnsi" w:cstheme="minorBidi"/>
        </w:rPr>
        <w:t xml:space="preserve">, </w:t>
      </w:r>
      <w:r w:rsidRPr="0076656C">
        <w:rPr>
          <w:rFonts w:asciiTheme="minorHAnsi" w:hAnsiTheme="minorHAnsi" w:cstheme="minorBidi"/>
        </w:rPr>
        <w:t xml:space="preserve">consistent with the vulnerability of this zone to unnatural high summer flows. </w:t>
      </w:r>
    </w:p>
    <w:p w14:paraId="76D07066" w14:textId="77777777" w:rsidR="00D21E9C" w:rsidRPr="00266590" w:rsidRDefault="00D21E9C" w:rsidP="00D21E9C">
      <w:pPr>
        <w:ind w:left="360"/>
        <w:rPr>
          <w:i/>
          <w:iCs/>
          <w:u w:val="single"/>
        </w:rPr>
      </w:pPr>
      <w:r w:rsidRPr="00266590">
        <w:rPr>
          <w:i/>
          <w:iCs/>
          <w:u w:val="single"/>
        </w:rPr>
        <w:t>Influence of hydraulic variables</w:t>
      </w:r>
    </w:p>
    <w:p w14:paraId="3574E4CD" w14:textId="77777777" w:rsidR="00D21E9C" w:rsidRPr="00BA2632" w:rsidRDefault="00D21E9C" w:rsidP="00D21E9C">
      <w:pPr>
        <w:pStyle w:val="ListParagraph"/>
        <w:numPr>
          <w:ilvl w:val="0"/>
          <w:numId w:val="27"/>
        </w:numPr>
      </w:pPr>
      <w:r w:rsidRPr="00BA2632">
        <w:t xml:space="preserve">Modelled relationships </w:t>
      </w:r>
      <w:r>
        <w:t xml:space="preserve">examine how </w:t>
      </w:r>
      <w:r w:rsidRPr="00BA2632">
        <w:t>the cover and occurrence of selected taxa and groups</w:t>
      </w:r>
      <w:r>
        <w:t xml:space="preserve"> change as </w:t>
      </w:r>
      <w:r w:rsidRPr="00BA2632">
        <w:t>the duration of inundation</w:t>
      </w:r>
      <w:r>
        <w:t xml:space="preserve"> in</w:t>
      </w:r>
      <w:r w:rsidRPr="00BA2632">
        <w:t xml:space="preserve"> the year prior to sampling</w:t>
      </w:r>
      <w:r>
        <w:t xml:space="preserve"> increases.  These models </w:t>
      </w:r>
      <w:r w:rsidRPr="00BA2632">
        <w:t>again demonstrate</w:t>
      </w:r>
      <w:r>
        <w:t>d</w:t>
      </w:r>
      <w:r w:rsidRPr="00BA2632">
        <w:t xml:space="preserve"> differences in the hydraulic niche of the plant groups and taxa examined. The data collected in 20</w:t>
      </w:r>
      <w:r>
        <w:t>20</w:t>
      </w:r>
      <w:r w:rsidRPr="00BA2632">
        <w:t>-2</w:t>
      </w:r>
      <w:r>
        <w:t>1</w:t>
      </w:r>
      <w:r w:rsidRPr="00BA2632">
        <w:t xml:space="preserve"> has contributed to refining these models. </w:t>
      </w:r>
    </w:p>
    <w:p w14:paraId="607A6E1A" w14:textId="77777777" w:rsidR="00D21E9C" w:rsidRDefault="00D21E9C" w:rsidP="00D21E9C">
      <w:pPr>
        <w:pStyle w:val="ListParagraph"/>
        <w:numPr>
          <w:ilvl w:val="0"/>
          <w:numId w:val="27"/>
        </w:numPr>
      </w:pPr>
      <w:r w:rsidRPr="00BA2632">
        <w:t xml:space="preserve">Modelled relationships of selected taxa and the duration of inundation over the IVT period generally show similar patterns as inundation over the year prior to sampling, but thresholds differ, reflecting the short temporal scale examined.  </w:t>
      </w:r>
      <w:r>
        <w:t xml:space="preserve">Models that examine responses to inundation &gt;0 cm and those that examine response to inundation &gt;25 cm are similar but also reveal some differences in response thresholds. </w:t>
      </w:r>
    </w:p>
    <w:p w14:paraId="53DECF49" w14:textId="77777777" w:rsidR="00D21E9C" w:rsidRDefault="00D21E9C" w:rsidP="00D21E9C">
      <w:pPr>
        <w:pStyle w:val="ListParagraph"/>
        <w:ind w:left="720"/>
      </w:pPr>
      <w:r w:rsidRPr="00BA2632">
        <w:t xml:space="preserve">The model outputs suggest that the probability of </w:t>
      </w:r>
      <w:r>
        <w:t xml:space="preserve">emergent </w:t>
      </w:r>
      <w:r w:rsidRPr="00BA2632">
        <w:t xml:space="preserve">water </w:t>
      </w:r>
      <w:r>
        <w:t>dependent</w:t>
      </w:r>
      <w:r w:rsidRPr="00BA2632">
        <w:t xml:space="preserve"> taxa occurring on the bank starts to steadily decline when the total duration of inundation </w:t>
      </w:r>
      <w:r>
        <w:t xml:space="preserve">&gt;25 cm </w:t>
      </w:r>
      <w:r w:rsidRPr="00BA2632">
        <w:t xml:space="preserve">over the IVT period exceeds </w:t>
      </w:r>
      <w:r>
        <w:t>40</w:t>
      </w:r>
      <w:r w:rsidRPr="00BA2632">
        <w:t xml:space="preserve"> days.</w:t>
      </w:r>
      <w:r>
        <w:t xml:space="preserve"> In contrast, previous models considered inundation &gt;0 cm and showed a lower sensitivity, with declines occurring after 55 days.</w:t>
      </w:r>
    </w:p>
    <w:p w14:paraId="25C2F651" w14:textId="7AA8F32B" w:rsidR="00D21E9C" w:rsidRPr="00240D65" w:rsidRDefault="00D21E9C" w:rsidP="00D21E9C">
      <w:pPr>
        <w:pStyle w:val="Para0"/>
        <w:numPr>
          <w:ilvl w:val="0"/>
          <w:numId w:val="27"/>
        </w:numPr>
      </w:pPr>
      <w:r w:rsidRPr="00240D65">
        <w:rPr>
          <w:rFonts w:asciiTheme="minorHAnsi" w:hAnsiTheme="minorHAnsi" w:cstheme="minorBidi"/>
        </w:rPr>
        <w:t>It is not clear to what extent antecedent conditions contribute to the response to inundation, or how responses will differ if the days inundated are continuous or intermittent. C</w:t>
      </w:r>
      <w:r w:rsidRPr="00922129">
        <w:rPr>
          <w:rFonts w:asciiTheme="minorHAnsi" w:hAnsiTheme="minorHAnsi" w:cstheme="minorBidi"/>
        </w:rPr>
        <w:t>urrent recommendations are that individual inundation events should not be greater than two weeks (</w:t>
      </w:r>
      <w:r>
        <w:rPr>
          <w:rFonts w:asciiTheme="minorHAnsi" w:hAnsiTheme="minorHAnsi" w:cstheme="minorBidi"/>
        </w:rPr>
        <w:t xml:space="preserve">DELWP 2021, </w:t>
      </w:r>
      <w:r w:rsidRPr="00922129">
        <w:rPr>
          <w:rFonts w:asciiTheme="minorHAnsi" w:hAnsiTheme="minorHAnsi" w:cstheme="minorBidi"/>
        </w:rPr>
        <w:t>Roberts 2016, Vivian et al. 2020).</w:t>
      </w:r>
    </w:p>
    <w:p w14:paraId="43705040" w14:textId="77777777" w:rsidR="00D21E9C" w:rsidRPr="00DB69B0" w:rsidRDefault="00D21E9C" w:rsidP="00D21E9C">
      <w:pPr>
        <w:pStyle w:val="ListParagraph"/>
        <w:ind w:left="720"/>
      </w:pPr>
      <w:r w:rsidRPr="00BA2632">
        <w:t>Further data and modelling are needed to</w:t>
      </w:r>
      <w:r>
        <w:t xml:space="preserve"> explore</w:t>
      </w:r>
      <w:r w:rsidRPr="00BA2632">
        <w:t xml:space="preserve"> (1) the relative importance of antecedent conditions</w:t>
      </w:r>
      <w:r>
        <w:t xml:space="preserve">, </w:t>
      </w:r>
      <w:r w:rsidRPr="00BA2632">
        <w:t xml:space="preserve">(2) </w:t>
      </w:r>
      <w:r>
        <w:t>how the duration of individual inundation events influences vegetation responses and (3)</w:t>
      </w:r>
      <w:r w:rsidRPr="00BA2632">
        <w:t xml:space="preserve"> </w:t>
      </w:r>
      <w:r>
        <w:t>how inundation in different seasons influence vegetation responses at the end of the growth season.</w:t>
      </w:r>
    </w:p>
    <w:p w14:paraId="46C38463" w14:textId="77777777" w:rsidR="00D21E9C" w:rsidRPr="00266590" w:rsidRDefault="00D21E9C" w:rsidP="00D21E9C">
      <w:pPr>
        <w:pStyle w:val="Para0"/>
        <w:ind w:left="357"/>
        <w:rPr>
          <w:rFonts w:asciiTheme="minorHAnsi" w:hAnsiTheme="minorHAnsi" w:cstheme="minorHAnsi"/>
          <w:i/>
          <w:iCs/>
          <w:u w:val="single"/>
        </w:rPr>
      </w:pPr>
      <w:r w:rsidRPr="00266590">
        <w:rPr>
          <w:rFonts w:asciiTheme="minorHAnsi" w:hAnsiTheme="minorHAnsi" w:cstheme="minorHAnsi"/>
          <w:i/>
          <w:iCs/>
          <w:u w:val="single"/>
        </w:rPr>
        <w:t>Influence of climate and non-regulated flow</w:t>
      </w:r>
    </w:p>
    <w:p w14:paraId="55BA9B56" w14:textId="6F778B92" w:rsidR="00D21E9C" w:rsidRPr="00870988" w:rsidRDefault="00D21E9C" w:rsidP="00D21E9C">
      <w:pPr>
        <w:pStyle w:val="Para0"/>
        <w:numPr>
          <w:ilvl w:val="0"/>
          <w:numId w:val="27"/>
        </w:numPr>
        <w:rPr>
          <w:rFonts w:asciiTheme="minorHAnsi" w:hAnsiTheme="minorHAnsi" w:cstheme="minorHAnsi"/>
          <w:i/>
          <w:iCs/>
        </w:rPr>
      </w:pPr>
      <w:r w:rsidRPr="00BA2632">
        <w:rPr>
          <w:rFonts w:asciiTheme="minorHAnsi" w:hAnsiTheme="minorHAnsi" w:cstheme="minorHAnsi"/>
        </w:rPr>
        <w:t xml:space="preserve">Climatic conditions and non-regulated flows can exert a strong influence on vegetation and potentially influence the outcomes of environmental watering actions. </w:t>
      </w:r>
      <w:r w:rsidRPr="007068A7">
        <w:rPr>
          <w:rFonts w:asciiTheme="minorHAnsi" w:hAnsiTheme="minorHAnsi" w:cstheme="minorHAnsi"/>
        </w:rPr>
        <w:t>P</w:t>
      </w:r>
      <w:r w:rsidRPr="000724FF">
        <w:rPr>
          <w:rFonts w:asciiTheme="minorHAnsi" w:hAnsiTheme="minorHAnsi" w:cstheme="minorHAnsi"/>
        </w:rPr>
        <w:t xml:space="preserve">rolonged natural flooding in 2016–17 caused a substantial decline in the cover and occurrence of sedges and </w:t>
      </w:r>
      <w:proofErr w:type="gramStart"/>
      <w:r w:rsidRPr="000724FF">
        <w:rPr>
          <w:rFonts w:asciiTheme="minorHAnsi" w:hAnsiTheme="minorHAnsi" w:cstheme="minorHAnsi"/>
        </w:rPr>
        <w:t>rushes, but</w:t>
      </w:r>
      <w:proofErr w:type="gramEnd"/>
      <w:r w:rsidRPr="000724FF">
        <w:rPr>
          <w:rFonts w:asciiTheme="minorHAnsi" w:hAnsiTheme="minorHAnsi" w:cstheme="minorHAnsi"/>
        </w:rPr>
        <w:t xml:space="preserve"> increased the cover and distribution of lesser </w:t>
      </w:r>
      <w:proofErr w:type="spellStart"/>
      <w:r w:rsidRPr="000724FF">
        <w:rPr>
          <w:rFonts w:asciiTheme="minorHAnsi" w:hAnsiTheme="minorHAnsi" w:cstheme="minorHAnsi"/>
        </w:rPr>
        <w:t>joyweed</w:t>
      </w:r>
      <w:proofErr w:type="spellEnd"/>
      <w:r w:rsidRPr="000724FF">
        <w:rPr>
          <w:rFonts w:asciiTheme="minorHAnsi" w:hAnsiTheme="minorHAnsi" w:cstheme="minorHAnsi"/>
        </w:rPr>
        <w:t xml:space="preserve"> </w:t>
      </w:r>
      <w:r>
        <w:rPr>
          <w:rFonts w:asciiTheme="minorHAnsi" w:hAnsiTheme="minorHAnsi" w:cstheme="minorHAnsi"/>
        </w:rPr>
        <w:t>(</w:t>
      </w:r>
      <w:r w:rsidRPr="00CF71A9">
        <w:rPr>
          <w:rFonts w:asciiTheme="minorHAnsi" w:hAnsiTheme="minorHAnsi" w:cstheme="minorHAnsi"/>
          <w:i/>
          <w:iCs/>
        </w:rPr>
        <w:t xml:space="preserve">Alternanthera </w:t>
      </w:r>
      <w:proofErr w:type="spellStart"/>
      <w:r w:rsidRPr="00CF71A9">
        <w:rPr>
          <w:rFonts w:asciiTheme="minorHAnsi" w:hAnsiTheme="minorHAnsi" w:cstheme="minorHAnsi"/>
          <w:i/>
          <w:iCs/>
        </w:rPr>
        <w:t>denticulata</w:t>
      </w:r>
      <w:proofErr w:type="spellEnd"/>
      <w:r>
        <w:rPr>
          <w:rFonts w:asciiTheme="minorHAnsi" w:hAnsiTheme="minorHAnsi" w:cstheme="minorHAnsi"/>
        </w:rPr>
        <w:t>)</w:t>
      </w:r>
      <w:r w:rsidRPr="000724FF">
        <w:rPr>
          <w:rFonts w:asciiTheme="minorHAnsi" w:hAnsiTheme="minorHAnsi" w:cstheme="minorHAnsi"/>
        </w:rPr>
        <w:t xml:space="preserve"> and to a lesser extent</w:t>
      </w:r>
      <w:r w:rsidRPr="00814E79">
        <w:rPr>
          <w:rFonts w:asciiTheme="minorHAnsi" w:hAnsiTheme="minorHAnsi" w:cstheme="minorHAnsi"/>
          <w:i/>
        </w:rPr>
        <w:t xml:space="preserve"> </w:t>
      </w:r>
      <w:r w:rsidRPr="00814E79">
        <w:rPr>
          <w:rFonts w:asciiTheme="minorHAnsi" w:hAnsiTheme="minorHAnsi" w:cstheme="minorHAnsi"/>
        </w:rPr>
        <w:t xml:space="preserve">common </w:t>
      </w:r>
      <w:r w:rsidRPr="002B478A">
        <w:rPr>
          <w:rFonts w:asciiTheme="minorHAnsi" w:hAnsiTheme="minorHAnsi" w:cstheme="minorHAnsi"/>
        </w:rPr>
        <w:t>sneezeweed</w:t>
      </w:r>
      <w:r w:rsidRPr="002E4EB5">
        <w:rPr>
          <w:rFonts w:asciiTheme="minorHAnsi" w:hAnsiTheme="minorHAnsi" w:cstheme="minorHAnsi"/>
          <w:i/>
        </w:rPr>
        <w:t xml:space="preserve"> </w:t>
      </w:r>
      <w:r w:rsidRPr="002E4EB5">
        <w:rPr>
          <w:rFonts w:asciiTheme="minorHAnsi" w:hAnsiTheme="minorHAnsi" w:cstheme="minorHAnsi"/>
        </w:rPr>
        <w:t>(</w:t>
      </w:r>
      <w:proofErr w:type="spellStart"/>
      <w:r w:rsidRPr="00AC3F2D">
        <w:rPr>
          <w:rFonts w:asciiTheme="minorHAnsi" w:hAnsiTheme="minorHAnsi" w:cstheme="minorHAnsi"/>
          <w:i/>
        </w:rPr>
        <w:t>Centipeda</w:t>
      </w:r>
      <w:proofErr w:type="spellEnd"/>
      <w:r w:rsidRPr="00AC3F2D">
        <w:rPr>
          <w:rFonts w:asciiTheme="minorHAnsi" w:hAnsiTheme="minorHAnsi" w:cstheme="minorHAnsi"/>
          <w:i/>
        </w:rPr>
        <w:t xml:space="preserve"> </w:t>
      </w:r>
      <w:proofErr w:type="spellStart"/>
      <w:r w:rsidRPr="00AC3F2D">
        <w:rPr>
          <w:rFonts w:asciiTheme="minorHAnsi" w:hAnsiTheme="minorHAnsi" w:cstheme="minorHAnsi"/>
          <w:i/>
        </w:rPr>
        <w:t>cunninghamii</w:t>
      </w:r>
      <w:proofErr w:type="spellEnd"/>
      <w:r w:rsidRPr="00B2676C">
        <w:rPr>
          <w:rFonts w:asciiTheme="minorHAnsi" w:hAnsiTheme="minorHAnsi" w:cstheme="minorHAnsi"/>
        </w:rPr>
        <w:t>) which colonised the exposed bare mud following flood recession.</w:t>
      </w:r>
      <w:r w:rsidRPr="0058585F">
        <w:rPr>
          <w:rFonts w:asciiTheme="minorHAnsi" w:hAnsiTheme="minorHAnsi" w:cstheme="minorHAnsi"/>
        </w:rPr>
        <w:t xml:space="preserve"> C</w:t>
      </w:r>
      <w:r w:rsidRPr="007068A7">
        <w:rPr>
          <w:rFonts w:asciiTheme="minorHAnsi" w:hAnsiTheme="minorHAnsi" w:cstheme="minorHAnsi"/>
        </w:rPr>
        <w:t>ommon tussock grass</w:t>
      </w:r>
      <w:r>
        <w:rPr>
          <w:rFonts w:asciiTheme="minorHAnsi" w:hAnsiTheme="minorHAnsi" w:cstheme="minorHAnsi"/>
        </w:rPr>
        <w:t xml:space="preserve"> (</w:t>
      </w:r>
      <w:r w:rsidRPr="00CF71A9">
        <w:rPr>
          <w:rFonts w:asciiTheme="minorHAnsi" w:hAnsiTheme="minorHAnsi" w:cstheme="minorHAnsi"/>
          <w:i/>
          <w:iCs/>
        </w:rPr>
        <w:t xml:space="preserve">Poa </w:t>
      </w:r>
      <w:proofErr w:type="spellStart"/>
      <w:r w:rsidRPr="00CF71A9">
        <w:rPr>
          <w:rFonts w:asciiTheme="minorHAnsi" w:hAnsiTheme="minorHAnsi" w:cstheme="minorHAnsi"/>
          <w:i/>
          <w:iCs/>
        </w:rPr>
        <w:t>labillardierei</w:t>
      </w:r>
      <w:proofErr w:type="spellEnd"/>
      <w:r>
        <w:rPr>
          <w:rFonts w:asciiTheme="minorHAnsi" w:hAnsiTheme="minorHAnsi" w:cstheme="minorHAnsi"/>
        </w:rPr>
        <w:t>)</w:t>
      </w:r>
      <w:r w:rsidRPr="007068A7">
        <w:rPr>
          <w:rFonts w:asciiTheme="minorHAnsi" w:hAnsiTheme="minorHAnsi" w:cstheme="minorHAnsi"/>
        </w:rPr>
        <w:t xml:space="preserve"> at elevations above the </w:t>
      </w:r>
      <w:r>
        <w:rPr>
          <w:rFonts w:asciiTheme="minorHAnsi" w:hAnsiTheme="minorHAnsi" w:cstheme="minorHAnsi"/>
        </w:rPr>
        <w:t>Spring Fresh</w:t>
      </w:r>
      <w:r w:rsidRPr="007068A7">
        <w:rPr>
          <w:rFonts w:asciiTheme="minorHAnsi" w:hAnsiTheme="minorHAnsi" w:cstheme="minorHAnsi"/>
        </w:rPr>
        <w:t xml:space="preserve"> appeared to benefit from natural floods in 2016-17.</w:t>
      </w:r>
    </w:p>
    <w:p w14:paraId="7FEB81F8" w14:textId="77777777" w:rsidR="00D21E9C" w:rsidRPr="00FE7071" w:rsidRDefault="00D21E9C" w:rsidP="00D21E9C">
      <w:pPr>
        <w:rPr>
          <w:b/>
          <w:bCs/>
          <w:i/>
          <w:iCs/>
          <w:lang w:eastAsia="en-US"/>
        </w:rPr>
      </w:pPr>
      <w:r w:rsidRPr="00FE7071">
        <w:rPr>
          <w:b/>
          <w:bCs/>
          <w:i/>
          <w:iCs/>
          <w:lang w:eastAsia="en-US"/>
        </w:rPr>
        <w:t>Implications for new findings:</w:t>
      </w:r>
    </w:p>
    <w:p w14:paraId="08E5F7B7" w14:textId="55554F26" w:rsidR="00D21E9C" w:rsidRDefault="00D21E9C" w:rsidP="00D21E9C">
      <w:pPr>
        <w:pStyle w:val="Para0"/>
        <w:numPr>
          <w:ilvl w:val="0"/>
          <w:numId w:val="27"/>
        </w:numPr>
        <w:rPr>
          <w:rFonts w:asciiTheme="minorHAnsi" w:hAnsiTheme="minorHAnsi" w:cstheme="minorHAnsi"/>
        </w:rPr>
      </w:pPr>
      <w:r>
        <w:rPr>
          <w:rFonts w:asciiTheme="minorHAnsi" w:hAnsiTheme="minorHAnsi" w:cstheme="minorHAnsi"/>
        </w:rPr>
        <w:t>Low summer flows are a feature of the natural flow regime and are needed to maintain fringing vegetation. Models of vegetation responses to inundation suggest that avoiding inundation &gt;25 cm for more than 40 days over summer is needed to support the persistence of emergent water dependant plants.</w:t>
      </w:r>
      <w:r w:rsidRPr="005E7B59">
        <w:rPr>
          <w:rFonts w:asciiTheme="minorHAnsi" w:hAnsiTheme="minorHAnsi" w:cstheme="minorHAnsi"/>
          <w:sz w:val="18"/>
          <w:szCs w:val="18"/>
        </w:rPr>
        <w:t xml:space="preserve"> </w:t>
      </w:r>
      <w:r w:rsidRPr="009B43DA">
        <w:rPr>
          <w:rFonts w:asciiTheme="minorHAnsi" w:hAnsiTheme="minorHAnsi" w:cstheme="minorHAnsi"/>
        </w:rPr>
        <w:t xml:space="preserve">It is not known if antecedent conditions influence responses to inundation duration, or if responses differ if inundation is continuous or intermittent. Current recommendations </w:t>
      </w:r>
      <w:r>
        <w:rPr>
          <w:rFonts w:asciiTheme="minorHAnsi" w:hAnsiTheme="minorHAnsi" w:cstheme="minorHAnsi"/>
        </w:rPr>
        <w:t>are that</w:t>
      </w:r>
      <w:r w:rsidRPr="009B43DA">
        <w:rPr>
          <w:rFonts w:asciiTheme="minorHAnsi" w:hAnsiTheme="minorHAnsi" w:cstheme="minorHAnsi"/>
        </w:rPr>
        <w:t xml:space="preserve"> individual inundation events </w:t>
      </w:r>
      <w:r>
        <w:rPr>
          <w:rFonts w:asciiTheme="minorHAnsi" w:hAnsiTheme="minorHAnsi" w:cstheme="minorHAnsi"/>
        </w:rPr>
        <w:t>over the summer IVT period should not be greater than</w:t>
      </w:r>
      <w:r w:rsidRPr="009B43DA">
        <w:rPr>
          <w:rFonts w:asciiTheme="minorHAnsi" w:hAnsiTheme="minorHAnsi" w:cstheme="minorHAnsi"/>
        </w:rPr>
        <w:t xml:space="preserve"> </w:t>
      </w:r>
      <w:r>
        <w:rPr>
          <w:rFonts w:asciiTheme="minorHAnsi" w:hAnsiTheme="minorHAnsi" w:cstheme="minorHAnsi"/>
        </w:rPr>
        <w:t>two</w:t>
      </w:r>
      <w:r w:rsidRPr="009B43DA">
        <w:rPr>
          <w:rFonts w:asciiTheme="minorHAnsi" w:hAnsiTheme="minorHAnsi" w:cstheme="minorHAnsi"/>
        </w:rPr>
        <w:t xml:space="preserve"> weeks</w:t>
      </w:r>
      <w:r>
        <w:rPr>
          <w:rFonts w:asciiTheme="minorHAnsi" w:hAnsiTheme="minorHAnsi" w:cstheme="minorHAnsi"/>
        </w:rPr>
        <w:t xml:space="preserve"> (Roberts 2016, Vivian et al. 2020).</w:t>
      </w:r>
    </w:p>
    <w:p w14:paraId="795CDB41" w14:textId="1C951F73" w:rsidR="00D21E9C" w:rsidRPr="00902057" w:rsidRDefault="00D21E9C" w:rsidP="00D21E9C">
      <w:pPr>
        <w:pStyle w:val="Para0"/>
        <w:numPr>
          <w:ilvl w:val="0"/>
          <w:numId w:val="27"/>
        </w:numPr>
        <w:rPr>
          <w:rFonts w:cstheme="minorHAnsi"/>
        </w:rPr>
      </w:pPr>
      <w:r w:rsidRPr="007606E2">
        <w:rPr>
          <w:rFonts w:asciiTheme="minorHAnsi" w:hAnsiTheme="minorHAnsi" w:cstheme="minorHAnsi"/>
        </w:rPr>
        <w:t xml:space="preserve">Although some recovery of fringing vegetation has been achieved </w:t>
      </w:r>
      <w:r>
        <w:rPr>
          <w:rFonts w:asciiTheme="minorHAnsi" w:hAnsiTheme="minorHAnsi" w:cstheme="minorHAnsi"/>
        </w:rPr>
        <w:t>with lower summer flows in 2020-21 there was little to no response of vegetation in Zone 1a, the lowest elevation surveyed, and lower flows may be required for vegetation to establish in this zone.</w:t>
      </w:r>
    </w:p>
    <w:p w14:paraId="7A543A28" w14:textId="77777777" w:rsidR="00D21E9C" w:rsidRPr="001A46BE" w:rsidRDefault="00D21E9C" w:rsidP="00D21E9C">
      <w:pPr>
        <w:pStyle w:val="Para0"/>
        <w:numPr>
          <w:ilvl w:val="0"/>
          <w:numId w:val="27"/>
        </w:numPr>
        <w:rPr>
          <w:rFonts w:asciiTheme="minorHAnsi" w:hAnsiTheme="minorHAnsi" w:cstheme="minorHAnsi"/>
        </w:rPr>
      </w:pPr>
      <w:r>
        <w:rPr>
          <w:rFonts w:asciiTheme="minorHAnsi" w:hAnsiTheme="minorHAnsi" w:cstheme="minorHAnsi"/>
        </w:rPr>
        <w:t xml:space="preserve">There is a strong </w:t>
      </w:r>
      <w:r w:rsidRPr="002F710D">
        <w:rPr>
          <w:rFonts w:asciiTheme="minorHAnsi" w:hAnsiTheme="minorHAnsi" w:cstheme="minorHAnsi"/>
        </w:rPr>
        <w:t xml:space="preserve">capacity for recovery </w:t>
      </w:r>
      <w:r>
        <w:rPr>
          <w:rFonts w:asciiTheme="minorHAnsi" w:hAnsiTheme="minorHAnsi" w:cstheme="minorHAnsi"/>
        </w:rPr>
        <w:t>following plant losses</w:t>
      </w:r>
      <w:r w:rsidRPr="002F710D">
        <w:rPr>
          <w:rFonts w:asciiTheme="minorHAnsi" w:hAnsiTheme="minorHAnsi" w:cstheme="minorHAnsi"/>
        </w:rPr>
        <w:t xml:space="preserve"> </w:t>
      </w:r>
      <w:r>
        <w:rPr>
          <w:rFonts w:asciiTheme="minorHAnsi" w:hAnsiTheme="minorHAnsi" w:cstheme="minorHAnsi"/>
        </w:rPr>
        <w:t xml:space="preserve">incurred in years of </w:t>
      </w:r>
      <w:r w:rsidRPr="002F710D">
        <w:rPr>
          <w:rFonts w:asciiTheme="minorHAnsi" w:hAnsiTheme="minorHAnsi" w:cstheme="minorHAnsi"/>
        </w:rPr>
        <w:t>high IVT demand</w:t>
      </w:r>
      <w:r>
        <w:rPr>
          <w:rFonts w:asciiTheme="minorHAnsi" w:hAnsiTheme="minorHAnsi" w:cstheme="minorHAnsi"/>
        </w:rPr>
        <w:t xml:space="preserve">. Initially recovery is patchy and </w:t>
      </w:r>
      <w:r w:rsidRPr="001A46BE">
        <w:rPr>
          <w:rFonts w:asciiTheme="minorHAnsi" w:hAnsiTheme="minorHAnsi" w:cstheme="minorHAnsi"/>
        </w:rPr>
        <w:t xml:space="preserve">successive years of low summer flows are likely to be needed to increase </w:t>
      </w:r>
      <w:r>
        <w:rPr>
          <w:rFonts w:asciiTheme="minorHAnsi" w:hAnsiTheme="minorHAnsi" w:cstheme="minorHAnsi"/>
        </w:rPr>
        <w:t>the distribution of</w:t>
      </w:r>
      <w:r w:rsidRPr="001A46BE">
        <w:rPr>
          <w:rFonts w:asciiTheme="minorHAnsi" w:hAnsiTheme="minorHAnsi" w:cstheme="minorHAnsi"/>
        </w:rPr>
        <w:t xml:space="preserve"> fringing vegetation. </w:t>
      </w:r>
    </w:p>
    <w:p w14:paraId="0C47FFF4" w14:textId="12A4BF8D" w:rsidR="00D21E9C" w:rsidRDefault="00D21E9C" w:rsidP="00D21E9C">
      <w:pPr>
        <w:pStyle w:val="Para0"/>
        <w:numPr>
          <w:ilvl w:val="0"/>
          <w:numId w:val="27"/>
        </w:numPr>
        <w:rPr>
          <w:rFonts w:asciiTheme="minorHAnsi" w:hAnsiTheme="minorHAnsi" w:cstheme="minorHAnsi"/>
        </w:rPr>
      </w:pPr>
      <w:r w:rsidRPr="009F6A89">
        <w:rPr>
          <w:rFonts w:asciiTheme="minorHAnsi" w:hAnsiTheme="minorHAnsi" w:cstheme="minorHAnsi"/>
        </w:rPr>
        <w:t xml:space="preserve">Long periods of low flow over the growth season for around 13 weeks </w:t>
      </w:r>
      <w:r>
        <w:rPr>
          <w:rFonts w:asciiTheme="minorHAnsi" w:hAnsiTheme="minorHAnsi" w:cstheme="minorHAnsi"/>
        </w:rPr>
        <w:t>appears to</w:t>
      </w:r>
      <w:r w:rsidRPr="009F6A89">
        <w:rPr>
          <w:rFonts w:asciiTheme="minorHAnsi" w:hAnsiTheme="minorHAnsi" w:cstheme="minorHAnsi"/>
        </w:rPr>
        <w:t xml:space="preserve"> allow fringing vegetation to </w:t>
      </w:r>
      <w:r>
        <w:rPr>
          <w:rFonts w:asciiTheme="minorHAnsi" w:hAnsiTheme="minorHAnsi" w:cstheme="minorHAnsi"/>
        </w:rPr>
        <w:t>mature</w:t>
      </w:r>
      <w:r w:rsidRPr="009F6A89">
        <w:rPr>
          <w:rFonts w:asciiTheme="minorHAnsi" w:hAnsiTheme="minorHAnsi" w:cstheme="minorHAnsi"/>
        </w:rPr>
        <w:t xml:space="preserve"> and set seed. Providing these opportunities in some year will enhance resilience.</w:t>
      </w:r>
      <w:r>
        <w:rPr>
          <w:rFonts w:asciiTheme="minorHAnsi" w:hAnsiTheme="minorHAnsi" w:cstheme="minorHAnsi"/>
        </w:rPr>
        <w:br w:type="page"/>
      </w:r>
    </w:p>
    <w:p w14:paraId="596EB4D8" w14:textId="4CCED448" w:rsidR="00D21E9C" w:rsidRPr="00BA2632" w:rsidRDefault="00D21E9C" w:rsidP="00D21E9C">
      <w:pPr>
        <w:pStyle w:val="Heading3"/>
      </w:pPr>
      <w:bookmarkStart w:id="411" w:name="_Toc84417384"/>
      <w:r w:rsidRPr="00BA2632">
        <w:lastRenderedPageBreak/>
        <w:t>Summary of findings relevant to evaluation questions</w:t>
      </w:r>
      <w:bookmarkEnd w:id="411"/>
    </w:p>
    <w:p w14:paraId="071CABBF" w14:textId="0665A75C" w:rsidR="00D21E9C" w:rsidRDefault="00266590" w:rsidP="00D21E9C">
      <w:r w:rsidRPr="00BA2632">
        <w:t xml:space="preserve">Table </w:t>
      </w:r>
      <w:r>
        <w:rPr>
          <w:noProof/>
        </w:rPr>
        <w:t>7</w:t>
      </w:r>
      <w:r>
        <w:noBreakHyphen/>
      </w:r>
      <w:r>
        <w:rPr>
          <w:noProof/>
        </w:rPr>
        <w:t>2</w:t>
      </w:r>
      <w:r w:rsidR="00D21E9C">
        <w:rPr>
          <w:iCs/>
          <w:lang w:eastAsia="en-US"/>
        </w:rPr>
        <w:t xml:space="preserve"> </w:t>
      </w:r>
      <w:r w:rsidR="00D21E9C" w:rsidRPr="00BA2632">
        <w:rPr>
          <w:iCs/>
          <w:lang w:eastAsia="en-US"/>
        </w:rPr>
        <w:t xml:space="preserve">provides a summary of the vegetation findings relevant to the evaluation questions. A more detailed </w:t>
      </w:r>
      <w:r w:rsidR="00D21E9C" w:rsidRPr="00FE7071">
        <w:t>examination of each evaluation question is provided in Section</w:t>
      </w:r>
      <w:r>
        <w:t xml:space="preserve"> 7.5</w:t>
      </w:r>
      <w:r w:rsidR="00D21E9C" w:rsidRPr="00FE7071">
        <w:t>.</w:t>
      </w:r>
    </w:p>
    <w:p w14:paraId="714BCF60" w14:textId="5C9C01B8" w:rsidR="00D21E9C" w:rsidRPr="00BA2632" w:rsidRDefault="00D21E9C" w:rsidP="00D21E9C">
      <w:pPr>
        <w:pStyle w:val="Caption"/>
      </w:pPr>
      <w:bookmarkStart w:id="412" w:name="_Ref84409664"/>
      <w:bookmarkStart w:id="413" w:name="_Toc95391486"/>
      <w:r w:rsidRPr="00BA2632">
        <w:t xml:space="preserve">Table </w:t>
      </w:r>
      <w:r w:rsidR="000B75AF">
        <w:rPr>
          <w:noProof/>
        </w:rPr>
        <w:t>7</w:t>
      </w:r>
      <w:r w:rsidR="000B75AF">
        <w:noBreakHyphen/>
      </w:r>
      <w:r w:rsidR="000B75AF">
        <w:rPr>
          <w:noProof/>
        </w:rPr>
        <w:t>2</w:t>
      </w:r>
      <w:bookmarkEnd w:id="412"/>
      <w:r w:rsidRPr="00BA2632">
        <w:t xml:space="preserve"> Summary of vegetation findings relevant to evaluation questions.</w:t>
      </w:r>
      <w:bookmarkEnd w:id="413"/>
    </w:p>
    <w:tbl>
      <w:tblPr>
        <w:tblStyle w:val="TableGrid"/>
        <w:tblW w:w="9549"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tblCellMar>
        <w:tblLook w:val="04A0" w:firstRow="1" w:lastRow="0" w:firstColumn="1" w:lastColumn="0" w:noHBand="0" w:noVBand="1"/>
      </w:tblPr>
      <w:tblGrid>
        <w:gridCol w:w="1980"/>
        <w:gridCol w:w="1701"/>
        <w:gridCol w:w="4026"/>
        <w:gridCol w:w="1842"/>
      </w:tblGrid>
      <w:tr w:rsidR="00D21E9C" w:rsidRPr="00BA2632" w14:paraId="028FAEB2" w14:textId="77777777" w:rsidTr="00D21E9C">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FFFFFF" w:themeColor="background1"/>
            </w:tcBorders>
            <w:shd w:val="clear" w:color="auto" w:fill="00338D"/>
          </w:tcPr>
          <w:p w14:paraId="045F8AFE" w14:textId="77777777" w:rsidR="00D21E9C" w:rsidRPr="00BA2632" w:rsidRDefault="00D21E9C" w:rsidP="00D21E9C">
            <w:pPr>
              <w:jc w:val="left"/>
              <w:rPr>
                <w:rFonts w:cstheme="minorHAnsi"/>
                <w:bCs/>
                <w:color w:val="FFFFFF"/>
                <w:sz w:val="18"/>
                <w:szCs w:val="18"/>
              </w:rPr>
            </w:pPr>
            <w:r w:rsidRPr="00BA2632">
              <w:rPr>
                <w:rFonts w:cstheme="minorHAnsi"/>
                <w:bCs/>
                <w:color w:val="FFFFFF"/>
                <w:sz w:val="18"/>
                <w:szCs w:val="18"/>
              </w:rPr>
              <w:t>Question</w:t>
            </w:r>
          </w:p>
        </w:tc>
        <w:tc>
          <w:tcPr>
            <w:tcW w:w="1701" w:type="dxa"/>
            <w:tcBorders>
              <w:left w:val="single" w:sz="4" w:space="0" w:color="FFFFFF" w:themeColor="background1"/>
              <w:right w:val="single" w:sz="4" w:space="0" w:color="FFFFFF" w:themeColor="background1"/>
            </w:tcBorders>
            <w:shd w:val="clear" w:color="auto" w:fill="00338D"/>
          </w:tcPr>
          <w:p w14:paraId="6063E227" w14:textId="77777777" w:rsidR="00D21E9C" w:rsidRPr="00BA2632" w:rsidRDefault="00D21E9C" w:rsidP="00D21E9C">
            <w:pPr>
              <w:jc w:val="left"/>
              <w:cnfStyle w:val="100000000000" w:firstRow="1" w:lastRow="0" w:firstColumn="0" w:lastColumn="0" w:oddVBand="0" w:evenVBand="0" w:oddHBand="0" w:evenHBand="0" w:firstRowFirstColumn="0" w:firstRowLastColumn="0" w:lastRowFirstColumn="0" w:lastRowLastColumn="0"/>
              <w:rPr>
                <w:rFonts w:cstheme="minorHAnsi"/>
                <w:bCs/>
                <w:color w:val="FFFFFF"/>
                <w:sz w:val="18"/>
                <w:szCs w:val="18"/>
              </w:rPr>
            </w:pPr>
            <w:r w:rsidRPr="00BA2632">
              <w:rPr>
                <w:rFonts w:cstheme="minorHAnsi"/>
                <w:bCs/>
                <w:color w:val="FFFFFF"/>
                <w:sz w:val="18"/>
                <w:szCs w:val="18"/>
              </w:rPr>
              <w:t>Were appropriate flows provided?</w:t>
            </w:r>
          </w:p>
        </w:tc>
        <w:tc>
          <w:tcPr>
            <w:tcW w:w="4026" w:type="dxa"/>
            <w:tcBorders>
              <w:left w:val="single" w:sz="4" w:space="0" w:color="FFFFFF" w:themeColor="background1"/>
              <w:right w:val="single" w:sz="4" w:space="0" w:color="FFFFFF" w:themeColor="background1"/>
            </w:tcBorders>
            <w:shd w:val="clear" w:color="auto" w:fill="00338D"/>
          </w:tcPr>
          <w:p w14:paraId="72E7CEA0" w14:textId="77777777" w:rsidR="00D21E9C" w:rsidRPr="00BA2632" w:rsidRDefault="00D21E9C" w:rsidP="00D21E9C">
            <w:pPr>
              <w:jc w:val="left"/>
              <w:cnfStyle w:val="100000000000" w:firstRow="1" w:lastRow="0" w:firstColumn="0" w:lastColumn="0" w:oddVBand="0" w:evenVBand="0" w:oddHBand="0" w:evenHBand="0" w:firstRowFirstColumn="0" w:firstRowLastColumn="0" w:lastRowFirstColumn="0" w:lastRowLastColumn="0"/>
              <w:rPr>
                <w:rFonts w:cstheme="minorHAnsi"/>
                <w:bCs/>
                <w:color w:val="FFFFFF"/>
                <w:sz w:val="18"/>
                <w:szCs w:val="18"/>
              </w:rPr>
            </w:pPr>
            <w:r w:rsidRPr="00BA2632">
              <w:rPr>
                <w:rFonts w:cstheme="minorHAnsi"/>
                <w:bCs/>
                <w:color w:val="FFFFFF"/>
                <w:sz w:val="18"/>
                <w:szCs w:val="18"/>
              </w:rPr>
              <w:t>Effect of environmental flows</w:t>
            </w:r>
          </w:p>
        </w:tc>
        <w:tc>
          <w:tcPr>
            <w:tcW w:w="1842" w:type="dxa"/>
            <w:tcBorders>
              <w:left w:val="single" w:sz="4" w:space="0" w:color="FFFFFF" w:themeColor="background1"/>
            </w:tcBorders>
            <w:shd w:val="clear" w:color="auto" w:fill="00338D"/>
          </w:tcPr>
          <w:p w14:paraId="41EED5DF" w14:textId="77777777" w:rsidR="00D21E9C" w:rsidRPr="00BA2632" w:rsidRDefault="00D21E9C" w:rsidP="00D21E9C">
            <w:pPr>
              <w:jc w:val="left"/>
              <w:cnfStyle w:val="100000000000" w:firstRow="1" w:lastRow="0" w:firstColumn="0" w:lastColumn="0" w:oddVBand="0" w:evenVBand="0" w:oddHBand="0" w:evenHBand="0" w:firstRowFirstColumn="0" w:firstRowLastColumn="0" w:lastRowFirstColumn="0" w:lastRowLastColumn="0"/>
              <w:rPr>
                <w:rFonts w:cstheme="minorHAnsi"/>
                <w:bCs/>
                <w:color w:val="FFFFFF"/>
                <w:sz w:val="18"/>
                <w:szCs w:val="18"/>
              </w:rPr>
            </w:pPr>
            <w:r w:rsidRPr="00BA2632">
              <w:rPr>
                <w:rFonts w:cstheme="minorHAnsi"/>
                <w:bCs/>
                <w:color w:val="FFFFFF"/>
                <w:sz w:val="18"/>
                <w:szCs w:val="18"/>
              </w:rPr>
              <w:t>What information was the evaluation based on?</w:t>
            </w:r>
          </w:p>
        </w:tc>
      </w:tr>
      <w:tr w:rsidR="00D21E9C" w:rsidRPr="00BA2632" w14:paraId="3A2A8624" w14:textId="77777777" w:rsidTr="00D21E9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49" w:type="dxa"/>
            <w:gridSpan w:val="4"/>
            <w:shd w:val="clear" w:color="auto" w:fill="FFFFFF" w:themeFill="background2"/>
            <w:vAlign w:val="center"/>
          </w:tcPr>
          <w:p w14:paraId="5D2D9E9B" w14:textId="77777777" w:rsidR="00D21E9C" w:rsidRPr="00BA2632" w:rsidRDefault="00D21E9C" w:rsidP="00D21E9C">
            <w:pPr>
              <w:pStyle w:val="Tablesmalltext"/>
              <w:jc w:val="center"/>
              <w:rPr>
                <w:sz w:val="18"/>
                <w:szCs w:val="18"/>
              </w:rPr>
            </w:pPr>
            <w:r w:rsidRPr="00BA2632">
              <w:rPr>
                <w:rStyle w:val="Strong"/>
                <w:rFonts w:asciiTheme="minorHAnsi" w:hAnsiTheme="minorHAnsi" w:cstheme="minorHAnsi"/>
                <w:b/>
                <w:sz w:val="18"/>
                <w:szCs w:val="18"/>
              </w:rPr>
              <w:t>Area scale evaluation questions</w:t>
            </w:r>
          </w:p>
        </w:tc>
      </w:tr>
      <w:tr w:rsidR="00D21E9C" w:rsidRPr="00BA2632" w14:paraId="2F7C45C6" w14:textId="77777777" w:rsidTr="00D21E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2"/>
          </w:tcPr>
          <w:p w14:paraId="0C68D7CA" w14:textId="77777777" w:rsidR="00D21E9C" w:rsidRPr="00BA2632" w:rsidRDefault="00D21E9C" w:rsidP="00D21E9C">
            <w:pPr>
              <w:pStyle w:val="Tablesmalltext"/>
              <w:jc w:val="left"/>
              <w:rPr>
                <w:rFonts w:asciiTheme="minorHAnsi" w:hAnsiTheme="minorHAnsi" w:cstheme="minorHAnsi"/>
                <w:sz w:val="18"/>
                <w:szCs w:val="18"/>
              </w:rPr>
            </w:pPr>
            <w:r w:rsidRPr="00BA2632">
              <w:rPr>
                <w:rStyle w:val="Strong"/>
                <w:rFonts w:asciiTheme="minorHAnsi" w:hAnsiTheme="minorHAnsi" w:cstheme="minorHAnsi"/>
                <w:sz w:val="18"/>
                <w:szCs w:val="18"/>
              </w:rPr>
              <w:t xml:space="preserve">Does the CEW contribution to </w:t>
            </w:r>
            <w:r>
              <w:rPr>
                <w:rStyle w:val="Strong"/>
                <w:rFonts w:asciiTheme="minorHAnsi" w:hAnsiTheme="minorHAnsi" w:cstheme="minorHAnsi"/>
                <w:sz w:val="18"/>
                <w:szCs w:val="18"/>
              </w:rPr>
              <w:t>Spring Fresh</w:t>
            </w:r>
            <w:r w:rsidRPr="00BA2632">
              <w:rPr>
                <w:rStyle w:val="Strong"/>
                <w:rFonts w:asciiTheme="minorHAnsi" w:hAnsiTheme="minorHAnsi" w:cstheme="minorHAnsi"/>
                <w:sz w:val="18"/>
                <w:szCs w:val="18"/>
              </w:rPr>
              <w:t xml:space="preserve">es increase </w:t>
            </w:r>
            <w:r w:rsidRPr="00BA2632">
              <w:rPr>
                <w:rFonts w:asciiTheme="minorHAnsi" w:hAnsiTheme="minorHAnsi" w:cstheme="minorHAnsi"/>
                <w:b w:val="0"/>
                <w:bCs/>
                <w:sz w:val="18"/>
                <w:szCs w:val="18"/>
              </w:rPr>
              <w:t>the</w:t>
            </w:r>
            <w:r w:rsidRPr="00BA2632">
              <w:rPr>
                <w:rStyle w:val="Strong"/>
                <w:rFonts w:asciiTheme="minorHAnsi" w:hAnsiTheme="minorHAnsi" w:cstheme="minorHAnsi"/>
                <w:sz w:val="18"/>
                <w:szCs w:val="18"/>
              </w:rPr>
              <w:t xml:space="preserve"> abundance of riparian vegetation on the bank face?</w:t>
            </w:r>
          </w:p>
        </w:tc>
        <w:tc>
          <w:tcPr>
            <w:tcW w:w="1701" w:type="dxa"/>
            <w:shd w:val="clear" w:color="auto" w:fill="FFFFFF" w:themeFill="background2"/>
          </w:tcPr>
          <w:p w14:paraId="2D2B2984" w14:textId="77777777" w:rsidR="00D21E9C" w:rsidRPr="00BA2632" w:rsidRDefault="00D21E9C" w:rsidP="00D21E9C">
            <w:pPr>
              <w:pStyle w:val="Tablesmal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Spring Fresh</w:t>
            </w:r>
            <w:r w:rsidRPr="00BA2632">
              <w:rPr>
                <w:rFonts w:asciiTheme="minorHAnsi" w:hAnsiTheme="minorHAnsi" w:cstheme="minorHAnsi"/>
                <w:sz w:val="18"/>
                <w:szCs w:val="18"/>
              </w:rPr>
              <w:t>es were appropriate.</w:t>
            </w:r>
          </w:p>
          <w:p w14:paraId="6BE46B37" w14:textId="77777777" w:rsidR="00D21E9C" w:rsidRPr="00BA2632" w:rsidRDefault="00D21E9C" w:rsidP="00D21E9C">
            <w:pPr>
              <w:pStyle w:val="Tablesmal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Prolonged summer inundation by IVT flows resulted in negative outcomes</w:t>
            </w:r>
          </w:p>
        </w:tc>
        <w:tc>
          <w:tcPr>
            <w:tcW w:w="4026" w:type="dxa"/>
            <w:shd w:val="clear" w:color="auto" w:fill="FFFFFF" w:themeFill="background2"/>
          </w:tcPr>
          <w:p w14:paraId="34F21B03" w14:textId="77777777" w:rsidR="00D21E9C" w:rsidRPr="00BA2632" w:rsidRDefault="00D21E9C" w:rsidP="00D21E9C">
            <w:pPr>
              <w:pStyle w:val="Tablesmal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Spring Fresh</w:t>
            </w:r>
            <w:r w:rsidRPr="00BA2632">
              <w:rPr>
                <w:rFonts w:asciiTheme="minorHAnsi" w:hAnsiTheme="minorHAnsi" w:cstheme="minorHAnsi"/>
                <w:color w:val="000000" w:themeColor="text1"/>
                <w:sz w:val="18"/>
                <w:szCs w:val="18"/>
              </w:rPr>
              <w:t xml:space="preserve">es contribute to maintaining the cover of water </w:t>
            </w:r>
            <w:r>
              <w:rPr>
                <w:rFonts w:asciiTheme="minorHAnsi" w:hAnsiTheme="minorHAnsi" w:cstheme="minorHAnsi"/>
                <w:color w:val="000000" w:themeColor="text1"/>
                <w:sz w:val="18"/>
                <w:szCs w:val="18"/>
              </w:rPr>
              <w:t>dependent</w:t>
            </w:r>
            <w:r w:rsidRPr="00BA2632">
              <w:rPr>
                <w:rFonts w:asciiTheme="minorHAnsi" w:hAnsiTheme="minorHAnsi" w:cstheme="minorHAnsi"/>
                <w:color w:val="000000" w:themeColor="text1"/>
                <w:sz w:val="18"/>
                <w:szCs w:val="18"/>
              </w:rPr>
              <w:t xml:space="preserve"> taxa.  This is demonstrated by: </w:t>
            </w:r>
          </w:p>
          <w:p w14:paraId="470309A5" w14:textId="77777777" w:rsidR="00D21E9C" w:rsidRPr="00BA2632" w:rsidRDefault="00D21E9C" w:rsidP="00D21E9C">
            <w:pPr>
              <w:pStyle w:val="Tablesmal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18"/>
                <w:szCs w:val="18"/>
              </w:rPr>
            </w:pPr>
            <w:r w:rsidRPr="00BA2632">
              <w:rPr>
                <w:rFonts w:asciiTheme="minorHAnsi" w:hAnsiTheme="minorHAnsi" w:cstheme="minorHAnsi"/>
                <w:color w:val="000000" w:themeColor="text1"/>
                <w:sz w:val="18"/>
                <w:szCs w:val="18"/>
              </w:rPr>
              <w:t xml:space="preserve">Water </w:t>
            </w:r>
            <w:r>
              <w:rPr>
                <w:rFonts w:asciiTheme="minorHAnsi" w:hAnsiTheme="minorHAnsi" w:cstheme="minorHAnsi"/>
                <w:color w:val="000000" w:themeColor="text1"/>
                <w:sz w:val="18"/>
                <w:szCs w:val="18"/>
              </w:rPr>
              <w:t>dependent</w:t>
            </w:r>
            <w:r w:rsidRPr="00BA2632">
              <w:rPr>
                <w:rFonts w:asciiTheme="minorHAnsi" w:hAnsiTheme="minorHAnsi" w:cstheme="minorHAnsi"/>
                <w:color w:val="000000" w:themeColor="text1"/>
                <w:sz w:val="18"/>
                <w:szCs w:val="18"/>
              </w:rPr>
              <w:t xml:space="preserve"> taxa generally increase in cover post </w:t>
            </w:r>
            <w:r>
              <w:rPr>
                <w:rFonts w:asciiTheme="minorHAnsi" w:hAnsiTheme="minorHAnsi" w:cstheme="minorHAnsi"/>
                <w:color w:val="000000" w:themeColor="text1"/>
                <w:sz w:val="18"/>
                <w:szCs w:val="18"/>
              </w:rPr>
              <w:t>Spring Fresh</w:t>
            </w:r>
            <w:r w:rsidRPr="00BA2632">
              <w:rPr>
                <w:rFonts w:asciiTheme="minorHAnsi" w:hAnsiTheme="minorHAnsi" w:cstheme="minorHAnsi"/>
                <w:color w:val="000000" w:themeColor="text1"/>
                <w:sz w:val="18"/>
                <w:szCs w:val="18"/>
              </w:rPr>
              <w:t xml:space="preserve">es.  </w:t>
            </w:r>
            <w:r>
              <w:rPr>
                <w:rFonts w:asciiTheme="minorHAnsi" w:hAnsiTheme="minorHAnsi" w:cstheme="minorHAnsi"/>
                <w:color w:val="000000" w:themeColor="text1"/>
                <w:sz w:val="18"/>
                <w:szCs w:val="18"/>
              </w:rPr>
              <w:t xml:space="preserve">This could not be tested this year due to natural high flows. </w:t>
            </w:r>
            <w:r w:rsidRPr="00BA2632">
              <w:rPr>
                <w:rFonts w:asciiTheme="minorHAnsi" w:hAnsiTheme="minorHAnsi" w:cstheme="minorHAnsi"/>
                <w:bCs/>
                <w:sz w:val="18"/>
                <w:szCs w:val="18"/>
              </w:rPr>
              <w:t xml:space="preserve">The distribution of water </w:t>
            </w:r>
            <w:r>
              <w:rPr>
                <w:rFonts w:asciiTheme="minorHAnsi" w:hAnsiTheme="minorHAnsi" w:cstheme="minorHAnsi"/>
                <w:bCs/>
                <w:sz w:val="18"/>
                <w:szCs w:val="18"/>
              </w:rPr>
              <w:t>dependent</w:t>
            </w:r>
            <w:r w:rsidRPr="00BA2632">
              <w:rPr>
                <w:rFonts w:asciiTheme="minorHAnsi" w:hAnsiTheme="minorHAnsi" w:cstheme="minorHAnsi"/>
                <w:bCs/>
                <w:sz w:val="18"/>
                <w:szCs w:val="18"/>
              </w:rPr>
              <w:t xml:space="preserve"> taxa is </w:t>
            </w:r>
            <w:r>
              <w:rPr>
                <w:rFonts w:asciiTheme="minorHAnsi" w:hAnsiTheme="minorHAnsi" w:cstheme="minorHAnsi"/>
                <w:bCs/>
                <w:sz w:val="18"/>
                <w:szCs w:val="18"/>
              </w:rPr>
              <w:t xml:space="preserve">mostly </w:t>
            </w:r>
            <w:r w:rsidRPr="00BA2632">
              <w:rPr>
                <w:rFonts w:asciiTheme="minorHAnsi" w:hAnsiTheme="minorHAnsi" w:cstheme="minorHAnsi"/>
                <w:bCs/>
                <w:sz w:val="18"/>
                <w:szCs w:val="18"/>
              </w:rPr>
              <w:t xml:space="preserve">limited to regions of the bank influenced by </w:t>
            </w:r>
            <w:r>
              <w:rPr>
                <w:rFonts w:asciiTheme="minorHAnsi" w:hAnsiTheme="minorHAnsi" w:cstheme="minorHAnsi"/>
                <w:bCs/>
                <w:sz w:val="18"/>
                <w:szCs w:val="18"/>
              </w:rPr>
              <w:t>Spring Fresh</w:t>
            </w:r>
            <w:r w:rsidRPr="00BA2632">
              <w:rPr>
                <w:rFonts w:asciiTheme="minorHAnsi" w:hAnsiTheme="minorHAnsi" w:cstheme="minorHAnsi"/>
                <w:bCs/>
                <w:sz w:val="18"/>
                <w:szCs w:val="18"/>
              </w:rPr>
              <w:t>es</w:t>
            </w:r>
            <w:r>
              <w:rPr>
                <w:rFonts w:asciiTheme="minorHAnsi" w:hAnsiTheme="minorHAnsi" w:cstheme="minorHAnsi"/>
                <w:color w:val="000000" w:themeColor="text1"/>
                <w:sz w:val="18"/>
                <w:szCs w:val="18"/>
              </w:rPr>
              <w:t>.</w:t>
            </w:r>
          </w:p>
        </w:tc>
        <w:tc>
          <w:tcPr>
            <w:tcW w:w="1842" w:type="dxa"/>
            <w:shd w:val="clear" w:color="auto" w:fill="FFFFFF" w:themeFill="background2"/>
          </w:tcPr>
          <w:p w14:paraId="5A95EAB0" w14:textId="77777777" w:rsidR="00D21E9C" w:rsidRPr="00BA2632" w:rsidRDefault="00D21E9C" w:rsidP="00D21E9C">
            <w:pPr>
              <w:pStyle w:val="Tablesmalltext"/>
              <w:numPr>
                <w:ilvl w:val="6"/>
                <w:numId w:val="30"/>
              </w:numPr>
              <w:ind w:left="201" w:hanging="201"/>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 xml:space="preserve">Visual comparison of </w:t>
            </w:r>
            <w:r>
              <w:rPr>
                <w:rFonts w:asciiTheme="minorHAnsi" w:hAnsiTheme="minorHAnsi" w:cstheme="minorHAnsi"/>
                <w:sz w:val="18"/>
                <w:szCs w:val="18"/>
              </w:rPr>
              <w:t xml:space="preserve">summary data plots for </w:t>
            </w:r>
            <w:r w:rsidRPr="00BA2632">
              <w:rPr>
                <w:rFonts w:asciiTheme="minorHAnsi" w:hAnsiTheme="minorHAnsi" w:cstheme="minorHAnsi"/>
                <w:sz w:val="18"/>
                <w:szCs w:val="18"/>
              </w:rPr>
              <w:t xml:space="preserve">the cover of focal taxa and plant groups across bank zones </w:t>
            </w:r>
          </w:p>
          <w:p w14:paraId="4459436B" w14:textId="77777777" w:rsidR="00D21E9C" w:rsidRPr="00BA2632" w:rsidRDefault="00D21E9C" w:rsidP="00D21E9C">
            <w:pPr>
              <w:pStyle w:val="Tablesmalltext"/>
              <w:numPr>
                <w:ilvl w:val="6"/>
                <w:numId w:val="30"/>
              </w:numPr>
              <w:ind w:left="201" w:hanging="201"/>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 xml:space="preserve">Visual comparison </w:t>
            </w:r>
            <w:r>
              <w:rPr>
                <w:rFonts w:asciiTheme="minorHAnsi" w:hAnsiTheme="minorHAnsi" w:cstheme="minorHAnsi"/>
                <w:sz w:val="18"/>
                <w:szCs w:val="18"/>
              </w:rPr>
              <w:t xml:space="preserve">of summary data plots for </w:t>
            </w:r>
            <w:r w:rsidRPr="00BA2632">
              <w:rPr>
                <w:rFonts w:asciiTheme="minorHAnsi" w:hAnsiTheme="minorHAnsi" w:cstheme="minorHAnsi"/>
                <w:sz w:val="18"/>
                <w:szCs w:val="18"/>
              </w:rPr>
              <w:t xml:space="preserve">of pre and post </w:t>
            </w:r>
            <w:r>
              <w:rPr>
                <w:rFonts w:asciiTheme="minorHAnsi" w:hAnsiTheme="minorHAnsi" w:cstheme="minorHAnsi"/>
                <w:sz w:val="18"/>
                <w:szCs w:val="18"/>
              </w:rPr>
              <w:t>Spring Fresh</w:t>
            </w:r>
            <w:r w:rsidRPr="00BA2632">
              <w:rPr>
                <w:rFonts w:asciiTheme="minorHAnsi" w:hAnsiTheme="minorHAnsi" w:cstheme="minorHAnsi"/>
                <w:sz w:val="18"/>
                <w:szCs w:val="18"/>
              </w:rPr>
              <w:t xml:space="preserve"> cover</w:t>
            </w:r>
          </w:p>
        </w:tc>
      </w:tr>
      <w:tr w:rsidR="00D21E9C" w:rsidRPr="00BA2632" w14:paraId="4ACBD3F4" w14:textId="77777777" w:rsidTr="00D21E9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2"/>
          </w:tcPr>
          <w:p w14:paraId="4D8D97F8" w14:textId="77777777" w:rsidR="00D21E9C" w:rsidRPr="00BA2632" w:rsidRDefault="00D21E9C" w:rsidP="00D21E9C">
            <w:pPr>
              <w:pStyle w:val="Tablesmalltext"/>
              <w:jc w:val="left"/>
              <w:rPr>
                <w:rFonts w:asciiTheme="minorHAnsi" w:hAnsiTheme="minorHAnsi" w:cstheme="minorHAnsi"/>
                <w:bCs/>
                <w:sz w:val="18"/>
                <w:szCs w:val="18"/>
              </w:rPr>
            </w:pPr>
            <w:r w:rsidRPr="00BA2632">
              <w:rPr>
                <w:rStyle w:val="Strong"/>
                <w:rFonts w:asciiTheme="minorHAnsi" w:hAnsiTheme="minorHAnsi" w:cstheme="minorHAnsi"/>
                <w:sz w:val="18"/>
                <w:szCs w:val="18"/>
              </w:rPr>
              <w:t>Do flows shift the distribution of riparian vegetation communities on the bank face</w:t>
            </w:r>
            <w:r>
              <w:rPr>
                <w:rStyle w:val="Strong"/>
                <w:rFonts w:asciiTheme="minorHAnsi" w:hAnsiTheme="minorHAnsi" w:cstheme="minorHAnsi"/>
                <w:sz w:val="18"/>
                <w:szCs w:val="18"/>
              </w:rPr>
              <w:t>?</w:t>
            </w:r>
            <w:r w:rsidRPr="00BA2632">
              <w:rPr>
                <w:rStyle w:val="Strong"/>
                <w:rFonts w:asciiTheme="minorHAnsi" w:hAnsiTheme="minorHAnsi" w:cstheme="minorHAnsi"/>
                <w:sz w:val="18"/>
                <w:szCs w:val="18"/>
              </w:rPr>
              <w:t xml:space="preserve"> </w:t>
            </w:r>
          </w:p>
        </w:tc>
        <w:tc>
          <w:tcPr>
            <w:tcW w:w="1701" w:type="dxa"/>
            <w:shd w:val="clear" w:color="auto" w:fill="FFFFFF" w:themeFill="background2"/>
          </w:tcPr>
          <w:p w14:paraId="4C0BD32B" w14:textId="77777777" w:rsidR="00D21E9C" w:rsidRPr="00BA2632" w:rsidRDefault="00D21E9C" w:rsidP="00D21E9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BA2632">
              <w:rPr>
                <w:rFonts w:asciiTheme="minorHAnsi" w:hAnsiTheme="minorHAnsi" w:cstheme="minorHAnsi"/>
                <w:bCs/>
                <w:sz w:val="18"/>
                <w:szCs w:val="18"/>
              </w:rPr>
              <w:t>As above</w:t>
            </w:r>
          </w:p>
        </w:tc>
        <w:tc>
          <w:tcPr>
            <w:tcW w:w="4026" w:type="dxa"/>
            <w:shd w:val="clear" w:color="auto" w:fill="FFFFFF" w:themeFill="background2"/>
          </w:tcPr>
          <w:p w14:paraId="7CB0FCCC" w14:textId="77777777" w:rsidR="00D21E9C" w:rsidRDefault="00D21E9C" w:rsidP="00D21E9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BA2632">
              <w:rPr>
                <w:rFonts w:asciiTheme="minorHAnsi" w:hAnsiTheme="minorHAnsi" w:cstheme="minorHAnsi"/>
                <w:bCs/>
                <w:sz w:val="18"/>
                <w:szCs w:val="18"/>
              </w:rPr>
              <w:t xml:space="preserve">The distribution of plant groups and species along the bank face reflects their hydraulic tolerances. The distribution of </w:t>
            </w:r>
            <w:r>
              <w:rPr>
                <w:rFonts w:asciiTheme="minorHAnsi" w:hAnsiTheme="minorHAnsi" w:cstheme="minorHAnsi"/>
                <w:bCs/>
                <w:sz w:val="18"/>
                <w:szCs w:val="18"/>
              </w:rPr>
              <w:t>emergent</w:t>
            </w:r>
            <w:r w:rsidRPr="00BA2632">
              <w:rPr>
                <w:rFonts w:asciiTheme="minorHAnsi" w:hAnsiTheme="minorHAnsi" w:cstheme="minorHAnsi"/>
                <w:bCs/>
                <w:sz w:val="18"/>
                <w:szCs w:val="18"/>
              </w:rPr>
              <w:t xml:space="preserve"> water </w:t>
            </w:r>
            <w:r>
              <w:rPr>
                <w:rFonts w:asciiTheme="minorHAnsi" w:hAnsiTheme="minorHAnsi" w:cstheme="minorHAnsi"/>
                <w:bCs/>
                <w:sz w:val="18"/>
                <w:szCs w:val="18"/>
              </w:rPr>
              <w:t>dependent</w:t>
            </w:r>
            <w:r w:rsidRPr="00BA2632">
              <w:rPr>
                <w:rFonts w:asciiTheme="minorHAnsi" w:hAnsiTheme="minorHAnsi" w:cstheme="minorHAnsi"/>
                <w:bCs/>
                <w:sz w:val="18"/>
                <w:szCs w:val="18"/>
              </w:rPr>
              <w:t xml:space="preserve"> taxa is limited to regions of the bank influenced by </w:t>
            </w:r>
            <w:r>
              <w:rPr>
                <w:rFonts w:asciiTheme="minorHAnsi" w:hAnsiTheme="minorHAnsi" w:cstheme="minorHAnsi"/>
                <w:bCs/>
                <w:sz w:val="18"/>
                <w:szCs w:val="18"/>
              </w:rPr>
              <w:t>Spring Fresh</w:t>
            </w:r>
            <w:r w:rsidRPr="00BA2632">
              <w:rPr>
                <w:rFonts w:asciiTheme="minorHAnsi" w:hAnsiTheme="minorHAnsi" w:cstheme="minorHAnsi"/>
                <w:bCs/>
                <w:sz w:val="18"/>
                <w:szCs w:val="18"/>
              </w:rPr>
              <w:t xml:space="preserve">es and the distribution of </w:t>
            </w:r>
            <w:r w:rsidRPr="00BA2632">
              <w:rPr>
                <w:rFonts w:asciiTheme="minorHAnsi" w:hAnsiTheme="minorHAnsi" w:cstheme="minorHAnsi"/>
                <w:bCs/>
                <w:iCs/>
                <w:sz w:val="18"/>
                <w:szCs w:val="18"/>
              </w:rPr>
              <w:t>common tussock grass</w:t>
            </w:r>
            <w:r w:rsidRPr="00BA2632">
              <w:rPr>
                <w:rFonts w:asciiTheme="minorHAnsi" w:hAnsiTheme="minorHAnsi" w:cstheme="minorHAnsi"/>
                <w:bCs/>
                <w:sz w:val="18"/>
                <w:szCs w:val="18"/>
              </w:rPr>
              <w:t xml:space="preserve"> is limited to higher elevation where it experiences shallow and brief inundation.  </w:t>
            </w:r>
          </w:p>
          <w:p w14:paraId="2CDF18B2" w14:textId="77777777" w:rsidR="00D21E9C" w:rsidRDefault="00D21E9C" w:rsidP="00D21E9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Pr>
                <w:rFonts w:asciiTheme="minorHAnsi" w:hAnsiTheme="minorHAnsi" w:cstheme="minorHAnsi"/>
                <w:bCs/>
                <w:sz w:val="18"/>
                <w:szCs w:val="18"/>
              </w:rPr>
              <w:t xml:space="preserve">Periods of unnatural high summer flows due to IVT demand </w:t>
            </w:r>
            <w:r w:rsidRPr="00BA2632">
              <w:rPr>
                <w:rFonts w:asciiTheme="minorHAnsi" w:hAnsiTheme="minorHAnsi" w:cstheme="minorHAnsi"/>
                <w:bCs/>
                <w:sz w:val="18"/>
                <w:szCs w:val="18"/>
              </w:rPr>
              <w:t xml:space="preserve">eliminated </w:t>
            </w:r>
            <w:r>
              <w:rPr>
                <w:rFonts w:asciiTheme="minorHAnsi" w:hAnsiTheme="minorHAnsi" w:cstheme="minorHAnsi"/>
                <w:bCs/>
                <w:sz w:val="18"/>
                <w:szCs w:val="18"/>
              </w:rPr>
              <w:t xml:space="preserve">emergent, </w:t>
            </w:r>
            <w:r w:rsidRPr="00BA2632">
              <w:rPr>
                <w:rFonts w:asciiTheme="minorHAnsi" w:hAnsiTheme="minorHAnsi" w:cstheme="minorHAnsi"/>
                <w:bCs/>
                <w:sz w:val="18"/>
                <w:szCs w:val="18"/>
              </w:rPr>
              <w:t xml:space="preserve">water </w:t>
            </w:r>
            <w:r>
              <w:rPr>
                <w:rFonts w:asciiTheme="minorHAnsi" w:hAnsiTheme="minorHAnsi" w:cstheme="minorHAnsi"/>
                <w:bCs/>
                <w:sz w:val="18"/>
                <w:szCs w:val="18"/>
              </w:rPr>
              <w:t>dependent</w:t>
            </w:r>
            <w:r w:rsidRPr="00BA2632">
              <w:rPr>
                <w:rFonts w:asciiTheme="minorHAnsi" w:hAnsiTheme="minorHAnsi" w:cstheme="minorHAnsi"/>
                <w:bCs/>
                <w:sz w:val="18"/>
                <w:szCs w:val="18"/>
              </w:rPr>
              <w:t xml:space="preserve"> species at the lowest elevations effectively narrowing the littoral zone and </w:t>
            </w:r>
            <w:r>
              <w:rPr>
                <w:rFonts w:asciiTheme="minorHAnsi" w:hAnsiTheme="minorHAnsi" w:cstheme="minorHAnsi"/>
                <w:bCs/>
                <w:sz w:val="18"/>
                <w:szCs w:val="18"/>
              </w:rPr>
              <w:t>increasing the risk of</w:t>
            </w:r>
            <w:r w:rsidRPr="00BA2632">
              <w:rPr>
                <w:rFonts w:asciiTheme="minorHAnsi" w:hAnsiTheme="minorHAnsi" w:cstheme="minorHAnsi"/>
                <w:bCs/>
                <w:sz w:val="18"/>
                <w:szCs w:val="18"/>
              </w:rPr>
              <w:t xml:space="preserve"> erosion. </w:t>
            </w:r>
          </w:p>
          <w:p w14:paraId="05C31E70" w14:textId="77777777" w:rsidR="00D21E9C" w:rsidRPr="00BA2632" w:rsidRDefault="00D21E9C" w:rsidP="00D21E9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Pr>
                <w:rFonts w:asciiTheme="minorHAnsi" w:hAnsiTheme="minorHAnsi" w:cstheme="minorHAnsi"/>
                <w:bCs/>
                <w:sz w:val="18"/>
                <w:szCs w:val="18"/>
              </w:rPr>
              <w:t xml:space="preserve">In 2020-21 lower summer flows were associated with the establishment of emergent, water dependant taxa in a narrow band along the river fringe. </w:t>
            </w:r>
          </w:p>
        </w:tc>
        <w:tc>
          <w:tcPr>
            <w:tcW w:w="1842" w:type="dxa"/>
            <w:shd w:val="clear" w:color="auto" w:fill="FFFFFF" w:themeFill="background2"/>
          </w:tcPr>
          <w:p w14:paraId="297363E3" w14:textId="77777777" w:rsidR="00D21E9C" w:rsidRPr="00BA2632" w:rsidRDefault="00D21E9C" w:rsidP="00D21E9C">
            <w:pPr>
              <w:pStyle w:val="Tablesmalltext"/>
              <w:numPr>
                <w:ilvl w:val="6"/>
                <w:numId w:val="30"/>
              </w:numPr>
              <w:ind w:left="201" w:hanging="201"/>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 xml:space="preserve">Visual comparison of </w:t>
            </w:r>
            <w:r>
              <w:rPr>
                <w:rFonts w:asciiTheme="minorHAnsi" w:hAnsiTheme="minorHAnsi" w:cstheme="minorHAnsi"/>
                <w:sz w:val="18"/>
                <w:szCs w:val="18"/>
              </w:rPr>
              <w:t xml:space="preserve">summary data plots for </w:t>
            </w:r>
            <w:r w:rsidRPr="00BA2632">
              <w:rPr>
                <w:rFonts w:asciiTheme="minorHAnsi" w:hAnsiTheme="minorHAnsi" w:cstheme="minorHAnsi"/>
                <w:sz w:val="18"/>
                <w:szCs w:val="18"/>
              </w:rPr>
              <w:t xml:space="preserve">the cover of focal taxa and plant groups across bank zones </w:t>
            </w:r>
          </w:p>
        </w:tc>
      </w:tr>
      <w:tr w:rsidR="00D21E9C" w:rsidRPr="00BA2632" w14:paraId="45A78DDD" w14:textId="77777777" w:rsidTr="00D21E9C">
        <w:trPr>
          <w:cnfStyle w:val="000000010000" w:firstRow="0" w:lastRow="0" w:firstColumn="0" w:lastColumn="0" w:oddVBand="0" w:evenVBand="0" w:oddHBand="0" w:evenHBand="1" w:firstRowFirstColumn="0" w:firstRowLastColumn="0" w:lastRowFirstColumn="0" w:lastRowLastColumn="0"/>
          <w:trHeight w:val="1740"/>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2"/>
          </w:tcPr>
          <w:p w14:paraId="088F2557" w14:textId="77777777" w:rsidR="00D21E9C" w:rsidRPr="00BA2632" w:rsidRDefault="00D21E9C" w:rsidP="00D21E9C">
            <w:pPr>
              <w:pStyle w:val="Tablesmalltext"/>
              <w:jc w:val="left"/>
              <w:rPr>
                <w:rFonts w:asciiTheme="minorHAnsi" w:hAnsiTheme="minorHAnsi" w:cstheme="minorHAnsi"/>
                <w:sz w:val="18"/>
                <w:szCs w:val="18"/>
              </w:rPr>
            </w:pPr>
            <w:r w:rsidRPr="00BA2632">
              <w:rPr>
                <w:rStyle w:val="Strong"/>
                <w:rFonts w:asciiTheme="minorHAnsi" w:hAnsiTheme="minorHAnsi" w:cstheme="minorHAnsi"/>
                <w:sz w:val="18"/>
                <w:szCs w:val="18"/>
              </w:rPr>
              <w:t>Do responses of bank vegetation differ among sites?</w:t>
            </w:r>
          </w:p>
        </w:tc>
        <w:tc>
          <w:tcPr>
            <w:tcW w:w="1701" w:type="dxa"/>
            <w:shd w:val="clear" w:color="auto" w:fill="FFFFFF" w:themeFill="background2"/>
          </w:tcPr>
          <w:p w14:paraId="76982B15" w14:textId="77777777" w:rsidR="00D21E9C" w:rsidRPr="00BA2632" w:rsidRDefault="00D21E9C" w:rsidP="00D21E9C">
            <w:pPr>
              <w:pStyle w:val="Tablesmal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As above</w:t>
            </w:r>
          </w:p>
        </w:tc>
        <w:tc>
          <w:tcPr>
            <w:tcW w:w="4026" w:type="dxa"/>
            <w:shd w:val="clear" w:color="auto" w:fill="FFFFFF" w:themeFill="background2"/>
          </w:tcPr>
          <w:p w14:paraId="46B9B279" w14:textId="77777777" w:rsidR="00D21E9C" w:rsidRPr="00BA2632" w:rsidRDefault="00D21E9C" w:rsidP="00D21E9C">
            <w:pPr>
              <w:pStyle w:val="Tablesmal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 xml:space="preserve">Vegetation cover is consistently lower at McCoy’s Bridge compared with Loch Garry but responses of vegetation to environmental water and unregulated flows are generally similar. </w:t>
            </w:r>
          </w:p>
        </w:tc>
        <w:tc>
          <w:tcPr>
            <w:tcW w:w="1842" w:type="dxa"/>
            <w:shd w:val="clear" w:color="auto" w:fill="FFFFFF" w:themeFill="background2"/>
          </w:tcPr>
          <w:p w14:paraId="5D00B0E2" w14:textId="77777777" w:rsidR="00D21E9C" w:rsidRPr="00BA2632" w:rsidRDefault="00D21E9C" w:rsidP="00D21E9C">
            <w:pPr>
              <w:pStyle w:val="Tablesmalltext"/>
              <w:numPr>
                <w:ilvl w:val="6"/>
                <w:numId w:val="30"/>
              </w:numPr>
              <w:ind w:left="201" w:hanging="201"/>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 xml:space="preserve">Visual comparison </w:t>
            </w:r>
            <w:r>
              <w:rPr>
                <w:rFonts w:asciiTheme="minorHAnsi" w:hAnsiTheme="minorHAnsi" w:cstheme="minorHAnsi"/>
                <w:sz w:val="18"/>
                <w:szCs w:val="18"/>
              </w:rPr>
              <w:t xml:space="preserve">summary data plots for </w:t>
            </w:r>
            <w:r w:rsidRPr="00BA2632">
              <w:rPr>
                <w:rFonts w:asciiTheme="minorHAnsi" w:hAnsiTheme="minorHAnsi" w:cstheme="minorHAnsi"/>
                <w:sz w:val="18"/>
                <w:szCs w:val="18"/>
              </w:rPr>
              <w:t xml:space="preserve">the cover of focal taxa and plant groups across bank zones </w:t>
            </w:r>
          </w:p>
          <w:p w14:paraId="7E8EC1A3" w14:textId="77777777" w:rsidR="00D21E9C" w:rsidRPr="00BA2632" w:rsidRDefault="00D21E9C" w:rsidP="00D21E9C">
            <w:pPr>
              <w:pStyle w:val="Tablesmalltext"/>
              <w:numPr>
                <w:ilvl w:val="6"/>
                <w:numId w:val="30"/>
              </w:numPr>
              <w:ind w:left="201" w:hanging="201"/>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 xml:space="preserve">Visual comparison </w:t>
            </w:r>
            <w:r>
              <w:rPr>
                <w:rFonts w:asciiTheme="minorHAnsi" w:hAnsiTheme="minorHAnsi" w:cstheme="minorHAnsi"/>
                <w:sz w:val="18"/>
                <w:szCs w:val="18"/>
              </w:rPr>
              <w:t xml:space="preserve">summary data plots </w:t>
            </w:r>
            <w:r w:rsidRPr="00BA2632">
              <w:rPr>
                <w:rFonts w:asciiTheme="minorHAnsi" w:hAnsiTheme="minorHAnsi" w:cstheme="minorHAnsi"/>
                <w:sz w:val="18"/>
                <w:szCs w:val="18"/>
              </w:rPr>
              <w:t xml:space="preserve">of pre and post </w:t>
            </w:r>
            <w:r>
              <w:rPr>
                <w:rFonts w:asciiTheme="minorHAnsi" w:hAnsiTheme="minorHAnsi" w:cstheme="minorHAnsi"/>
                <w:sz w:val="18"/>
                <w:szCs w:val="18"/>
              </w:rPr>
              <w:t>Spring Fresh</w:t>
            </w:r>
            <w:r w:rsidRPr="00BA2632">
              <w:rPr>
                <w:rFonts w:asciiTheme="minorHAnsi" w:hAnsiTheme="minorHAnsi" w:cstheme="minorHAnsi"/>
                <w:sz w:val="18"/>
                <w:szCs w:val="18"/>
              </w:rPr>
              <w:t xml:space="preserve"> cover</w:t>
            </w:r>
          </w:p>
        </w:tc>
      </w:tr>
      <w:tr w:rsidR="00D21E9C" w:rsidRPr="00BA2632" w14:paraId="2BD88B21" w14:textId="77777777" w:rsidTr="00D21E9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2"/>
          </w:tcPr>
          <w:p w14:paraId="47FA36AB" w14:textId="77777777" w:rsidR="00D21E9C" w:rsidRPr="00BA2632" w:rsidRDefault="00D21E9C" w:rsidP="00D21E9C">
            <w:pPr>
              <w:pStyle w:val="Tablesmalltext"/>
              <w:jc w:val="left"/>
              <w:rPr>
                <w:rFonts w:asciiTheme="minorHAnsi" w:hAnsiTheme="minorHAnsi" w:cstheme="minorHAnsi"/>
                <w:sz w:val="18"/>
                <w:szCs w:val="18"/>
              </w:rPr>
            </w:pPr>
            <w:r w:rsidRPr="00BA2632">
              <w:rPr>
                <w:rStyle w:val="Strong"/>
                <w:rFonts w:asciiTheme="minorHAnsi" w:hAnsiTheme="minorHAnsi" w:cstheme="minorHAnsi"/>
                <w:sz w:val="18"/>
                <w:szCs w:val="18"/>
              </w:rPr>
              <w:t>What influence do hydraulic variables have on the abundance of riparian vegetation communities?</w:t>
            </w:r>
          </w:p>
        </w:tc>
        <w:tc>
          <w:tcPr>
            <w:tcW w:w="1701" w:type="dxa"/>
            <w:shd w:val="clear" w:color="auto" w:fill="FFFFFF" w:themeFill="background2"/>
          </w:tcPr>
          <w:p w14:paraId="651020BA" w14:textId="77777777" w:rsidR="00D21E9C" w:rsidRPr="00BA2632" w:rsidRDefault="00D21E9C" w:rsidP="00D21E9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As above</w:t>
            </w:r>
          </w:p>
        </w:tc>
        <w:tc>
          <w:tcPr>
            <w:tcW w:w="4026" w:type="dxa"/>
            <w:shd w:val="clear" w:color="auto" w:fill="FFFFFF" w:themeFill="background2"/>
          </w:tcPr>
          <w:p w14:paraId="36C45AE9" w14:textId="77777777" w:rsidR="00D21E9C" w:rsidRPr="00BA2632" w:rsidRDefault="00D21E9C" w:rsidP="00D21E9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The duration of inundation</w:t>
            </w:r>
            <w:r>
              <w:rPr>
                <w:rFonts w:asciiTheme="minorHAnsi" w:hAnsiTheme="minorHAnsi" w:cstheme="minorHAnsi"/>
                <w:sz w:val="18"/>
                <w:szCs w:val="18"/>
              </w:rPr>
              <w:t xml:space="preserve"> &gt; 25 cm depth </w:t>
            </w:r>
            <w:r w:rsidRPr="00BA2632">
              <w:rPr>
                <w:rFonts w:asciiTheme="minorHAnsi" w:hAnsiTheme="minorHAnsi" w:cstheme="minorHAnsi"/>
                <w:sz w:val="18"/>
                <w:szCs w:val="18"/>
              </w:rPr>
              <w:t xml:space="preserve">in the year prior to sampling </w:t>
            </w:r>
            <w:r>
              <w:rPr>
                <w:rFonts w:asciiTheme="minorHAnsi" w:hAnsiTheme="minorHAnsi" w:cstheme="minorHAnsi"/>
                <w:sz w:val="18"/>
                <w:szCs w:val="18"/>
              </w:rPr>
              <w:t>and</w:t>
            </w:r>
            <w:r w:rsidRPr="00BA2632">
              <w:rPr>
                <w:rFonts w:asciiTheme="minorHAnsi" w:hAnsiTheme="minorHAnsi" w:cstheme="minorHAnsi"/>
                <w:sz w:val="18"/>
                <w:szCs w:val="18"/>
              </w:rPr>
              <w:t xml:space="preserve"> over the IVT period influence the abundance of plant groups and </w:t>
            </w:r>
            <w:r>
              <w:rPr>
                <w:rFonts w:asciiTheme="minorHAnsi" w:hAnsiTheme="minorHAnsi" w:cstheme="minorHAnsi"/>
                <w:sz w:val="18"/>
                <w:szCs w:val="18"/>
              </w:rPr>
              <w:t>taxa</w:t>
            </w:r>
            <w:r w:rsidRPr="00BA2632">
              <w:rPr>
                <w:rFonts w:asciiTheme="minorHAnsi" w:hAnsiTheme="minorHAnsi" w:cstheme="minorHAnsi"/>
                <w:sz w:val="18"/>
                <w:szCs w:val="18"/>
              </w:rPr>
              <w:t xml:space="preserve"> differently and reflects their distribution on the bank.  For </w:t>
            </w:r>
            <w:r>
              <w:rPr>
                <w:rFonts w:asciiTheme="minorHAnsi" w:hAnsiTheme="minorHAnsi" w:cstheme="minorHAnsi"/>
                <w:sz w:val="18"/>
                <w:szCs w:val="18"/>
              </w:rPr>
              <w:t xml:space="preserve">emergent, </w:t>
            </w:r>
            <w:r w:rsidRPr="00BA2632">
              <w:rPr>
                <w:rFonts w:asciiTheme="minorHAnsi" w:hAnsiTheme="minorHAnsi" w:cstheme="minorHAnsi"/>
                <w:sz w:val="18"/>
                <w:szCs w:val="18"/>
              </w:rPr>
              <w:t xml:space="preserve">water </w:t>
            </w:r>
            <w:r>
              <w:rPr>
                <w:rFonts w:asciiTheme="minorHAnsi" w:hAnsiTheme="minorHAnsi" w:cstheme="minorHAnsi"/>
                <w:sz w:val="18"/>
                <w:szCs w:val="18"/>
              </w:rPr>
              <w:t>dependent</w:t>
            </w:r>
            <w:r w:rsidRPr="00BA2632">
              <w:rPr>
                <w:rFonts w:asciiTheme="minorHAnsi" w:hAnsiTheme="minorHAnsi" w:cstheme="minorHAnsi"/>
                <w:sz w:val="18"/>
                <w:szCs w:val="18"/>
              </w:rPr>
              <w:t xml:space="preserve"> taxa, </w:t>
            </w:r>
            <w:r>
              <w:rPr>
                <w:rFonts w:asciiTheme="minorHAnsi" w:hAnsiTheme="minorHAnsi" w:cstheme="minorHAnsi"/>
                <w:sz w:val="18"/>
                <w:szCs w:val="18"/>
              </w:rPr>
              <w:t>&gt;</w:t>
            </w:r>
            <w:r w:rsidRPr="00BA2632">
              <w:rPr>
                <w:rFonts w:asciiTheme="minorHAnsi" w:hAnsiTheme="minorHAnsi" w:cstheme="minorHAnsi"/>
                <w:sz w:val="18"/>
                <w:szCs w:val="18"/>
              </w:rPr>
              <w:t xml:space="preserve"> </w:t>
            </w:r>
            <w:r>
              <w:rPr>
                <w:rFonts w:asciiTheme="minorHAnsi" w:hAnsiTheme="minorHAnsi" w:cstheme="minorHAnsi"/>
                <w:sz w:val="18"/>
                <w:szCs w:val="18"/>
              </w:rPr>
              <w:t>40</w:t>
            </w:r>
            <w:r w:rsidRPr="00BA2632">
              <w:rPr>
                <w:rFonts w:asciiTheme="minorHAnsi" w:hAnsiTheme="minorHAnsi" w:cstheme="minorHAnsi"/>
                <w:sz w:val="18"/>
                <w:szCs w:val="18"/>
              </w:rPr>
              <w:t xml:space="preserve"> days </w:t>
            </w:r>
            <w:r>
              <w:rPr>
                <w:rFonts w:asciiTheme="minorHAnsi" w:hAnsiTheme="minorHAnsi" w:cstheme="minorHAnsi"/>
                <w:sz w:val="18"/>
                <w:szCs w:val="18"/>
              </w:rPr>
              <w:t xml:space="preserve">of </w:t>
            </w:r>
            <w:r w:rsidRPr="00BA2632">
              <w:rPr>
                <w:rFonts w:asciiTheme="minorHAnsi" w:hAnsiTheme="minorHAnsi" w:cstheme="minorHAnsi"/>
                <w:sz w:val="18"/>
                <w:szCs w:val="18"/>
              </w:rPr>
              <w:t xml:space="preserve">inundation </w:t>
            </w:r>
            <w:r>
              <w:rPr>
                <w:rFonts w:asciiTheme="minorHAnsi" w:hAnsiTheme="minorHAnsi" w:cstheme="minorHAnsi"/>
                <w:sz w:val="18"/>
                <w:szCs w:val="18"/>
              </w:rPr>
              <w:t xml:space="preserve">&gt;25 cm depth </w:t>
            </w:r>
            <w:r w:rsidRPr="00BA2632">
              <w:rPr>
                <w:rFonts w:asciiTheme="minorHAnsi" w:hAnsiTheme="minorHAnsi" w:cstheme="minorHAnsi"/>
                <w:sz w:val="18"/>
                <w:szCs w:val="18"/>
              </w:rPr>
              <w:t xml:space="preserve">over the </w:t>
            </w:r>
            <w:r>
              <w:rPr>
                <w:rFonts w:asciiTheme="minorHAnsi" w:hAnsiTheme="minorHAnsi" w:cstheme="minorHAnsi"/>
                <w:sz w:val="18"/>
                <w:szCs w:val="18"/>
              </w:rPr>
              <w:t xml:space="preserve">summer </w:t>
            </w:r>
            <w:r w:rsidRPr="00BA2632">
              <w:rPr>
                <w:rFonts w:asciiTheme="minorHAnsi" w:hAnsiTheme="minorHAnsi" w:cstheme="minorHAnsi"/>
                <w:sz w:val="18"/>
                <w:szCs w:val="18"/>
              </w:rPr>
              <w:t xml:space="preserve">IVT period is correlated with a steady decline in the probability of occurrence. </w:t>
            </w:r>
            <w:r>
              <w:rPr>
                <w:rFonts w:asciiTheme="minorHAnsi" w:hAnsiTheme="minorHAnsi" w:cstheme="minorHAnsi"/>
                <w:sz w:val="18"/>
                <w:szCs w:val="18"/>
              </w:rPr>
              <w:t xml:space="preserve">Previous models that only </w:t>
            </w:r>
            <w:r>
              <w:rPr>
                <w:rFonts w:asciiTheme="minorHAnsi" w:hAnsiTheme="minorHAnsi" w:cstheme="minorHAnsi"/>
                <w:sz w:val="18"/>
                <w:szCs w:val="18"/>
              </w:rPr>
              <w:lastRenderedPageBreak/>
              <w:t xml:space="preserve">assessed the duration of inundation &gt;0cm found that sensitivity was lower, with a decline occurring after 55 days of inundation. This difference suggests that depth of inundation </w:t>
            </w:r>
            <w:r w:rsidRPr="00D21E9C">
              <w:rPr>
                <w:rFonts w:asciiTheme="minorHAnsi" w:hAnsiTheme="minorHAnsi" w:cstheme="minorHAnsi"/>
                <w:sz w:val="18"/>
                <w:szCs w:val="18"/>
              </w:rPr>
              <w:t>is influential as it determines if plants are completely submerged.  It is not known if antecedent conditions influence responses to inundation duration, or if responses differ if inundation is continuous or intermittent.  Current recommendations are that individual inundation events do not exceed two weeks over the summer IVT period.</w:t>
            </w:r>
          </w:p>
        </w:tc>
        <w:tc>
          <w:tcPr>
            <w:tcW w:w="1842" w:type="dxa"/>
            <w:shd w:val="clear" w:color="auto" w:fill="FFFFFF" w:themeFill="background2"/>
          </w:tcPr>
          <w:p w14:paraId="25E0603B" w14:textId="77777777" w:rsidR="00D21E9C" w:rsidRPr="00BA2632" w:rsidRDefault="00D21E9C" w:rsidP="00D21E9C">
            <w:pPr>
              <w:pStyle w:val="Tablesmalltext"/>
              <w:numPr>
                <w:ilvl w:val="6"/>
                <w:numId w:val="30"/>
              </w:numPr>
              <w:ind w:left="201" w:hanging="201"/>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lastRenderedPageBreak/>
              <w:t>Bayesian models</w:t>
            </w:r>
          </w:p>
        </w:tc>
      </w:tr>
      <w:tr w:rsidR="00D21E9C" w:rsidRPr="00BA2632" w14:paraId="3EBA8B6B" w14:textId="77777777" w:rsidTr="00D21E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2"/>
          </w:tcPr>
          <w:p w14:paraId="2D5E46B5" w14:textId="77777777" w:rsidR="00D21E9C" w:rsidRPr="00BA2632" w:rsidRDefault="00D21E9C" w:rsidP="00D21E9C">
            <w:pPr>
              <w:pStyle w:val="Tablesmalltext"/>
              <w:jc w:val="left"/>
              <w:rPr>
                <w:rFonts w:asciiTheme="minorHAnsi" w:hAnsiTheme="minorHAnsi" w:cstheme="minorHAnsi"/>
                <w:sz w:val="18"/>
                <w:szCs w:val="18"/>
              </w:rPr>
            </w:pPr>
            <w:r w:rsidRPr="00BA2632">
              <w:rPr>
                <w:rStyle w:val="Strong"/>
                <w:rFonts w:asciiTheme="minorHAnsi" w:hAnsiTheme="minorHAnsi" w:cstheme="minorHAnsi"/>
                <w:sz w:val="18"/>
                <w:szCs w:val="18"/>
              </w:rPr>
              <w:t>Is there a positive trend in the abundance of riparian vegetation communities over the medium-long term?</w:t>
            </w:r>
          </w:p>
        </w:tc>
        <w:tc>
          <w:tcPr>
            <w:tcW w:w="1701" w:type="dxa"/>
            <w:shd w:val="clear" w:color="auto" w:fill="FFFFFF" w:themeFill="background2"/>
          </w:tcPr>
          <w:p w14:paraId="14CB5FCE" w14:textId="77777777" w:rsidR="00D21E9C" w:rsidRPr="00BA2632" w:rsidRDefault="00D21E9C" w:rsidP="00D21E9C">
            <w:pPr>
              <w:pStyle w:val="Tablesmal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As above</w:t>
            </w:r>
          </w:p>
        </w:tc>
        <w:tc>
          <w:tcPr>
            <w:tcW w:w="4026" w:type="dxa"/>
            <w:shd w:val="clear" w:color="auto" w:fill="FFFFFF" w:themeFill="background2"/>
          </w:tcPr>
          <w:p w14:paraId="59271157" w14:textId="77777777" w:rsidR="00D21E9C" w:rsidRPr="00BA2632" w:rsidRDefault="00D21E9C" w:rsidP="00D21E9C">
            <w:pPr>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 xml:space="preserve">The mean summed cover of ground layer vegetation </w:t>
            </w:r>
            <w:r>
              <w:rPr>
                <w:rFonts w:cstheme="minorHAnsi"/>
                <w:sz w:val="18"/>
                <w:szCs w:val="18"/>
              </w:rPr>
              <w:t xml:space="preserve">averaged across all bank zones </w:t>
            </w:r>
            <w:r w:rsidRPr="00BA2632">
              <w:rPr>
                <w:rFonts w:cstheme="minorHAnsi"/>
                <w:sz w:val="18"/>
                <w:szCs w:val="18"/>
              </w:rPr>
              <w:t xml:space="preserve">show a </w:t>
            </w:r>
            <w:r>
              <w:rPr>
                <w:rFonts w:cstheme="minorHAnsi"/>
                <w:sz w:val="18"/>
                <w:szCs w:val="18"/>
              </w:rPr>
              <w:t>small positive</w:t>
            </w:r>
            <w:r w:rsidRPr="00BA2632">
              <w:rPr>
                <w:rFonts w:cstheme="minorHAnsi"/>
                <w:sz w:val="18"/>
                <w:szCs w:val="18"/>
              </w:rPr>
              <w:t xml:space="preserve"> trend at both sites</w:t>
            </w:r>
            <w:r>
              <w:rPr>
                <w:rFonts w:cstheme="minorHAnsi"/>
                <w:sz w:val="18"/>
                <w:szCs w:val="18"/>
              </w:rPr>
              <w:t>, with similar rates of increase at both sites. The increase in</w:t>
            </w:r>
            <w:r w:rsidRPr="00BA2632">
              <w:rPr>
                <w:rFonts w:cstheme="minorHAnsi"/>
                <w:sz w:val="18"/>
                <w:szCs w:val="18"/>
              </w:rPr>
              <w:t xml:space="preserve"> cover is mostly due to increase</w:t>
            </w:r>
            <w:r>
              <w:rPr>
                <w:rFonts w:cstheme="minorHAnsi"/>
                <w:sz w:val="18"/>
                <w:szCs w:val="18"/>
              </w:rPr>
              <w:t>s</w:t>
            </w:r>
            <w:r w:rsidRPr="00BA2632">
              <w:rPr>
                <w:rFonts w:cstheme="minorHAnsi"/>
                <w:sz w:val="18"/>
                <w:szCs w:val="18"/>
              </w:rPr>
              <w:t xml:space="preserve"> in the cover of grasses</w:t>
            </w:r>
            <w:r>
              <w:rPr>
                <w:rFonts w:cstheme="minorHAnsi"/>
                <w:sz w:val="18"/>
                <w:szCs w:val="18"/>
              </w:rPr>
              <w:t xml:space="preserve"> at higher elevations</w:t>
            </w:r>
            <w:r w:rsidRPr="00BA2632">
              <w:rPr>
                <w:rFonts w:cstheme="minorHAnsi"/>
                <w:sz w:val="18"/>
                <w:szCs w:val="18"/>
              </w:rPr>
              <w:t xml:space="preserve">. In contrast the cover of </w:t>
            </w:r>
            <w:r>
              <w:rPr>
                <w:rFonts w:cstheme="minorHAnsi"/>
                <w:sz w:val="18"/>
                <w:szCs w:val="18"/>
              </w:rPr>
              <w:t xml:space="preserve">emergent </w:t>
            </w:r>
            <w:r w:rsidRPr="00BA2632">
              <w:rPr>
                <w:rFonts w:cstheme="minorHAnsi"/>
                <w:sz w:val="18"/>
                <w:szCs w:val="18"/>
              </w:rPr>
              <w:t xml:space="preserve">water </w:t>
            </w:r>
            <w:r>
              <w:rPr>
                <w:rFonts w:cstheme="minorHAnsi"/>
                <w:sz w:val="18"/>
                <w:szCs w:val="18"/>
              </w:rPr>
              <w:t>dependent</w:t>
            </w:r>
            <w:r w:rsidRPr="00BA2632">
              <w:rPr>
                <w:rFonts w:cstheme="minorHAnsi"/>
                <w:sz w:val="18"/>
                <w:szCs w:val="18"/>
              </w:rPr>
              <w:t xml:space="preserve"> vegetation</w:t>
            </w:r>
            <w:r>
              <w:rPr>
                <w:rFonts w:cstheme="minorHAnsi"/>
                <w:sz w:val="18"/>
                <w:szCs w:val="18"/>
              </w:rPr>
              <w:t xml:space="preserve"> at lower elevations has </w:t>
            </w:r>
            <w:r w:rsidRPr="00BA2632">
              <w:rPr>
                <w:rFonts w:cstheme="minorHAnsi"/>
                <w:sz w:val="18"/>
                <w:szCs w:val="18"/>
              </w:rPr>
              <w:t>oscillate</w:t>
            </w:r>
            <w:r>
              <w:rPr>
                <w:rFonts w:cstheme="minorHAnsi"/>
                <w:sz w:val="18"/>
                <w:szCs w:val="18"/>
              </w:rPr>
              <w:t>d</w:t>
            </w:r>
            <w:r w:rsidRPr="00BA2632">
              <w:rPr>
                <w:rFonts w:cstheme="minorHAnsi"/>
                <w:sz w:val="18"/>
                <w:szCs w:val="18"/>
              </w:rPr>
              <w:t xml:space="preserve"> over time</w:t>
            </w:r>
            <w:r>
              <w:rPr>
                <w:rFonts w:cstheme="minorHAnsi"/>
                <w:sz w:val="18"/>
                <w:szCs w:val="18"/>
              </w:rPr>
              <w:t xml:space="preserve"> and doesn’t show a trend of increasing. Unnatural high summer flows contribute to variability in cover of water dependant taxa in this zone.  </w:t>
            </w:r>
          </w:p>
        </w:tc>
        <w:tc>
          <w:tcPr>
            <w:tcW w:w="1842" w:type="dxa"/>
            <w:shd w:val="clear" w:color="auto" w:fill="FFFFFF" w:themeFill="background2"/>
          </w:tcPr>
          <w:p w14:paraId="4AD11697" w14:textId="77777777" w:rsidR="00D21E9C" w:rsidRPr="00BA2632" w:rsidRDefault="00D21E9C" w:rsidP="00D21E9C">
            <w:pPr>
              <w:pStyle w:val="Tablebullet"/>
              <w:numPr>
                <w:ilvl w:val="0"/>
                <w:numId w:val="16"/>
              </w:numPr>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Visual examination of changes over time and trend lines</w:t>
            </w:r>
          </w:p>
          <w:p w14:paraId="525C6C7B" w14:textId="77777777" w:rsidR="00D21E9C" w:rsidRPr="00BA2632" w:rsidRDefault="00D21E9C" w:rsidP="00D21E9C">
            <w:pPr>
              <w:pStyle w:val="Tablesmal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p>
        </w:tc>
      </w:tr>
      <w:tr w:rsidR="00D21E9C" w:rsidRPr="00BA2632" w14:paraId="34CCC76A" w14:textId="77777777" w:rsidTr="00D21E9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2"/>
          </w:tcPr>
          <w:p w14:paraId="15834E75" w14:textId="77777777" w:rsidR="00D21E9C" w:rsidRPr="00BA2632" w:rsidRDefault="00D21E9C" w:rsidP="00D21E9C">
            <w:pPr>
              <w:pStyle w:val="Tablesmalltext"/>
              <w:jc w:val="left"/>
              <w:rPr>
                <w:rFonts w:asciiTheme="minorHAnsi" w:hAnsiTheme="minorHAnsi" w:cstheme="minorHAnsi"/>
                <w:sz w:val="18"/>
                <w:szCs w:val="18"/>
              </w:rPr>
            </w:pPr>
            <w:r w:rsidRPr="00BA2632">
              <w:rPr>
                <w:rStyle w:val="Strong"/>
                <w:rFonts w:asciiTheme="minorHAnsi" w:hAnsiTheme="minorHAnsi" w:cstheme="minorHAnsi"/>
                <w:sz w:val="18"/>
                <w:szCs w:val="18"/>
              </w:rPr>
              <w:t xml:space="preserve">How does the annual flow regime (natural, </w:t>
            </w:r>
            <w:proofErr w:type="gramStart"/>
            <w:r w:rsidRPr="00BA2632">
              <w:rPr>
                <w:rStyle w:val="Strong"/>
                <w:rFonts w:asciiTheme="minorHAnsi" w:hAnsiTheme="minorHAnsi" w:cstheme="minorHAnsi"/>
                <w:sz w:val="18"/>
                <w:szCs w:val="18"/>
              </w:rPr>
              <w:t>environmental</w:t>
            </w:r>
            <w:proofErr w:type="gramEnd"/>
            <w:r w:rsidRPr="00BA2632">
              <w:rPr>
                <w:rStyle w:val="Strong"/>
                <w:rFonts w:asciiTheme="minorHAnsi" w:hAnsiTheme="minorHAnsi" w:cstheme="minorHAnsi"/>
                <w:sz w:val="18"/>
                <w:szCs w:val="18"/>
              </w:rPr>
              <w:t xml:space="preserve"> or consumptive) and weather conditions influence the abundance of riparian vegetation communities at the end of the growth season?</w:t>
            </w:r>
          </w:p>
        </w:tc>
        <w:tc>
          <w:tcPr>
            <w:tcW w:w="1701" w:type="dxa"/>
            <w:shd w:val="clear" w:color="auto" w:fill="FFFFFF" w:themeFill="background2"/>
          </w:tcPr>
          <w:p w14:paraId="69659606" w14:textId="77777777" w:rsidR="00D21E9C" w:rsidRPr="00BA2632" w:rsidRDefault="00D21E9C" w:rsidP="00D21E9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As above</w:t>
            </w:r>
          </w:p>
        </w:tc>
        <w:tc>
          <w:tcPr>
            <w:tcW w:w="4026" w:type="dxa"/>
            <w:shd w:val="clear" w:color="auto" w:fill="FFFFFF" w:themeFill="background2"/>
          </w:tcPr>
          <w:p w14:paraId="793954DE" w14:textId="77777777" w:rsidR="00D21E9C" w:rsidRPr="00BA2632" w:rsidRDefault="00D21E9C" w:rsidP="00D21E9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 xml:space="preserve">The cover of vegetation at the end of the growing season reflects the cumulative response to the annual flow regime and weather conditions. </w:t>
            </w:r>
            <w:r>
              <w:rPr>
                <w:rFonts w:asciiTheme="minorHAnsi" w:hAnsiTheme="minorHAnsi" w:cstheme="minorHAnsi"/>
                <w:sz w:val="18"/>
                <w:szCs w:val="18"/>
              </w:rPr>
              <w:t xml:space="preserve">Responses however vary across different zones of the bank. At elevations above the Spring Fresh the summed cover of ground layer herbs and grasses tended to decline between December 2020 and March </w:t>
            </w:r>
            <w:r w:rsidRPr="00BA2632">
              <w:rPr>
                <w:rFonts w:asciiTheme="minorHAnsi" w:hAnsiTheme="minorHAnsi" w:cstheme="minorHAnsi"/>
                <w:sz w:val="18"/>
                <w:szCs w:val="18"/>
              </w:rPr>
              <w:t>20</w:t>
            </w:r>
            <w:r>
              <w:rPr>
                <w:rFonts w:asciiTheme="minorHAnsi" w:hAnsiTheme="minorHAnsi" w:cstheme="minorHAnsi"/>
                <w:sz w:val="18"/>
                <w:szCs w:val="18"/>
              </w:rPr>
              <w:t xml:space="preserve">21. In contrast, with low summer flows in 2020-21 water dependant vegetation including herbs and sedges in the fringing zone increased. </w:t>
            </w:r>
          </w:p>
        </w:tc>
        <w:tc>
          <w:tcPr>
            <w:tcW w:w="1842" w:type="dxa"/>
            <w:shd w:val="clear" w:color="auto" w:fill="FFFFFF" w:themeFill="background2"/>
          </w:tcPr>
          <w:p w14:paraId="2779D00C" w14:textId="77777777" w:rsidR="00D21E9C" w:rsidRPr="00BA2632" w:rsidRDefault="00D21E9C" w:rsidP="00D21E9C">
            <w:pPr>
              <w:pStyle w:val="Tablesmalltext"/>
              <w:numPr>
                <w:ilvl w:val="6"/>
                <w:numId w:val="30"/>
              </w:numPr>
              <w:ind w:left="201" w:hanging="201"/>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A2632">
              <w:rPr>
                <w:rFonts w:asciiTheme="minorHAnsi" w:hAnsiTheme="minorHAnsi" w:cstheme="minorHAnsi"/>
                <w:sz w:val="18"/>
                <w:szCs w:val="18"/>
              </w:rPr>
              <w:t>Visual comparison of cover over time</w:t>
            </w:r>
          </w:p>
          <w:p w14:paraId="072F1888" w14:textId="77777777" w:rsidR="00D21E9C" w:rsidRPr="00BA2632" w:rsidRDefault="00D21E9C" w:rsidP="00D21E9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bl>
    <w:p w14:paraId="2F0AF537" w14:textId="77777777" w:rsidR="00D21E9C" w:rsidRPr="00BA2632" w:rsidRDefault="00D21E9C" w:rsidP="00D21E9C"/>
    <w:p w14:paraId="526E124D" w14:textId="04ED6DBE" w:rsidR="00D21E9C" w:rsidRPr="00BA2632" w:rsidRDefault="00D21E9C" w:rsidP="00D21E9C">
      <w:pPr>
        <w:pStyle w:val="Heading2"/>
      </w:pPr>
      <w:bookmarkStart w:id="414" w:name="_Toc84335021"/>
      <w:bookmarkStart w:id="415" w:name="_Toc84416106"/>
      <w:bookmarkStart w:id="416" w:name="_Toc84417385"/>
      <w:bookmarkStart w:id="417" w:name="_Toc84475693"/>
      <w:r w:rsidRPr="00BA2632">
        <w:t>Monitoring methods and analytical techniques</w:t>
      </w:r>
      <w:bookmarkEnd w:id="414"/>
      <w:bookmarkEnd w:id="415"/>
      <w:bookmarkEnd w:id="416"/>
      <w:bookmarkEnd w:id="417"/>
    </w:p>
    <w:p w14:paraId="63C0ED36" w14:textId="5F0216E1" w:rsidR="00D21E9C" w:rsidRPr="00BA2632" w:rsidRDefault="00D21E9C" w:rsidP="00D21E9C">
      <w:pPr>
        <w:pStyle w:val="Heading3"/>
      </w:pPr>
      <w:bookmarkStart w:id="418" w:name="_Toc84417386"/>
      <w:r w:rsidRPr="00BA2632">
        <w:t>Sampling</w:t>
      </w:r>
      <w:bookmarkEnd w:id="418"/>
    </w:p>
    <w:p w14:paraId="7B591744" w14:textId="4B785E0A" w:rsidR="00D21E9C" w:rsidRDefault="00D21E9C" w:rsidP="00D21E9C">
      <w:r w:rsidRPr="00BA2632">
        <w:t xml:space="preserve">Vegetation has been sampled on both banks at Loch Garry and McCoy’s Bridge, before and after the delivery of </w:t>
      </w:r>
      <w:r>
        <w:t>Spring Fresh</w:t>
      </w:r>
      <w:r w:rsidRPr="00BA2632">
        <w:t>es in 2014–15, 2015–16, 2017–18</w:t>
      </w:r>
      <w:r>
        <w:t>,</w:t>
      </w:r>
      <w:r w:rsidRPr="00BA2632">
        <w:t xml:space="preserve"> 2018-19</w:t>
      </w:r>
      <w:r>
        <w:t xml:space="preserve"> and</w:t>
      </w:r>
      <w:r w:rsidRPr="00BA2632">
        <w:t xml:space="preserve"> 2019-20 (</w:t>
      </w:r>
      <w:r w:rsidR="00E0165A">
        <w:t>Appendix H</w:t>
      </w:r>
      <w:r w:rsidRPr="00BA2632">
        <w:t xml:space="preserve">). In 2016 </w:t>
      </w:r>
      <w:r>
        <w:t>Spring Fresh</w:t>
      </w:r>
      <w:r w:rsidRPr="00BA2632">
        <w:t>es were not delivered due to the large unregulated flows that persisted between June and November 2016, and vegetation was instead sampled in December 2016 after the recession of flood waters. Comparing vegetation cover measured in December 2016 with past surveys in December 2014 and 2015 provides insights into the influence of large natural flood events.</w:t>
      </w:r>
    </w:p>
    <w:p w14:paraId="23DE8610" w14:textId="77777777" w:rsidR="00D21E9C" w:rsidRPr="00BA2632" w:rsidRDefault="00D21E9C" w:rsidP="00D21E9C">
      <w:r w:rsidRPr="00BA2632">
        <w:t xml:space="preserve">Vegetation was </w:t>
      </w:r>
      <w:r>
        <w:t>also</w:t>
      </w:r>
      <w:r w:rsidRPr="00BA2632">
        <w:t xml:space="preserve"> sampled in February 2017 and April 2017, before and immediately after, a fresh delivered in March 2017 for instream vegetation and fish objectives. Vegetation monitoring was undertaken in this case to assess recovery of vegetation following the natural flooding and to assess responses of vegetation to the March fresh that could guide future flow planning. Vegetation sampling carried out in April 2017 was supported by the GBCMA with VEFMAP funds.</w:t>
      </w:r>
    </w:p>
    <w:p w14:paraId="2AC9DF1E" w14:textId="77777777" w:rsidR="00D21E9C" w:rsidRPr="00BA2632" w:rsidRDefault="00D21E9C" w:rsidP="00D21E9C">
      <w:r w:rsidRPr="00BA2632">
        <w:t xml:space="preserve">Due to increasing IVT demand, an additional survey was undertaken at McCoy’s Bridge in March 2019 to evaluate the responses to IVT delivery and was funded by the VEWH and GBCMA. </w:t>
      </w:r>
    </w:p>
    <w:p w14:paraId="1D814A6E" w14:textId="77777777" w:rsidR="00D21E9C" w:rsidRDefault="00D21E9C" w:rsidP="00D21E9C">
      <w:r w:rsidRPr="00BA2632">
        <w:t xml:space="preserve">In 2019-20 surveys were carried out before and after the </w:t>
      </w:r>
      <w:r>
        <w:t>Spring Fresh</w:t>
      </w:r>
      <w:r w:rsidRPr="00BA2632">
        <w:t xml:space="preserve"> and again in March at both McCoy’s Bridge and Loch Garry. Surveys in December 2019 allow an evaluation of the short-term responses to the </w:t>
      </w:r>
      <w:r>
        <w:t>Spring Fresh</w:t>
      </w:r>
      <w:r w:rsidRPr="00BA2632">
        <w:t xml:space="preserve"> but also provide a baseline prior to higher IVT delivery. Surveys in March 2020 enable an evaluation of responses to IVT delivery as well as the end of growing season response to the annual flow regime. </w:t>
      </w:r>
    </w:p>
    <w:p w14:paraId="5B621068" w14:textId="1E610C9D" w:rsidR="00D21E9C" w:rsidRDefault="00D21E9C" w:rsidP="00D21E9C">
      <w:r>
        <w:lastRenderedPageBreak/>
        <w:t>In 2020-21 natural high flows prevented sampling prior to the Spring Fresh and instead surveys were carried out in November 2020 when flows had receded, prior to the fish spawning fresh. Surveys were also undertaken as part of the planned monitoring regime in December 2020 and March 2021.</w:t>
      </w:r>
    </w:p>
    <w:p w14:paraId="5C1C5CE1" w14:textId="77777777" w:rsidR="00D21E9C" w:rsidRPr="00BA2632" w:rsidRDefault="00D21E9C" w:rsidP="00D21E9C">
      <w:r w:rsidRPr="00BA2632">
        <w:t>At all sampling times vegetation was surveyed along transects that ran perpendicular to stream flow. Sampling was initially designed to survey regions of the bank that had previously been surveyed by other programs (i.e.</w:t>
      </w:r>
      <w:r>
        <w:t>,</w:t>
      </w:r>
      <w:r w:rsidRPr="00BA2632">
        <w:t xml:space="preserve"> VEFMAP and CEWO STIM). However, many quadrats sampled by these programs were at elevations well above the level expected to be inundated by </w:t>
      </w:r>
      <w:r>
        <w:t>Spring Fresh</w:t>
      </w:r>
      <w:r w:rsidRPr="00BA2632">
        <w:t xml:space="preserve">es. As such, subsequent sampling did not attempt to match the spatial extent of these previous programs. Instead, surveys extended from around base flow to just above the level inundated by </w:t>
      </w:r>
      <w:r>
        <w:t>Spring Fresh</w:t>
      </w:r>
      <w:r w:rsidRPr="00BA2632">
        <w:t>es (nominally a change in elevation of approximately 3 m). As transect elevation data were not available in the first year of sampling, a 3 m change in height from base flow was estimated visually.</w:t>
      </w:r>
    </w:p>
    <w:p w14:paraId="472405E5" w14:textId="76BE73B2" w:rsidR="00D21E9C" w:rsidRPr="00BA2632" w:rsidRDefault="00D21E9C" w:rsidP="00D21E9C">
      <w:r w:rsidRPr="00BA2632">
        <w:t>Vegetation indicators were assessed using the line point intercept method at each sampling interval along the transect. This is done by placing a 2 m measuring tape perpendicular to the transect (i.e.</w:t>
      </w:r>
      <w:r>
        <w:t>,</w:t>
      </w:r>
      <w:r w:rsidRPr="00BA2632">
        <w:t xml:space="preserve"> parallel to streamflow) and recording every 10 cm along the tape all species that intercept a rod placed vertically through the vegetation. This gives a total of 20 sampling points at each sampling location. Foliage projected cover (%) for each species was then calculated by dividing the number hits per species by the total number of points sampled (see details in standard operating procedures</w:t>
      </w:r>
      <w:r w:rsidR="009437DD">
        <w:t xml:space="preserve"> - </w:t>
      </w:r>
      <w:r>
        <w:rPr>
          <w:noProof/>
        </w:rPr>
        <w:t>Webb et al. (2019b)</w:t>
      </w:r>
      <w:r w:rsidR="009437DD">
        <w:t>)</w:t>
      </w:r>
      <w:r w:rsidRPr="00BA2632">
        <w:t>.</w:t>
      </w:r>
    </w:p>
    <w:p w14:paraId="2940D3F1" w14:textId="41FAF322" w:rsidR="00D21E9C" w:rsidRPr="00BA2632" w:rsidRDefault="00D21E9C" w:rsidP="00D21E9C">
      <w:pPr>
        <w:pStyle w:val="Heading3"/>
      </w:pPr>
      <w:bookmarkStart w:id="419" w:name="_Toc84417387"/>
      <w:r w:rsidRPr="00BA2632">
        <w:t>Analyses</w:t>
      </w:r>
      <w:bookmarkEnd w:id="419"/>
    </w:p>
    <w:p w14:paraId="370F9600" w14:textId="77777777" w:rsidR="00D21E9C" w:rsidRPr="00BA2632" w:rsidRDefault="00D21E9C" w:rsidP="00D21E9C">
      <w:r w:rsidRPr="00BA2632">
        <w:t xml:space="preserve">Monitoring data collected over the </w:t>
      </w:r>
      <w:r>
        <w:t>seven</w:t>
      </w:r>
      <w:r w:rsidRPr="00BA2632">
        <w:t xml:space="preserve"> years of the LT</w:t>
      </w:r>
      <w:r>
        <w:t>I</w:t>
      </w:r>
      <w:r w:rsidRPr="00BA2632">
        <w:t>M and MER programs provides insights into the responses of vegetation to environmental flow events and to longer term hydrologic regimes. Qualitative and quantitative approaches have been applied to evaluate vegetation responses.</w:t>
      </w:r>
    </w:p>
    <w:p w14:paraId="6BFA427B" w14:textId="77777777" w:rsidR="00D21E9C" w:rsidRPr="00BA2632" w:rsidRDefault="00D21E9C" w:rsidP="00D21E9C">
      <w:r w:rsidRPr="00BA2632">
        <w:t>Qualitative approaches include the following:</w:t>
      </w:r>
    </w:p>
    <w:p w14:paraId="7AD569A2" w14:textId="77777777" w:rsidR="00D21E9C" w:rsidRPr="00BA2632" w:rsidRDefault="00D21E9C" w:rsidP="00D21E9C">
      <w:pPr>
        <w:pStyle w:val="ListParagraph"/>
        <w:numPr>
          <w:ilvl w:val="0"/>
          <w:numId w:val="28"/>
        </w:numPr>
      </w:pPr>
      <w:r w:rsidRPr="00BA2632">
        <w:t>Examination of foliage projective cover of different taxa across all sampled locations at each site in relation to short and longer-term flow histories.</w:t>
      </w:r>
    </w:p>
    <w:p w14:paraId="68425CEB" w14:textId="77777777" w:rsidR="00D21E9C" w:rsidRPr="00BA2632" w:rsidRDefault="00D21E9C" w:rsidP="00D21E9C">
      <w:pPr>
        <w:pStyle w:val="ListParagraph"/>
        <w:numPr>
          <w:ilvl w:val="0"/>
          <w:numId w:val="28"/>
        </w:numPr>
      </w:pPr>
      <w:r w:rsidRPr="00BA2632">
        <w:t>Examination of the foliage projective cover of different taxa across the elevation gradient at each sample date at each site.</w:t>
      </w:r>
    </w:p>
    <w:p w14:paraId="54F380F5" w14:textId="77777777" w:rsidR="00D21E9C" w:rsidRPr="008241BC" w:rsidRDefault="00D21E9C" w:rsidP="00D21E9C">
      <w:pPr>
        <w:rPr>
          <w:rFonts w:cstheme="minorHAnsi"/>
        </w:rPr>
      </w:pPr>
      <w:r w:rsidRPr="000B00EC">
        <w:rPr>
          <w:rFonts w:cstheme="minorHAnsi"/>
        </w:rPr>
        <w:t xml:space="preserve">Temporal </w:t>
      </w:r>
      <w:r>
        <w:rPr>
          <w:rFonts w:cstheme="minorHAnsi"/>
        </w:rPr>
        <w:t>trends</w:t>
      </w:r>
      <w:r w:rsidRPr="000B00EC">
        <w:rPr>
          <w:rFonts w:cstheme="minorHAnsi"/>
        </w:rPr>
        <w:t xml:space="preserve"> reported her</w:t>
      </w:r>
      <w:r>
        <w:rPr>
          <w:rFonts w:cstheme="minorHAnsi"/>
        </w:rPr>
        <w:t xml:space="preserve">e </w:t>
      </w:r>
      <w:r w:rsidRPr="000B00EC">
        <w:rPr>
          <w:rFonts w:cstheme="minorHAnsi"/>
        </w:rPr>
        <w:t xml:space="preserve">excluded </w:t>
      </w:r>
      <w:r>
        <w:rPr>
          <w:rFonts w:cstheme="minorHAnsi"/>
        </w:rPr>
        <w:t>d</w:t>
      </w:r>
      <w:r w:rsidRPr="000B00EC">
        <w:rPr>
          <w:rFonts w:cstheme="minorHAnsi"/>
        </w:rPr>
        <w:t xml:space="preserve">ata collected at Loch Garry </w:t>
      </w:r>
      <w:r>
        <w:rPr>
          <w:rFonts w:cstheme="minorHAnsi"/>
        </w:rPr>
        <w:t xml:space="preserve">at elevations </w:t>
      </w:r>
      <w:r w:rsidRPr="000B00EC">
        <w:rPr>
          <w:rFonts w:cstheme="minorHAnsi"/>
        </w:rPr>
        <w:t xml:space="preserve">above 93 AHD m as these higher </w:t>
      </w:r>
      <w:r>
        <w:rPr>
          <w:rFonts w:cstheme="minorHAnsi"/>
        </w:rPr>
        <w:t>elevations</w:t>
      </w:r>
      <w:r w:rsidRPr="000B00EC">
        <w:rPr>
          <w:rFonts w:cstheme="minorHAnsi"/>
        </w:rPr>
        <w:t xml:space="preserve"> were only surveyed in the early phase of the program </w:t>
      </w:r>
      <w:r>
        <w:rPr>
          <w:rFonts w:cstheme="minorHAnsi"/>
        </w:rPr>
        <w:t xml:space="preserve">and including them would confound temporal patterns of change.  </w:t>
      </w:r>
    </w:p>
    <w:p w14:paraId="1CA70BD3" w14:textId="271B7353" w:rsidR="00D21E9C" w:rsidRDefault="00D21E9C" w:rsidP="00D21E9C">
      <w:pPr>
        <w:rPr>
          <w:rFonts w:cstheme="minorHAnsi"/>
          <w:szCs w:val="20"/>
        </w:rPr>
      </w:pPr>
      <w:r w:rsidRPr="00BA2632">
        <w:t xml:space="preserve">Quantitative approaches were developed to identify relationships between hydrologic variables and vegetation cover and occurrence that is more transferrable to other sites and support a more predictive approach. Models have been developed for (1) vegetation presence/absence and number of days inundated and (2) </w:t>
      </w:r>
      <w:r w:rsidRPr="00BA2632">
        <w:rPr>
          <w:rFonts w:cstheme="minorHAnsi"/>
          <w:szCs w:val="20"/>
        </w:rPr>
        <w:t xml:space="preserve">vegetation abundance and number of days inundated.  Models are described in detail in previous annual reports </w:t>
      </w:r>
      <w:r>
        <w:rPr>
          <w:rFonts w:cstheme="minorHAnsi"/>
          <w:noProof/>
          <w:szCs w:val="20"/>
        </w:rPr>
        <w:t>(e.g. Webb et al. 2019a)</w:t>
      </w:r>
      <w:r w:rsidRPr="00BA2632">
        <w:rPr>
          <w:rFonts w:cstheme="minorHAnsi"/>
          <w:szCs w:val="20"/>
        </w:rPr>
        <w:t xml:space="preserve">.  </w:t>
      </w:r>
    </w:p>
    <w:p w14:paraId="4F7D68CE" w14:textId="77777777" w:rsidR="00D21E9C" w:rsidRDefault="00D21E9C" w:rsidP="00D21E9C">
      <w:pPr>
        <w:rPr>
          <w:rFonts w:cstheme="minorHAnsi"/>
          <w:szCs w:val="20"/>
        </w:rPr>
      </w:pPr>
      <w:r>
        <w:rPr>
          <w:rFonts w:cstheme="minorHAnsi"/>
          <w:szCs w:val="20"/>
        </w:rPr>
        <w:t>The models were revised this year to assess responses of vegetation to number of days inundated &gt;25 cm as it was expected that it would account for more variability in the response.</w:t>
      </w:r>
    </w:p>
    <w:p w14:paraId="192A87CC" w14:textId="7A6A5D65" w:rsidR="00D21E9C" w:rsidRPr="00BA2632" w:rsidRDefault="00D21E9C" w:rsidP="00D21E9C">
      <w:r w:rsidRPr="00BA2632">
        <w:t xml:space="preserve">The evaluation has concentrated </w:t>
      </w:r>
      <w:r>
        <w:t xml:space="preserve">so far </w:t>
      </w:r>
      <w:r w:rsidRPr="00BA2632">
        <w:t xml:space="preserve">on </w:t>
      </w:r>
      <w:r>
        <w:t>various plant groups and focal</w:t>
      </w:r>
      <w:r w:rsidRPr="00BA2632">
        <w:t xml:space="preserve"> species with high enough occurrences to reveal responses to inundation. </w:t>
      </w:r>
      <w:r>
        <w:t xml:space="preserve">Plant groups included water dependent taxa and different life form groups including, grasses, sedge, </w:t>
      </w:r>
      <w:proofErr w:type="gramStart"/>
      <w:r>
        <w:t>herb</w:t>
      </w:r>
      <w:proofErr w:type="gramEnd"/>
      <w:r>
        <w:t xml:space="preserve"> and rushes.  Focal species including </w:t>
      </w:r>
      <w:r w:rsidRPr="00BA2632">
        <w:t>creeping knotweed</w:t>
      </w:r>
      <w:r>
        <w:t xml:space="preserve"> (</w:t>
      </w:r>
      <w:proofErr w:type="spellStart"/>
      <w:r w:rsidRPr="00A31A82">
        <w:rPr>
          <w:i/>
          <w:iCs/>
        </w:rPr>
        <w:t>Persicaria</w:t>
      </w:r>
      <w:proofErr w:type="spellEnd"/>
      <w:r w:rsidRPr="00A31A82">
        <w:rPr>
          <w:i/>
          <w:iCs/>
        </w:rPr>
        <w:t xml:space="preserve"> </w:t>
      </w:r>
      <w:proofErr w:type="spellStart"/>
      <w:r w:rsidRPr="00A31A82">
        <w:rPr>
          <w:i/>
          <w:iCs/>
        </w:rPr>
        <w:t>prostrata</w:t>
      </w:r>
      <w:proofErr w:type="spellEnd"/>
      <w:r>
        <w:t>)</w:t>
      </w:r>
      <w:r w:rsidRPr="00BA2632">
        <w:t xml:space="preserve">, lesser </w:t>
      </w:r>
      <w:proofErr w:type="spellStart"/>
      <w:r w:rsidRPr="00BA2632">
        <w:t>joyweed</w:t>
      </w:r>
      <w:proofErr w:type="spellEnd"/>
      <w:r w:rsidRPr="00BA2632">
        <w:t xml:space="preserve"> </w:t>
      </w:r>
      <w:r>
        <w:t>(</w:t>
      </w:r>
      <w:r w:rsidRPr="00A31A82">
        <w:rPr>
          <w:i/>
          <w:iCs/>
        </w:rPr>
        <w:t xml:space="preserve">Alternanthera </w:t>
      </w:r>
      <w:proofErr w:type="spellStart"/>
      <w:r w:rsidRPr="00A31A82">
        <w:rPr>
          <w:i/>
          <w:iCs/>
        </w:rPr>
        <w:t>denticulata</w:t>
      </w:r>
      <w:proofErr w:type="spellEnd"/>
      <w:r>
        <w:t xml:space="preserve">) </w:t>
      </w:r>
      <w:r w:rsidRPr="00BA2632">
        <w:t xml:space="preserve">and common tussock grass </w:t>
      </w:r>
      <w:r>
        <w:t>(</w:t>
      </w:r>
      <w:r w:rsidRPr="00A31A82">
        <w:rPr>
          <w:i/>
          <w:iCs/>
        </w:rPr>
        <w:t xml:space="preserve">Poa </w:t>
      </w:r>
      <w:proofErr w:type="spellStart"/>
      <w:r w:rsidRPr="00A31A82">
        <w:rPr>
          <w:i/>
          <w:iCs/>
        </w:rPr>
        <w:t>labillardierei</w:t>
      </w:r>
      <w:proofErr w:type="spellEnd"/>
      <w:r>
        <w:t xml:space="preserve">) that </w:t>
      </w:r>
      <w:r w:rsidRPr="00BA2632">
        <w:t xml:space="preserve">are representative of ground-layer dominants of some Riverine floodplain Ecological Vegetation Classes (EVCs) relevant to the Goulburn River bankside assemblage </w:t>
      </w:r>
      <w:r>
        <w:rPr>
          <w:noProof/>
        </w:rPr>
        <w:t>(Cottingham et al. 2013)</w:t>
      </w:r>
      <w:r w:rsidRPr="00BA2632">
        <w:t>. Drain flat-sedge (</w:t>
      </w:r>
      <w:r w:rsidRPr="00BA2632">
        <w:rPr>
          <w:i/>
        </w:rPr>
        <w:t xml:space="preserve">Cyperus </w:t>
      </w:r>
      <w:proofErr w:type="spellStart"/>
      <w:r w:rsidRPr="00BA2632">
        <w:rPr>
          <w:i/>
        </w:rPr>
        <w:t>eragrostis</w:t>
      </w:r>
      <w:proofErr w:type="spellEnd"/>
      <w:r w:rsidRPr="00BA2632">
        <w:t xml:space="preserve">) </w:t>
      </w:r>
      <w:r>
        <w:t>is</w:t>
      </w:r>
      <w:r w:rsidRPr="00BA2632">
        <w:t xml:space="preserve"> </w:t>
      </w:r>
      <w:r>
        <w:t xml:space="preserve">the only introduced sedge species found and was </w:t>
      </w:r>
      <w:r w:rsidRPr="00BA2632">
        <w:t xml:space="preserve">included </w:t>
      </w:r>
      <w:r>
        <w:t>in the analyses of sedges</w:t>
      </w:r>
      <w:r w:rsidRPr="00BA2632">
        <w:t xml:space="preserve"> as it is representative of key ground-layer dominants of Ecological Vegetation Class (EVC) 962 (Riparian Wetland), which develops in a band along the lower banks. The group "all grasses" included all annual and perennial, native and introduced grasses, but only common tussock grass occurred with high enough frequency to warrant species level analyses. </w:t>
      </w:r>
      <w:r w:rsidRPr="003346BA">
        <w:rPr>
          <w:iCs/>
        </w:rPr>
        <w:t>Water dependent</w:t>
      </w:r>
      <w:r w:rsidRPr="00BA2632">
        <w:t xml:space="preserve"> species were classified as those tolerant of flooding </w:t>
      </w:r>
      <w:r w:rsidR="00AC34E7">
        <w:rPr>
          <w:noProof/>
        </w:rPr>
        <w:t>(Leck &amp; Brock 2000)</w:t>
      </w:r>
      <w:r w:rsidRPr="00BA2632">
        <w:t>.</w:t>
      </w:r>
    </w:p>
    <w:p w14:paraId="0FA8523D" w14:textId="1C41A510" w:rsidR="00D21E9C" w:rsidRDefault="00D21E9C" w:rsidP="00D21E9C">
      <w:pPr>
        <w:pStyle w:val="Heading2"/>
      </w:pPr>
      <w:bookmarkStart w:id="420" w:name="_Toc84335022"/>
      <w:bookmarkStart w:id="421" w:name="_Ref84409764"/>
      <w:bookmarkStart w:id="422" w:name="_Toc84416107"/>
      <w:bookmarkStart w:id="423" w:name="_Toc84417388"/>
      <w:bookmarkStart w:id="424" w:name="_Ref84427329"/>
      <w:bookmarkStart w:id="425" w:name="_Ref84427334"/>
      <w:bookmarkStart w:id="426" w:name="_Toc84475694"/>
      <w:r w:rsidRPr="00BA2632">
        <w:t>Results</w:t>
      </w:r>
      <w:bookmarkEnd w:id="420"/>
      <w:bookmarkEnd w:id="421"/>
      <w:bookmarkEnd w:id="422"/>
      <w:bookmarkEnd w:id="423"/>
      <w:bookmarkEnd w:id="424"/>
      <w:bookmarkEnd w:id="425"/>
      <w:bookmarkEnd w:id="426"/>
    </w:p>
    <w:p w14:paraId="47679952" w14:textId="192A36B5" w:rsidR="00D21E9C" w:rsidRPr="00BA2632" w:rsidRDefault="00D21E9C" w:rsidP="00D21E9C">
      <w:pPr>
        <w:pStyle w:val="Heading3"/>
      </w:pPr>
      <w:bookmarkStart w:id="427" w:name="_Toc84417389"/>
      <w:r w:rsidRPr="00BA2632">
        <w:t>Relevant flow components delivered to the lower Goulburn River in 20</w:t>
      </w:r>
      <w:r>
        <w:t>20</w:t>
      </w:r>
      <w:r w:rsidRPr="00BA2632">
        <w:t>–2</w:t>
      </w:r>
      <w:r>
        <w:t>1</w:t>
      </w:r>
      <w:bookmarkEnd w:id="427"/>
    </w:p>
    <w:p w14:paraId="5F9CE2FD" w14:textId="4911C631" w:rsidR="00D21E9C" w:rsidRPr="001240DF" w:rsidRDefault="00D21E9C" w:rsidP="00D21E9C">
      <w:pPr>
        <w:rPr>
          <w:rFonts w:cstheme="minorHAnsi"/>
        </w:rPr>
      </w:pPr>
      <w:r w:rsidRPr="001240DF">
        <w:rPr>
          <w:rFonts w:cstheme="minorHAnsi"/>
        </w:rPr>
        <w:t xml:space="preserve">Commonwealth environmental water was used to slow the recession of natural high flows in September 2020. A </w:t>
      </w:r>
      <w:r>
        <w:rPr>
          <w:rFonts w:cstheme="minorHAnsi"/>
        </w:rPr>
        <w:t>Spring Fresh</w:t>
      </w:r>
      <w:r w:rsidRPr="001240DF">
        <w:rPr>
          <w:rFonts w:cstheme="minorHAnsi"/>
        </w:rPr>
        <w:t xml:space="preserve"> for vegetation and macroinvertebrates objectives was delivered in October 2020. Rainfall during the event led to high </w:t>
      </w:r>
      <w:r w:rsidRPr="001240DF">
        <w:rPr>
          <w:rFonts w:cstheme="minorHAnsi"/>
        </w:rPr>
        <w:lastRenderedPageBreak/>
        <w:t>natural flows and the fresh being a combination of environmental and unregulated flows with a peak flow of 9768 ML</w:t>
      </w:r>
      <w:r>
        <w:rPr>
          <w:rFonts w:cstheme="minorHAnsi"/>
        </w:rPr>
        <w:t>/day</w:t>
      </w:r>
      <w:r w:rsidRPr="001240DF">
        <w:rPr>
          <w:rFonts w:cstheme="minorHAnsi"/>
        </w:rPr>
        <w:t xml:space="preserve"> at McCoy’s Bridge on the 14 October 2020. A </w:t>
      </w:r>
      <w:r>
        <w:rPr>
          <w:rFonts w:cstheme="minorHAnsi"/>
        </w:rPr>
        <w:t xml:space="preserve">fish </w:t>
      </w:r>
      <w:r w:rsidRPr="001240DF">
        <w:rPr>
          <w:rFonts w:cstheme="minorHAnsi"/>
        </w:rPr>
        <w:t>spawning fresh was also delivered in November 2020 with a peak flow of 4089 ML</w:t>
      </w:r>
      <w:r>
        <w:rPr>
          <w:rFonts w:cstheme="minorHAnsi"/>
        </w:rPr>
        <w:t>/day</w:t>
      </w:r>
      <w:r w:rsidRPr="001240DF">
        <w:rPr>
          <w:rFonts w:cstheme="minorHAnsi"/>
        </w:rPr>
        <w:t xml:space="preserve"> on the 21 November 2020 at McCoy’s Bridge (</w:t>
      </w:r>
      <w:r w:rsidR="00E0165A" w:rsidRPr="00E0165A">
        <w:rPr>
          <w:rFonts w:cstheme="minorHAnsi"/>
        </w:rPr>
        <w:t>Figure 3</w:t>
      </w:r>
      <w:r w:rsidR="00E0165A" w:rsidRPr="00E0165A">
        <w:rPr>
          <w:rFonts w:cstheme="minorHAnsi"/>
        </w:rPr>
        <w:noBreakHyphen/>
        <w:t>1</w:t>
      </w:r>
      <w:r w:rsidRPr="001240DF">
        <w:rPr>
          <w:rFonts w:cstheme="minorHAnsi"/>
        </w:rPr>
        <w:t>).</w:t>
      </w:r>
    </w:p>
    <w:p w14:paraId="20BCF56E" w14:textId="45D9C76F" w:rsidR="00D21E9C" w:rsidRPr="001240DF" w:rsidRDefault="00D21E9C" w:rsidP="00D21E9C">
      <w:pPr>
        <w:rPr>
          <w:rFonts w:cstheme="minorHAnsi"/>
        </w:rPr>
      </w:pPr>
      <w:r w:rsidRPr="001240DF">
        <w:rPr>
          <w:rFonts w:cstheme="minorHAnsi"/>
        </w:rPr>
        <w:t xml:space="preserve">Environment flows were also used to prevent water levels dropping and triggering germination in the lower fringing zone prior to the fish spawning fresh in November which would likely have otherwise caused high mortality of any new </w:t>
      </w:r>
      <w:proofErr w:type="spellStart"/>
      <w:r w:rsidRPr="001240DF">
        <w:rPr>
          <w:rFonts w:cstheme="minorHAnsi"/>
        </w:rPr>
        <w:t>germinants</w:t>
      </w:r>
      <w:proofErr w:type="spellEnd"/>
      <w:r w:rsidRPr="001240DF">
        <w:rPr>
          <w:rFonts w:cstheme="minorHAnsi"/>
        </w:rPr>
        <w:t xml:space="preserve">. This strategy would therefore optimise the germination response on the recession of the </w:t>
      </w:r>
      <w:r>
        <w:rPr>
          <w:rFonts w:cstheme="minorHAnsi"/>
        </w:rPr>
        <w:t>Spring Fresh</w:t>
      </w:r>
      <w:r w:rsidRPr="001240DF">
        <w:rPr>
          <w:rFonts w:cstheme="minorHAnsi"/>
        </w:rPr>
        <w:t xml:space="preserve"> when seedlings were more likely survive. </w:t>
      </w:r>
    </w:p>
    <w:p w14:paraId="0C20378F" w14:textId="3A30B4C9" w:rsidR="00D21E9C" w:rsidRPr="00E96F6D" w:rsidRDefault="00D21E9C" w:rsidP="00D21E9C">
      <w:pPr>
        <w:pStyle w:val="Heading3"/>
      </w:pPr>
      <w:bookmarkStart w:id="428" w:name="_Toc84417390"/>
      <w:r w:rsidRPr="00E96F6D">
        <w:t>Response of bank vegetation</w:t>
      </w:r>
      <w:bookmarkEnd w:id="428"/>
      <w:r w:rsidRPr="00E96F6D">
        <w:t xml:space="preserve"> </w:t>
      </w:r>
    </w:p>
    <w:p w14:paraId="4B001E13" w14:textId="75F374CA" w:rsidR="00D21E9C" w:rsidRPr="00BA2632" w:rsidRDefault="00D21E9C" w:rsidP="00D21E9C">
      <w:r w:rsidRPr="00BA2632">
        <w:t>Responses of bank vegetation to flows are examined in relation to the evaluation questions outlined in</w:t>
      </w:r>
      <w:r w:rsidR="009B201F">
        <w:t xml:space="preserve"> </w:t>
      </w:r>
      <w:r w:rsidR="00865A91" w:rsidRPr="00BA2632">
        <w:t xml:space="preserve">Table </w:t>
      </w:r>
      <w:r w:rsidR="00865A91">
        <w:rPr>
          <w:noProof/>
        </w:rPr>
        <w:t>7</w:t>
      </w:r>
      <w:r w:rsidR="00865A91">
        <w:noBreakHyphen/>
      </w:r>
      <w:r w:rsidR="00865A91">
        <w:rPr>
          <w:noProof/>
        </w:rPr>
        <w:t>2</w:t>
      </w:r>
      <w:r w:rsidRPr="00BA2632">
        <w:t xml:space="preserve">. To inform this evaluation the cover of vegetation across different bank zones that are variously influenced by </w:t>
      </w:r>
      <w:r>
        <w:t>Spring Fresh</w:t>
      </w:r>
      <w:r w:rsidRPr="00BA2632">
        <w:t xml:space="preserve">es and IVT flows are examined. The zones are described in </w:t>
      </w:r>
      <w:r w:rsidR="00865A91" w:rsidRPr="00BA2632">
        <w:t xml:space="preserve">Table </w:t>
      </w:r>
      <w:r w:rsidR="00865A91">
        <w:rPr>
          <w:noProof/>
        </w:rPr>
        <w:t>7</w:t>
      </w:r>
      <w:r w:rsidR="00865A91">
        <w:noBreakHyphen/>
      </w:r>
      <w:r w:rsidR="00865A91">
        <w:rPr>
          <w:noProof/>
        </w:rPr>
        <w:t>3</w:t>
      </w:r>
      <w:r w:rsidR="009437DD">
        <w:t xml:space="preserve"> </w:t>
      </w:r>
      <w:r w:rsidRPr="00BA2632">
        <w:t xml:space="preserve">in terms of their elevation and whether they are inundated by IVTs or </w:t>
      </w:r>
      <w:r>
        <w:t>Spring Fresh</w:t>
      </w:r>
      <w:r w:rsidRPr="00BA2632">
        <w:t>es based on the elevations reached by different discharge volumes at each site.</w:t>
      </w:r>
    </w:p>
    <w:p w14:paraId="5E8E906C" w14:textId="6FF3FB47" w:rsidR="00D21E9C" w:rsidRPr="00BA2632" w:rsidRDefault="00D21E9C" w:rsidP="00D21E9C">
      <w:pPr>
        <w:pStyle w:val="Caption"/>
        <w:keepNext/>
      </w:pPr>
      <w:bookmarkStart w:id="429" w:name="_Ref84410957"/>
      <w:bookmarkStart w:id="430" w:name="_Toc95391487"/>
      <w:r w:rsidRPr="00BA2632">
        <w:t xml:space="preserve">Table </w:t>
      </w:r>
      <w:r w:rsidR="00865A91">
        <w:rPr>
          <w:noProof/>
        </w:rPr>
        <w:t>7</w:t>
      </w:r>
      <w:r w:rsidR="000B75AF">
        <w:noBreakHyphen/>
      </w:r>
      <w:r w:rsidR="00865A91">
        <w:rPr>
          <w:noProof/>
        </w:rPr>
        <w:t>3</w:t>
      </w:r>
      <w:bookmarkEnd w:id="429"/>
      <w:r w:rsidRPr="00BA2632">
        <w:t xml:space="preserve"> Bank zone elevations and inundation of zone by </w:t>
      </w:r>
      <w:r>
        <w:t>Spring Fresh</w:t>
      </w:r>
      <w:r w:rsidRPr="00BA2632">
        <w:t xml:space="preserve">es and Inter Valley Transfers at </w:t>
      </w:r>
      <w:r>
        <w:t>McCoy’s</w:t>
      </w:r>
      <w:r w:rsidRPr="00BA2632">
        <w:t xml:space="preserve"> Bridge and Loch Garry.</w:t>
      </w:r>
      <w:bookmarkEnd w:id="430"/>
    </w:p>
    <w:tbl>
      <w:tblPr>
        <w:tblStyle w:val="TableGrid"/>
        <w:tblW w:w="3310" w:type="pct"/>
        <w:jc w:val="center"/>
        <w:tblLook w:val="04A0" w:firstRow="1" w:lastRow="0" w:firstColumn="1" w:lastColumn="0" w:noHBand="0" w:noVBand="1"/>
      </w:tblPr>
      <w:tblGrid>
        <w:gridCol w:w="1460"/>
        <w:gridCol w:w="1202"/>
        <w:gridCol w:w="1528"/>
        <w:gridCol w:w="1303"/>
        <w:gridCol w:w="1075"/>
      </w:tblGrid>
      <w:tr w:rsidR="00D21E9C" w:rsidRPr="00237C8A" w14:paraId="289101A8" w14:textId="77777777" w:rsidTr="00D21E9C">
        <w:trPr>
          <w:cnfStyle w:val="100000000000" w:firstRow="1" w:lastRow="0" w:firstColumn="0" w:lastColumn="0" w:oddVBand="0" w:evenVBand="0" w:oddHBand="0" w:evenHBand="0"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tcPr>
          <w:p w14:paraId="1E47710E" w14:textId="77777777" w:rsidR="00D21E9C" w:rsidRPr="00237C8A" w:rsidRDefault="00D21E9C" w:rsidP="00D21E9C">
            <w:pPr>
              <w:pStyle w:val="Tablesmalltext"/>
              <w:rPr>
                <w:rFonts w:asciiTheme="minorHAnsi" w:hAnsiTheme="minorHAnsi" w:cstheme="minorHAnsi"/>
                <w:sz w:val="18"/>
                <w:szCs w:val="18"/>
              </w:rPr>
            </w:pPr>
            <w:r w:rsidRPr="00237C8A">
              <w:rPr>
                <w:rFonts w:asciiTheme="minorHAnsi" w:hAnsiTheme="minorHAnsi" w:cstheme="minorHAnsi"/>
                <w:sz w:val="18"/>
                <w:szCs w:val="18"/>
              </w:rPr>
              <w:t>Site</w:t>
            </w:r>
          </w:p>
        </w:tc>
        <w:tc>
          <w:tcPr>
            <w:tcW w:w="0" w:type="pct"/>
          </w:tcPr>
          <w:p w14:paraId="35C8D631" w14:textId="77777777" w:rsidR="00D21E9C" w:rsidRPr="00237C8A" w:rsidRDefault="00D21E9C" w:rsidP="00D21E9C">
            <w:pPr>
              <w:pStyle w:val="Tablesmall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Zone</w:t>
            </w:r>
          </w:p>
        </w:tc>
        <w:tc>
          <w:tcPr>
            <w:tcW w:w="0" w:type="pct"/>
          </w:tcPr>
          <w:p w14:paraId="74CDE0CD" w14:textId="77777777" w:rsidR="00D21E9C" w:rsidRPr="00237C8A" w:rsidRDefault="00D21E9C" w:rsidP="00D21E9C">
            <w:pPr>
              <w:pStyle w:val="Tablesmall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Elevation AHD m</w:t>
            </w:r>
          </w:p>
        </w:tc>
        <w:tc>
          <w:tcPr>
            <w:tcW w:w="0" w:type="pct"/>
          </w:tcPr>
          <w:p w14:paraId="193611DC" w14:textId="77777777" w:rsidR="00D21E9C" w:rsidRPr="00237C8A" w:rsidRDefault="00D21E9C" w:rsidP="00D21E9C">
            <w:pPr>
              <w:pStyle w:val="Tablesmall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Spring Fresh</w:t>
            </w:r>
          </w:p>
        </w:tc>
        <w:tc>
          <w:tcPr>
            <w:tcW w:w="0" w:type="pct"/>
          </w:tcPr>
          <w:p w14:paraId="4A57E24A" w14:textId="77777777" w:rsidR="00D21E9C" w:rsidRPr="00237C8A" w:rsidRDefault="00D21E9C" w:rsidP="00D21E9C">
            <w:pPr>
              <w:pStyle w:val="Tablesmall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IVT</w:t>
            </w:r>
          </w:p>
        </w:tc>
      </w:tr>
      <w:tr w:rsidR="00D21E9C" w:rsidRPr="00237C8A" w14:paraId="4C01919F" w14:textId="77777777" w:rsidTr="00D21E9C">
        <w:trPr>
          <w:cnfStyle w:val="000000100000" w:firstRow="0" w:lastRow="0" w:firstColumn="0" w:lastColumn="0" w:oddVBand="0" w:evenVBand="0" w:oddHBand="1" w:evenHBand="0"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val="restart"/>
          </w:tcPr>
          <w:p w14:paraId="5DF95C87" w14:textId="77777777" w:rsidR="00D21E9C" w:rsidRPr="00237C8A" w:rsidRDefault="00D21E9C" w:rsidP="00D21E9C">
            <w:pPr>
              <w:pStyle w:val="Tablesmalltext"/>
              <w:rPr>
                <w:rFonts w:asciiTheme="minorHAnsi" w:hAnsiTheme="minorHAnsi" w:cstheme="minorHAnsi"/>
                <w:sz w:val="18"/>
                <w:szCs w:val="18"/>
              </w:rPr>
            </w:pPr>
            <w:r w:rsidRPr="00237C8A">
              <w:rPr>
                <w:rFonts w:asciiTheme="minorHAnsi" w:hAnsiTheme="minorHAnsi" w:cstheme="minorHAnsi"/>
                <w:sz w:val="18"/>
                <w:szCs w:val="18"/>
              </w:rPr>
              <w:t>McCoy’s Bridge</w:t>
            </w:r>
          </w:p>
        </w:tc>
        <w:tc>
          <w:tcPr>
            <w:tcW w:w="0" w:type="pct"/>
          </w:tcPr>
          <w:p w14:paraId="425F805C"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Zone 1a</w:t>
            </w:r>
          </w:p>
        </w:tc>
        <w:tc>
          <w:tcPr>
            <w:tcW w:w="0" w:type="pct"/>
          </w:tcPr>
          <w:p w14:paraId="64CC10AD"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 xml:space="preserve">&gt;93.00-93.25 </w:t>
            </w:r>
          </w:p>
        </w:tc>
        <w:tc>
          <w:tcPr>
            <w:tcW w:w="0" w:type="pct"/>
          </w:tcPr>
          <w:p w14:paraId="03A8B317"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c>
          <w:tcPr>
            <w:tcW w:w="0" w:type="pct"/>
          </w:tcPr>
          <w:p w14:paraId="79EB1E97"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r>
      <w:tr w:rsidR="00D21E9C" w:rsidRPr="00237C8A" w14:paraId="33CD48C9" w14:textId="77777777" w:rsidTr="00D21E9C">
        <w:trPr>
          <w:cnfStyle w:val="000000010000" w:firstRow="0" w:lastRow="0" w:firstColumn="0" w:lastColumn="0" w:oddVBand="0" w:evenVBand="0" w:oddHBand="0" w:evenHBand="1"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tcPr>
          <w:p w14:paraId="733C69E2" w14:textId="77777777" w:rsidR="00D21E9C" w:rsidRPr="00237C8A" w:rsidRDefault="00D21E9C" w:rsidP="00D21E9C">
            <w:pPr>
              <w:pStyle w:val="Tablesmalltext"/>
              <w:rPr>
                <w:rFonts w:asciiTheme="minorHAnsi" w:hAnsiTheme="minorHAnsi" w:cstheme="minorHAnsi"/>
                <w:sz w:val="18"/>
                <w:szCs w:val="18"/>
              </w:rPr>
            </w:pPr>
          </w:p>
        </w:tc>
        <w:tc>
          <w:tcPr>
            <w:tcW w:w="0" w:type="pct"/>
          </w:tcPr>
          <w:p w14:paraId="6FB6FD3B"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Zone 1b</w:t>
            </w:r>
          </w:p>
        </w:tc>
        <w:tc>
          <w:tcPr>
            <w:tcW w:w="0" w:type="pct"/>
          </w:tcPr>
          <w:p w14:paraId="5A1DC3A2"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93.25-93.5</w:t>
            </w:r>
          </w:p>
        </w:tc>
        <w:tc>
          <w:tcPr>
            <w:tcW w:w="0" w:type="pct"/>
          </w:tcPr>
          <w:p w14:paraId="42E6F9CA"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c>
          <w:tcPr>
            <w:tcW w:w="0" w:type="pct"/>
          </w:tcPr>
          <w:p w14:paraId="32098F5A"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r>
      <w:tr w:rsidR="00D21E9C" w:rsidRPr="00237C8A" w14:paraId="17FC0515" w14:textId="77777777" w:rsidTr="00D21E9C">
        <w:trPr>
          <w:cnfStyle w:val="000000100000" w:firstRow="0" w:lastRow="0" w:firstColumn="0" w:lastColumn="0" w:oddVBand="0" w:evenVBand="0" w:oddHBand="1" w:evenHBand="0"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tcPr>
          <w:p w14:paraId="656E1FBC" w14:textId="77777777" w:rsidR="00D21E9C" w:rsidRPr="00237C8A" w:rsidRDefault="00D21E9C" w:rsidP="00D21E9C">
            <w:pPr>
              <w:pStyle w:val="Tablesmalltext"/>
              <w:rPr>
                <w:rFonts w:asciiTheme="minorHAnsi" w:hAnsiTheme="minorHAnsi" w:cstheme="minorHAnsi"/>
                <w:sz w:val="18"/>
                <w:szCs w:val="18"/>
              </w:rPr>
            </w:pPr>
          </w:p>
        </w:tc>
        <w:tc>
          <w:tcPr>
            <w:tcW w:w="0" w:type="pct"/>
          </w:tcPr>
          <w:p w14:paraId="4CC44B88"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Zone 2</w:t>
            </w:r>
          </w:p>
        </w:tc>
        <w:tc>
          <w:tcPr>
            <w:tcW w:w="0" w:type="pct"/>
          </w:tcPr>
          <w:p w14:paraId="21929140"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93.5-94.0</w:t>
            </w:r>
          </w:p>
        </w:tc>
        <w:tc>
          <w:tcPr>
            <w:tcW w:w="0" w:type="pct"/>
          </w:tcPr>
          <w:p w14:paraId="0EDB0CDC"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c>
          <w:tcPr>
            <w:tcW w:w="0" w:type="pct"/>
          </w:tcPr>
          <w:p w14:paraId="048907C7"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r>
      <w:tr w:rsidR="00D21E9C" w:rsidRPr="00237C8A" w14:paraId="02C4A365" w14:textId="77777777" w:rsidTr="00D21E9C">
        <w:trPr>
          <w:cnfStyle w:val="000000010000" w:firstRow="0" w:lastRow="0" w:firstColumn="0" w:lastColumn="0" w:oddVBand="0" w:evenVBand="0" w:oddHBand="0" w:evenHBand="1"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tcPr>
          <w:p w14:paraId="3A5BBB6A" w14:textId="77777777" w:rsidR="00D21E9C" w:rsidRPr="00237C8A" w:rsidRDefault="00D21E9C" w:rsidP="00D21E9C">
            <w:pPr>
              <w:pStyle w:val="Tablesmalltext"/>
              <w:rPr>
                <w:rFonts w:asciiTheme="minorHAnsi" w:hAnsiTheme="minorHAnsi" w:cstheme="minorHAnsi"/>
                <w:sz w:val="18"/>
                <w:szCs w:val="18"/>
              </w:rPr>
            </w:pPr>
          </w:p>
        </w:tc>
        <w:tc>
          <w:tcPr>
            <w:tcW w:w="0" w:type="pct"/>
          </w:tcPr>
          <w:p w14:paraId="6C31A19B"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Zone 3</w:t>
            </w:r>
          </w:p>
        </w:tc>
        <w:tc>
          <w:tcPr>
            <w:tcW w:w="0" w:type="pct"/>
          </w:tcPr>
          <w:p w14:paraId="471197D1"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94.0-95.5</w:t>
            </w:r>
          </w:p>
        </w:tc>
        <w:tc>
          <w:tcPr>
            <w:tcW w:w="0" w:type="pct"/>
          </w:tcPr>
          <w:p w14:paraId="08FA04F8"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c>
          <w:tcPr>
            <w:tcW w:w="0" w:type="pct"/>
          </w:tcPr>
          <w:p w14:paraId="7A9D61FA"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x</w:t>
            </w:r>
          </w:p>
        </w:tc>
      </w:tr>
      <w:tr w:rsidR="00D21E9C" w:rsidRPr="00237C8A" w14:paraId="13574BB3" w14:textId="77777777" w:rsidTr="00D21E9C">
        <w:trPr>
          <w:cnfStyle w:val="000000100000" w:firstRow="0" w:lastRow="0" w:firstColumn="0" w:lastColumn="0" w:oddVBand="0" w:evenVBand="0" w:oddHBand="1" w:evenHBand="0"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tcBorders>
              <w:bottom w:val="single" w:sz="4" w:space="0" w:color="auto"/>
            </w:tcBorders>
          </w:tcPr>
          <w:p w14:paraId="4CBCF8A3" w14:textId="77777777" w:rsidR="00D21E9C" w:rsidRPr="00237C8A" w:rsidRDefault="00D21E9C" w:rsidP="00D21E9C">
            <w:pPr>
              <w:pStyle w:val="Tablesmalltext"/>
              <w:rPr>
                <w:rFonts w:asciiTheme="minorHAnsi" w:hAnsiTheme="minorHAnsi" w:cstheme="minorHAnsi"/>
                <w:sz w:val="18"/>
                <w:szCs w:val="18"/>
              </w:rPr>
            </w:pPr>
          </w:p>
        </w:tc>
        <w:tc>
          <w:tcPr>
            <w:tcW w:w="0" w:type="pct"/>
            <w:tcBorders>
              <w:bottom w:val="single" w:sz="4" w:space="0" w:color="auto"/>
            </w:tcBorders>
          </w:tcPr>
          <w:p w14:paraId="089B5FBC"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Zone 4</w:t>
            </w:r>
          </w:p>
        </w:tc>
        <w:tc>
          <w:tcPr>
            <w:tcW w:w="0" w:type="pct"/>
            <w:tcBorders>
              <w:bottom w:val="single" w:sz="4" w:space="0" w:color="auto"/>
            </w:tcBorders>
          </w:tcPr>
          <w:p w14:paraId="4BB46399"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&gt;95.5</w:t>
            </w:r>
          </w:p>
        </w:tc>
        <w:tc>
          <w:tcPr>
            <w:tcW w:w="0" w:type="pct"/>
            <w:tcBorders>
              <w:bottom w:val="single" w:sz="4" w:space="0" w:color="auto"/>
            </w:tcBorders>
          </w:tcPr>
          <w:p w14:paraId="625DB62D"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x</w:t>
            </w:r>
          </w:p>
        </w:tc>
        <w:tc>
          <w:tcPr>
            <w:tcW w:w="0" w:type="pct"/>
            <w:tcBorders>
              <w:bottom w:val="single" w:sz="4" w:space="0" w:color="auto"/>
            </w:tcBorders>
          </w:tcPr>
          <w:p w14:paraId="4022D522"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x</w:t>
            </w:r>
          </w:p>
        </w:tc>
      </w:tr>
      <w:tr w:rsidR="00D21E9C" w:rsidRPr="00237C8A" w14:paraId="334BE896" w14:textId="77777777" w:rsidTr="00D21E9C">
        <w:trPr>
          <w:cnfStyle w:val="000000010000" w:firstRow="0" w:lastRow="0" w:firstColumn="0" w:lastColumn="0" w:oddVBand="0" w:evenVBand="0" w:oddHBand="0" w:evenHBand="1"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val="restart"/>
            <w:tcBorders>
              <w:top w:val="single" w:sz="4" w:space="0" w:color="auto"/>
            </w:tcBorders>
            <w:shd w:val="clear" w:color="auto" w:fill="auto"/>
          </w:tcPr>
          <w:p w14:paraId="16FFDD68" w14:textId="77777777" w:rsidR="00D21E9C" w:rsidRPr="00237C8A" w:rsidRDefault="00D21E9C" w:rsidP="00D21E9C">
            <w:pPr>
              <w:pStyle w:val="Tablesmalltext"/>
              <w:rPr>
                <w:rFonts w:asciiTheme="minorHAnsi" w:hAnsiTheme="minorHAnsi" w:cstheme="minorHAnsi"/>
                <w:sz w:val="18"/>
                <w:szCs w:val="18"/>
              </w:rPr>
            </w:pPr>
            <w:r w:rsidRPr="00237C8A">
              <w:rPr>
                <w:rFonts w:asciiTheme="minorHAnsi" w:hAnsiTheme="minorHAnsi" w:cstheme="minorHAnsi"/>
                <w:sz w:val="18"/>
                <w:szCs w:val="18"/>
              </w:rPr>
              <w:t>Loch Garry</w:t>
            </w:r>
          </w:p>
        </w:tc>
        <w:tc>
          <w:tcPr>
            <w:tcW w:w="0" w:type="pct"/>
            <w:tcBorders>
              <w:top w:val="single" w:sz="4" w:space="0" w:color="auto"/>
            </w:tcBorders>
          </w:tcPr>
          <w:p w14:paraId="70DDAE47"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Zone 1a</w:t>
            </w:r>
          </w:p>
        </w:tc>
        <w:tc>
          <w:tcPr>
            <w:tcW w:w="0" w:type="pct"/>
            <w:tcBorders>
              <w:top w:val="single" w:sz="4" w:space="0" w:color="auto"/>
            </w:tcBorders>
          </w:tcPr>
          <w:p w14:paraId="0373CF49"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&lt;98.3-98.6</w:t>
            </w:r>
          </w:p>
        </w:tc>
        <w:tc>
          <w:tcPr>
            <w:tcW w:w="0" w:type="pct"/>
            <w:tcBorders>
              <w:top w:val="single" w:sz="4" w:space="0" w:color="auto"/>
            </w:tcBorders>
          </w:tcPr>
          <w:p w14:paraId="0CE3CFCE"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c>
          <w:tcPr>
            <w:tcW w:w="0" w:type="pct"/>
            <w:tcBorders>
              <w:top w:val="single" w:sz="4" w:space="0" w:color="auto"/>
            </w:tcBorders>
          </w:tcPr>
          <w:p w14:paraId="1AA7D2BA"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r>
      <w:tr w:rsidR="00D21E9C" w:rsidRPr="00237C8A" w14:paraId="01FDF2A4" w14:textId="77777777" w:rsidTr="00D21E9C">
        <w:trPr>
          <w:cnfStyle w:val="000000100000" w:firstRow="0" w:lastRow="0" w:firstColumn="0" w:lastColumn="0" w:oddVBand="0" w:evenVBand="0" w:oddHBand="1" w:evenHBand="0"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shd w:val="clear" w:color="auto" w:fill="auto"/>
          </w:tcPr>
          <w:p w14:paraId="0226931E" w14:textId="77777777" w:rsidR="00D21E9C" w:rsidRPr="00237C8A" w:rsidRDefault="00D21E9C" w:rsidP="00D21E9C">
            <w:pPr>
              <w:pStyle w:val="Tablesmalltext"/>
              <w:rPr>
                <w:rFonts w:asciiTheme="minorHAnsi" w:hAnsiTheme="minorHAnsi" w:cstheme="minorHAnsi"/>
                <w:sz w:val="18"/>
                <w:szCs w:val="18"/>
              </w:rPr>
            </w:pPr>
          </w:p>
        </w:tc>
        <w:tc>
          <w:tcPr>
            <w:tcW w:w="0" w:type="pct"/>
          </w:tcPr>
          <w:p w14:paraId="1CE6AA76"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Zone 1b</w:t>
            </w:r>
          </w:p>
        </w:tc>
        <w:tc>
          <w:tcPr>
            <w:tcW w:w="0" w:type="pct"/>
          </w:tcPr>
          <w:p w14:paraId="58262C10"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98.6-99.05</w:t>
            </w:r>
          </w:p>
        </w:tc>
        <w:tc>
          <w:tcPr>
            <w:tcW w:w="0" w:type="pct"/>
          </w:tcPr>
          <w:p w14:paraId="4B753F53"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c>
          <w:tcPr>
            <w:tcW w:w="0" w:type="pct"/>
          </w:tcPr>
          <w:p w14:paraId="6C0B2100"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r>
      <w:tr w:rsidR="00D21E9C" w:rsidRPr="00237C8A" w14:paraId="2FA293D4" w14:textId="77777777" w:rsidTr="00D21E9C">
        <w:trPr>
          <w:cnfStyle w:val="000000010000" w:firstRow="0" w:lastRow="0" w:firstColumn="0" w:lastColumn="0" w:oddVBand="0" w:evenVBand="0" w:oddHBand="0" w:evenHBand="1"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shd w:val="clear" w:color="auto" w:fill="auto"/>
          </w:tcPr>
          <w:p w14:paraId="065237F3" w14:textId="77777777" w:rsidR="00D21E9C" w:rsidRPr="00237C8A" w:rsidRDefault="00D21E9C" w:rsidP="00D21E9C">
            <w:pPr>
              <w:pStyle w:val="Tablesmalltext"/>
              <w:rPr>
                <w:rFonts w:asciiTheme="minorHAnsi" w:hAnsiTheme="minorHAnsi" w:cstheme="minorHAnsi"/>
                <w:sz w:val="18"/>
                <w:szCs w:val="18"/>
              </w:rPr>
            </w:pPr>
          </w:p>
        </w:tc>
        <w:tc>
          <w:tcPr>
            <w:tcW w:w="0" w:type="pct"/>
          </w:tcPr>
          <w:p w14:paraId="1B392BDD"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Zone 2</w:t>
            </w:r>
          </w:p>
        </w:tc>
        <w:tc>
          <w:tcPr>
            <w:tcW w:w="0" w:type="pct"/>
          </w:tcPr>
          <w:p w14:paraId="7B548BCC"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99.05-99.8</w:t>
            </w:r>
          </w:p>
        </w:tc>
        <w:tc>
          <w:tcPr>
            <w:tcW w:w="0" w:type="pct"/>
          </w:tcPr>
          <w:p w14:paraId="75840FD9"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c>
          <w:tcPr>
            <w:tcW w:w="0" w:type="pct"/>
          </w:tcPr>
          <w:p w14:paraId="6660EE4B"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r>
      <w:tr w:rsidR="00D21E9C" w:rsidRPr="00237C8A" w14:paraId="7F0E3D4B" w14:textId="77777777" w:rsidTr="00D21E9C">
        <w:trPr>
          <w:cnfStyle w:val="000000100000" w:firstRow="0" w:lastRow="0" w:firstColumn="0" w:lastColumn="0" w:oddVBand="0" w:evenVBand="0" w:oddHBand="1" w:evenHBand="0"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shd w:val="clear" w:color="auto" w:fill="auto"/>
          </w:tcPr>
          <w:p w14:paraId="0B0E0B07" w14:textId="77777777" w:rsidR="00D21E9C" w:rsidRPr="00237C8A" w:rsidRDefault="00D21E9C" w:rsidP="00D21E9C">
            <w:pPr>
              <w:pStyle w:val="Tablesmalltext"/>
              <w:rPr>
                <w:rFonts w:asciiTheme="minorHAnsi" w:hAnsiTheme="minorHAnsi" w:cstheme="minorHAnsi"/>
                <w:sz w:val="18"/>
                <w:szCs w:val="18"/>
              </w:rPr>
            </w:pPr>
          </w:p>
        </w:tc>
        <w:tc>
          <w:tcPr>
            <w:tcW w:w="0" w:type="pct"/>
          </w:tcPr>
          <w:p w14:paraId="34C9CB4F"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Zone 3</w:t>
            </w:r>
          </w:p>
        </w:tc>
        <w:tc>
          <w:tcPr>
            <w:tcW w:w="0" w:type="pct"/>
          </w:tcPr>
          <w:p w14:paraId="3C895F48"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99.8-101.6</w:t>
            </w:r>
          </w:p>
        </w:tc>
        <w:tc>
          <w:tcPr>
            <w:tcW w:w="0" w:type="pct"/>
          </w:tcPr>
          <w:p w14:paraId="7D190EDD"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w:t>
            </w:r>
          </w:p>
        </w:tc>
        <w:tc>
          <w:tcPr>
            <w:tcW w:w="0" w:type="pct"/>
          </w:tcPr>
          <w:p w14:paraId="455C3FF4" w14:textId="77777777" w:rsidR="00D21E9C" w:rsidRPr="00237C8A" w:rsidRDefault="00D21E9C" w:rsidP="00D21E9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x</w:t>
            </w:r>
          </w:p>
        </w:tc>
      </w:tr>
      <w:tr w:rsidR="00D21E9C" w:rsidRPr="00237C8A" w14:paraId="2BD316A2" w14:textId="77777777" w:rsidTr="00D21E9C">
        <w:trPr>
          <w:cnfStyle w:val="000000010000" w:firstRow="0" w:lastRow="0" w:firstColumn="0" w:lastColumn="0" w:oddVBand="0" w:evenVBand="0" w:oddHBand="0" w:evenHBand="1"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tcBorders>
              <w:bottom w:val="single" w:sz="4" w:space="0" w:color="auto"/>
            </w:tcBorders>
            <w:shd w:val="clear" w:color="auto" w:fill="auto"/>
          </w:tcPr>
          <w:p w14:paraId="6052554A" w14:textId="77777777" w:rsidR="00D21E9C" w:rsidRPr="00237C8A" w:rsidRDefault="00D21E9C" w:rsidP="00D21E9C">
            <w:pPr>
              <w:pStyle w:val="Tablesmalltext"/>
              <w:rPr>
                <w:rFonts w:asciiTheme="minorHAnsi" w:hAnsiTheme="minorHAnsi" w:cstheme="minorHAnsi"/>
                <w:sz w:val="18"/>
                <w:szCs w:val="18"/>
              </w:rPr>
            </w:pPr>
          </w:p>
        </w:tc>
        <w:tc>
          <w:tcPr>
            <w:tcW w:w="0" w:type="pct"/>
            <w:tcBorders>
              <w:bottom w:val="single" w:sz="4" w:space="0" w:color="auto"/>
            </w:tcBorders>
          </w:tcPr>
          <w:p w14:paraId="519ED937"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Zone 4</w:t>
            </w:r>
          </w:p>
        </w:tc>
        <w:tc>
          <w:tcPr>
            <w:tcW w:w="0" w:type="pct"/>
            <w:tcBorders>
              <w:bottom w:val="single" w:sz="4" w:space="0" w:color="auto"/>
            </w:tcBorders>
          </w:tcPr>
          <w:p w14:paraId="55FFEAF2"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&gt;101.6</w:t>
            </w:r>
          </w:p>
        </w:tc>
        <w:tc>
          <w:tcPr>
            <w:tcW w:w="0" w:type="pct"/>
            <w:tcBorders>
              <w:bottom w:val="single" w:sz="4" w:space="0" w:color="auto"/>
            </w:tcBorders>
          </w:tcPr>
          <w:p w14:paraId="55E52931"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x</w:t>
            </w:r>
          </w:p>
        </w:tc>
        <w:tc>
          <w:tcPr>
            <w:tcW w:w="0" w:type="pct"/>
            <w:tcBorders>
              <w:bottom w:val="single" w:sz="4" w:space="0" w:color="auto"/>
            </w:tcBorders>
          </w:tcPr>
          <w:p w14:paraId="536A307D" w14:textId="77777777" w:rsidR="00D21E9C" w:rsidRPr="00237C8A" w:rsidRDefault="00D21E9C" w:rsidP="00D21E9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237C8A">
              <w:rPr>
                <w:rFonts w:asciiTheme="minorHAnsi" w:hAnsiTheme="minorHAnsi" w:cstheme="minorHAnsi"/>
                <w:sz w:val="18"/>
                <w:szCs w:val="18"/>
              </w:rPr>
              <w:t>x</w:t>
            </w:r>
          </w:p>
        </w:tc>
      </w:tr>
    </w:tbl>
    <w:p w14:paraId="5C181BEB" w14:textId="77777777" w:rsidR="00D21E9C" w:rsidRDefault="00D21E9C" w:rsidP="00D21E9C">
      <w:pPr>
        <w:pStyle w:val="Para0"/>
        <w:rPr>
          <w:rFonts w:asciiTheme="minorHAnsi" w:hAnsiTheme="minorHAnsi" w:cstheme="minorHAnsi"/>
          <w:b/>
          <w:bCs/>
        </w:rPr>
      </w:pPr>
    </w:p>
    <w:p w14:paraId="23F3E2C2" w14:textId="77777777" w:rsidR="00D21E9C" w:rsidRPr="00E11D2B" w:rsidRDefault="00D21E9C" w:rsidP="00D21E9C">
      <w:pPr>
        <w:pStyle w:val="Para0"/>
        <w:rPr>
          <w:rFonts w:asciiTheme="minorHAnsi" w:hAnsiTheme="minorHAnsi" w:cstheme="minorHAnsi"/>
          <w:b/>
          <w:bCs/>
          <w:i/>
          <w:iCs/>
        </w:rPr>
      </w:pPr>
      <w:r w:rsidRPr="00E11D2B">
        <w:rPr>
          <w:rFonts w:asciiTheme="minorHAnsi" w:hAnsiTheme="minorHAnsi" w:cstheme="minorHAnsi"/>
          <w:b/>
          <w:bCs/>
          <w:i/>
          <w:iCs/>
        </w:rPr>
        <w:t>Is there a positive trend in the abundance of riparian vegetation communities over the medium-long term?</w:t>
      </w:r>
    </w:p>
    <w:p w14:paraId="5E4F04E4" w14:textId="7285E51E" w:rsidR="00D21E9C" w:rsidRPr="000D1873" w:rsidRDefault="00D21E9C" w:rsidP="00D21E9C">
      <w:pPr>
        <w:pStyle w:val="Para0"/>
        <w:spacing w:line="240" w:lineRule="auto"/>
        <w:rPr>
          <w:rFonts w:asciiTheme="minorHAnsi" w:hAnsiTheme="minorHAnsi" w:cstheme="minorHAnsi"/>
        </w:rPr>
      </w:pPr>
      <w:r w:rsidRPr="00E11D2B">
        <w:rPr>
          <w:rFonts w:asciiTheme="minorHAnsi" w:hAnsiTheme="minorHAnsi" w:cstheme="minorHAnsi"/>
        </w:rPr>
        <w:t>There has been a small but statistically significant increase in the summed cover of all ground layer plants between 2014 and 2021 at both Loch Garry and McCoy</w:t>
      </w:r>
      <w:r>
        <w:rPr>
          <w:rFonts w:asciiTheme="minorHAnsi" w:hAnsiTheme="minorHAnsi" w:cstheme="minorHAnsi"/>
        </w:rPr>
        <w:t>’</w:t>
      </w:r>
      <w:r w:rsidRPr="00E11D2B">
        <w:rPr>
          <w:rFonts w:asciiTheme="minorHAnsi" w:hAnsiTheme="minorHAnsi" w:cstheme="minorHAnsi"/>
        </w:rPr>
        <w:t xml:space="preserve">s Bridge. Cover has increased by </w:t>
      </w:r>
      <w:r>
        <w:rPr>
          <w:rFonts w:asciiTheme="minorHAnsi" w:hAnsiTheme="minorHAnsi" w:cstheme="minorHAnsi"/>
        </w:rPr>
        <w:t>~</w:t>
      </w:r>
      <w:r w:rsidRPr="00E11D2B">
        <w:rPr>
          <w:rFonts w:asciiTheme="minorHAnsi" w:hAnsiTheme="minorHAnsi" w:cstheme="minorHAnsi"/>
        </w:rPr>
        <w:t xml:space="preserve"> 2% per year at both sites. Trends, however, vary for different regions of the bank due to differences in the flow regimes experienced at different elevations. The responses of different vegetation groups and taxa over time in each bank zone are summarised below with relevant graphical responses provided in </w:t>
      </w:r>
      <w:r w:rsidR="00E0165A" w:rsidRPr="00E0165A">
        <w:rPr>
          <w:rFonts w:asciiTheme="minorHAnsi" w:hAnsiTheme="minorHAnsi" w:cstheme="minorHAnsi"/>
        </w:rPr>
        <w:t>Figure 7</w:t>
      </w:r>
      <w:r w:rsidR="00E0165A" w:rsidRPr="00E0165A">
        <w:rPr>
          <w:rFonts w:asciiTheme="minorHAnsi" w:hAnsiTheme="minorHAnsi" w:cstheme="minorHAnsi"/>
        </w:rPr>
        <w:noBreakHyphen/>
        <w:t>1</w:t>
      </w:r>
      <w:r w:rsidR="00015EC3">
        <w:rPr>
          <w:rFonts w:asciiTheme="minorHAnsi" w:hAnsiTheme="minorHAnsi" w:cstheme="minorHAnsi"/>
        </w:rPr>
        <w:t xml:space="preserve"> </w:t>
      </w:r>
      <w:r w:rsidRPr="00E11D2B">
        <w:rPr>
          <w:rFonts w:asciiTheme="minorHAnsi" w:hAnsiTheme="minorHAnsi" w:cstheme="minorHAnsi"/>
        </w:rPr>
        <w:t xml:space="preserve">and Appendix </w:t>
      </w:r>
      <w:r w:rsidR="00865A91">
        <w:rPr>
          <w:rFonts w:asciiTheme="minorHAnsi" w:hAnsiTheme="minorHAnsi" w:cstheme="minorHAnsi"/>
        </w:rPr>
        <w:t>I</w:t>
      </w:r>
      <w:r w:rsidRPr="00E11D2B">
        <w:rPr>
          <w:rFonts w:asciiTheme="minorHAnsi" w:hAnsiTheme="minorHAnsi" w:cstheme="minorHAnsi"/>
        </w:rPr>
        <w:t>.</w:t>
      </w:r>
      <w:r w:rsidRPr="000D1873">
        <w:rPr>
          <w:rFonts w:asciiTheme="minorHAnsi" w:hAnsiTheme="minorHAnsi" w:cstheme="minorHAnsi"/>
        </w:rPr>
        <w:t xml:space="preserve"> </w:t>
      </w:r>
    </w:p>
    <w:p w14:paraId="187B858F" w14:textId="77777777" w:rsidR="00D21E9C" w:rsidRPr="00870988" w:rsidRDefault="00D21E9C" w:rsidP="00D21E9C">
      <w:pPr>
        <w:spacing w:line="240" w:lineRule="auto"/>
        <w:rPr>
          <w:lang w:eastAsia="en-US"/>
        </w:rPr>
      </w:pPr>
      <w:r w:rsidRPr="00870988">
        <w:rPr>
          <w:rFonts w:cstheme="minorHAnsi"/>
          <w:lang w:eastAsia="en-US"/>
        </w:rPr>
        <w:t xml:space="preserve">The strongest positive trend in the summed cover of ground layer </w:t>
      </w:r>
      <w:r>
        <w:rPr>
          <w:rFonts w:cstheme="minorHAnsi"/>
          <w:lang w:eastAsia="en-US"/>
        </w:rPr>
        <w:t xml:space="preserve">vegetation </w:t>
      </w:r>
      <w:r w:rsidRPr="00870988">
        <w:rPr>
          <w:rFonts w:cstheme="minorHAnsi"/>
          <w:lang w:eastAsia="en-US"/>
        </w:rPr>
        <w:t>at both sites</w:t>
      </w:r>
      <w:r w:rsidRPr="00870988">
        <w:rPr>
          <w:lang w:eastAsia="en-US"/>
        </w:rPr>
        <w:t xml:space="preserve"> is found in Zone 3 </w:t>
      </w:r>
      <w:r>
        <w:rPr>
          <w:lang w:eastAsia="en-US"/>
        </w:rPr>
        <w:t xml:space="preserve">followed by </w:t>
      </w:r>
      <w:r w:rsidRPr="00870988">
        <w:rPr>
          <w:lang w:eastAsia="en-US"/>
        </w:rPr>
        <w:t>Zone 2</w:t>
      </w:r>
      <w:r>
        <w:rPr>
          <w:lang w:eastAsia="en-US"/>
        </w:rPr>
        <w:t>. In Z</w:t>
      </w:r>
      <w:r w:rsidRPr="00870988">
        <w:rPr>
          <w:lang w:eastAsia="en-US"/>
        </w:rPr>
        <w:t>one 3</w:t>
      </w:r>
      <w:r>
        <w:rPr>
          <w:lang w:eastAsia="en-US"/>
        </w:rPr>
        <w:t>, cover</w:t>
      </w:r>
      <w:r w:rsidRPr="00870988">
        <w:rPr>
          <w:lang w:eastAsia="en-US"/>
        </w:rPr>
        <w:t xml:space="preserve"> increas</w:t>
      </w:r>
      <w:r>
        <w:rPr>
          <w:lang w:eastAsia="en-US"/>
        </w:rPr>
        <w:t>ed</w:t>
      </w:r>
      <w:r w:rsidRPr="00870988">
        <w:rPr>
          <w:lang w:eastAsia="en-US"/>
        </w:rPr>
        <w:t xml:space="preserve"> by ~ 4% per year. This is largely due to increased cover of grasses, notably common tussock grass (</w:t>
      </w:r>
      <w:r w:rsidRPr="00870988">
        <w:rPr>
          <w:i/>
          <w:iCs/>
          <w:lang w:eastAsia="en-US"/>
        </w:rPr>
        <w:t xml:space="preserve">Poa </w:t>
      </w:r>
      <w:proofErr w:type="spellStart"/>
      <w:r w:rsidRPr="00870988">
        <w:rPr>
          <w:i/>
          <w:iCs/>
          <w:lang w:eastAsia="en-US"/>
        </w:rPr>
        <w:t>labillardierei</w:t>
      </w:r>
      <w:proofErr w:type="spellEnd"/>
      <w:r w:rsidRPr="00870988">
        <w:rPr>
          <w:lang w:eastAsia="en-US"/>
        </w:rPr>
        <w:t xml:space="preserve">). </w:t>
      </w:r>
    </w:p>
    <w:p w14:paraId="55BF738C" w14:textId="180E0044" w:rsidR="00D21E9C" w:rsidRDefault="00D21E9C" w:rsidP="00D21E9C">
      <w:pPr>
        <w:spacing w:after="0" w:line="240" w:lineRule="auto"/>
        <w:rPr>
          <w:rFonts w:cstheme="minorHAnsi"/>
        </w:rPr>
      </w:pPr>
      <w:r w:rsidRPr="00BA2632">
        <w:rPr>
          <w:rFonts w:cstheme="minorHAnsi"/>
        </w:rPr>
        <w:t xml:space="preserve">In contrast to the observed increases in the cover of grasses at higher elevations, the cover of water </w:t>
      </w:r>
      <w:r>
        <w:rPr>
          <w:rFonts w:cstheme="minorHAnsi"/>
        </w:rPr>
        <w:t>dependent</w:t>
      </w:r>
      <w:r w:rsidRPr="00BA2632">
        <w:rPr>
          <w:rFonts w:cstheme="minorHAnsi"/>
        </w:rPr>
        <w:t xml:space="preserve"> vegetation </w:t>
      </w:r>
      <w:r>
        <w:rPr>
          <w:rFonts w:cstheme="minorHAnsi"/>
        </w:rPr>
        <w:t xml:space="preserve">at lower elevations </w:t>
      </w:r>
      <w:r w:rsidRPr="00BA2632">
        <w:rPr>
          <w:rFonts w:cstheme="minorHAnsi"/>
        </w:rPr>
        <w:t xml:space="preserve">has not increased over time. Despite short-term increases following </w:t>
      </w:r>
      <w:r>
        <w:rPr>
          <w:rFonts w:cstheme="minorHAnsi"/>
        </w:rPr>
        <w:t>Spring Fresh</w:t>
      </w:r>
      <w:r w:rsidRPr="00BA2632">
        <w:rPr>
          <w:rFonts w:cstheme="minorHAnsi"/>
        </w:rPr>
        <w:t>es</w:t>
      </w:r>
      <w:r>
        <w:rPr>
          <w:rFonts w:cstheme="minorHAnsi"/>
        </w:rPr>
        <w:t>,</w:t>
      </w:r>
      <w:r w:rsidRPr="00BA2632">
        <w:rPr>
          <w:rFonts w:cstheme="minorHAnsi"/>
        </w:rPr>
        <w:t xml:space="preserve"> the cover of water dependent vegetation has oscillated over time.</w:t>
      </w:r>
      <w:r w:rsidR="00E17A1D">
        <w:rPr>
          <w:rFonts w:cstheme="minorHAnsi"/>
        </w:rPr>
        <w:t xml:space="preserve"> </w:t>
      </w:r>
      <w:r w:rsidRPr="00BA2632">
        <w:rPr>
          <w:rFonts w:cstheme="minorHAnsi"/>
        </w:rPr>
        <w:t xml:space="preserve">Although oscillations are expected, the cover of water </w:t>
      </w:r>
      <w:r>
        <w:rPr>
          <w:rFonts w:cstheme="minorHAnsi"/>
        </w:rPr>
        <w:t>dependent</w:t>
      </w:r>
      <w:r w:rsidRPr="00BA2632">
        <w:rPr>
          <w:rFonts w:cstheme="minorHAnsi"/>
        </w:rPr>
        <w:t xml:space="preserve"> vegetation has not returned to levels observed in summer 2015-16. Unregulated flooding in 2016 followed by unseasonal prolonged high summer flows associated with high IVT demand eliminated most vegetation from Zone 1a and continuing </w:t>
      </w:r>
      <w:r>
        <w:rPr>
          <w:rFonts w:cstheme="minorHAnsi"/>
        </w:rPr>
        <w:t>unnatural high summer flows due to IVT in 2019-20</w:t>
      </w:r>
      <w:r w:rsidRPr="00BA2632">
        <w:rPr>
          <w:rFonts w:cstheme="minorHAnsi"/>
        </w:rPr>
        <w:t xml:space="preserve"> </w:t>
      </w:r>
      <w:r>
        <w:rPr>
          <w:rFonts w:cstheme="minorHAnsi"/>
        </w:rPr>
        <w:t xml:space="preserve">has </w:t>
      </w:r>
      <w:r w:rsidRPr="00BA2632">
        <w:rPr>
          <w:rFonts w:cstheme="minorHAnsi"/>
        </w:rPr>
        <w:t>prevented recovery</w:t>
      </w:r>
      <w:r>
        <w:rPr>
          <w:rFonts w:cstheme="minorHAnsi"/>
        </w:rPr>
        <w:t>.</w:t>
      </w:r>
      <w:r w:rsidRPr="00BA2632">
        <w:rPr>
          <w:rFonts w:cstheme="minorHAnsi"/>
        </w:rPr>
        <w:t xml:space="preserve"> </w:t>
      </w:r>
    </w:p>
    <w:p w14:paraId="2CC0AF55" w14:textId="77777777" w:rsidR="00D21E9C" w:rsidRDefault="00D21E9C" w:rsidP="00D21E9C">
      <w:pPr>
        <w:pStyle w:val="Para0"/>
        <w:spacing w:line="240" w:lineRule="auto"/>
      </w:pPr>
      <w:r>
        <w:rPr>
          <w:rFonts w:asciiTheme="minorHAnsi" w:hAnsiTheme="minorHAnsi" w:cstheme="minorHAnsi"/>
        </w:rPr>
        <w:lastRenderedPageBreak/>
        <w:t>Lower</w:t>
      </w:r>
      <w:r w:rsidRPr="00361D65">
        <w:rPr>
          <w:rFonts w:asciiTheme="minorHAnsi" w:hAnsiTheme="minorHAnsi" w:cstheme="minorHAnsi"/>
        </w:rPr>
        <w:t xml:space="preserve"> and more stable flow</w:t>
      </w:r>
      <w:r>
        <w:rPr>
          <w:rFonts w:asciiTheme="minorHAnsi" w:hAnsiTheme="minorHAnsi" w:cstheme="minorHAnsi"/>
        </w:rPr>
        <w:t>s</w:t>
      </w:r>
      <w:r w:rsidRPr="00361D65">
        <w:rPr>
          <w:rFonts w:asciiTheme="minorHAnsi" w:hAnsiTheme="minorHAnsi" w:cstheme="minorHAnsi"/>
        </w:rPr>
        <w:t xml:space="preserve"> </w:t>
      </w:r>
      <w:r>
        <w:rPr>
          <w:rFonts w:asciiTheme="minorHAnsi" w:hAnsiTheme="minorHAnsi" w:cstheme="minorHAnsi"/>
        </w:rPr>
        <w:t>over summer</w:t>
      </w:r>
      <w:r w:rsidRPr="00361D65">
        <w:rPr>
          <w:rFonts w:asciiTheme="minorHAnsi" w:hAnsiTheme="minorHAnsi" w:cstheme="minorHAnsi"/>
        </w:rPr>
        <w:t xml:space="preserve"> </w:t>
      </w:r>
      <w:r>
        <w:rPr>
          <w:rFonts w:asciiTheme="minorHAnsi" w:hAnsiTheme="minorHAnsi" w:cstheme="minorHAnsi"/>
        </w:rPr>
        <w:t>in 2020-21 were</w:t>
      </w:r>
      <w:r w:rsidRPr="00361D65">
        <w:rPr>
          <w:rFonts w:asciiTheme="minorHAnsi" w:hAnsiTheme="minorHAnsi" w:cstheme="minorHAnsi"/>
        </w:rPr>
        <w:t xml:space="preserve"> correlated with the establishment of narrow bands </w:t>
      </w:r>
      <w:r>
        <w:rPr>
          <w:rFonts w:asciiTheme="minorHAnsi" w:hAnsiTheme="minorHAnsi" w:cstheme="minorHAnsi"/>
        </w:rPr>
        <w:t xml:space="preserve">of </w:t>
      </w:r>
      <w:r w:rsidRPr="00361D65">
        <w:rPr>
          <w:rFonts w:asciiTheme="minorHAnsi" w:hAnsiTheme="minorHAnsi" w:cstheme="minorHAnsi"/>
        </w:rPr>
        <w:t>water dependant vegetation along the river fringe (Zone 1b). These newly established bands were patchily distributed along the river</w:t>
      </w:r>
      <w:r>
        <w:rPr>
          <w:rFonts w:asciiTheme="minorHAnsi" w:hAnsiTheme="minorHAnsi" w:cstheme="minorHAnsi"/>
        </w:rPr>
        <w:t xml:space="preserve"> and</w:t>
      </w:r>
      <w:r w:rsidRPr="00361D65">
        <w:rPr>
          <w:rFonts w:asciiTheme="minorHAnsi" w:hAnsiTheme="minorHAnsi" w:cstheme="minorHAnsi"/>
        </w:rPr>
        <w:t xml:space="preserve"> comprised mostly </w:t>
      </w:r>
      <w:r>
        <w:rPr>
          <w:rFonts w:asciiTheme="minorHAnsi" w:hAnsiTheme="minorHAnsi" w:cstheme="minorHAnsi"/>
        </w:rPr>
        <w:t xml:space="preserve">of sedges (mostly </w:t>
      </w:r>
      <w:r w:rsidRPr="003704AD">
        <w:rPr>
          <w:rFonts w:asciiTheme="minorHAnsi" w:hAnsiTheme="minorHAnsi" w:cstheme="minorHAnsi"/>
          <w:i/>
          <w:iCs/>
        </w:rPr>
        <w:t xml:space="preserve">Cyperus </w:t>
      </w:r>
      <w:proofErr w:type="spellStart"/>
      <w:r w:rsidRPr="003704AD">
        <w:rPr>
          <w:rFonts w:asciiTheme="minorHAnsi" w:hAnsiTheme="minorHAnsi" w:cstheme="minorHAnsi"/>
          <w:i/>
          <w:iCs/>
        </w:rPr>
        <w:t>spp</w:t>
      </w:r>
      <w:proofErr w:type="spellEnd"/>
      <w:r w:rsidRPr="007522F3">
        <w:rPr>
          <w:rFonts w:asciiTheme="minorHAnsi" w:hAnsiTheme="minorHAnsi" w:cstheme="minorHAnsi"/>
        </w:rPr>
        <w:t>)</w:t>
      </w:r>
      <w:r>
        <w:rPr>
          <w:rFonts w:asciiTheme="minorHAnsi" w:hAnsiTheme="minorHAnsi" w:cstheme="minorHAnsi"/>
          <w:i/>
          <w:iCs/>
        </w:rPr>
        <w:t xml:space="preserve"> </w:t>
      </w:r>
      <w:r>
        <w:rPr>
          <w:rFonts w:asciiTheme="minorHAnsi" w:hAnsiTheme="minorHAnsi" w:cstheme="minorHAnsi"/>
        </w:rPr>
        <w:t>w</w:t>
      </w:r>
      <w:r w:rsidRPr="007522F3">
        <w:rPr>
          <w:rFonts w:asciiTheme="minorHAnsi" w:hAnsiTheme="minorHAnsi" w:cstheme="minorHAnsi"/>
        </w:rPr>
        <w:t xml:space="preserve">ater </w:t>
      </w:r>
      <w:r>
        <w:rPr>
          <w:rFonts w:asciiTheme="minorHAnsi" w:hAnsiTheme="minorHAnsi" w:cstheme="minorHAnsi"/>
        </w:rPr>
        <w:t>p</w:t>
      </w:r>
      <w:r w:rsidRPr="007522F3">
        <w:rPr>
          <w:rFonts w:asciiTheme="minorHAnsi" w:hAnsiTheme="minorHAnsi" w:cstheme="minorHAnsi"/>
        </w:rPr>
        <w:t>epper</w:t>
      </w:r>
      <w:r>
        <w:rPr>
          <w:rFonts w:asciiTheme="minorHAnsi" w:hAnsiTheme="minorHAnsi" w:cstheme="minorHAnsi"/>
          <w:i/>
          <w:iCs/>
        </w:rPr>
        <w:t xml:space="preserve"> (</w:t>
      </w:r>
      <w:proofErr w:type="spellStart"/>
      <w:r w:rsidRPr="003704AD">
        <w:rPr>
          <w:rFonts w:asciiTheme="minorHAnsi" w:hAnsiTheme="minorHAnsi" w:cstheme="minorHAnsi"/>
          <w:i/>
          <w:iCs/>
        </w:rPr>
        <w:t>Persicaria</w:t>
      </w:r>
      <w:proofErr w:type="spellEnd"/>
      <w:r w:rsidRPr="003704AD">
        <w:rPr>
          <w:rFonts w:asciiTheme="minorHAnsi" w:hAnsiTheme="minorHAnsi" w:cstheme="minorHAnsi"/>
          <w:i/>
          <w:iCs/>
        </w:rPr>
        <w:t xml:space="preserve"> hydropiper</w:t>
      </w:r>
      <w:r>
        <w:rPr>
          <w:rFonts w:asciiTheme="minorHAnsi" w:hAnsiTheme="minorHAnsi" w:cstheme="minorHAnsi"/>
          <w:i/>
          <w:iCs/>
        </w:rPr>
        <w:t xml:space="preserve">) </w:t>
      </w:r>
      <w:r w:rsidRPr="007522F3">
        <w:rPr>
          <w:rFonts w:asciiTheme="minorHAnsi" w:hAnsiTheme="minorHAnsi" w:cstheme="minorHAnsi"/>
        </w:rPr>
        <w:t>and</w:t>
      </w:r>
      <w:r w:rsidRPr="003704AD">
        <w:rPr>
          <w:rFonts w:asciiTheme="minorHAnsi" w:hAnsiTheme="minorHAnsi" w:cstheme="minorHAnsi"/>
          <w:i/>
          <w:iCs/>
        </w:rPr>
        <w:t xml:space="preserve"> </w:t>
      </w:r>
      <w:r>
        <w:rPr>
          <w:rFonts w:asciiTheme="minorHAnsi" w:hAnsiTheme="minorHAnsi" w:cstheme="minorHAnsi"/>
        </w:rPr>
        <w:t>p</w:t>
      </w:r>
      <w:r w:rsidRPr="007522F3">
        <w:rPr>
          <w:rFonts w:asciiTheme="minorHAnsi" w:hAnsiTheme="minorHAnsi" w:cstheme="minorHAnsi"/>
        </w:rPr>
        <w:t xml:space="preserve">ale </w:t>
      </w:r>
      <w:r>
        <w:rPr>
          <w:rFonts w:asciiTheme="minorHAnsi" w:hAnsiTheme="minorHAnsi" w:cstheme="minorHAnsi"/>
        </w:rPr>
        <w:t>k</w:t>
      </w:r>
      <w:r w:rsidRPr="007522F3">
        <w:rPr>
          <w:rFonts w:asciiTheme="minorHAnsi" w:hAnsiTheme="minorHAnsi" w:cstheme="minorHAnsi"/>
        </w:rPr>
        <w:t>notweed</w:t>
      </w:r>
      <w:r>
        <w:rPr>
          <w:rFonts w:asciiTheme="minorHAnsi" w:hAnsiTheme="minorHAnsi" w:cstheme="minorHAnsi"/>
          <w:i/>
          <w:iCs/>
        </w:rPr>
        <w:t xml:space="preserve"> </w:t>
      </w:r>
      <w:r w:rsidRPr="007522F3">
        <w:rPr>
          <w:rFonts w:asciiTheme="minorHAnsi" w:hAnsiTheme="minorHAnsi" w:cstheme="minorHAnsi"/>
        </w:rPr>
        <w:t>(</w:t>
      </w:r>
      <w:proofErr w:type="spellStart"/>
      <w:r w:rsidRPr="003704AD">
        <w:rPr>
          <w:rFonts w:asciiTheme="minorHAnsi" w:hAnsiTheme="minorHAnsi" w:cstheme="minorHAnsi"/>
          <w:i/>
          <w:iCs/>
        </w:rPr>
        <w:t>Persicaria</w:t>
      </w:r>
      <w:proofErr w:type="spellEnd"/>
      <w:r w:rsidRPr="003704AD">
        <w:rPr>
          <w:rFonts w:asciiTheme="minorHAnsi" w:hAnsiTheme="minorHAnsi" w:cstheme="minorHAnsi"/>
          <w:i/>
          <w:iCs/>
        </w:rPr>
        <w:t xml:space="preserve"> </w:t>
      </w:r>
      <w:proofErr w:type="spellStart"/>
      <w:r w:rsidRPr="003704AD">
        <w:rPr>
          <w:rFonts w:asciiTheme="minorHAnsi" w:hAnsiTheme="minorHAnsi" w:cstheme="minorHAnsi"/>
          <w:i/>
          <w:iCs/>
        </w:rPr>
        <w:t>lapathifolia</w:t>
      </w:r>
      <w:proofErr w:type="spellEnd"/>
      <w:r w:rsidRPr="007522F3">
        <w:rPr>
          <w:rFonts w:asciiTheme="minorHAnsi" w:hAnsiTheme="minorHAnsi" w:cstheme="minorHAnsi"/>
        </w:rPr>
        <w:t>)</w:t>
      </w:r>
      <w:r w:rsidRPr="00361D65">
        <w:rPr>
          <w:rFonts w:asciiTheme="minorHAnsi" w:hAnsiTheme="minorHAnsi" w:cstheme="minorHAnsi"/>
        </w:rPr>
        <w:t>.  Many plants that had established were setting seed in March 2021 after ~13 weeks</w:t>
      </w:r>
      <w:r>
        <w:rPr>
          <w:rFonts w:asciiTheme="minorHAnsi" w:hAnsiTheme="minorHAnsi" w:cstheme="minorHAnsi"/>
        </w:rPr>
        <w:t xml:space="preserve"> of lower flows</w:t>
      </w:r>
      <w:r w:rsidRPr="00361D65">
        <w:rPr>
          <w:rFonts w:asciiTheme="minorHAnsi" w:hAnsiTheme="minorHAnsi" w:cstheme="minorHAnsi"/>
        </w:rPr>
        <w:t>.</w:t>
      </w:r>
      <w:r>
        <w:rPr>
          <w:rFonts w:asciiTheme="minorHAnsi" w:hAnsiTheme="minorHAnsi" w:cstheme="minorHAnsi"/>
        </w:rPr>
        <w:t xml:space="preserve"> Although some recovery of fringing vegetation had been achieved there was more limited response of vegetation in Zone 1a and lower flows may be required for vegetation to establish in this zone.  </w:t>
      </w:r>
    </w:p>
    <w:p w14:paraId="6C474BA4" w14:textId="77777777" w:rsidR="00B85158" w:rsidRDefault="00D21E9C" w:rsidP="00B85158">
      <w:pPr>
        <w:keepNext/>
      </w:pPr>
      <w:r>
        <w:rPr>
          <w:b/>
          <w:bCs/>
          <w:noProof/>
          <w:lang w:val="en-GB"/>
        </w:rPr>
        <w:drawing>
          <wp:inline distT="0" distB="0" distL="0" distR="0" wp14:anchorId="557C45AB" wp14:editId="1B898DBC">
            <wp:extent cx="6588722" cy="3746500"/>
            <wp:effectExtent l="0" t="0" r="3175" b="635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6609097" cy="3758086"/>
                    </a:xfrm>
                    <a:prstGeom prst="rect">
                      <a:avLst/>
                    </a:prstGeom>
                    <a:noFill/>
                  </pic:spPr>
                </pic:pic>
              </a:graphicData>
            </a:graphic>
          </wp:inline>
        </w:drawing>
      </w:r>
    </w:p>
    <w:p w14:paraId="771311D0" w14:textId="58929308" w:rsidR="00D21E9C" w:rsidRPr="00821CDA" w:rsidRDefault="00B85158" w:rsidP="00B85158">
      <w:pPr>
        <w:pStyle w:val="Caption"/>
      </w:pPr>
      <w:bookmarkStart w:id="431" w:name="_Ref84427538"/>
      <w:bookmarkStart w:id="432" w:name="_Toc84475746"/>
      <w:r>
        <w:t xml:space="preserve">Figure </w:t>
      </w:r>
      <w:r w:rsidR="00E0165A">
        <w:rPr>
          <w:noProof/>
        </w:rPr>
        <w:t>7</w:t>
      </w:r>
      <w:r>
        <w:noBreakHyphen/>
      </w:r>
      <w:r w:rsidR="00E0165A">
        <w:rPr>
          <w:noProof/>
        </w:rPr>
        <w:t>1</w:t>
      </w:r>
      <w:bookmarkEnd w:id="431"/>
      <w:r>
        <w:t xml:space="preserve"> </w:t>
      </w:r>
      <w:r w:rsidRPr="004547DB">
        <w:t xml:space="preserve">Mean (+/- 95% CI) foliage projected cover (FPC) of ground layer vegetation at McCoy’s Bridge and Loch Garry at each survey averaged across all zones(a), Zone 4 (b) Zone 3 (c) Zone 2 (d) Zone 1a (e), and Zone 1a (f). Trend lines (dotted) are also shown </w:t>
      </w:r>
      <w:r>
        <w:t>for each site.</w:t>
      </w:r>
      <w:bookmarkEnd w:id="432"/>
    </w:p>
    <w:p w14:paraId="08B7BB63" w14:textId="77777777" w:rsidR="00D21E9C" w:rsidRPr="006347D0" w:rsidRDefault="00D21E9C" w:rsidP="00D21E9C">
      <w:pPr>
        <w:pStyle w:val="Para0"/>
        <w:rPr>
          <w:rStyle w:val="Strong"/>
          <w:i/>
          <w:iCs/>
        </w:rPr>
      </w:pPr>
      <w:r w:rsidRPr="006347D0">
        <w:rPr>
          <w:rStyle w:val="Strong"/>
          <w:rFonts w:asciiTheme="minorHAnsi" w:hAnsiTheme="minorHAnsi" w:cstheme="minorHAnsi"/>
          <w:i/>
          <w:iCs/>
          <w:szCs w:val="20"/>
        </w:rPr>
        <w:t xml:space="preserve">Does the CEW contribution to </w:t>
      </w:r>
      <w:r>
        <w:rPr>
          <w:rStyle w:val="Strong"/>
          <w:rFonts w:asciiTheme="minorHAnsi" w:hAnsiTheme="minorHAnsi" w:cstheme="minorHAnsi"/>
          <w:i/>
          <w:iCs/>
          <w:szCs w:val="20"/>
        </w:rPr>
        <w:t>Spring Fresh</w:t>
      </w:r>
      <w:r w:rsidRPr="006347D0">
        <w:rPr>
          <w:rStyle w:val="Strong"/>
          <w:rFonts w:asciiTheme="minorHAnsi" w:hAnsiTheme="minorHAnsi" w:cstheme="minorHAnsi"/>
          <w:i/>
          <w:iCs/>
          <w:szCs w:val="20"/>
        </w:rPr>
        <w:t>es increase the abundance of riparian vegetation on the bank face?</w:t>
      </w:r>
    </w:p>
    <w:p w14:paraId="0B9C711A" w14:textId="4F5F63EE" w:rsidR="00D21E9C" w:rsidRDefault="00D21E9C" w:rsidP="00D21E9C">
      <w:pPr>
        <w:spacing w:line="22" w:lineRule="atLeast"/>
        <w:rPr>
          <w:rFonts w:cstheme="minorHAnsi"/>
        </w:rPr>
      </w:pPr>
      <w:r>
        <w:rPr>
          <w:rStyle w:val="Strong"/>
          <w:rFonts w:cstheme="minorHAnsi"/>
          <w:b w:val="0"/>
          <w:bCs w:val="0"/>
        </w:rPr>
        <w:t>Spring Fresh</w:t>
      </w:r>
      <w:r w:rsidRPr="00BA2632">
        <w:rPr>
          <w:rStyle w:val="Strong"/>
          <w:rFonts w:cstheme="minorHAnsi"/>
          <w:b w:val="0"/>
          <w:bCs w:val="0"/>
        </w:rPr>
        <w:t xml:space="preserve">es contribute to maintaining the summed cover of water </w:t>
      </w:r>
      <w:r>
        <w:rPr>
          <w:rStyle w:val="Strong"/>
          <w:rFonts w:cstheme="minorHAnsi"/>
          <w:b w:val="0"/>
          <w:bCs w:val="0"/>
        </w:rPr>
        <w:t>dependent</w:t>
      </w:r>
      <w:r w:rsidRPr="00BA2632">
        <w:rPr>
          <w:rStyle w:val="Strong"/>
          <w:rFonts w:cstheme="minorHAnsi"/>
          <w:b w:val="0"/>
          <w:bCs w:val="0"/>
        </w:rPr>
        <w:t xml:space="preserve"> species in the ground layer vegetation that are representative</w:t>
      </w:r>
      <w:r w:rsidRPr="00BA2632">
        <w:t xml:space="preserve"> of relevant riparian EVCs of the Goulburn River. The mean summed cover of all water dependent taxa typically increases between September and December following the delivery of the </w:t>
      </w:r>
      <w:r>
        <w:t>Spring Fresh</w:t>
      </w:r>
      <w:r w:rsidRPr="00BA2632">
        <w:t xml:space="preserve"> at McCoy’s Bridge and Loch Garry</w:t>
      </w:r>
      <w:r>
        <w:t>.</w:t>
      </w:r>
      <w:r w:rsidRPr="00BA2632">
        <w:t xml:space="preserve"> </w:t>
      </w:r>
      <w:r>
        <w:t>Spring Fresh</w:t>
      </w:r>
      <w:r w:rsidRPr="00BA2632">
        <w:t>es may also contribute to maintaining the abundance of common tussock grass</w:t>
      </w:r>
      <w:r w:rsidRPr="00BA2632">
        <w:rPr>
          <w:i/>
        </w:rPr>
        <w:t xml:space="preserve"> </w:t>
      </w:r>
      <w:r w:rsidRPr="00BA2632">
        <w:t>through the growing season by contributing to soil moisture stores.</w:t>
      </w:r>
      <w:r>
        <w:rPr>
          <w:szCs w:val="20"/>
        </w:rPr>
        <w:t xml:space="preserve"> </w:t>
      </w:r>
      <w:r w:rsidRPr="00BA2632">
        <w:rPr>
          <w:szCs w:val="20"/>
        </w:rPr>
        <w:t xml:space="preserve">In </w:t>
      </w:r>
      <w:r>
        <w:rPr>
          <w:szCs w:val="20"/>
        </w:rPr>
        <w:t xml:space="preserve">2020-21 responses of vegetation to the Spring Fresh could not be evaluated and high unregulated flows prevent monitoring prior to the Spring Fresh. However, </w:t>
      </w:r>
      <w:r>
        <w:rPr>
          <w:rFonts w:cstheme="minorHAnsi"/>
        </w:rPr>
        <w:t>w</w:t>
      </w:r>
      <w:r w:rsidRPr="00DA431C">
        <w:rPr>
          <w:rFonts w:cstheme="minorHAnsi"/>
        </w:rPr>
        <w:t xml:space="preserve">ater </w:t>
      </w:r>
      <w:r w:rsidRPr="00AB1963">
        <w:rPr>
          <w:rFonts w:cstheme="minorHAnsi"/>
        </w:rPr>
        <w:t xml:space="preserve">dependent taxa </w:t>
      </w:r>
      <w:r>
        <w:rPr>
          <w:rFonts w:cstheme="minorHAnsi"/>
        </w:rPr>
        <w:t>continue to maintain</w:t>
      </w:r>
      <w:r w:rsidRPr="00AB1963">
        <w:rPr>
          <w:rFonts w:cstheme="minorHAnsi"/>
        </w:rPr>
        <w:t xml:space="preserve"> higher cover in regions of the bank inundated by </w:t>
      </w:r>
      <w:r>
        <w:rPr>
          <w:rFonts w:cstheme="minorHAnsi"/>
        </w:rPr>
        <w:t>Spring Fresh</w:t>
      </w:r>
      <w:r w:rsidRPr="00AB1963">
        <w:rPr>
          <w:rFonts w:cstheme="minorHAnsi"/>
        </w:rPr>
        <w:t>es</w:t>
      </w:r>
      <w:r>
        <w:rPr>
          <w:rFonts w:cstheme="minorHAnsi"/>
        </w:rPr>
        <w:t xml:space="preserve"> (</w:t>
      </w:r>
      <w:r w:rsidRPr="00E11D2B">
        <w:rPr>
          <w:rFonts w:cstheme="minorHAnsi"/>
        </w:rPr>
        <w:t xml:space="preserve">Appendix </w:t>
      </w:r>
      <w:r w:rsidR="00865A91">
        <w:rPr>
          <w:rFonts w:cstheme="minorHAnsi"/>
        </w:rPr>
        <w:t>I</w:t>
      </w:r>
      <w:r>
        <w:rPr>
          <w:rFonts w:cstheme="minorHAnsi"/>
        </w:rPr>
        <w:t>).</w:t>
      </w:r>
    </w:p>
    <w:p w14:paraId="0BABA566" w14:textId="405CBE31" w:rsidR="00D21E9C" w:rsidRPr="00215052" w:rsidRDefault="00D21E9C" w:rsidP="00D21E9C">
      <w:pPr>
        <w:spacing w:before="120" w:after="0" w:line="240" w:lineRule="auto"/>
        <w:rPr>
          <w:rFonts w:eastAsia="Times New Roman"/>
          <w:szCs w:val="20"/>
        </w:rPr>
      </w:pPr>
      <w:r w:rsidRPr="00215052">
        <w:rPr>
          <w:rFonts w:eastAsia="Times New Roman"/>
          <w:szCs w:val="20"/>
        </w:rPr>
        <w:t>Environment</w:t>
      </w:r>
      <w:r>
        <w:rPr>
          <w:rFonts w:eastAsia="Times New Roman"/>
          <w:szCs w:val="20"/>
        </w:rPr>
        <w:t>al</w:t>
      </w:r>
      <w:r w:rsidRPr="00215052">
        <w:rPr>
          <w:rFonts w:eastAsia="Times New Roman"/>
          <w:szCs w:val="20"/>
        </w:rPr>
        <w:t xml:space="preserve"> flows in 2020-21 were also used </w:t>
      </w:r>
      <w:r>
        <w:rPr>
          <w:rFonts w:eastAsia="Times New Roman"/>
          <w:szCs w:val="20"/>
        </w:rPr>
        <w:t xml:space="preserve">to </w:t>
      </w:r>
      <w:r w:rsidRPr="00215052">
        <w:rPr>
          <w:rFonts w:eastAsia="Times New Roman"/>
          <w:szCs w:val="20"/>
        </w:rPr>
        <w:t xml:space="preserve">prevent water levels dropping and triggering germination along the river fringe (Zone 1a and 1b) between the </w:t>
      </w:r>
      <w:r>
        <w:rPr>
          <w:rFonts w:eastAsia="Times New Roman"/>
          <w:szCs w:val="20"/>
        </w:rPr>
        <w:t>Spring Fresh</w:t>
      </w:r>
      <w:r w:rsidRPr="00215052">
        <w:rPr>
          <w:rFonts w:eastAsia="Times New Roman"/>
          <w:szCs w:val="20"/>
        </w:rPr>
        <w:t xml:space="preserve"> and the fish spawning fresh. This was done </w:t>
      </w:r>
      <w:r>
        <w:rPr>
          <w:rFonts w:eastAsia="Times New Roman"/>
          <w:szCs w:val="20"/>
        </w:rPr>
        <w:t>because</w:t>
      </w:r>
      <w:r w:rsidRPr="00215052">
        <w:rPr>
          <w:rFonts w:eastAsia="Times New Roman"/>
          <w:szCs w:val="20"/>
        </w:rPr>
        <w:t xml:space="preserve"> the fish spawning fresh could </w:t>
      </w:r>
      <w:r>
        <w:rPr>
          <w:rFonts w:eastAsia="Times New Roman"/>
          <w:szCs w:val="20"/>
        </w:rPr>
        <w:t>kill</w:t>
      </w:r>
      <w:r w:rsidRPr="00215052">
        <w:rPr>
          <w:rFonts w:eastAsia="Times New Roman"/>
          <w:szCs w:val="20"/>
        </w:rPr>
        <w:t xml:space="preserve"> newly germinated plant</w:t>
      </w:r>
      <w:r>
        <w:rPr>
          <w:rFonts w:eastAsia="Times New Roman"/>
          <w:szCs w:val="20"/>
        </w:rPr>
        <w:t>s</w:t>
      </w:r>
      <w:r w:rsidRPr="00215052">
        <w:rPr>
          <w:rFonts w:eastAsia="Times New Roman"/>
          <w:szCs w:val="20"/>
        </w:rPr>
        <w:t xml:space="preserve"> and deplete the available seed supply without </w:t>
      </w:r>
      <w:r>
        <w:rPr>
          <w:rFonts w:eastAsia="Times New Roman"/>
          <w:szCs w:val="20"/>
        </w:rPr>
        <w:t xml:space="preserve">resulting in </w:t>
      </w:r>
      <w:r w:rsidRPr="00215052">
        <w:rPr>
          <w:rFonts w:eastAsia="Times New Roman"/>
          <w:szCs w:val="20"/>
        </w:rPr>
        <w:t>successful recruitment. As such</w:t>
      </w:r>
      <w:r>
        <w:rPr>
          <w:rFonts w:eastAsia="Times New Roman"/>
          <w:szCs w:val="20"/>
        </w:rPr>
        <w:t>,</w:t>
      </w:r>
      <w:r w:rsidRPr="00215052">
        <w:rPr>
          <w:rFonts w:eastAsia="Times New Roman"/>
          <w:szCs w:val="20"/>
        </w:rPr>
        <w:t xml:space="preserve"> the strategy aimed to optimise the germination response on the recession of the fish </w:t>
      </w:r>
      <w:r>
        <w:rPr>
          <w:rFonts w:eastAsia="Times New Roman"/>
          <w:szCs w:val="20"/>
        </w:rPr>
        <w:t xml:space="preserve">spawning </w:t>
      </w:r>
      <w:r w:rsidRPr="00215052">
        <w:rPr>
          <w:rFonts w:eastAsia="Times New Roman"/>
          <w:szCs w:val="20"/>
        </w:rPr>
        <w:t>fresh</w:t>
      </w:r>
      <w:r>
        <w:rPr>
          <w:rFonts w:eastAsia="Times New Roman"/>
          <w:szCs w:val="20"/>
        </w:rPr>
        <w:t>,</w:t>
      </w:r>
      <w:r w:rsidRPr="00215052">
        <w:rPr>
          <w:rFonts w:eastAsia="Times New Roman"/>
          <w:szCs w:val="20"/>
        </w:rPr>
        <w:t xml:space="preserve"> when low flows were likely to be sustained for longer and favour survival. </w:t>
      </w:r>
    </w:p>
    <w:p w14:paraId="52F50150" w14:textId="122BFF86" w:rsidR="00D21E9C" w:rsidRDefault="00D21E9C" w:rsidP="00D21E9C">
      <w:pPr>
        <w:spacing w:before="120" w:after="0" w:line="240" w:lineRule="auto"/>
        <w:rPr>
          <w:rFonts w:eastAsia="Times New Roman"/>
          <w:szCs w:val="20"/>
        </w:rPr>
      </w:pPr>
      <w:r>
        <w:rPr>
          <w:rFonts w:eastAsia="Times New Roman"/>
          <w:szCs w:val="20"/>
        </w:rPr>
        <w:t>The cover of water dependant vegetation along the river fringe (Zone 1a and 1b) in November 2020 (after the October Spring Fresh) and again in December (after the November fish spawning fresh) was low, suggesting the recruitment was likely suppressed by this strategy, or that very young seedlings were killed by the November fresh. Following the recession of the fish spawning fresh, lower flows were maintained over summer and significant establishment of fringing vegetation in Zone 1b occurred at both sites in March 2021. It is unclear to what extent the strategy of suppressing germination along the fringing zone between the Spring Fresh and fish fresh contributed to this positive outcome and further research is</w:t>
      </w:r>
      <w:r w:rsidRPr="00937EDF">
        <w:rPr>
          <w:rFonts w:eastAsia="Times New Roman"/>
          <w:szCs w:val="20"/>
        </w:rPr>
        <w:t xml:space="preserve"> </w:t>
      </w:r>
      <w:r>
        <w:rPr>
          <w:rFonts w:eastAsia="Times New Roman"/>
          <w:szCs w:val="20"/>
        </w:rPr>
        <w:t>needed.</w:t>
      </w:r>
    </w:p>
    <w:p w14:paraId="1C4029F0" w14:textId="77777777" w:rsidR="00D21E9C" w:rsidRPr="007F5AAD" w:rsidRDefault="00D21E9C" w:rsidP="00D21E9C">
      <w:pPr>
        <w:pStyle w:val="Para0"/>
        <w:spacing w:line="22" w:lineRule="atLeast"/>
        <w:rPr>
          <w:rFonts w:asciiTheme="minorHAnsi" w:hAnsiTheme="minorHAnsi" w:cstheme="minorHAnsi"/>
          <w:i/>
          <w:iCs/>
        </w:rPr>
      </w:pPr>
      <w:r w:rsidRPr="007F5AAD">
        <w:rPr>
          <w:rStyle w:val="Strong"/>
          <w:rFonts w:asciiTheme="minorHAnsi" w:hAnsiTheme="minorHAnsi" w:cstheme="minorHAnsi"/>
          <w:i/>
          <w:iCs/>
          <w:szCs w:val="20"/>
        </w:rPr>
        <w:t>Do responses of bank vegetation differ among sites?</w:t>
      </w:r>
    </w:p>
    <w:p w14:paraId="6495A7CA" w14:textId="33B38497" w:rsidR="00D21E9C" w:rsidRPr="00BA2632" w:rsidRDefault="00D21E9C" w:rsidP="00D21E9C">
      <w:pPr>
        <w:spacing w:line="22" w:lineRule="atLeast"/>
      </w:pPr>
      <w:r w:rsidRPr="00BA2632">
        <w:lastRenderedPageBreak/>
        <w:t>Vegetation cover is consistently lower at McCoy’s Bridge compared with Loch Garry but responses of vegetation to environmental water and unregulated flows are generally similar</w:t>
      </w:r>
      <w:r>
        <w:t xml:space="preserve"> (</w:t>
      </w:r>
      <w:r w:rsidR="00E0165A">
        <w:t>Figure 7</w:t>
      </w:r>
      <w:r w:rsidR="00E0165A">
        <w:noBreakHyphen/>
        <w:t>1</w:t>
      </w:r>
      <w:r>
        <w:t xml:space="preserve">, </w:t>
      </w:r>
      <w:r w:rsidRPr="000656CB">
        <w:t xml:space="preserve">Appendix </w:t>
      </w:r>
      <w:r w:rsidR="00865A91">
        <w:t>I</w:t>
      </w:r>
      <w:r>
        <w:t>)</w:t>
      </w:r>
      <w:r w:rsidRPr="00BA2632">
        <w:t xml:space="preserve">. The reason for differences in cover at the two sites is not known but may reflect differences in channel shape, the aspect of sampled transects, or differences in subsurface water inflows. Loch Garry potentially receives higher subsurface water inflows from the closer proximity of large wetlands compared to McCoy’s </w:t>
      </w:r>
      <w:r>
        <w:t xml:space="preserve">Bridge, </w:t>
      </w:r>
      <w:r w:rsidRPr="00BA2632">
        <w:t>which also experiences more human activity and goat grazing on creeping knotweed (</w:t>
      </w:r>
      <w:r w:rsidRPr="00BA2632">
        <w:rPr>
          <w:i/>
        </w:rPr>
        <w:t>pers</w:t>
      </w:r>
      <w:r w:rsidRPr="00BA2632">
        <w:t>.</w:t>
      </w:r>
      <w:r w:rsidRPr="00BA2632">
        <w:rPr>
          <w:i/>
        </w:rPr>
        <w:t xml:space="preserve"> obs.</w:t>
      </w:r>
      <w:r w:rsidRPr="00BA2632">
        <w:t xml:space="preserve"> D. Lovell, GBCMA).</w:t>
      </w:r>
    </w:p>
    <w:p w14:paraId="5C52D4C9" w14:textId="544BB145" w:rsidR="00D21E9C" w:rsidRPr="007F5AAD" w:rsidRDefault="00D21E9C" w:rsidP="00D21E9C">
      <w:pPr>
        <w:pStyle w:val="Para0"/>
        <w:spacing w:line="22" w:lineRule="atLeast"/>
        <w:rPr>
          <w:rStyle w:val="Strong"/>
          <w:i/>
          <w:iCs/>
          <w:szCs w:val="20"/>
        </w:rPr>
      </w:pPr>
      <w:r w:rsidRPr="007F5AAD">
        <w:rPr>
          <w:rStyle w:val="Strong"/>
          <w:rFonts w:asciiTheme="minorHAnsi" w:hAnsiTheme="minorHAnsi" w:cstheme="minorHAnsi"/>
          <w:i/>
          <w:iCs/>
          <w:szCs w:val="20"/>
        </w:rPr>
        <w:t>Do flows shift the distribution of riparian vegetation communities on the bank face?</w:t>
      </w:r>
    </w:p>
    <w:p w14:paraId="70BA0C24" w14:textId="77777777" w:rsidR="00D21E9C" w:rsidRPr="00BA2632" w:rsidRDefault="00D21E9C" w:rsidP="00D21E9C">
      <w:pPr>
        <w:spacing w:line="22" w:lineRule="atLeast"/>
      </w:pPr>
      <w:r w:rsidRPr="00BA2632">
        <w:t>The distribution of focal plant groups and taxa along the bank face reflect</w:t>
      </w:r>
      <w:r>
        <w:t>s</w:t>
      </w:r>
      <w:r w:rsidRPr="00BA2632">
        <w:t xml:space="preserve"> their hydraulic tolerances. The distribution of water </w:t>
      </w:r>
      <w:r>
        <w:t>dependent</w:t>
      </w:r>
      <w:r w:rsidRPr="00BA2632">
        <w:t xml:space="preserve"> taxa is limited to regions of the bank influenced by </w:t>
      </w:r>
      <w:r>
        <w:t>Spring Fresh</w:t>
      </w:r>
      <w:r w:rsidRPr="00BA2632">
        <w:t>es (Zone 1a-Zone 3) and the distribution of common tussock grass</w:t>
      </w:r>
      <w:r>
        <w:t xml:space="preserve"> (</w:t>
      </w:r>
      <w:r w:rsidRPr="00D513B3">
        <w:rPr>
          <w:i/>
          <w:iCs/>
        </w:rPr>
        <w:t xml:space="preserve">Poa </w:t>
      </w:r>
      <w:proofErr w:type="spellStart"/>
      <w:r w:rsidRPr="00D513B3">
        <w:rPr>
          <w:i/>
          <w:iCs/>
        </w:rPr>
        <w:t>labillardierei</w:t>
      </w:r>
      <w:proofErr w:type="spellEnd"/>
      <w:r>
        <w:t>)</w:t>
      </w:r>
      <w:r w:rsidRPr="00BA2632">
        <w:t xml:space="preserve"> is constrained to elevations where it experiences only shallow and brief inundation (Zone 3 and Zone 4). </w:t>
      </w:r>
    </w:p>
    <w:p w14:paraId="2C70BB36" w14:textId="3AC20138" w:rsidR="00D21E9C" w:rsidRPr="00BA2632" w:rsidRDefault="00D21E9C" w:rsidP="00D21E9C">
      <w:pPr>
        <w:spacing w:line="22" w:lineRule="atLeast"/>
      </w:pPr>
      <w:r w:rsidRPr="00BA2632">
        <w:rPr>
          <w:iCs/>
        </w:rPr>
        <w:t>Creeping knotweed</w:t>
      </w:r>
      <w:r w:rsidRPr="00BA2632">
        <w:t xml:space="preserve"> </w:t>
      </w:r>
      <w:r>
        <w:t>(</w:t>
      </w:r>
      <w:r w:rsidRPr="00CF71A9">
        <w:rPr>
          <w:i/>
        </w:rPr>
        <w:t xml:space="preserve">Alternanthera </w:t>
      </w:r>
      <w:proofErr w:type="spellStart"/>
      <w:r w:rsidRPr="00CF71A9">
        <w:rPr>
          <w:i/>
        </w:rPr>
        <w:t>denticulata</w:t>
      </w:r>
      <w:proofErr w:type="spellEnd"/>
      <w:r>
        <w:rPr>
          <w:iCs/>
        </w:rPr>
        <w:t>)</w:t>
      </w:r>
      <w:r w:rsidRPr="00BA2632">
        <w:t xml:space="preserve"> has a broad distribution across the bank face, but its cover is highest in Zone 3 (the upper limits of the </w:t>
      </w:r>
      <w:r>
        <w:t>Spring Fresh</w:t>
      </w:r>
      <w:r w:rsidRPr="00BA2632">
        <w:t>es) and is lowest in Zone 1a</w:t>
      </w:r>
      <w:r>
        <w:t>,</w:t>
      </w:r>
      <w:r w:rsidRPr="00BA2632">
        <w:t xml:space="preserve"> which experiences deeper and more prolonged inundation. Unregulated floods in 2016 increased the cover of </w:t>
      </w:r>
      <w:r w:rsidRPr="00BA2632">
        <w:rPr>
          <w:iCs/>
        </w:rPr>
        <w:t>creeping knotweed</w:t>
      </w:r>
      <w:r w:rsidRPr="00BA2632">
        <w:t xml:space="preserve"> in Zone 4 </w:t>
      </w:r>
      <w:r>
        <w:t xml:space="preserve">at McCoy’s Bridge </w:t>
      </w:r>
      <w:r w:rsidRPr="00BA2632">
        <w:t xml:space="preserve">(above the level reached by </w:t>
      </w:r>
      <w:r>
        <w:t>Spring Fresh</w:t>
      </w:r>
      <w:r w:rsidRPr="00BA2632">
        <w:t>es) to match that achieved in Zone 3</w:t>
      </w:r>
      <w:r>
        <w:t>;</w:t>
      </w:r>
      <w:r w:rsidRPr="00BA2632">
        <w:t xml:space="preserve"> cover has since decreased to below that in Zone 3</w:t>
      </w:r>
      <w:r>
        <w:t>.</w:t>
      </w:r>
    </w:p>
    <w:p w14:paraId="7BCAE373" w14:textId="59916C73" w:rsidR="00D21E9C" w:rsidRPr="00BA2632" w:rsidRDefault="00D21E9C" w:rsidP="00D21E9C">
      <w:r w:rsidRPr="00BA2632">
        <w:t xml:space="preserve">Water </w:t>
      </w:r>
      <w:r>
        <w:t>dependent</w:t>
      </w:r>
      <w:r w:rsidRPr="00BA2632">
        <w:t xml:space="preserve"> vegetation in Zone 1a was mostly eliminated by IVT delivery in 2018-19 and only tall established species such as common reed</w:t>
      </w:r>
      <w:r w:rsidRPr="00BA2632">
        <w:rPr>
          <w:i/>
          <w:iCs/>
        </w:rPr>
        <w:t xml:space="preserve"> </w:t>
      </w:r>
      <w:r w:rsidRPr="00BA2632">
        <w:rPr>
          <w:iCs/>
        </w:rPr>
        <w:t>(</w:t>
      </w:r>
      <w:r w:rsidRPr="00BA2632">
        <w:rPr>
          <w:i/>
          <w:iCs/>
        </w:rPr>
        <w:t>Phragmites australis</w:t>
      </w:r>
      <w:r w:rsidRPr="00BA2632">
        <w:t>)</w:t>
      </w:r>
      <w:r w:rsidRPr="00BA2632">
        <w:rPr>
          <w:i/>
          <w:iCs/>
        </w:rPr>
        <w:t xml:space="preserve"> </w:t>
      </w:r>
      <w:r w:rsidRPr="00BA2632">
        <w:t>and</w:t>
      </w:r>
      <w:r w:rsidRPr="00BA2632">
        <w:rPr>
          <w:i/>
          <w:iCs/>
        </w:rPr>
        <w:t xml:space="preserve"> </w:t>
      </w:r>
      <w:r w:rsidRPr="00BA2632">
        <w:t>some</w:t>
      </w:r>
      <w:r w:rsidRPr="00BA2632">
        <w:rPr>
          <w:i/>
          <w:iCs/>
        </w:rPr>
        <w:t xml:space="preserve"> </w:t>
      </w:r>
      <w:r w:rsidRPr="00BA2632">
        <w:rPr>
          <w:iCs/>
        </w:rPr>
        <w:t>sedges (</w:t>
      </w:r>
      <w:r w:rsidRPr="00BA2632">
        <w:rPr>
          <w:i/>
          <w:iCs/>
        </w:rPr>
        <w:t>Cyperus</w:t>
      </w:r>
      <w:r w:rsidRPr="00BA2632">
        <w:t xml:space="preserve"> spp.) persisted. </w:t>
      </w:r>
      <w:r>
        <w:t xml:space="preserve">Common </w:t>
      </w:r>
      <w:r w:rsidRPr="00BA2632">
        <w:t>reed, which was only present at one location, ma</w:t>
      </w:r>
      <w:r>
        <w:t>de</w:t>
      </w:r>
      <w:r w:rsidRPr="00BA2632">
        <w:t xml:space="preserve"> a significant contribution to the remaining vegetation cover in Zone 1a at McCoy’s Bridge. Few plants had re-established by September 2019 prior to IVT delivery, although germination was triggered at some locations indicating the capacity to recover if suitable flows are provided. Further declines in mean cover were not observed following IVT delivery in 2019-20, possibly as only</w:t>
      </w:r>
      <w:r>
        <w:t xml:space="preserve"> summer inundation</w:t>
      </w:r>
      <w:r w:rsidRPr="00BA2632">
        <w:t xml:space="preserve"> tolerant plants remained.</w:t>
      </w:r>
    </w:p>
    <w:p w14:paraId="3184B501" w14:textId="303D80EB" w:rsidR="00D21E9C" w:rsidRPr="00BA2632" w:rsidRDefault="00D21E9C" w:rsidP="00D21E9C">
      <w:r w:rsidRPr="00BA2632">
        <w:t xml:space="preserve">The cover of sedges fell across all zones following natural flooding in 2016 but recovery under higher IVT delivery in subsequent years </w:t>
      </w:r>
      <w:r>
        <w:t>was</w:t>
      </w:r>
      <w:r w:rsidRPr="00BA2632">
        <w:t xml:space="preserve"> limited and inconsistent.</w:t>
      </w:r>
      <w:r w:rsidR="00E17A1D">
        <w:t xml:space="preserve"> </w:t>
      </w:r>
      <w:r w:rsidRPr="00BA2632">
        <w:t xml:space="preserve">The cover of </w:t>
      </w:r>
      <w:r>
        <w:t xml:space="preserve">rushes (entirely composed of </w:t>
      </w:r>
      <w:r w:rsidRPr="00BA2632">
        <w:rPr>
          <w:i/>
          <w:iCs/>
        </w:rPr>
        <w:t>Juncus</w:t>
      </w:r>
      <w:r w:rsidRPr="00BA2632">
        <w:t xml:space="preserve"> </w:t>
      </w:r>
      <w:r>
        <w:t>spp.)</w:t>
      </w:r>
      <w:r w:rsidRPr="00BA2632">
        <w:t xml:space="preserve"> was reduced in Zone 1 following natural flooding in 2016 and recovery has been limited to higher elevations in Zone 2 where the influence of IVTs </w:t>
      </w:r>
      <w:r>
        <w:t>was</w:t>
      </w:r>
      <w:r w:rsidRPr="00BA2632">
        <w:t xml:space="preserve"> less. </w:t>
      </w:r>
    </w:p>
    <w:p w14:paraId="4B20B583" w14:textId="09F6A626" w:rsidR="00D21E9C" w:rsidRDefault="00D21E9C" w:rsidP="00D21E9C">
      <w:r w:rsidRPr="00BA2632">
        <w:t>IVTs appear to have favoured the growth of grasses at higher elevations</w:t>
      </w:r>
      <w:r>
        <w:t xml:space="preserve"> </w:t>
      </w:r>
      <w:r w:rsidRPr="00BA2632">
        <w:t>and of pale knotweed (</w:t>
      </w:r>
      <w:proofErr w:type="spellStart"/>
      <w:r w:rsidRPr="00BA2632">
        <w:rPr>
          <w:i/>
          <w:iCs/>
        </w:rPr>
        <w:t>Persicaria</w:t>
      </w:r>
      <w:proofErr w:type="spellEnd"/>
      <w:r w:rsidRPr="00BA2632">
        <w:rPr>
          <w:i/>
          <w:iCs/>
        </w:rPr>
        <w:t xml:space="preserve"> </w:t>
      </w:r>
      <w:proofErr w:type="spellStart"/>
      <w:r w:rsidRPr="00BA2632">
        <w:rPr>
          <w:i/>
          <w:iCs/>
        </w:rPr>
        <w:t>lapathifolia</w:t>
      </w:r>
      <w:proofErr w:type="spellEnd"/>
      <w:r w:rsidRPr="00BA2632">
        <w:t>) on benches where only shallow flooding would have been experienced</w:t>
      </w:r>
      <w:r>
        <w:t>.</w:t>
      </w:r>
    </w:p>
    <w:p w14:paraId="40E04DBD" w14:textId="1E0041FB" w:rsidR="00D21E9C" w:rsidRDefault="00D21E9C" w:rsidP="00D21E9C">
      <w:r>
        <w:t>In 2020-21 low flows provided opportunities for water dependent vegetation to establish along the river fringe in Zone 1a, comprised of sedge (</w:t>
      </w:r>
      <w:r w:rsidRPr="000656CB">
        <w:t>Cyperus</w:t>
      </w:r>
      <w:r>
        <w:t xml:space="preserve"> spp.) and herbs (water pepper (</w:t>
      </w:r>
      <w:proofErr w:type="spellStart"/>
      <w:r w:rsidRPr="000656CB">
        <w:t>Persicaria</w:t>
      </w:r>
      <w:proofErr w:type="spellEnd"/>
      <w:r w:rsidRPr="000656CB">
        <w:t xml:space="preserve"> hydropiper)</w:t>
      </w:r>
      <w:r>
        <w:t>, pale knotweed (</w:t>
      </w:r>
      <w:proofErr w:type="spellStart"/>
      <w:r w:rsidRPr="000656CB">
        <w:t>Persicaria</w:t>
      </w:r>
      <w:proofErr w:type="spellEnd"/>
      <w:r w:rsidRPr="000656CB">
        <w:t xml:space="preserve"> </w:t>
      </w:r>
      <w:proofErr w:type="spellStart"/>
      <w:r w:rsidRPr="000656CB">
        <w:t>lapathifolia</w:t>
      </w:r>
      <w:proofErr w:type="spellEnd"/>
      <w:r w:rsidRPr="000656CB">
        <w:t>)</w:t>
      </w:r>
      <w:r>
        <w:t>). However, vegetation did not respond to lower flows in Zone 1b at Loch Garry and only a small increase occurred at McCoy’s Bridge. Lower flows are likely to be needed to stimulate recruitment in Zone 1b (</w:t>
      </w:r>
      <w:r w:rsidR="00E0165A">
        <w:t>Figure 7</w:t>
      </w:r>
      <w:r w:rsidR="00E0165A">
        <w:noBreakHyphen/>
        <w:t>1</w:t>
      </w:r>
      <w:r>
        <w:t xml:space="preserve">, </w:t>
      </w:r>
      <w:r w:rsidR="00E0165A">
        <w:t>Figure 7</w:t>
      </w:r>
      <w:r w:rsidR="00E0165A">
        <w:noBreakHyphen/>
        <w:t>2</w:t>
      </w:r>
      <w:r>
        <w:t xml:space="preserve">, </w:t>
      </w:r>
      <w:r w:rsidRPr="000656CB">
        <w:t xml:space="preserve">Appendix </w:t>
      </w:r>
      <w:r w:rsidR="00865A91">
        <w:t>I</w:t>
      </w:r>
      <w:r>
        <w:t>)</w:t>
      </w:r>
      <w:r w:rsidRPr="00BA2632">
        <w:t xml:space="preserve">. </w:t>
      </w:r>
    </w:p>
    <w:p w14:paraId="78131BC1" w14:textId="77777777" w:rsidR="00D21E9C" w:rsidRDefault="00D21E9C" w:rsidP="00D21E9C">
      <w:pPr>
        <w:pStyle w:val="Caption"/>
        <w:jc w:val="center"/>
      </w:pPr>
      <w:r>
        <w:rPr>
          <w:noProof/>
          <w:lang w:val="en-GB"/>
        </w:rPr>
        <w:drawing>
          <wp:inline distT="0" distB="0" distL="0" distR="0" wp14:anchorId="070F2C42" wp14:editId="4D30CE70">
            <wp:extent cx="2538000" cy="2601193"/>
            <wp:effectExtent l="6350" t="0" r="2540" b="2540"/>
            <wp:docPr id="449" name="Picture 449" descr="A picture containing natur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A picture containing nature, plant&#10;&#10;Description automatically generated"/>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rot="5400000">
                      <a:off x="0" y="0"/>
                      <a:ext cx="2538000" cy="260119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5F36B9E8" wp14:editId="5186DC43">
            <wp:extent cx="2538000" cy="1776686"/>
            <wp:effectExtent l="0" t="318" r="0" b="0"/>
            <wp:docPr id="450" name="Picture 450" descr="A picture containing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A picture containing plant, tree&#10;&#10;Description automatically generated"/>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a:stretch/>
                  </pic:blipFill>
                  <pic:spPr bwMode="auto">
                    <a:xfrm rot="5400000">
                      <a:off x="0" y="0"/>
                      <a:ext cx="2538000" cy="1776686"/>
                    </a:xfrm>
                    <a:prstGeom prst="rect">
                      <a:avLst/>
                    </a:prstGeom>
                    <a:noFill/>
                    <a:ln>
                      <a:noFill/>
                    </a:ln>
                    <a:extLst>
                      <a:ext uri="{53640926-AAD7-44D8-BBD7-CCE9431645EC}">
                        <a14:shadowObscured xmlns:a14="http://schemas.microsoft.com/office/drawing/2010/main"/>
                      </a:ext>
                    </a:extLst>
                  </pic:spPr>
                </pic:pic>
              </a:graphicData>
            </a:graphic>
          </wp:inline>
        </w:drawing>
      </w:r>
    </w:p>
    <w:p w14:paraId="101CC1FD" w14:textId="7E798129" w:rsidR="00D21E9C" w:rsidRDefault="00D21E9C" w:rsidP="00D21E9C">
      <w:pPr>
        <w:pStyle w:val="Caption"/>
      </w:pPr>
      <w:bookmarkStart w:id="433" w:name="_Ref84411046"/>
      <w:bookmarkStart w:id="434" w:name="_Toc84475747"/>
      <w:r>
        <w:t xml:space="preserve">Figure </w:t>
      </w:r>
      <w:r w:rsidR="00E0165A">
        <w:rPr>
          <w:noProof/>
        </w:rPr>
        <w:t>7</w:t>
      </w:r>
      <w:r w:rsidR="00B85158">
        <w:noBreakHyphen/>
      </w:r>
      <w:r w:rsidR="00E0165A">
        <w:rPr>
          <w:noProof/>
        </w:rPr>
        <w:t>2</w:t>
      </w:r>
      <w:bookmarkEnd w:id="433"/>
      <w:r>
        <w:t xml:space="preserve"> Patch of plants re-establishing along the river fringe at </w:t>
      </w:r>
      <w:proofErr w:type="spellStart"/>
      <w:r>
        <w:t>McCoys</w:t>
      </w:r>
      <w:proofErr w:type="spellEnd"/>
      <w:r>
        <w:t xml:space="preserve"> Bridge in March 2021.</w:t>
      </w:r>
      <w:bookmarkEnd w:id="434"/>
    </w:p>
    <w:p w14:paraId="3A4AB897" w14:textId="77777777" w:rsidR="00D21E9C" w:rsidRDefault="00D21E9C" w:rsidP="00D21E9C">
      <w:pPr>
        <w:rPr>
          <w:rStyle w:val="Strong"/>
          <w:rFonts w:cstheme="minorHAnsi"/>
          <w:szCs w:val="20"/>
        </w:rPr>
      </w:pPr>
    </w:p>
    <w:p w14:paraId="19F9179A" w14:textId="77777777" w:rsidR="00DA4AD9" w:rsidRDefault="00DA4AD9">
      <w:pPr>
        <w:rPr>
          <w:rStyle w:val="Strong"/>
          <w:rFonts w:ascii="Calibri" w:hAnsi="Calibri" w:cs="Calibri"/>
          <w:i/>
          <w:iCs/>
        </w:rPr>
      </w:pPr>
      <w:r>
        <w:rPr>
          <w:rStyle w:val="Strong"/>
          <w:rFonts w:ascii="Calibri" w:hAnsi="Calibri" w:cs="Calibri"/>
          <w:i/>
          <w:iCs/>
        </w:rPr>
        <w:br w:type="page"/>
      </w:r>
    </w:p>
    <w:p w14:paraId="5F983CBD" w14:textId="1F0B9252" w:rsidR="00D21E9C" w:rsidRPr="000E432C" w:rsidRDefault="00D21E9C" w:rsidP="00D21E9C">
      <w:pPr>
        <w:pStyle w:val="Para0"/>
        <w:rPr>
          <w:i/>
          <w:iCs/>
          <w:szCs w:val="20"/>
          <w:lang w:val="en-US"/>
        </w:rPr>
      </w:pPr>
      <w:r w:rsidRPr="000E432C">
        <w:rPr>
          <w:rStyle w:val="Strong"/>
          <w:rFonts w:ascii="Calibri" w:hAnsi="Calibri" w:cs="Calibri"/>
          <w:i/>
          <w:iCs/>
        </w:rPr>
        <w:lastRenderedPageBreak/>
        <w:t xml:space="preserve">How does the annual flow regime (natural, </w:t>
      </w:r>
      <w:proofErr w:type="gramStart"/>
      <w:r w:rsidRPr="000E432C">
        <w:rPr>
          <w:rStyle w:val="Strong"/>
          <w:rFonts w:ascii="Calibri" w:hAnsi="Calibri" w:cs="Calibri"/>
          <w:i/>
          <w:iCs/>
        </w:rPr>
        <w:t>environmental</w:t>
      </w:r>
      <w:proofErr w:type="gramEnd"/>
      <w:r w:rsidRPr="000E432C">
        <w:rPr>
          <w:rStyle w:val="Strong"/>
          <w:rFonts w:ascii="Calibri" w:hAnsi="Calibri" w:cs="Calibri"/>
          <w:i/>
          <w:iCs/>
        </w:rPr>
        <w:t xml:space="preserve"> or consumptive) and weather conditions influence the abundance of </w:t>
      </w:r>
      <w:r w:rsidRPr="000E432C">
        <w:rPr>
          <w:rFonts w:ascii="Calibri" w:hAnsi="Calibri" w:cs="Calibri"/>
          <w:b/>
          <w:bCs/>
          <w:i/>
          <w:iCs/>
          <w:szCs w:val="20"/>
        </w:rPr>
        <w:t>riparian</w:t>
      </w:r>
      <w:r w:rsidRPr="000E432C">
        <w:rPr>
          <w:rStyle w:val="Strong"/>
          <w:rFonts w:ascii="Calibri" w:hAnsi="Calibri" w:cs="Calibri"/>
          <w:i/>
          <w:iCs/>
        </w:rPr>
        <w:t xml:space="preserve"> vegetation communities at the end of the growth season?</w:t>
      </w:r>
    </w:p>
    <w:p w14:paraId="6E5F0E3A" w14:textId="4632A82E" w:rsidR="00D21E9C" w:rsidRPr="001F092A" w:rsidRDefault="00D21E9C" w:rsidP="00D21E9C">
      <w:pPr>
        <w:rPr>
          <w:rFonts w:ascii="Calibri" w:hAnsi="Calibri" w:cs="Calibri"/>
          <w:sz w:val="22"/>
        </w:rPr>
      </w:pPr>
      <w:r>
        <w:rPr>
          <w:rFonts w:ascii="Calibri" w:hAnsi="Calibri" w:cs="Calibri"/>
        </w:rPr>
        <w:t>The abundance of vegetation in March, near the end of the growing season, reflects the cumulative response to the annual flow regime and weather conditions. Monitoring of vegetation in March at both sites has only occurred since 2018-19. Over this time vegetation foliage project cover (FPC) at higher elevations has tended to decline at both sites between December and March (</w:t>
      </w:r>
      <w:r w:rsidR="00E0165A">
        <w:t xml:space="preserve">Figure </w:t>
      </w:r>
      <w:r w:rsidR="00E0165A">
        <w:rPr>
          <w:noProof/>
        </w:rPr>
        <w:t>7</w:t>
      </w:r>
      <w:r w:rsidR="00E0165A">
        <w:noBreakHyphen/>
      </w:r>
      <w:r w:rsidR="00E0165A">
        <w:rPr>
          <w:noProof/>
        </w:rPr>
        <w:t>1</w:t>
      </w:r>
      <w:r>
        <w:rPr>
          <w:rFonts w:ascii="Calibri" w:hAnsi="Calibri" w:cs="Calibri"/>
        </w:rPr>
        <w:t>). These declines likely reflect the influence of decreased soil moisture and the seasonal senescence of annual terrestrial herbs at higher elevations (</w:t>
      </w:r>
      <w:r w:rsidR="00E0165A">
        <w:t xml:space="preserve">Figure </w:t>
      </w:r>
      <w:r w:rsidR="00E0165A">
        <w:rPr>
          <w:noProof/>
        </w:rPr>
        <w:t>7</w:t>
      </w:r>
      <w:r w:rsidR="00E0165A">
        <w:noBreakHyphen/>
      </w:r>
      <w:r w:rsidR="00E0165A">
        <w:rPr>
          <w:noProof/>
        </w:rPr>
        <w:t>1</w:t>
      </w:r>
      <w:r>
        <w:rPr>
          <w:rFonts w:ascii="Calibri" w:hAnsi="Calibri" w:cs="Calibri"/>
        </w:rPr>
        <w:t xml:space="preserve">, </w:t>
      </w:r>
      <w:r w:rsidRPr="00E11D2B">
        <w:rPr>
          <w:rFonts w:cstheme="minorHAnsi"/>
        </w:rPr>
        <w:t xml:space="preserve">Appendix </w:t>
      </w:r>
      <w:r w:rsidR="00865A91">
        <w:rPr>
          <w:rFonts w:cstheme="minorHAnsi"/>
        </w:rPr>
        <w:t>I</w:t>
      </w:r>
      <w:r>
        <w:rPr>
          <w:rFonts w:ascii="Calibri" w:hAnsi="Calibri" w:cs="Calibri"/>
        </w:rPr>
        <w:t xml:space="preserve">). </w:t>
      </w:r>
    </w:p>
    <w:p w14:paraId="4FB1B2AB" w14:textId="77777777" w:rsidR="00D21E9C" w:rsidRDefault="00D21E9C" w:rsidP="00D21E9C">
      <w:pPr>
        <w:rPr>
          <w:rFonts w:ascii="Calibri" w:hAnsi="Calibri" w:cs="Calibri"/>
        </w:rPr>
      </w:pPr>
      <w:r>
        <w:rPr>
          <w:rFonts w:ascii="Calibri" w:hAnsi="Calibri" w:cs="Calibri"/>
        </w:rPr>
        <w:t xml:space="preserve">At lower elevations FPC does not show a seasonal pattern of increase over the growing season in 2018-19 and 2019-20 as would be expected under a more natural flow regime, where low summer flows provide suitable conditions for water dependant plants to establish and grow at lower elevations. The failure of a strong seasonal growth response in 2018-19 and 2019-20 is likely due to elevated summer flows associated with IVT delivery. In 2020-21 IVT flows were lower and there was a strong seasonal increase in FPC in Zone 1b and to a lesser extent in Zone 2, highlighting the importance of low summer flows for fringing vegetation. </w:t>
      </w:r>
    </w:p>
    <w:p w14:paraId="6F201DAA" w14:textId="77777777" w:rsidR="00D21E9C" w:rsidRPr="0091221A" w:rsidRDefault="00D21E9C" w:rsidP="00D21E9C">
      <w:pPr>
        <w:pStyle w:val="Para0"/>
        <w:rPr>
          <w:rFonts w:asciiTheme="minorHAnsi" w:hAnsiTheme="minorHAnsi" w:cstheme="minorHAnsi"/>
          <w:i/>
          <w:iCs/>
        </w:rPr>
      </w:pPr>
      <w:r w:rsidRPr="0091221A">
        <w:rPr>
          <w:rStyle w:val="Strong"/>
          <w:rFonts w:asciiTheme="minorHAnsi" w:hAnsiTheme="minorHAnsi" w:cstheme="minorHAnsi"/>
          <w:i/>
          <w:iCs/>
          <w:szCs w:val="20"/>
        </w:rPr>
        <w:t>What influence do hydraulic variables have on the abundance of riparian vegetation communities?</w:t>
      </w:r>
    </w:p>
    <w:p w14:paraId="3E1EF0E7" w14:textId="77777777" w:rsidR="00D21E9C" w:rsidRDefault="00D21E9C" w:rsidP="00D21E9C">
      <w:r w:rsidRPr="00BA2632">
        <w:rPr>
          <w:rFonts w:cstheme="minorHAnsi"/>
        </w:rPr>
        <w:t xml:space="preserve">The influence of two hydraulic variables on vegetation have been modelled: (1) the duration of inundation </w:t>
      </w:r>
      <w:r>
        <w:rPr>
          <w:rFonts w:cstheme="minorHAnsi"/>
        </w:rPr>
        <w:t xml:space="preserve">&gt;25 cm depth in </w:t>
      </w:r>
      <w:r w:rsidRPr="00BA2632">
        <w:rPr>
          <w:rFonts w:cstheme="minorHAnsi"/>
        </w:rPr>
        <w:t xml:space="preserve">the year prior to sampling and (2) the duration of inundation </w:t>
      </w:r>
      <w:r>
        <w:rPr>
          <w:rFonts w:cstheme="minorHAnsi"/>
        </w:rPr>
        <w:t xml:space="preserve">&gt;25 cm depth </w:t>
      </w:r>
      <w:r w:rsidRPr="00BA2632">
        <w:rPr>
          <w:rFonts w:cstheme="minorHAnsi"/>
        </w:rPr>
        <w:t xml:space="preserve">over the IVT period. </w:t>
      </w:r>
    </w:p>
    <w:p w14:paraId="440CA85B" w14:textId="77777777" w:rsidR="00D21E9C" w:rsidRPr="00BA2632" w:rsidRDefault="00D21E9C" w:rsidP="00D21E9C">
      <w:r w:rsidRPr="00BA2632">
        <w:t xml:space="preserve">All model outputs for the duration of inundation the year prior to sampling </w:t>
      </w:r>
      <w:proofErr w:type="gramStart"/>
      <w:r w:rsidRPr="00BA2632">
        <w:t>are</w:t>
      </w:r>
      <w:proofErr w:type="gramEnd"/>
      <w:r w:rsidRPr="00BA2632">
        <w:t xml:space="preserve"> based on both MER </w:t>
      </w:r>
      <w:r>
        <w:t xml:space="preserve">(2 years) </w:t>
      </w:r>
      <w:r w:rsidRPr="00BA2632">
        <w:t xml:space="preserve">and LTIM </w:t>
      </w:r>
      <w:r>
        <w:t xml:space="preserve">(5 year) </w:t>
      </w:r>
      <w:r w:rsidRPr="00BA2632">
        <w:t>data as inputs and uses vegetation data for all sampling events. Model outputs for the duration of inundation in the IVT season only is calculated based in days inundated over the IVT period, and only uses vegetation data sampled in March and April.</w:t>
      </w:r>
    </w:p>
    <w:p w14:paraId="34A38E1D" w14:textId="372F8C0A" w:rsidR="00D21E9C" w:rsidRPr="00BA2632" w:rsidRDefault="00D21E9C" w:rsidP="00D21E9C">
      <w:r w:rsidRPr="00BA2632">
        <w:rPr>
          <w:rFonts w:cstheme="minorHAnsi"/>
        </w:rPr>
        <w:t xml:space="preserve">The modelled outputs are show in </w:t>
      </w:r>
      <w:r w:rsidR="00E0165A" w:rsidRPr="0091221A">
        <w:t xml:space="preserve">Figure </w:t>
      </w:r>
      <w:r w:rsidR="00E0165A">
        <w:rPr>
          <w:noProof/>
        </w:rPr>
        <w:t>7</w:t>
      </w:r>
      <w:r w:rsidR="00E0165A">
        <w:noBreakHyphen/>
      </w:r>
      <w:r w:rsidR="00E0165A">
        <w:rPr>
          <w:noProof/>
        </w:rPr>
        <w:t>3</w:t>
      </w:r>
      <w:r>
        <w:rPr>
          <w:rFonts w:cstheme="minorHAnsi"/>
        </w:rPr>
        <w:t xml:space="preserve"> to </w:t>
      </w:r>
      <w:r w:rsidR="00E0165A" w:rsidRPr="002C4F2C">
        <w:t xml:space="preserve">Figure </w:t>
      </w:r>
      <w:r w:rsidR="00E0165A">
        <w:rPr>
          <w:noProof/>
        </w:rPr>
        <w:t>7</w:t>
      </w:r>
      <w:r w:rsidR="00E0165A">
        <w:noBreakHyphen/>
      </w:r>
      <w:r w:rsidR="00E0165A">
        <w:rPr>
          <w:noProof/>
        </w:rPr>
        <w:t>5</w:t>
      </w:r>
      <w:r>
        <w:rPr>
          <w:rFonts w:cstheme="minorHAnsi"/>
        </w:rPr>
        <w:t xml:space="preserve"> </w:t>
      </w:r>
      <w:r w:rsidRPr="00BA2632">
        <w:rPr>
          <w:rFonts w:cstheme="minorHAnsi"/>
        </w:rPr>
        <w:t>and demonstrate that the duration of inundation</w:t>
      </w:r>
      <w:r>
        <w:rPr>
          <w:rFonts w:cstheme="minorHAnsi"/>
        </w:rPr>
        <w:t xml:space="preserve"> &gt;25 cm depth,</w:t>
      </w:r>
      <w:r w:rsidRPr="00BA2632">
        <w:rPr>
          <w:rFonts w:cstheme="minorHAnsi"/>
        </w:rPr>
        <w:t xml:space="preserve"> over the year prior to sampling, and over the IVT period, influence the cover and occurrence of focal plant groups and taxa differently.</w:t>
      </w:r>
    </w:p>
    <w:p w14:paraId="018FCD53" w14:textId="77777777" w:rsidR="00D21E9C" w:rsidRPr="00BA2632" w:rsidRDefault="00D21E9C" w:rsidP="00D21E9C">
      <w:pPr>
        <w:pStyle w:val="Para0"/>
        <w:rPr>
          <w:rFonts w:asciiTheme="minorHAnsi" w:hAnsiTheme="minorHAnsi" w:cstheme="minorHAnsi"/>
          <w:b/>
          <w:bCs/>
          <w:i/>
          <w:iCs/>
        </w:rPr>
      </w:pPr>
      <w:r w:rsidRPr="00BA2632">
        <w:rPr>
          <w:rFonts w:asciiTheme="minorHAnsi" w:hAnsiTheme="minorHAnsi" w:cstheme="minorHAnsi"/>
          <w:b/>
          <w:bCs/>
          <w:i/>
          <w:iCs/>
        </w:rPr>
        <w:t>Probability of occurrence in response to days inundated over the year prior to sampling</w:t>
      </w:r>
    </w:p>
    <w:p w14:paraId="04C49404" w14:textId="2C1D37B1" w:rsidR="00D21E9C" w:rsidRPr="0091221A" w:rsidRDefault="00D21E9C" w:rsidP="00D21E9C">
      <w:r w:rsidRPr="0091221A">
        <w:t>Model outputs for the probability of occurrence for different taxa and plant groups to the number of days inundated &gt;25 cm depth in the year prior to sampling a</w:t>
      </w:r>
      <w:r w:rsidR="00416C5C">
        <w:t>r</w:t>
      </w:r>
      <w:r w:rsidRPr="0091221A">
        <w:t xml:space="preserve">e shown in </w:t>
      </w:r>
      <w:r w:rsidR="00E0165A" w:rsidRPr="0091221A">
        <w:t xml:space="preserve">Figure </w:t>
      </w:r>
      <w:r w:rsidR="00E0165A">
        <w:rPr>
          <w:noProof/>
        </w:rPr>
        <w:t>7</w:t>
      </w:r>
      <w:r w:rsidR="00E0165A">
        <w:noBreakHyphen/>
      </w:r>
      <w:r w:rsidR="00E0165A">
        <w:rPr>
          <w:noProof/>
        </w:rPr>
        <w:t>3</w:t>
      </w:r>
      <w:r w:rsidR="00724760">
        <w:rPr>
          <w:rFonts w:cstheme="minorHAnsi"/>
        </w:rPr>
        <w:t xml:space="preserve"> to </w:t>
      </w:r>
      <w:r w:rsidR="00E0165A" w:rsidRPr="002C4F2C">
        <w:t xml:space="preserve">Figure </w:t>
      </w:r>
      <w:r w:rsidR="00E0165A">
        <w:rPr>
          <w:noProof/>
        </w:rPr>
        <w:t>7</w:t>
      </w:r>
      <w:r w:rsidR="00E0165A">
        <w:noBreakHyphen/>
      </w:r>
      <w:r w:rsidR="00E0165A">
        <w:rPr>
          <w:noProof/>
        </w:rPr>
        <w:t>5</w:t>
      </w:r>
      <w:r w:rsidRPr="0091221A">
        <w:t xml:space="preserve"> and reveal differences across the taxa and groups examined.</w:t>
      </w:r>
    </w:p>
    <w:p w14:paraId="046F0D0A" w14:textId="77777777" w:rsidR="00D21E9C" w:rsidRPr="0091221A" w:rsidRDefault="00D21E9C" w:rsidP="00D21E9C">
      <w:pPr>
        <w:pStyle w:val="Para0"/>
        <w:numPr>
          <w:ilvl w:val="0"/>
          <w:numId w:val="29"/>
        </w:numPr>
        <w:spacing w:before="0"/>
        <w:rPr>
          <w:rFonts w:asciiTheme="minorHAnsi" w:hAnsiTheme="minorHAnsi" w:cstheme="minorHAnsi"/>
          <w:szCs w:val="20"/>
        </w:rPr>
      </w:pPr>
      <w:r w:rsidRPr="0091221A">
        <w:rPr>
          <w:rFonts w:asciiTheme="minorHAnsi" w:hAnsiTheme="minorHAnsi" w:cstheme="minorHAnsi"/>
          <w:szCs w:val="20"/>
        </w:rPr>
        <w:t xml:space="preserve">The occurrence responses of all vegetation groups are </w:t>
      </w:r>
      <w:proofErr w:type="gramStart"/>
      <w:r w:rsidRPr="0091221A">
        <w:rPr>
          <w:rFonts w:asciiTheme="minorHAnsi" w:hAnsiTheme="minorHAnsi" w:cstheme="minorHAnsi"/>
          <w:szCs w:val="20"/>
        </w:rPr>
        <w:t>similar to</w:t>
      </w:r>
      <w:proofErr w:type="gramEnd"/>
      <w:r w:rsidRPr="0091221A">
        <w:rPr>
          <w:rFonts w:asciiTheme="minorHAnsi" w:hAnsiTheme="minorHAnsi" w:cstheme="minorHAnsi"/>
          <w:szCs w:val="20"/>
        </w:rPr>
        <w:t xml:space="preserve"> the results from last year (using 5-year LTIM data and only 1-year MER data) which modelled response to inundation &gt;0 cm, except the grass species, which has more obvious changes this year.</w:t>
      </w:r>
    </w:p>
    <w:p w14:paraId="3353DE5B" w14:textId="77777777" w:rsidR="00D21E9C" w:rsidRPr="0091221A" w:rsidRDefault="00D21E9C" w:rsidP="00D21E9C">
      <w:pPr>
        <w:pStyle w:val="Para0"/>
        <w:numPr>
          <w:ilvl w:val="0"/>
          <w:numId w:val="29"/>
        </w:numPr>
        <w:spacing w:before="0"/>
        <w:rPr>
          <w:rFonts w:asciiTheme="minorHAnsi" w:hAnsiTheme="minorHAnsi" w:cstheme="minorHAnsi"/>
          <w:szCs w:val="20"/>
        </w:rPr>
      </w:pPr>
      <w:r w:rsidRPr="0091221A">
        <w:rPr>
          <w:rFonts w:asciiTheme="minorHAnsi" w:hAnsiTheme="minorHAnsi" w:cstheme="minorHAnsi"/>
          <w:szCs w:val="20"/>
        </w:rPr>
        <w:t>The probability of occurrence for all ground layer vegetation generally decreases with increasing inundation, and there is higher uncertainty after about 300 days of inundation; this uncertainty stems from the fact that almost none of the surveyed vegetation was inundated for this length of time.</w:t>
      </w:r>
    </w:p>
    <w:p w14:paraId="33861996" w14:textId="77777777" w:rsidR="00D21E9C" w:rsidRPr="0091221A" w:rsidRDefault="00D21E9C" w:rsidP="00D21E9C">
      <w:pPr>
        <w:pStyle w:val="Para0"/>
        <w:numPr>
          <w:ilvl w:val="0"/>
          <w:numId w:val="29"/>
        </w:numPr>
        <w:spacing w:before="0"/>
        <w:rPr>
          <w:rFonts w:asciiTheme="minorHAnsi" w:hAnsiTheme="minorHAnsi" w:cstheme="minorHAnsi"/>
          <w:szCs w:val="20"/>
        </w:rPr>
      </w:pPr>
      <w:r w:rsidRPr="0091221A">
        <w:rPr>
          <w:rFonts w:asciiTheme="minorHAnsi" w:hAnsiTheme="minorHAnsi" w:cstheme="minorHAnsi"/>
          <w:szCs w:val="20"/>
        </w:rPr>
        <w:t>There is little change in the probability of occurrence for water dependant vegetation during the first 100 days of inundation. After that, there is a decreasing trend as the inundation period increases.</w:t>
      </w:r>
    </w:p>
    <w:p w14:paraId="3A904D4F" w14:textId="77777777" w:rsidR="00D21E9C" w:rsidRPr="0091221A" w:rsidRDefault="00D21E9C" w:rsidP="00D21E9C">
      <w:pPr>
        <w:pStyle w:val="Para0"/>
        <w:numPr>
          <w:ilvl w:val="0"/>
          <w:numId w:val="29"/>
        </w:numPr>
        <w:spacing w:before="0"/>
        <w:rPr>
          <w:rFonts w:asciiTheme="minorHAnsi" w:hAnsiTheme="minorHAnsi" w:cstheme="minorHAnsi"/>
          <w:szCs w:val="20"/>
        </w:rPr>
      </w:pPr>
      <w:r w:rsidRPr="0091221A">
        <w:rPr>
          <w:rFonts w:asciiTheme="minorHAnsi" w:hAnsiTheme="minorHAnsi" w:cstheme="minorHAnsi"/>
          <w:szCs w:val="20"/>
        </w:rPr>
        <w:t xml:space="preserve">For grass species </w:t>
      </w:r>
      <w:r>
        <w:rPr>
          <w:rFonts w:asciiTheme="minorHAnsi" w:hAnsiTheme="minorHAnsi" w:cstheme="minorHAnsi"/>
          <w:szCs w:val="20"/>
        </w:rPr>
        <w:t xml:space="preserve">combined </w:t>
      </w:r>
      <w:r w:rsidRPr="0091221A">
        <w:rPr>
          <w:rFonts w:asciiTheme="minorHAnsi" w:hAnsiTheme="minorHAnsi" w:cstheme="minorHAnsi"/>
          <w:szCs w:val="20"/>
        </w:rPr>
        <w:t>and</w:t>
      </w:r>
      <w:r>
        <w:rPr>
          <w:rFonts w:asciiTheme="minorHAnsi" w:hAnsiTheme="minorHAnsi" w:cstheme="minorHAnsi"/>
          <w:szCs w:val="20"/>
        </w:rPr>
        <w:t xml:space="preserve"> common tussock grass (</w:t>
      </w:r>
      <w:r w:rsidRPr="0091221A">
        <w:rPr>
          <w:rFonts w:asciiTheme="minorHAnsi" w:hAnsiTheme="minorHAnsi" w:cstheme="minorHAnsi"/>
          <w:i/>
          <w:iCs/>
          <w:szCs w:val="20"/>
        </w:rPr>
        <w:t xml:space="preserve">Poa </w:t>
      </w:r>
      <w:proofErr w:type="spellStart"/>
      <w:r w:rsidRPr="0091221A">
        <w:rPr>
          <w:rFonts w:asciiTheme="minorHAnsi" w:hAnsiTheme="minorHAnsi" w:cstheme="minorHAnsi"/>
          <w:i/>
          <w:iCs/>
          <w:szCs w:val="20"/>
        </w:rPr>
        <w:t>labillardierei</w:t>
      </w:r>
      <w:proofErr w:type="spellEnd"/>
      <w:r>
        <w:rPr>
          <w:rFonts w:asciiTheme="minorHAnsi" w:hAnsiTheme="minorHAnsi" w:cstheme="minorHAnsi"/>
          <w:szCs w:val="20"/>
        </w:rPr>
        <w:t>) individually,</w:t>
      </w:r>
      <w:r w:rsidRPr="0091221A">
        <w:rPr>
          <w:rFonts w:asciiTheme="minorHAnsi" w:hAnsiTheme="minorHAnsi" w:cstheme="minorHAnsi"/>
          <w:szCs w:val="20"/>
        </w:rPr>
        <w:t xml:space="preserve"> the probability of occurrence declines rapidly initially until approximately 130 days, after which the probability almost </w:t>
      </w:r>
      <w:r>
        <w:rPr>
          <w:rFonts w:asciiTheme="minorHAnsi" w:hAnsiTheme="minorHAnsi" w:cstheme="minorHAnsi"/>
          <w:szCs w:val="20"/>
        </w:rPr>
        <w:t>remains</w:t>
      </w:r>
      <w:r w:rsidRPr="0091221A">
        <w:rPr>
          <w:rFonts w:asciiTheme="minorHAnsi" w:hAnsiTheme="minorHAnsi" w:cstheme="minorHAnsi"/>
          <w:szCs w:val="20"/>
        </w:rPr>
        <w:t xml:space="preserve"> unchanged as inundation increases. However, as above, the uncertainty increases after about 300 days, especially for grass species.</w:t>
      </w:r>
    </w:p>
    <w:p w14:paraId="4CF2A3EB" w14:textId="77777777" w:rsidR="00D21E9C" w:rsidRPr="0091221A" w:rsidRDefault="00D21E9C" w:rsidP="00D21E9C">
      <w:pPr>
        <w:pStyle w:val="Para0"/>
        <w:numPr>
          <w:ilvl w:val="0"/>
          <w:numId w:val="29"/>
        </w:numPr>
        <w:spacing w:before="0"/>
        <w:rPr>
          <w:rFonts w:asciiTheme="minorHAnsi" w:hAnsiTheme="minorHAnsi" w:cstheme="minorHAnsi"/>
          <w:szCs w:val="20"/>
        </w:rPr>
      </w:pPr>
      <w:r w:rsidRPr="00144325">
        <w:rPr>
          <w:rFonts w:asciiTheme="minorHAnsi" w:hAnsiTheme="minorHAnsi" w:cstheme="minorHAnsi"/>
          <w:szCs w:val="20"/>
        </w:rPr>
        <w:t>Rushes</w:t>
      </w:r>
      <w:r>
        <w:rPr>
          <w:rFonts w:asciiTheme="minorHAnsi" w:hAnsiTheme="minorHAnsi" w:cstheme="minorHAnsi"/>
          <w:i/>
          <w:iCs/>
          <w:szCs w:val="20"/>
        </w:rPr>
        <w:t xml:space="preserve"> </w:t>
      </w:r>
      <w:r w:rsidRPr="00144325">
        <w:rPr>
          <w:rFonts w:asciiTheme="minorHAnsi" w:hAnsiTheme="minorHAnsi" w:cstheme="minorHAnsi"/>
          <w:szCs w:val="20"/>
        </w:rPr>
        <w:t>(composed entirely of</w:t>
      </w:r>
      <w:r>
        <w:rPr>
          <w:rFonts w:asciiTheme="minorHAnsi" w:hAnsiTheme="minorHAnsi" w:cstheme="minorHAnsi"/>
          <w:i/>
          <w:iCs/>
          <w:szCs w:val="20"/>
        </w:rPr>
        <w:t xml:space="preserve"> </w:t>
      </w:r>
      <w:r w:rsidRPr="0091221A">
        <w:rPr>
          <w:rFonts w:asciiTheme="minorHAnsi" w:hAnsiTheme="minorHAnsi" w:cstheme="minorHAnsi"/>
          <w:i/>
          <w:iCs/>
          <w:szCs w:val="20"/>
        </w:rPr>
        <w:t>Juncus</w:t>
      </w:r>
      <w:r w:rsidRPr="0091221A">
        <w:rPr>
          <w:rFonts w:asciiTheme="minorHAnsi" w:hAnsiTheme="minorHAnsi" w:cstheme="minorHAnsi"/>
          <w:szCs w:val="20"/>
        </w:rPr>
        <w:t xml:space="preserve"> </w:t>
      </w:r>
      <w:r>
        <w:rPr>
          <w:rFonts w:asciiTheme="minorHAnsi" w:hAnsiTheme="minorHAnsi" w:cstheme="minorHAnsi"/>
          <w:szCs w:val="20"/>
        </w:rPr>
        <w:t xml:space="preserve">spp.) </w:t>
      </w:r>
      <w:r w:rsidRPr="0091221A">
        <w:rPr>
          <w:rFonts w:asciiTheme="minorHAnsi" w:hAnsiTheme="minorHAnsi" w:cstheme="minorHAnsi"/>
          <w:szCs w:val="20"/>
        </w:rPr>
        <w:t xml:space="preserve">and </w:t>
      </w:r>
      <w:r>
        <w:rPr>
          <w:rFonts w:asciiTheme="minorHAnsi" w:hAnsiTheme="minorHAnsi" w:cstheme="minorHAnsi"/>
          <w:szCs w:val="20"/>
        </w:rPr>
        <w:t>creeping knotweed (</w:t>
      </w:r>
      <w:proofErr w:type="spellStart"/>
      <w:r w:rsidRPr="0091221A">
        <w:rPr>
          <w:rFonts w:asciiTheme="minorHAnsi" w:hAnsiTheme="minorHAnsi" w:cstheme="minorHAnsi"/>
          <w:i/>
          <w:iCs/>
          <w:szCs w:val="20"/>
        </w:rPr>
        <w:t>Persicaria</w:t>
      </w:r>
      <w:proofErr w:type="spellEnd"/>
      <w:r w:rsidRPr="0091221A">
        <w:rPr>
          <w:rFonts w:asciiTheme="minorHAnsi" w:hAnsiTheme="minorHAnsi" w:cstheme="minorHAnsi"/>
          <w:i/>
          <w:iCs/>
          <w:szCs w:val="20"/>
        </w:rPr>
        <w:t xml:space="preserve"> </w:t>
      </w:r>
      <w:proofErr w:type="spellStart"/>
      <w:r w:rsidRPr="0091221A">
        <w:rPr>
          <w:rFonts w:asciiTheme="minorHAnsi" w:hAnsiTheme="minorHAnsi" w:cstheme="minorHAnsi"/>
          <w:i/>
          <w:iCs/>
          <w:szCs w:val="20"/>
        </w:rPr>
        <w:t>prostrata</w:t>
      </w:r>
      <w:proofErr w:type="spellEnd"/>
      <w:r>
        <w:rPr>
          <w:rFonts w:asciiTheme="minorHAnsi" w:hAnsiTheme="minorHAnsi" w:cstheme="minorHAnsi"/>
          <w:szCs w:val="20"/>
        </w:rPr>
        <w:t xml:space="preserve">) </w:t>
      </w:r>
      <w:r w:rsidRPr="0091221A">
        <w:rPr>
          <w:rFonts w:asciiTheme="minorHAnsi" w:hAnsiTheme="minorHAnsi" w:cstheme="minorHAnsi"/>
          <w:szCs w:val="20"/>
        </w:rPr>
        <w:t>show mild declining responses to increasing inundation in previous year.</w:t>
      </w:r>
    </w:p>
    <w:p w14:paraId="13874E82" w14:textId="77777777" w:rsidR="00D21E9C" w:rsidRPr="0091221A" w:rsidRDefault="00D21E9C" w:rsidP="00D21E9C">
      <w:pPr>
        <w:pStyle w:val="Para0"/>
        <w:numPr>
          <w:ilvl w:val="0"/>
          <w:numId w:val="29"/>
        </w:numPr>
        <w:spacing w:before="0"/>
        <w:rPr>
          <w:rFonts w:asciiTheme="minorHAnsi" w:hAnsiTheme="minorHAnsi" w:cstheme="minorHAnsi"/>
          <w:szCs w:val="20"/>
        </w:rPr>
      </w:pPr>
      <w:r w:rsidRPr="0091221A">
        <w:rPr>
          <w:rFonts w:asciiTheme="minorHAnsi" w:hAnsiTheme="minorHAnsi" w:cstheme="minorHAnsi"/>
          <w:szCs w:val="20"/>
        </w:rPr>
        <w:t xml:space="preserve">There is an initial increase of probability for </w:t>
      </w:r>
      <w:r>
        <w:rPr>
          <w:rFonts w:asciiTheme="minorHAnsi" w:hAnsiTheme="minorHAnsi" w:cstheme="minorHAnsi"/>
          <w:szCs w:val="20"/>
        </w:rPr>
        <w:t>s</w:t>
      </w:r>
      <w:r w:rsidRPr="0091221A">
        <w:rPr>
          <w:rFonts w:asciiTheme="minorHAnsi" w:hAnsiTheme="minorHAnsi" w:cstheme="minorHAnsi"/>
          <w:szCs w:val="20"/>
        </w:rPr>
        <w:t>edges as inundation period increases until around 40 days, which then keeps stable to about 100 days of inundation. After that, the probability of occurrence gradually decreases as inundation period increases.</w:t>
      </w:r>
    </w:p>
    <w:p w14:paraId="48DB866D" w14:textId="77777777" w:rsidR="00D21E9C" w:rsidRPr="0091221A" w:rsidRDefault="00D21E9C" w:rsidP="00D21E9C">
      <w:pPr>
        <w:pStyle w:val="Para0"/>
        <w:numPr>
          <w:ilvl w:val="0"/>
          <w:numId w:val="29"/>
        </w:numPr>
        <w:spacing w:before="0"/>
        <w:rPr>
          <w:rFonts w:asciiTheme="minorHAnsi" w:hAnsiTheme="minorHAnsi" w:cstheme="minorHAnsi"/>
          <w:szCs w:val="20"/>
        </w:rPr>
      </w:pPr>
      <w:r w:rsidRPr="0091221A">
        <w:rPr>
          <w:rFonts w:asciiTheme="minorHAnsi" w:hAnsiTheme="minorHAnsi" w:cstheme="minorHAnsi"/>
          <w:szCs w:val="20"/>
        </w:rPr>
        <w:t xml:space="preserve">The probability of </w:t>
      </w:r>
      <w:r>
        <w:rPr>
          <w:rFonts w:asciiTheme="minorHAnsi" w:hAnsiTheme="minorHAnsi" w:cstheme="minorHAnsi"/>
          <w:szCs w:val="20"/>
        </w:rPr>
        <w:t xml:space="preserve">lesser </w:t>
      </w:r>
      <w:proofErr w:type="spellStart"/>
      <w:r>
        <w:rPr>
          <w:rFonts w:asciiTheme="minorHAnsi" w:hAnsiTheme="minorHAnsi" w:cstheme="minorHAnsi"/>
          <w:szCs w:val="20"/>
        </w:rPr>
        <w:t>joyweed</w:t>
      </w:r>
      <w:proofErr w:type="spellEnd"/>
      <w:r>
        <w:rPr>
          <w:rFonts w:asciiTheme="minorHAnsi" w:hAnsiTheme="minorHAnsi" w:cstheme="minorHAnsi"/>
          <w:szCs w:val="20"/>
        </w:rPr>
        <w:t xml:space="preserve"> (</w:t>
      </w:r>
      <w:r w:rsidRPr="0091221A">
        <w:rPr>
          <w:rFonts w:asciiTheme="minorHAnsi" w:hAnsiTheme="minorHAnsi" w:cstheme="minorHAnsi"/>
          <w:i/>
          <w:iCs/>
          <w:szCs w:val="20"/>
        </w:rPr>
        <w:t xml:space="preserve">Alternanthera </w:t>
      </w:r>
      <w:proofErr w:type="spellStart"/>
      <w:r>
        <w:rPr>
          <w:rFonts w:asciiTheme="minorHAnsi" w:hAnsiTheme="minorHAnsi" w:cstheme="minorHAnsi"/>
          <w:i/>
          <w:iCs/>
          <w:szCs w:val="20"/>
        </w:rPr>
        <w:t>denticulata</w:t>
      </w:r>
      <w:proofErr w:type="spellEnd"/>
      <w:r>
        <w:rPr>
          <w:rFonts w:asciiTheme="minorHAnsi" w:hAnsiTheme="minorHAnsi" w:cstheme="minorHAnsi"/>
          <w:szCs w:val="20"/>
        </w:rPr>
        <w:t xml:space="preserve">) </w:t>
      </w:r>
      <w:r w:rsidRPr="0091221A">
        <w:rPr>
          <w:rFonts w:asciiTheme="minorHAnsi" w:hAnsiTheme="minorHAnsi" w:cstheme="minorHAnsi"/>
          <w:szCs w:val="20"/>
        </w:rPr>
        <w:t xml:space="preserve">occurrence shows an initial positive relationship with inundation period, which then changes to a negative relationship. This pattern may be the result of the fact that this species colonises exposed mud that becomes available after floods. </w:t>
      </w:r>
    </w:p>
    <w:p w14:paraId="28C0DC17" w14:textId="77777777" w:rsidR="00D21E9C" w:rsidRPr="00870988" w:rsidRDefault="00D21E9C" w:rsidP="00D21E9C">
      <w:pPr>
        <w:pStyle w:val="Para0"/>
        <w:spacing w:before="0"/>
        <w:rPr>
          <w:rFonts w:asciiTheme="minorHAnsi" w:hAnsiTheme="minorHAnsi" w:cstheme="minorHAnsi"/>
          <w:szCs w:val="20"/>
        </w:rPr>
      </w:pPr>
    </w:p>
    <w:p w14:paraId="09C825B1" w14:textId="77777777" w:rsidR="00D21E9C" w:rsidRPr="0091221A" w:rsidRDefault="00D21E9C" w:rsidP="00D21E9C">
      <w:pPr>
        <w:keepNext/>
        <w:jc w:val="center"/>
      </w:pPr>
      <w:r w:rsidRPr="0091221A">
        <w:rPr>
          <w:noProof/>
          <w:lang w:val="en-GB"/>
        </w:rPr>
        <w:lastRenderedPageBreak/>
        <w:drawing>
          <wp:inline distT="0" distB="0" distL="0" distR="0" wp14:anchorId="3DBCCE28" wp14:editId="6BF1AF6A">
            <wp:extent cx="4816483" cy="4051300"/>
            <wp:effectExtent l="0" t="0" r="3175" b="6350"/>
            <wp:docPr id="451" name="Picture 4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548" descr="Diagram&#10;&#10;Description automatically generated"/>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4831726" cy="4064121"/>
                    </a:xfrm>
                    <a:prstGeom prst="rect">
                      <a:avLst/>
                    </a:prstGeom>
                    <a:noFill/>
                    <a:ln>
                      <a:noFill/>
                    </a:ln>
                  </pic:spPr>
                </pic:pic>
              </a:graphicData>
            </a:graphic>
          </wp:inline>
        </w:drawing>
      </w:r>
    </w:p>
    <w:p w14:paraId="5E5AA7C7" w14:textId="2822E959" w:rsidR="00D21E9C" w:rsidRPr="00870988" w:rsidRDefault="00D21E9C" w:rsidP="00D21E9C">
      <w:pPr>
        <w:pStyle w:val="Caption"/>
      </w:pPr>
      <w:bookmarkStart w:id="435" w:name="_Ref84411159"/>
      <w:bookmarkStart w:id="436" w:name="_Toc84475748"/>
      <w:r w:rsidRPr="0091221A">
        <w:t xml:space="preserve">Figure </w:t>
      </w:r>
      <w:r w:rsidR="00E0165A">
        <w:rPr>
          <w:noProof/>
        </w:rPr>
        <w:t>7</w:t>
      </w:r>
      <w:r w:rsidR="00B85158">
        <w:noBreakHyphen/>
      </w:r>
      <w:r w:rsidR="00E0165A">
        <w:rPr>
          <w:noProof/>
        </w:rPr>
        <w:t>3</w:t>
      </w:r>
      <w:bookmarkEnd w:id="435"/>
      <w:r w:rsidRPr="0091221A">
        <w:t xml:space="preserve"> Modelled probability of occurrence for groups and species in response to number of days inundated at &gt;25 cm in the previous year.</w:t>
      </w:r>
      <w:bookmarkEnd w:id="436"/>
      <w:r w:rsidRPr="0091221A">
        <w:t xml:space="preserve"> </w:t>
      </w:r>
    </w:p>
    <w:p w14:paraId="56E36B23" w14:textId="77777777" w:rsidR="00D21E9C" w:rsidRPr="00BA2632" w:rsidRDefault="00D21E9C" w:rsidP="00D21E9C">
      <w:pPr>
        <w:pStyle w:val="Para0"/>
        <w:rPr>
          <w:rFonts w:asciiTheme="minorHAnsi" w:hAnsiTheme="minorHAnsi" w:cstheme="minorHAnsi"/>
          <w:b/>
          <w:bCs/>
          <w:i/>
          <w:iCs/>
        </w:rPr>
      </w:pPr>
      <w:r w:rsidRPr="00BA2632">
        <w:rPr>
          <w:rFonts w:asciiTheme="minorHAnsi" w:hAnsiTheme="minorHAnsi" w:cstheme="minorHAnsi"/>
          <w:b/>
          <w:bCs/>
          <w:i/>
          <w:iCs/>
        </w:rPr>
        <w:t>Probability of occurrence in response to days inundated over the IVT period</w:t>
      </w:r>
    </w:p>
    <w:p w14:paraId="6D92027E" w14:textId="65CF64DA" w:rsidR="00D21E9C" w:rsidRPr="008B756B" w:rsidRDefault="00D21E9C" w:rsidP="00D21E9C">
      <w:r w:rsidRPr="002C4F2C">
        <w:t xml:space="preserve">The probability of occurrence for different species to the duration of inundation &gt;25 cm depth in the previous IVT season is show in </w:t>
      </w:r>
      <w:r w:rsidR="00E0165A" w:rsidRPr="00BA2632">
        <w:t xml:space="preserve">Figure </w:t>
      </w:r>
      <w:r w:rsidR="00E0165A">
        <w:rPr>
          <w:noProof/>
        </w:rPr>
        <w:t>7</w:t>
      </w:r>
      <w:r w:rsidR="00E0165A">
        <w:noBreakHyphen/>
      </w:r>
      <w:r w:rsidR="00E0165A">
        <w:rPr>
          <w:noProof/>
        </w:rPr>
        <w:t>4</w:t>
      </w:r>
      <w:r w:rsidRPr="002C4F2C">
        <w:t xml:space="preserve">. </w:t>
      </w:r>
      <w:r w:rsidRPr="0091221A">
        <w:t>Predictions beyond about 200 days are unreliable as there are insufficient data above this duration to calibrate the model reliably.</w:t>
      </w:r>
      <w:r w:rsidRPr="009F2AFD">
        <w:t xml:space="preserve"> </w:t>
      </w:r>
      <w:r w:rsidRPr="002C4F2C">
        <w:t xml:space="preserve">Patterns are </w:t>
      </w:r>
      <w:proofErr w:type="gramStart"/>
      <w:r w:rsidRPr="002C4F2C">
        <w:t>similar to</w:t>
      </w:r>
      <w:proofErr w:type="gramEnd"/>
      <w:r w:rsidRPr="002C4F2C">
        <w:t xml:space="preserve"> those last year.</w:t>
      </w:r>
      <w:r>
        <w:t xml:space="preserve">  </w:t>
      </w:r>
      <w:r>
        <w:rPr>
          <w:rFonts w:cstheme="minorHAnsi"/>
          <w:szCs w:val="20"/>
        </w:rPr>
        <w:t>Model responses reported here do not evaluate how responses</w:t>
      </w:r>
      <w:r w:rsidRPr="00CF71A9">
        <w:rPr>
          <w:rFonts w:cstheme="minorHAnsi"/>
          <w:szCs w:val="20"/>
        </w:rPr>
        <w:t xml:space="preserve"> </w:t>
      </w:r>
      <w:r>
        <w:rPr>
          <w:rFonts w:cstheme="minorHAnsi"/>
          <w:szCs w:val="20"/>
        </w:rPr>
        <w:t xml:space="preserve">change </w:t>
      </w:r>
      <w:r w:rsidRPr="00CF71A9">
        <w:rPr>
          <w:rFonts w:cstheme="minorHAnsi"/>
          <w:szCs w:val="20"/>
        </w:rPr>
        <w:t>if inundation is continuous or intermittent</w:t>
      </w:r>
      <w:r>
        <w:rPr>
          <w:rFonts w:cstheme="minorHAnsi"/>
          <w:szCs w:val="20"/>
        </w:rPr>
        <w:t>. C</w:t>
      </w:r>
      <w:r w:rsidRPr="00CF71A9">
        <w:rPr>
          <w:rFonts w:cstheme="minorHAnsi"/>
          <w:szCs w:val="20"/>
        </w:rPr>
        <w:t xml:space="preserve">urrent recommendations </w:t>
      </w:r>
      <w:r>
        <w:rPr>
          <w:rFonts w:cstheme="minorHAnsi"/>
          <w:szCs w:val="20"/>
        </w:rPr>
        <w:t xml:space="preserve">are </w:t>
      </w:r>
      <w:r w:rsidRPr="00CF71A9">
        <w:rPr>
          <w:rFonts w:cstheme="minorHAnsi"/>
          <w:szCs w:val="20"/>
        </w:rPr>
        <w:t>that individual inundation events</w:t>
      </w:r>
      <w:r>
        <w:rPr>
          <w:rFonts w:cstheme="minorHAnsi"/>
          <w:szCs w:val="20"/>
        </w:rPr>
        <w:t xml:space="preserve"> should</w:t>
      </w:r>
      <w:r w:rsidRPr="00CF71A9">
        <w:rPr>
          <w:rFonts w:cstheme="minorHAnsi"/>
          <w:szCs w:val="20"/>
        </w:rPr>
        <w:t xml:space="preserve"> not exceed </w:t>
      </w:r>
      <w:r>
        <w:rPr>
          <w:rFonts w:cstheme="minorHAnsi"/>
          <w:szCs w:val="20"/>
        </w:rPr>
        <w:t xml:space="preserve">two </w:t>
      </w:r>
      <w:r w:rsidRPr="00CF71A9">
        <w:rPr>
          <w:rFonts w:cstheme="minorHAnsi"/>
          <w:szCs w:val="20"/>
        </w:rPr>
        <w:t>weeks</w:t>
      </w:r>
      <w:r>
        <w:rPr>
          <w:rFonts w:cstheme="minorHAnsi"/>
          <w:szCs w:val="20"/>
        </w:rPr>
        <w:t xml:space="preserve"> (Roberts 2016; Vivian et al. 2020)</w:t>
      </w:r>
      <w:r w:rsidRPr="00CF71A9">
        <w:rPr>
          <w:rFonts w:cstheme="minorHAnsi"/>
          <w:szCs w:val="20"/>
        </w:rPr>
        <w:t>.</w:t>
      </w:r>
    </w:p>
    <w:p w14:paraId="15768161" w14:textId="77777777" w:rsidR="00D21E9C" w:rsidRPr="002C4F2C" w:rsidRDefault="00D21E9C" w:rsidP="00D21E9C"/>
    <w:p w14:paraId="7E4E2566" w14:textId="77777777" w:rsidR="00D21E9C" w:rsidRPr="00725847" w:rsidRDefault="00D21E9C" w:rsidP="00D21E9C">
      <w:pPr>
        <w:pStyle w:val="Para0"/>
        <w:numPr>
          <w:ilvl w:val="0"/>
          <w:numId w:val="29"/>
        </w:numPr>
        <w:spacing w:before="0"/>
        <w:rPr>
          <w:rFonts w:asciiTheme="minorHAnsi" w:hAnsiTheme="minorHAnsi" w:cstheme="minorHAnsi"/>
          <w:szCs w:val="20"/>
        </w:rPr>
      </w:pPr>
      <w:r w:rsidRPr="00725847">
        <w:rPr>
          <w:rFonts w:asciiTheme="minorHAnsi" w:hAnsiTheme="minorHAnsi" w:cstheme="minorHAnsi"/>
          <w:szCs w:val="20"/>
        </w:rPr>
        <w:t xml:space="preserve">Ground layer vegetation, </w:t>
      </w:r>
      <w:r>
        <w:rPr>
          <w:rFonts w:asciiTheme="minorHAnsi" w:hAnsiTheme="minorHAnsi" w:cstheme="minorHAnsi"/>
          <w:szCs w:val="20"/>
        </w:rPr>
        <w:t xml:space="preserve">rushes (entirely </w:t>
      </w:r>
      <w:r w:rsidRPr="00725847">
        <w:rPr>
          <w:rFonts w:asciiTheme="minorHAnsi" w:hAnsiTheme="minorHAnsi" w:cstheme="minorHAnsi"/>
          <w:i/>
          <w:iCs/>
          <w:szCs w:val="20"/>
        </w:rPr>
        <w:t>Juncus</w:t>
      </w:r>
      <w:r w:rsidRPr="00725847">
        <w:rPr>
          <w:rFonts w:asciiTheme="minorHAnsi" w:hAnsiTheme="minorHAnsi" w:cstheme="minorHAnsi"/>
          <w:szCs w:val="20"/>
        </w:rPr>
        <w:t xml:space="preserve"> </w:t>
      </w:r>
      <w:r>
        <w:rPr>
          <w:rFonts w:asciiTheme="minorHAnsi" w:hAnsiTheme="minorHAnsi" w:cstheme="minorHAnsi"/>
          <w:szCs w:val="20"/>
        </w:rPr>
        <w:t xml:space="preserve">spp.) </w:t>
      </w:r>
      <w:r w:rsidRPr="00725847">
        <w:rPr>
          <w:rFonts w:asciiTheme="minorHAnsi" w:hAnsiTheme="minorHAnsi" w:cstheme="minorHAnsi"/>
          <w:szCs w:val="20"/>
        </w:rPr>
        <w:t xml:space="preserve">and </w:t>
      </w:r>
      <w:r>
        <w:rPr>
          <w:rFonts w:asciiTheme="minorHAnsi" w:hAnsiTheme="minorHAnsi" w:cstheme="minorHAnsi"/>
          <w:szCs w:val="20"/>
        </w:rPr>
        <w:t>creeping knotweed (</w:t>
      </w:r>
      <w:proofErr w:type="spellStart"/>
      <w:r w:rsidRPr="00725847">
        <w:rPr>
          <w:rFonts w:asciiTheme="minorHAnsi" w:hAnsiTheme="minorHAnsi" w:cstheme="minorHAnsi"/>
          <w:i/>
          <w:iCs/>
          <w:szCs w:val="20"/>
        </w:rPr>
        <w:t>Persicaria</w:t>
      </w:r>
      <w:proofErr w:type="spellEnd"/>
      <w:r w:rsidRPr="00725847">
        <w:rPr>
          <w:rFonts w:asciiTheme="minorHAnsi" w:hAnsiTheme="minorHAnsi" w:cstheme="minorHAnsi"/>
          <w:i/>
          <w:iCs/>
          <w:szCs w:val="20"/>
        </w:rPr>
        <w:t xml:space="preserve"> </w:t>
      </w:r>
      <w:proofErr w:type="spellStart"/>
      <w:r w:rsidRPr="00725847">
        <w:rPr>
          <w:rFonts w:asciiTheme="minorHAnsi" w:hAnsiTheme="minorHAnsi" w:cstheme="minorHAnsi"/>
          <w:i/>
          <w:iCs/>
          <w:szCs w:val="20"/>
        </w:rPr>
        <w:t>prostrata</w:t>
      </w:r>
      <w:proofErr w:type="spellEnd"/>
      <w:r w:rsidRPr="00144325">
        <w:rPr>
          <w:rFonts w:asciiTheme="minorHAnsi" w:hAnsiTheme="minorHAnsi" w:cstheme="minorHAnsi"/>
          <w:szCs w:val="20"/>
        </w:rPr>
        <w:t>)</w:t>
      </w:r>
      <w:r w:rsidRPr="00725847">
        <w:rPr>
          <w:rFonts w:asciiTheme="minorHAnsi" w:hAnsiTheme="minorHAnsi" w:cstheme="minorHAnsi"/>
          <w:szCs w:val="20"/>
        </w:rPr>
        <w:t xml:space="preserve"> demonstrate a declining trend as the inundation period increases, although the change for ground layer vegetation is much larger.</w:t>
      </w:r>
    </w:p>
    <w:p w14:paraId="16FDBEFB" w14:textId="77777777" w:rsidR="00D21E9C" w:rsidRPr="00725847" w:rsidRDefault="00D21E9C" w:rsidP="00D21E9C">
      <w:pPr>
        <w:pStyle w:val="Para0"/>
        <w:numPr>
          <w:ilvl w:val="0"/>
          <w:numId w:val="29"/>
        </w:numPr>
        <w:spacing w:before="0"/>
        <w:rPr>
          <w:rFonts w:asciiTheme="minorHAnsi" w:hAnsiTheme="minorHAnsi" w:cstheme="minorHAnsi"/>
          <w:szCs w:val="20"/>
        </w:rPr>
      </w:pPr>
      <w:r w:rsidRPr="00725847">
        <w:rPr>
          <w:rFonts w:asciiTheme="minorHAnsi" w:hAnsiTheme="minorHAnsi" w:cstheme="minorHAnsi"/>
          <w:szCs w:val="20"/>
        </w:rPr>
        <w:t>Water dependant vegetation shows a similar changing pattern as to the inundation in previous year but the threshold before a decline in occurrence is lower than found last year. Last year models based on inundation &gt;0 cm found occurrence declined after 55 day over the IVT season, but models this year based on inundation &gt;25 cm (and additional data) indicate a decline after only 40 days.</w:t>
      </w:r>
      <w:r>
        <w:rPr>
          <w:rFonts w:asciiTheme="minorHAnsi" w:hAnsiTheme="minorHAnsi" w:cstheme="minorHAnsi"/>
          <w:szCs w:val="20"/>
        </w:rPr>
        <w:t xml:space="preserve">  </w:t>
      </w:r>
    </w:p>
    <w:p w14:paraId="1F945FA7" w14:textId="77777777" w:rsidR="00D21E9C" w:rsidRPr="00725847" w:rsidRDefault="00D21E9C" w:rsidP="00D21E9C">
      <w:pPr>
        <w:pStyle w:val="Para0"/>
        <w:numPr>
          <w:ilvl w:val="0"/>
          <w:numId w:val="29"/>
        </w:numPr>
        <w:spacing w:before="0"/>
        <w:rPr>
          <w:rFonts w:asciiTheme="minorHAnsi" w:hAnsiTheme="minorHAnsi" w:cstheme="minorHAnsi"/>
          <w:szCs w:val="20"/>
        </w:rPr>
      </w:pPr>
      <w:r w:rsidRPr="00725847">
        <w:rPr>
          <w:rFonts w:asciiTheme="minorHAnsi" w:hAnsiTheme="minorHAnsi" w:cstheme="minorHAnsi"/>
          <w:szCs w:val="20"/>
        </w:rPr>
        <w:t xml:space="preserve">The occurrence probability of grass species decreases rapidly during the first 20 days of IVT inundation, and then </w:t>
      </w:r>
      <w:r>
        <w:rPr>
          <w:rFonts w:asciiTheme="minorHAnsi" w:hAnsiTheme="minorHAnsi" w:cstheme="minorHAnsi"/>
          <w:szCs w:val="20"/>
        </w:rPr>
        <w:t>remains</w:t>
      </w:r>
      <w:r w:rsidRPr="00725847">
        <w:rPr>
          <w:rFonts w:asciiTheme="minorHAnsi" w:hAnsiTheme="minorHAnsi" w:cstheme="minorHAnsi"/>
          <w:szCs w:val="20"/>
        </w:rPr>
        <w:t xml:space="preserve"> stable, with the uncertainty increasing after 60 days.</w:t>
      </w:r>
    </w:p>
    <w:p w14:paraId="1A26538D" w14:textId="77777777" w:rsidR="00D21E9C" w:rsidRPr="00725847" w:rsidRDefault="00D21E9C" w:rsidP="00D21E9C">
      <w:pPr>
        <w:pStyle w:val="Para0"/>
        <w:numPr>
          <w:ilvl w:val="0"/>
          <w:numId w:val="29"/>
        </w:numPr>
        <w:spacing w:before="0"/>
        <w:rPr>
          <w:rFonts w:asciiTheme="minorHAnsi" w:hAnsiTheme="minorHAnsi" w:cstheme="minorHAnsi"/>
          <w:szCs w:val="20"/>
        </w:rPr>
      </w:pPr>
      <w:r w:rsidRPr="00725847">
        <w:rPr>
          <w:rFonts w:asciiTheme="minorHAnsi" w:hAnsiTheme="minorHAnsi" w:cstheme="minorHAnsi"/>
          <w:szCs w:val="20"/>
        </w:rPr>
        <w:t>For</w:t>
      </w:r>
      <w:r>
        <w:rPr>
          <w:rFonts w:asciiTheme="minorHAnsi" w:hAnsiTheme="minorHAnsi" w:cstheme="minorHAnsi"/>
          <w:szCs w:val="20"/>
        </w:rPr>
        <w:t xml:space="preserve"> common tussock grass (</w:t>
      </w:r>
      <w:r w:rsidRPr="00725847">
        <w:rPr>
          <w:rFonts w:asciiTheme="minorHAnsi" w:hAnsiTheme="minorHAnsi" w:cstheme="minorHAnsi"/>
          <w:i/>
          <w:iCs/>
          <w:szCs w:val="20"/>
        </w:rPr>
        <w:t xml:space="preserve">Poa </w:t>
      </w:r>
      <w:proofErr w:type="spellStart"/>
      <w:r w:rsidRPr="00725847">
        <w:rPr>
          <w:rFonts w:asciiTheme="minorHAnsi" w:hAnsiTheme="minorHAnsi" w:cstheme="minorHAnsi"/>
          <w:i/>
          <w:iCs/>
          <w:szCs w:val="20"/>
        </w:rPr>
        <w:t>labillardierei</w:t>
      </w:r>
      <w:proofErr w:type="spellEnd"/>
      <w:r w:rsidRPr="00144325">
        <w:rPr>
          <w:rFonts w:asciiTheme="minorHAnsi" w:hAnsiTheme="minorHAnsi" w:cstheme="minorHAnsi"/>
          <w:szCs w:val="20"/>
        </w:rPr>
        <w:t>)</w:t>
      </w:r>
      <w:r w:rsidRPr="00725847">
        <w:rPr>
          <w:rFonts w:asciiTheme="minorHAnsi" w:hAnsiTheme="minorHAnsi" w:cstheme="minorHAnsi"/>
          <w:szCs w:val="20"/>
        </w:rPr>
        <w:t>, the probability of occurrence decreases sharply to almost 0 during the first 5 days of inundation in IVT season.</w:t>
      </w:r>
      <w:r>
        <w:rPr>
          <w:rFonts w:asciiTheme="minorHAnsi" w:hAnsiTheme="minorHAnsi" w:cstheme="minorHAnsi"/>
          <w:szCs w:val="20"/>
        </w:rPr>
        <w:t xml:space="preserve"> This high level of sensitivity is unexpected and probably reflects insufficient data for this species which occupies higher elevations and is rarely inundated by IVTs.</w:t>
      </w:r>
    </w:p>
    <w:p w14:paraId="4B5FFF72" w14:textId="77777777" w:rsidR="00D21E9C" w:rsidRPr="00725847" w:rsidRDefault="00D21E9C" w:rsidP="00D21E9C">
      <w:pPr>
        <w:pStyle w:val="Para0"/>
        <w:numPr>
          <w:ilvl w:val="0"/>
          <w:numId w:val="29"/>
        </w:numPr>
        <w:spacing w:before="0"/>
        <w:rPr>
          <w:rFonts w:asciiTheme="minorHAnsi" w:hAnsiTheme="minorHAnsi" w:cstheme="minorHAnsi"/>
          <w:szCs w:val="20"/>
        </w:rPr>
      </w:pPr>
      <w:r w:rsidRPr="00725847">
        <w:rPr>
          <w:rFonts w:asciiTheme="minorHAnsi" w:hAnsiTheme="minorHAnsi" w:cstheme="minorHAnsi"/>
          <w:szCs w:val="20"/>
        </w:rPr>
        <w:t xml:space="preserve">There is no clear relationship between probability of occurrence and inundation in IVT season for </w:t>
      </w:r>
      <w:r>
        <w:rPr>
          <w:rFonts w:asciiTheme="minorHAnsi" w:hAnsiTheme="minorHAnsi" w:cstheme="minorHAnsi"/>
          <w:szCs w:val="20"/>
        </w:rPr>
        <w:t>s</w:t>
      </w:r>
      <w:r w:rsidRPr="00725847">
        <w:rPr>
          <w:rFonts w:asciiTheme="minorHAnsi" w:hAnsiTheme="minorHAnsi" w:cstheme="minorHAnsi"/>
          <w:szCs w:val="20"/>
        </w:rPr>
        <w:t>edge species, and there is slightly higher uncertainty after 60 days of inundation.</w:t>
      </w:r>
    </w:p>
    <w:p w14:paraId="3CD78D3C" w14:textId="77777777" w:rsidR="00D21E9C" w:rsidRPr="00725847" w:rsidRDefault="00D21E9C" w:rsidP="00D21E9C">
      <w:pPr>
        <w:pStyle w:val="Para0"/>
        <w:numPr>
          <w:ilvl w:val="0"/>
          <w:numId w:val="29"/>
        </w:numPr>
        <w:spacing w:before="0"/>
        <w:rPr>
          <w:rFonts w:asciiTheme="minorHAnsi" w:hAnsiTheme="minorHAnsi" w:cstheme="minorHAnsi"/>
          <w:szCs w:val="20"/>
        </w:rPr>
      </w:pPr>
      <w:r w:rsidRPr="00725847">
        <w:rPr>
          <w:rFonts w:asciiTheme="minorHAnsi" w:hAnsiTheme="minorHAnsi" w:cstheme="minorHAnsi"/>
          <w:szCs w:val="20"/>
        </w:rPr>
        <w:t xml:space="preserve">In contrast, there is a significant increase </w:t>
      </w:r>
      <w:r>
        <w:rPr>
          <w:rFonts w:asciiTheme="minorHAnsi" w:hAnsiTheme="minorHAnsi" w:cstheme="minorHAnsi"/>
          <w:szCs w:val="20"/>
        </w:rPr>
        <w:t>in</w:t>
      </w:r>
      <w:r w:rsidRPr="00725847">
        <w:rPr>
          <w:rFonts w:asciiTheme="minorHAnsi" w:hAnsiTheme="minorHAnsi" w:cstheme="minorHAnsi"/>
          <w:szCs w:val="20"/>
        </w:rPr>
        <w:t xml:space="preserve"> probability </w:t>
      </w:r>
      <w:r>
        <w:rPr>
          <w:rFonts w:asciiTheme="minorHAnsi" w:hAnsiTheme="minorHAnsi" w:cstheme="minorHAnsi"/>
          <w:szCs w:val="20"/>
        </w:rPr>
        <w:t xml:space="preserve">of occurrence </w:t>
      </w:r>
      <w:r w:rsidRPr="00725847">
        <w:rPr>
          <w:rFonts w:asciiTheme="minorHAnsi" w:hAnsiTheme="minorHAnsi" w:cstheme="minorHAnsi"/>
          <w:szCs w:val="20"/>
        </w:rPr>
        <w:t>for</w:t>
      </w:r>
      <w:r>
        <w:rPr>
          <w:rFonts w:asciiTheme="minorHAnsi" w:hAnsiTheme="minorHAnsi" w:cstheme="minorHAnsi"/>
          <w:szCs w:val="20"/>
        </w:rPr>
        <w:t xml:space="preserve"> lesser </w:t>
      </w:r>
      <w:proofErr w:type="spellStart"/>
      <w:r>
        <w:rPr>
          <w:rFonts w:asciiTheme="minorHAnsi" w:hAnsiTheme="minorHAnsi" w:cstheme="minorHAnsi"/>
          <w:szCs w:val="20"/>
        </w:rPr>
        <w:t>joyweed</w:t>
      </w:r>
      <w:proofErr w:type="spellEnd"/>
      <w:r>
        <w:rPr>
          <w:rFonts w:asciiTheme="minorHAnsi" w:hAnsiTheme="minorHAnsi" w:cstheme="minorHAnsi"/>
          <w:szCs w:val="20"/>
        </w:rPr>
        <w:t xml:space="preserve"> (</w:t>
      </w:r>
      <w:r w:rsidRPr="00725847">
        <w:rPr>
          <w:rFonts w:asciiTheme="minorHAnsi" w:hAnsiTheme="minorHAnsi" w:cstheme="minorHAnsi"/>
          <w:i/>
          <w:iCs/>
          <w:szCs w:val="20"/>
        </w:rPr>
        <w:t xml:space="preserve">Alternanthera </w:t>
      </w:r>
      <w:proofErr w:type="spellStart"/>
      <w:r>
        <w:rPr>
          <w:rFonts w:asciiTheme="minorHAnsi" w:hAnsiTheme="minorHAnsi" w:cstheme="minorHAnsi"/>
          <w:i/>
          <w:iCs/>
          <w:szCs w:val="20"/>
        </w:rPr>
        <w:t>denticulata</w:t>
      </w:r>
      <w:proofErr w:type="spellEnd"/>
      <w:r>
        <w:rPr>
          <w:rFonts w:asciiTheme="minorHAnsi" w:hAnsiTheme="minorHAnsi" w:cstheme="minorHAnsi"/>
          <w:szCs w:val="20"/>
        </w:rPr>
        <w:t xml:space="preserve">) </w:t>
      </w:r>
      <w:r w:rsidRPr="00725847">
        <w:rPr>
          <w:rFonts w:asciiTheme="minorHAnsi" w:hAnsiTheme="minorHAnsi" w:cstheme="minorHAnsi"/>
          <w:szCs w:val="20"/>
        </w:rPr>
        <w:t xml:space="preserve">within 5 days, which then gradually decreases within an increasing IVT inundation period. This pattern may result as this species colonises exposed mud that becomes available after floods. </w:t>
      </w:r>
    </w:p>
    <w:p w14:paraId="345201F3" w14:textId="77777777" w:rsidR="00D21E9C" w:rsidRDefault="00D21E9C" w:rsidP="00D21E9C">
      <w:pPr>
        <w:jc w:val="center"/>
      </w:pPr>
      <w:r w:rsidRPr="003C6538">
        <w:rPr>
          <w:noProof/>
          <w:lang w:val="en-GB"/>
        </w:rPr>
        <w:lastRenderedPageBreak/>
        <w:drawing>
          <wp:inline distT="0" distB="0" distL="0" distR="0" wp14:anchorId="4BAACBF1" wp14:editId="295E588D">
            <wp:extent cx="5219572" cy="4641850"/>
            <wp:effectExtent l="0" t="0" r="635" b="6350"/>
            <wp:docPr id="452" name="Picture 4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224473" cy="4646209"/>
                    </a:xfrm>
                    <a:prstGeom prst="rect">
                      <a:avLst/>
                    </a:prstGeom>
                    <a:noFill/>
                    <a:ln>
                      <a:noFill/>
                    </a:ln>
                  </pic:spPr>
                </pic:pic>
              </a:graphicData>
            </a:graphic>
          </wp:inline>
        </w:drawing>
      </w:r>
    </w:p>
    <w:p w14:paraId="4921A83C" w14:textId="08FCA197" w:rsidR="00D21E9C" w:rsidRDefault="00D21E9C" w:rsidP="00D21E9C">
      <w:pPr>
        <w:pStyle w:val="Caption"/>
      </w:pPr>
      <w:bookmarkStart w:id="437" w:name="_Ref84411195"/>
      <w:bookmarkStart w:id="438" w:name="_Toc84475749"/>
      <w:r w:rsidRPr="00BA2632">
        <w:t xml:space="preserve">Figure </w:t>
      </w:r>
      <w:r w:rsidR="00E0165A">
        <w:rPr>
          <w:noProof/>
        </w:rPr>
        <w:t>7</w:t>
      </w:r>
      <w:r w:rsidR="00B85158">
        <w:noBreakHyphen/>
      </w:r>
      <w:r w:rsidR="00E0165A">
        <w:rPr>
          <w:noProof/>
        </w:rPr>
        <w:t>4</w:t>
      </w:r>
      <w:bookmarkEnd w:id="437"/>
      <w:r w:rsidRPr="00BA2632">
        <w:t xml:space="preserve"> Modelled probability of occurrence for group</w:t>
      </w:r>
      <w:r>
        <w:t xml:space="preserve">s and </w:t>
      </w:r>
      <w:r w:rsidRPr="00BA2632">
        <w:t>species in response to number of days inundation</w:t>
      </w:r>
      <w:r>
        <w:t xml:space="preserve"> &gt;25cm</w:t>
      </w:r>
      <w:r w:rsidRPr="00BA2632">
        <w:t xml:space="preserve"> in the previous IVT season.</w:t>
      </w:r>
      <w:bookmarkEnd w:id="438"/>
    </w:p>
    <w:p w14:paraId="2B3FE149" w14:textId="77777777" w:rsidR="00D21E9C" w:rsidRDefault="00D21E9C" w:rsidP="00D21E9C">
      <w:pPr>
        <w:rPr>
          <w:highlight w:val="yellow"/>
        </w:rPr>
      </w:pPr>
    </w:p>
    <w:p w14:paraId="4CB27F0B" w14:textId="77777777" w:rsidR="00D21E9C" w:rsidRPr="00BA2632" w:rsidRDefault="00D21E9C" w:rsidP="00D21E9C">
      <w:pPr>
        <w:pStyle w:val="Para0"/>
        <w:spacing w:before="0"/>
        <w:rPr>
          <w:rFonts w:asciiTheme="minorHAnsi" w:hAnsiTheme="minorHAnsi" w:cstheme="minorHAnsi"/>
          <w:szCs w:val="20"/>
        </w:rPr>
      </w:pPr>
      <w:r w:rsidRPr="00BA2632">
        <w:rPr>
          <w:rFonts w:asciiTheme="minorHAnsi" w:hAnsiTheme="minorHAnsi" w:cstheme="minorHAnsi"/>
          <w:b/>
          <w:bCs/>
          <w:i/>
          <w:iCs/>
          <w:szCs w:val="20"/>
        </w:rPr>
        <w:t>Responses of plant foliage projected cover</w:t>
      </w:r>
      <w:r w:rsidRPr="00BA2632">
        <w:rPr>
          <w:rFonts w:asciiTheme="minorHAnsi" w:hAnsiTheme="minorHAnsi" w:cstheme="minorHAnsi"/>
          <w:szCs w:val="20"/>
        </w:rPr>
        <w:t xml:space="preserve"> </w:t>
      </w:r>
    </w:p>
    <w:p w14:paraId="76C09472" w14:textId="7D2D1D9C" w:rsidR="00D21E9C" w:rsidRPr="00922129" w:rsidRDefault="00D21E9C" w:rsidP="00D21E9C">
      <w:pPr>
        <w:pStyle w:val="Caption"/>
        <w:rPr>
          <w:b w:val="0"/>
          <w:bCs/>
        </w:rPr>
      </w:pPr>
      <w:r w:rsidRPr="00922129">
        <w:rPr>
          <w:b w:val="0"/>
          <w:bCs/>
        </w:rPr>
        <w:t xml:space="preserve">Responses of precent foliage projected cover (FPC) to the period of inundation in the year prior to sampling is shown in </w:t>
      </w:r>
      <w:r w:rsidR="00B97E23" w:rsidRPr="00B97E23">
        <w:rPr>
          <w:b w:val="0"/>
          <w:bCs/>
        </w:rPr>
        <w:t>Figure 7</w:t>
      </w:r>
      <w:r w:rsidR="00B97E23" w:rsidRPr="00B97E23">
        <w:rPr>
          <w:b w:val="0"/>
          <w:bCs/>
        </w:rPr>
        <w:noBreakHyphen/>
        <w:t>5</w:t>
      </w:r>
      <w:r w:rsidR="00B97E23">
        <w:rPr>
          <w:b w:val="0"/>
          <w:bCs/>
        </w:rPr>
        <w:t xml:space="preserve"> </w:t>
      </w:r>
      <w:r w:rsidRPr="00922129">
        <w:rPr>
          <w:b w:val="0"/>
          <w:bCs/>
        </w:rPr>
        <w:t xml:space="preserve">and </w:t>
      </w:r>
      <w:r w:rsidRPr="00B97E23">
        <w:rPr>
          <w:b w:val="0"/>
          <w:bCs/>
        </w:rPr>
        <w:t xml:space="preserve">are </w:t>
      </w:r>
      <w:proofErr w:type="gramStart"/>
      <w:r w:rsidRPr="00B97E23">
        <w:rPr>
          <w:b w:val="0"/>
          <w:bCs/>
        </w:rPr>
        <w:t>similar to</w:t>
      </w:r>
      <w:proofErr w:type="gramEnd"/>
      <w:r w:rsidRPr="00B97E23">
        <w:rPr>
          <w:b w:val="0"/>
          <w:bCs/>
        </w:rPr>
        <w:t xml:space="preserve"> those obtained last year. </w:t>
      </w:r>
      <w:r w:rsidRPr="00922129">
        <w:rPr>
          <w:b w:val="0"/>
          <w:bCs/>
        </w:rPr>
        <w:t>Note that predictions beyond about 200 days are unreliable as there are insufficient data above this to calibrate the model reliably.</w:t>
      </w:r>
    </w:p>
    <w:p w14:paraId="4226FA0A" w14:textId="77777777" w:rsidR="00D21E9C" w:rsidRPr="00BE3AC8" w:rsidRDefault="00D21E9C" w:rsidP="00DE6E94">
      <w:pPr>
        <w:pStyle w:val="Para0"/>
        <w:numPr>
          <w:ilvl w:val="0"/>
          <w:numId w:val="82"/>
        </w:numPr>
        <w:spacing w:before="0"/>
        <w:jc w:val="left"/>
        <w:rPr>
          <w:rFonts w:asciiTheme="minorHAnsi" w:hAnsiTheme="minorHAnsi" w:cstheme="minorHAnsi"/>
          <w:szCs w:val="20"/>
        </w:rPr>
      </w:pPr>
      <w:r w:rsidRPr="00BE3AC8">
        <w:rPr>
          <w:rFonts w:asciiTheme="minorHAnsi" w:hAnsiTheme="minorHAnsi" w:cstheme="minorHAnsi"/>
          <w:szCs w:val="20"/>
        </w:rPr>
        <w:t xml:space="preserve">For all ground layer vegetation, </w:t>
      </w:r>
      <w:r>
        <w:rPr>
          <w:rFonts w:asciiTheme="minorHAnsi" w:hAnsiTheme="minorHAnsi" w:cstheme="minorHAnsi"/>
          <w:szCs w:val="20"/>
        </w:rPr>
        <w:t>water dependant vegetation</w:t>
      </w:r>
      <w:r w:rsidRPr="00BE3AC8">
        <w:rPr>
          <w:rFonts w:asciiTheme="minorHAnsi" w:hAnsiTheme="minorHAnsi" w:cstheme="minorHAnsi"/>
          <w:szCs w:val="20"/>
        </w:rPr>
        <w:t xml:space="preserve">, </w:t>
      </w:r>
      <w:r>
        <w:rPr>
          <w:rFonts w:asciiTheme="minorHAnsi" w:hAnsiTheme="minorHAnsi" w:cstheme="minorHAnsi"/>
          <w:szCs w:val="20"/>
        </w:rPr>
        <w:t xml:space="preserve">rushes (entirely </w:t>
      </w:r>
      <w:r w:rsidRPr="00144325">
        <w:rPr>
          <w:rFonts w:asciiTheme="minorHAnsi" w:hAnsiTheme="minorHAnsi" w:cstheme="minorHAnsi"/>
          <w:i/>
          <w:iCs/>
          <w:szCs w:val="20"/>
        </w:rPr>
        <w:t>Juncus</w:t>
      </w:r>
      <w:r w:rsidRPr="00BE3AC8">
        <w:rPr>
          <w:rFonts w:asciiTheme="minorHAnsi" w:hAnsiTheme="minorHAnsi" w:cstheme="minorHAnsi"/>
          <w:szCs w:val="20"/>
        </w:rPr>
        <w:t xml:space="preserve"> </w:t>
      </w:r>
      <w:r>
        <w:rPr>
          <w:rFonts w:asciiTheme="minorHAnsi" w:hAnsiTheme="minorHAnsi" w:cstheme="minorHAnsi"/>
          <w:szCs w:val="20"/>
        </w:rPr>
        <w:t>spp.)</w:t>
      </w:r>
      <w:r w:rsidRPr="00BE3AC8">
        <w:rPr>
          <w:rFonts w:asciiTheme="minorHAnsi" w:hAnsiTheme="minorHAnsi" w:cstheme="minorHAnsi"/>
          <w:szCs w:val="20"/>
        </w:rPr>
        <w:t xml:space="preserve">, </w:t>
      </w:r>
      <w:r>
        <w:rPr>
          <w:rFonts w:asciiTheme="minorHAnsi" w:hAnsiTheme="minorHAnsi" w:cstheme="minorHAnsi"/>
          <w:szCs w:val="20"/>
        </w:rPr>
        <w:t>s</w:t>
      </w:r>
      <w:r w:rsidRPr="00BE3AC8">
        <w:rPr>
          <w:rFonts w:asciiTheme="minorHAnsi" w:hAnsiTheme="minorHAnsi" w:cstheme="minorHAnsi"/>
          <w:szCs w:val="20"/>
        </w:rPr>
        <w:t>edge</w:t>
      </w:r>
      <w:r>
        <w:rPr>
          <w:rFonts w:asciiTheme="minorHAnsi" w:hAnsiTheme="minorHAnsi" w:cstheme="minorHAnsi"/>
          <w:szCs w:val="20"/>
        </w:rPr>
        <w:t xml:space="preserve">s </w:t>
      </w:r>
      <w:r w:rsidRPr="00BE3AC8">
        <w:rPr>
          <w:rFonts w:asciiTheme="minorHAnsi" w:hAnsiTheme="minorHAnsi" w:cstheme="minorHAnsi"/>
          <w:szCs w:val="20"/>
        </w:rPr>
        <w:t xml:space="preserve">and </w:t>
      </w:r>
      <w:r>
        <w:rPr>
          <w:rFonts w:asciiTheme="minorHAnsi" w:hAnsiTheme="minorHAnsi" w:cstheme="minorHAnsi"/>
          <w:szCs w:val="20"/>
        </w:rPr>
        <w:t>the herb creeping knotweed (</w:t>
      </w:r>
      <w:proofErr w:type="spellStart"/>
      <w:r w:rsidRPr="00BE3AC8">
        <w:rPr>
          <w:rFonts w:asciiTheme="minorHAnsi" w:hAnsiTheme="minorHAnsi" w:cstheme="minorHAnsi"/>
          <w:i/>
          <w:iCs/>
          <w:szCs w:val="20"/>
        </w:rPr>
        <w:t>Persicaria</w:t>
      </w:r>
      <w:proofErr w:type="spellEnd"/>
      <w:r w:rsidRPr="00BE3AC8">
        <w:rPr>
          <w:rFonts w:asciiTheme="minorHAnsi" w:hAnsiTheme="minorHAnsi" w:cstheme="minorHAnsi"/>
          <w:i/>
          <w:iCs/>
          <w:szCs w:val="20"/>
        </w:rPr>
        <w:t xml:space="preserve"> </w:t>
      </w:r>
      <w:proofErr w:type="spellStart"/>
      <w:r w:rsidRPr="00BE3AC8">
        <w:rPr>
          <w:rFonts w:asciiTheme="minorHAnsi" w:hAnsiTheme="minorHAnsi" w:cstheme="minorHAnsi"/>
          <w:i/>
          <w:iCs/>
          <w:szCs w:val="20"/>
        </w:rPr>
        <w:t>prostrata</w:t>
      </w:r>
      <w:proofErr w:type="spellEnd"/>
      <w:r>
        <w:rPr>
          <w:rFonts w:asciiTheme="minorHAnsi" w:hAnsiTheme="minorHAnsi" w:cstheme="minorHAnsi"/>
          <w:szCs w:val="20"/>
        </w:rPr>
        <w:t>),</w:t>
      </w:r>
      <w:r w:rsidRPr="00BE3AC8">
        <w:rPr>
          <w:rFonts w:asciiTheme="minorHAnsi" w:hAnsiTheme="minorHAnsi" w:cstheme="minorHAnsi"/>
          <w:szCs w:val="20"/>
        </w:rPr>
        <w:t xml:space="preserve"> FPC shows a general decreasing response within the inundation duration during the past year, with high uncertainty after 300 days for </w:t>
      </w:r>
      <w:r>
        <w:rPr>
          <w:rFonts w:asciiTheme="minorHAnsi" w:hAnsiTheme="minorHAnsi" w:cstheme="minorHAnsi"/>
          <w:szCs w:val="20"/>
        </w:rPr>
        <w:t>r</w:t>
      </w:r>
      <w:r w:rsidRPr="00870988">
        <w:rPr>
          <w:rFonts w:asciiTheme="minorHAnsi" w:hAnsiTheme="minorHAnsi" w:cstheme="minorHAnsi"/>
          <w:szCs w:val="20"/>
        </w:rPr>
        <w:t>ushes</w:t>
      </w:r>
      <w:r w:rsidRPr="00BE3AC8">
        <w:rPr>
          <w:rFonts w:asciiTheme="minorHAnsi" w:hAnsiTheme="minorHAnsi" w:cstheme="minorHAnsi"/>
          <w:szCs w:val="20"/>
        </w:rPr>
        <w:t xml:space="preserve"> and </w:t>
      </w:r>
      <w:r>
        <w:rPr>
          <w:rFonts w:asciiTheme="minorHAnsi" w:hAnsiTheme="minorHAnsi" w:cstheme="minorHAnsi"/>
          <w:szCs w:val="20"/>
        </w:rPr>
        <w:t>s</w:t>
      </w:r>
      <w:r w:rsidRPr="00BE3AC8">
        <w:rPr>
          <w:rFonts w:asciiTheme="minorHAnsi" w:hAnsiTheme="minorHAnsi" w:cstheme="minorHAnsi"/>
          <w:szCs w:val="20"/>
        </w:rPr>
        <w:t>edge</w:t>
      </w:r>
      <w:r>
        <w:rPr>
          <w:rFonts w:asciiTheme="minorHAnsi" w:hAnsiTheme="minorHAnsi" w:cstheme="minorHAnsi"/>
          <w:szCs w:val="20"/>
        </w:rPr>
        <w:t xml:space="preserve">s, </w:t>
      </w:r>
      <w:r w:rsidRPr="00BE3AC8">
        <w:rPr>
          <w:rFonts w:asciiTheme="minorHAnsi" w:hAnsiTheme="minorHAnsi" w:cstheme="minorHAnsi"/>
          <w:szCs w:val="20"/>
        </w:rPr>
        <w:t>for the reasons described above.</w:t>
      </w:r>
    </w:p>
    <w:p w14:paraId="6C533296" w14:textId="77777777" w:rsidR="00D21E9C" w:rsidRPr="003841AA" w:rsidRDefault="00D21E9C" w:rsidP="00D21E9C">
      <w:pPr>
        <w:pStyle w:val="Para0"/>
        <w:numPr>
          <w:ilvl w:val="0"/>
          <w:numId w:val="29"/>
        </w:numPr>
        <w:spacing w:before="0"/>
        <w:rPr>
          <w:sz w:val="22"/>
        </w:rPr>
      </w:pPr>
      <w:r w:rsidRPr="00BE3AC8">
        <w:rPr>
          <w:rFonts w:asciiTheme="minorHAnsi" w:hAnsiTheme="minorHAnsi" w:cstheme="minorHAnsi"/>
          <w:szCs w:val="20"/>
        </w:rPr>
        <w:t>FPC of grass species has a negative relationship with inundation less than about 100 days, with almost complete exclusion for longer inundation periods</w:t>
      </w:r>
      <w:r w:rsidRPr="003841AA">
        <w:rPr>
          <w:sz w:val="22"/>
        </w:rPr>
        <w:t>.</w:t>
      </w:r>
    </w:p>
    <w:p w14:paraId="4EC8A658" w14:textId="77777777" w:rsidR="00D21E9C" w:rsidRDefault="00D21E9C" w:rsidP="00D21E9C">
      <w:pPr>
        <w:pStyle w:val="Para0"/>
        <w:numPr>
          <w:ilvl w:val="0"/>
          <w:numId w:val="29"/>
        </w:numPr>
        <w:spacing w:before="0"/>
        <w:rPr>
          <w:rFonts w:asciiTheme="minorHAnsi" w:hAnsiTheme="minorHAnsi" w:cstheme="minorHAnsi"/>
          <w:szCs w:val="20"/>
        </w:rPr>
      </w:pPr>
      <w:r w:rsidRPr="00BE3AC8">
        <w:rPr>
          <w:rFonts w:asciiTheme="minorHAnsi" w:hAnsiTheme="minorHAnsi" w:cstheme="minorHAnsi"/>
          <w:szCs w:val="20"/>
        </w:rPr>
        <w:t xml:space="preserve">FPC of </w:t>
      </w:r>
      <w:r>
        <w:rPr>
          <w:rFonts w:asciiTheme="minorHAnsi" w:hAnsiTheme="minorHAnsi" w:cstheme="minorHAnsi"/>
          <w:szCs w:val="20"/>
        </w:rPr>
        <w:t xml:space="preserve">lesser </w:t>
      </w:r>
      <w:proofErr w:type="spellStart"/>
      <w:r>
        <w:rPr>
          <w:rFonts w:asciiTheme="minorHAnsi" w:hAnsiTheme="minorHAnsi" w:cstheme="minorHAnsi"/>
          <w:szCs w:val="20"/>
        </w:rPr>
        <w:t>joyweed</w:t>
      </w:r>
      <w:proofErr w:type="spellEnd"/>
      <w:r>
        <w:rPr>
          <w:rFonts w:asciiTheme="minorHAnsi" w:hAnsiTheme="minorHAnsi" w:cstheme="minorHAnsi"/>
          <w:szCs w:val="20"/>
        </w:rPr>
        <w:t xml:space="preserve"> (</w:t>
      </w:r>
      <w:r>
        <w:rPr>
          <w:rFonts w:asciiTheme="minorHAnsi" w:hAnsiTheme="minorHAnsi" w:cstheme="minorHAnsi"/>
          <w:i/>
          <w:iCs/>
          <w:szCs w:val="20"/>
        </w:rPr>
        <w:t xml:space="preserve">Alternanthera </w:t>
      </w:r>
      <w:proofErr w:type="spellStart"/>
      <w:r>
        <w:rPr>
          <w:rFonts w:asciiTheme="minorHAnsi" w:hAnsiTheme="minorHAnsi" w:cstheme="minorHAnsi"/>
          <w:i/>
          <w:iCs/>
          <w:szCs w:val="20"/>
        </w:rPr>
        <w:t>denticulata</w:t>
      </w:r>
      <w:proofErr w:type="spellEnd"/>
      <w:r>
        <w:rPr>
          <w:rFonts w:asciiTheme="minorHAnsi" w:hAnsiTheme="minorHAnsi" w:cstheme="minorHAnsi"/>
          <w:i/>
          <w:iCs/>
          <w:szCs w:val="20"/>
        </w:rPr>
        <w:t xml:space="preserve">) </w:t>
      </w:r>
      <w:r w:rsidRPr="00BE3AC8">
        <w:rPr>
          <w:rFonts w:asciiTheme="minorHAnsi" w:hAnsiTheme="minorHAnsi" w:cstheme="minorHAnsi"/>
          <w:szCs w:val="20"/>
        </w:rPr>
        <w:t>demonstrates a similar response pattern to inundation as for its probability of occurrence, with the threshold being about 140 days.</w:t>
      </w:r>
    </w:p>
    <w:p w14:paraId="02A24F92" w14:textId="77777777" w:rsidR="00D21E9C" w:rsidRPr="00376244" w:rsidRDefault="00D21E9C" w:rsidP="00D21E9C">
      <w:pPr>
        <w:pStyle w:val="Para0"/>
        <w:numPr>
          <w:ilvl w:val="0"/>
          <w:numId w:val="29"/>
        </w:numPr>
        <w:spacing w:before="0"/>
        <w:rPr>
          <w:rFonts w:asciiTheme="minorHAnsi" w:hAnsiTheme="minorHAnsi" w:cstheme="minorHAnsi"/>
          <w:szCs w:val="20"/>
        </w:rPr>
      </w:pPr>
      <w:r w:rsidRPr="00BE3AC8">
        <w:rPr>
          <w:rFonts w:asciiTheme="minorHAnsi" w:hAnsiTheme="minorHAnsi" w:cstheme="minorHAnsi"/>
          <w:szCs w:val="20"/>
        </w:rPr>
        <w:t xml:space="preserve">FPC of </w:t>
      </w:r>
      <w:r>
        <w:rPr>
          <w:rFonts w:asciiTheme="minorHAnsi" w:hAnsiTheme="minorHAnsi" w:cstheme="minorHAnsi"/>
          <w:szCs w:val="20"/>
        </w:rPr>
        <w:t>common tussock grass (</w:t>
      </w:r>
      <w:r w:rsidRPr="00BE3AC8">
        <w:rPr>
          <w:rFonts w:asciiTheme="minorHAnsi" w:hAnsiTheme="minorHAnsi" w:cstheme="minorHAnsi"/>
          <w:i/>
          <w:iCs/>
          <w:szCs w:val="20"/>
        </w:rPr>
        <w:t xml:space="preserve">Poa </w:t>
      </w:r>
      <w:proofErr w:type="spellStart"/>
      <w:r w:rsidRPr="00BE3AC8">
        <w:rPr>
          <w:rFonts w:asciiTheme="minorHAnsi" w:hAnsiTheme="minorHAnsi" w:cstheme="minorHAnsi"/>
          <w:i/>
          <w:iCs/>
          <w:szCs w:val="20"/>
        </w:rPr>
        <w:t>labillardierei</w:t>
      </w:r>
      <w:proofErr w:type="spellEnd"/>
      <w:r>
        <w:rPr>
          <w:rFonts w:asciiTheme="minorHAnsi" w:hAnsiTheme="minorHAnsi" w:cstheme="minorHAnsi"/>
          <w:szCs w:val="20"/>
        </w:rPr>
        <w:t xml:space="preserve">) </w:t>
      </w:r>
      <w:r w:rsidRPr="00BE3AC8">
        <w:rPr>
          <w:rFonts w:asciiTheme="minorHAnsi" w:hAnsiTheme="minorHAnsi" w:cstheme="minorHAnsi"/>
          <w:szCs w:val="20"/>
        </w:rPr>
        <w:t>also presents similar decreasing pattern as its probability of occurrence.</w:t>
      </w:r>
    </w:p>
    <w:p w14:paraId="27D34019" w14:textId="77777777" w:rsidR="00D21E9C" w:rsidRPr="00D4081E" w:rsidRDefault="00D21E9C" w:rsidP="00D21E9C">
      <w:pPr>
        <w:rPr>
          <w:highlight w:val="yellow"/>
        </w:rPr>
      </w:pPr>
    </w:p>
    <w:p w14:paraId="6E4ED16E" w14:textId="77777777" w:rsidR="00D21E9C" w:rsidRPr="002C4F2C" w:rsidRDefault="00D21E9C" w:rsidP="00D21E9C">
      <w:pPr>
        <w:keepNext/>
        <w:jc w:val="center"/>
      </w:pPr>
      <w:r w:rsidRPr="002C4F2C">
        <w:rPr>
          <w:noProof/>
          <w:lang w:val="en-GB"/>
        </w:rPr>
        <w:lastRenderedPageBreak/>
        <w:drawing>
          <wp:inline distT="0" distB="0" distL="0" distR="0" wp14:anchorId="39060F4A" wp14:editId="634502D7">
            <wp:extent cx="5943600" cy="4999355"/>
            <wp:effectExtent l="0" t="0" r="0" b="0"/>
            <wp:docPr id="473" name="Picture 47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549" descr="Chart&#10;&#10;Description automatically generated"/>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943600" cy="4999355"/>
                    </a:xfrm>
                    <a:prstGeom prst="rect">
                      <a:avLst/>
                    </a:prstGeom>
                    <a:noFill/>
                    <a:ln>
                      <a:noFill/>
                    </a:ln>
                  </pic:spPr>
                </pic:pic>
              </a:graphicData>
            </a:graphic>
          </wp:inline>
        </w:drawing>
      </w:r>
    </w:p>
    <w:p w14:paraId="60C54B57" w14:textId="090A2942" w:rsidR="00D21E9C" w:rsidRPr="00AC7407" w:rsidRDefault="00D21E9C" w:rsidP="00D21E9C">
      <w:pPr>
        <w:pStyle w:val="Caption"/>
      </w:pPr>
      <w:bookmarkStart w:id="439" w:name="_Ref84411168"/>
      <w:bookmarkStart w:id="440" w:name="_Toc84475750"/>
      <w:r w:rsidRPr="002C4F2C">
        <w:t xml:space="preserve">Figure </w:t>
      </w:r>
      <w:r w:rsidR="00E0165A">
        <w:rPr>
          <w:noProof/>
        </w:rPr>
        <w:t>7</w:t>
      </w:r>
      <w:r w:rsidR="00B85158">
        <w:noBreakHyphen/>
      </w:r>
      <w:r w:rsidR="00E0165A">
        <w:rPr>
          <w:noProof/>
        </w:rPr>
        <w:t>5</w:t>
      </w:r>
      <w:bookmarkEnd w:id="439"/>
      <w:r w:rsidRPr="002C4F2C">
        <w:t xml:space="preserve"> Modelled foliage projected cover (FPC %) for groups and species in response to number of days inundated &gt;</w:t>
      </w:r>
      <w:r w:rsidRPr="00EA1E90">
        <w:t>25</w:t>
      </w:r>
      <w:r>
        <w:t> </w:t>
      </w:r>
      <w:r w:rsidRPr="00EA1E90">
        <w:t>cm</w:t>
      </w:r>
      <w:r w:rsidRPr="002C4F2C">
        <w:t xml:space="preserve"> in the previous year.</w:t>
      </w:r>
      <w:bookmarkEnd w:id="440"/>
      <w:r w:rsidRPr="002C4F2C">
        <w:t xml:space="preserve"> </w:t>
      </w:r>
    </w:p>
    <w:p w14:paraId="0BE8357B" w14:textId="619D1458" w:rsidR="00D21E9C" w:rsidRPr="00BA2632" w:rsidRDefault="00D21E9C" w:rsidP="00D21E9C">
      <w:pPr>
        <w:pStyle w:val="Heading2"/>
      </w:pPr>
      <w:bookmarkStart w:id="441" w:name="_Toc84335023"/>
      <w:bookmarkStart w:id="442" w:name="_Toc84416108"/>
      <w:bookmarkStart w:id="443" w:name="_Toc84417391"/>
      <w:bookmarkStart w:id="444" w:name="_Toc84475695"/>
      <w:r w:rsidRPr="00BA2632">
        <w:t>Discussion</w:t>
      </w:r>
      <w:bookmarkEnd w:id="441"/>
      <w:bookmarkEnd w:id="442"/>
      <w:bookmarkEnd w:id="443"/>
      <w:bookmarkEnd w:id="444"/>
    </w:p>
    <w:p w14:paraId="6658603C" w14:textId="0F723ABD" w:rsidR="00D21E9C" w:rsidRPr="00BA2632" w:rsidRDefault="00D21E9C" w:rsidP="00D21E9C">
      <w:pPr>
        <w:pStyle w:val="Caption"/>
        <w:spacing w:line="22" w:lineRule="atLeast"/>
        <w:rPr>
          <w:rFonts w:cstheme="minorHAnsi"/>
          <w:b w:val="0"/>
        </w:rPr>
      </w:pPr>
      <w:r w:rsidRPr="00BA2632">
        <w:rPr>
          <w:rFonts w:cstheme="minorHAnsi"/>
          <w:b w:val="0"/>
        </w:rPr>
        <w:t xml:space="preserve">Over the </w:t>
      </w:r>
      <w:r>
        <w:rPr>
          <w:rFonts w:cstheme="minorHAnsi"/>
          <w:b w:val="0"/>
        </w:rPr>
        <w:t xml:space="preserve">five </w:t>
      </w:r>
      <w:r w:rsidRPr="00BA2632">
        <w:rPr>
          <w:rFonts w:cstheme="minorHAnsi"/>
          <w:b w:val="0"/>
        </w:rPr>
        <w:t xml:space="preserve">years of the LTIM Project and </w:t>
      </w:r>
      <w:r>
        <w:rPr>
          <w:rFonts w:cstheme="minorHAnsi"/>
          <w:b w:val="0"/>
        </w:rPr>
        <w:t>two</w:t>
      </w:r>
      <w:r w:rsidRPr="00BA2632">
        <w:rPr>
          <w:rFonts w:cstheme="minorHAnsi"/>
          <w:b w:val="0"/>
        </w:rPr>
        <w:t xml:space="preserve"> year</w:t>
      </w:r>
      <w:r>
        <w:rPr>
          <w:rFonts w:cstheme="minorHAnsi"/>
          <w:b w:val="0"/>
        </w:rPr>
        <w:t>s</w:t>
      </w:r>
      <w:r w:rsidRPr="00BA2632">
        <w:rPr>
          <w:rFonts w:cstheme="minorHAnsi"/>
          <w:b w:val="0"/>
        </w:rPr>
        <w:t xml:space="preserve"> so far of the MER Program, environmental, </w:t>
      </w:r>
      <w:proofErr w:type="gramStart"/>
      <w:r w:rsidRPr="00BA2632">
        <w:rPr>
          <w:rFonts w:cstheme="minorHAnsi"/>
          <w:b w:val="0"/>
        </w:rPr>
        <w:t>natural</w:t>
      </w:r>
      <w:proofErr w:type="gramEnd"/>
      <w:r w:rsidRPr="00BA2632">
        <w:rPr>
          <w:rFonts w:cstheme="minorHAnsi"/>
          <w:b w:val="0"/>
        </w:rPr>
        <w:t xml:space="preserve"> and consumptive flows have all influenced the occurrence, cover and distribution of vegetation on the banks of the Goulburn River.  </w:t>
      </w:r>
      <w:r>
        <w:rPr>
          <w:rFonts w:cstheme="minorHAnsi"/>
          <w:b w:val="0"/>
        </w:rPr>
        <w:t>Spring Fresh</w:t>
      </w:r>
      <w:r w:rsidRPr="00BA2632">
        <w:rPr>
          <w:rFonts w:cstheme="minorHAnsi"/>
          <w:b w:val="0"/>
        </w:rPr>
        <w:t xml:space="preserve">es appear to support water </w:t>
      </w:r>
      <w:r>
        <w:rPr>
          <w:rFonts w:cstheme="minorHAnsi"/>
          <w:b w:val="0"/>
        </w:rPr>
        <w:t>dependent</w:t>
      </w:r>
      <w:r w:rsidRPr="00BA2632">
        <w:rPr>
          <w:rFonts w:cstheme="minorHAnsi"/>
          <w:b w:val="0"/>
        </w:rPr>
        <w:t xml:space="preserve"> species as their distribution on the bank is greatest in areas inundated by </w:t>
      </w:r>
      <w:r>
        <w:rPr>
          <w:rFonts w:cstheme="minorHAnsi"/>
          <w:b w:val="0"/>
        </w:rPr>
        <w:t>Spring Fresh</w:t>
      </w:r>
      <w:r w:rsidRPr="00BA2632">
        <w:rPr>
          <w:rFonts w:cstheme="minorHAnsi"/>
          <w:b w:val="0"/>
        </w:rPr>
        <w:t xml:space="preserve">es, and repeatedly increase in cover between pre and post </w:t>
      </w:r>
      <w:r>
        <w:rPr>
          <w:rFonts w:cstheme="minorHAnsi"/>
          <w:b w:val="0"/>
        </w:rPr>
        <w:t>Spring Fresh</w:t>
      </w:r>
      <w:r w:rsidRPr="00BA2632">
        <w:rPr>
          <w:rFonts w:cstheme="minorHAnsi"/>
          <w:b w:val="0"/>
        </w:rPr>
        <w:t xml:space="preserve"> surveys. How seasonal patterns of plant growth contribute to this response is not known.</w:t>
      </w:r>
    </w:p>
    <w:p w14:paraId="6770D29C" w14:textId="497BDE1D" w:rsidR="00D21E9C" w:rsidRPr="000243B2" w:rsidRDefault="00D21E9C" w:rsidP="00D21E9C">
      <w:pPr>
        <w:pStyle w:val="Caption"/>
        <w:spacing w:line="22" w:lineRule="atLeast"/>
        <w:rPr>
          <w:rFonts w:cstheme="minorHAnsi"/>
        </w:rPr>
      </w:pPr>
      <w:r w:rsidRPr="00BA2632">
        <w:rPr>
          <w:rFonts w:cstheme="minorHAnsi"/>
          <w:b w:val="0"/>
        </w:rPr>
        <w:t xml:space="preserve">Medium-term trends show that while the </w:t>
      </w:r>
      <w:r>
        <w:rPr>
          <w:rFonts w:cstheme="minorHAnsi"/>
          <w:b w:val="0"/>
        </w:rPr>
        <w:t xml:space="preserve">summed </w:t>
      </w:r>
      <w:r w:rsidRPr="00BA2632">
        <w:rPr>
          <w:rFonts w:cstheme="minorHAnsi"/>
          <w:b w:val="0"/>
        </w:rPr>
        <w:t>cover of ground layer vegetation is increasing on the banks</w:t>
      </w:r>
      <w:r>
        <w:rPr>
          <w:rFonts w:cstheme="minorHAnsi"/>
          <w:b w:val="0"/>
        </w:rPr>
        <w:t>, responses vary between species and zones of the bank. For example, the overall increase in ground layer vegetation results from increases of vegetation</w:t>
      </w:r>
      <w:r w:rsidRPr="009B0DBA">
        <w:rPr>
          <w:rFonts w:cstheme="minorHAnsi"/>
          <w:b w:val="0"/>
        </w:rPr>
        <w:t xml:space="preserve"> </w:t>
      </w:r>
      <w:r>
        <w:rPr>
          <w:rFonts w:cstheme="minorHAnsi"/>
          <w:b w:val="0"/>
        </w:rPr>
        <w:t>at higher elevations, predominantly grasses, particularly common tussock grass (</w:t>
      </w:r>
      <w:r w:rsidRPr="00870988">
        <w:rPr>
          <w:rFonts w:cstheme="minorHAnsi"/>
          <w:b w:val="0"/>
          <w:i/>
          <w:iCs w:val="0"/>
        </w:rPr>
        <w:t xml:space="preserve">Poa </w:t>
      </w:r>
      <w:proofErr w:type="spellStart"/>
      <w:r w:rsidRPr="00870988">
        <w:rPr>
          <w:rFonts w:cstheme="minorHAnsi"/>
          <w:b w:val="0"/>
          <w:i/>
          <w:iCs w:val="0"/>
        </w:rPr>
        <w:t>labillardierei</w:t>
      </w:r>
      <w:proofErr w:type="spellEnd"/>
      <w:r>
        <w:rPr>
          <w:rFonts w:cstheme="minorHAnsi"/>
          <w:b w:val="0"/>
        </w:rPr>
        <w:t xml:space="preserve">). </w:t>
      </w:r>
      <w:r w:rsidRPr="00BA2632">
        <w:rPr>
          <w:rFonts w:cstheme="minorHAnsi"/>
          <w:b w:val="0"/>
        </w:rPr>
        <w:t>In contrast,</w:t>
      </w:r>
      <w:r>
        <w:rPr>
          <w:rFonts w:cstheme="minorHAnsi"/>
          <w:b w:val="0"/>
        </w:rPr>
        <w:t xml:space="preserve"> the cover of vegetation along the river fringe (Zone 1a and 1b), predominantly water dependant species has oscillated over time and </w:t>
      </w:r>
      <w:r w:rsidRPr="00BA2632">
        <w:rPr>
          <w:rFonts w:cstheme="minorHAnsi"/>
          <w:b w:val="0"/>
        </w:rPr>
        <w:t>does not show a</w:t>
      </w:r>
      <w:r>
        <w:rPr>
          <w:rFonts w:cstheme="minorHAnsi"/>
          <w:b w:val="0"/>
        </w:rPr>
        <w:t xml:space="preserve"> medium</w:t>
      </w:r>
      <w:r w:rsidRPr="00BA2632">
        <w:rPr>
          <w:rFonts w:cstheme="minorHAnsi"/>
          <w:b w:val="0"/>
        </w:rPr>
        <w:t>-term increase</w:t>
      </w:r>
      <w:r>
        <w:rPr>
          <w:rFonts w:cstheme="minorHAnsi"/>
          <w:b w:val="0"/>
        </w:rPr>
        <w:t xml:space="preserve"> despite </w:t>
      </w:r>
      <w:r w:rsidRPr="00BA2632">
        <w:rPr>
          <w:rFonts w:cstheme="minorHAnsi"/>
          <w:b w:val="0"/>
        </w:rPr>
        <w:t>increas</w:t>
      </w:r>
      <w:r>
        <w:rPr>
          <w:rFonts w:cstheme="minorHAnsi"/>
          <w:b w:val="0"/>
        </w:rPr>
        <w:t>ing</w:t>
      </w:r>
      <w:r w:rsidRPr="00BA2632">
        <w:rPr>
          <w:rFonts w:cstheme="minorHAnsi"/>
          <w:b w:val="0"/>
        </w:rPr>
        <w:t xml:space="preserve"> following </w:t>
      </w:r>
      <w:r>
        <w:rPr>
          <w:rFonts w:cstheme="minorHAnsi"/>
          <w:b w:val="0"/>
        </w:rPr>
        <w:t>Spring Fresh</w:t>
      </w:r>
      <w:r w:rsidRPr="00BA2632">
        <w:rPr>
          <w:rFonts w:cstheme="minorHAnsi"/>
          <w:b w:val="0"/>
        </w:rPr>
        <w:t>es.</w:t>
      </w:r>
    </w:p>
    <w:p w14:paraId="6E4C8B54" w14:textId="0CB46AE8" w:rsidR="00D21E9C" w:rsidRPr="00B65497" w:rsidRDefault="00D21E9C" w:rsidP="00D21E9C">
      <w:pPr>
        <w:spacing w:before="120" w:line="22" w:lineRule="atLeast"/>
        <w:rPr>
          <w:rFonts w:cstheme="minorHAnsi"/>
          <w:iCs/>
          <w:szCs w:val="20"/>
        </w:rPr>
      </w:pPr>
      <w:r>
        <w:rPr>
          <w:rFonts w:cstheme="minorHAnsi"/>
          <w:iCs/>
          <w:szCs w:val="20"/>
        </w:rPr>
        <w:t>Restoring</w:t>
      </w:r>
      <w:r w:rsidRPr="00E42E74">
        <w:rPr>
          <w:rFonts w:cstheme="minorHAnsi"/>
          <w:iCs/>
          <w:szCs w:val="20"/>
        </w:rPr>
        <w:t xml:space="preserve"> the abundance of vegetation </w:t>
      </w:r>
      <w:r w:rsidRPr="00C352AB">
        <w:rPr>
          <w:rFonts w:cstheme="minorHAnsi"/>
          <w:iCs/>
          <w:szCs w:val="20"/>
        </w:rPr>
        <w:t>along the river fringes has been limited by unnatural high summer flow</w:t>
      </w:r>
      <w:r>
        <w:rPr>
          <w:rFonts w:cstheme="minorHAnsi"/>
          <w:iCs/>
          <w:szCs w:val="20"/>
        </w:rPr>
        <w:t>s</w:t>
      </w:r>
      <w:r w:rsidRPr="00C352AB">
        <w:rPr>
          <w:rFonts w:cstheme="minorHAnsi"/>
          <w:iCs/>
          <w:szCs w:val="20"/>
        </w:rPr>
        <w:t xml:space="preserve"> </w:t>
      </w:r>
      <w:r>
        <w:rPr>
          <w:rFonts w:cstheme="minorHAnsi"/>
          <w:iCs/>
          <w:szCs w:val="20"/>
        </w:rPr>
        <w:t xml:space="preserve">from 2017-2019 </w:t>
      </w:r>
      <w:r w:rsidRPr="00C352AB">
        <w:rPr>
          <w:rFonts w:cstheme="minorHAnsi"/>
          <w:iCs/>
          <w:szCs w:val="20"/>
        </w:rPr>
        <w:t xml:space="preserve">associated with </w:t>
      </w:r>
      <w:r w:rsidRPr="00E42E74">
        <w:rPr>
          <w:rFonts w:cstheme="minorHAnsi"/>
          <w:iCs/>
          <w:szCs w:val="20"/>
        </w:rPr>
        <w:t>IVT delivery to meet consumptive demand</w:t>
      </w:r>
      <w:r w:rsidRPr="00C352AB">
        <w:rPr>
          <w:rFonts w:cstheme="minorHAnsi"/>
          <w:iCs/>
          <w:szCs w:val="20"/>
        </w:rPr>
        <w:t xml:space="preserve">. </w:t>
      </w:r>
      <w:r>
        <w:rPr>
          <w:rFonts w:cstheme="minorHAnsi"/>
          <w:iCs/>
          <w:szCs w:val="20"/>
        </w:rPr>
        <w:t xml:space="preserve">A reduction in IVT flows over summer in 2020-21 </w:t>
      </w:r>
      <w:r w:rsidRPr="00F97F8C">
        <w:rPr>
          <w:rFonts w:cstheme="minorHAnsi"/>
          <w:iCs/>
          <w:szCs w:val="20"/>
        </w:rPr>
        <w:t xml:space="preserve">has resulted in the </w:t>
      </w:r>
      <w:r>
        <w:rPr>
          <w:rFonts w:cstheme="minorHAnsi"/>
          <w:iCs/>
          <w:szCs w:val="20"/>
        </w:rPr>
        <w:t>establishment</w:t>
      </w:r>
      <w:r w:rsidRPr="00F97F8C">
        <w:rPr>
          <w:rFonts w:cstheme="minorHAnsi"/>
          <w:iCs/>
          <w:szCs w:val="20"/>
        </w:rPr>
        <w:t xml:space="preserve"> of fringing vegetation in Zone 1b</w:t>
      </w:r>
      <w:r>
        <w:rPr>
          <w:rFonts w:cstheme="minorHAnsi"/>
          <w:iCs/>
          <w:szCs w:val="20"/>
        </w:rPr>
        <w:t>. L</w:t>
      </w:r>
      <w:r w:rsidRPr="007961E8">
        <w:rPr>
          <w:rFonts w:cstheme="minorHAnsi"/>
          <w:iCs/>
          <w:szCs w:val="20"/>
        </w:rPr>
        <w:t>ow summer flow</w:t>
      </w:r>
      <w:r>
        <w:rPr>
          <w:rFonts w:cstheme="minorHAnsi"/>
          <w:iCs/>
          <w:szCs w:val="20"/>
        </w:rPr>
        <w:t xml:space="preserve">s are a feature of the natural flow regime and </w:t>
      </w:r>
      <w:r w:rsidRPr="007961E8">
        <w:rPr>
          <w:rFonts w:cstheme="minorHAnsi"/>
          <w:iCs/>
          <w:szCs w:val="20"/>
        </w:rPr>
        <w:t xml:space="preserve">provide long periods over the </w:t>
      </w:r>
      <w:r w:rsidRPr="00DD14F2">
        <w:rPr>
          <w:rFonts w:cstheme="minorHAnsi"/>
          <w:iCs/>
          <w:szCs w:val="20"/>
        </w:rPr>
        <w:t xml:space="preserve">growing season where the </w:t>
      </w:r>
      <w:r w:rsidRPr="008B07D7">
        <w:rPr>
          <w:rFonts w:cstheme="minorHAnsi"/>
          <w:iCs/>
          <w:szCs w:val="20"/>
        </w:rPr>
        <w:t>fringing zone experience</w:t>
      </w:r>
      <w:r>
        <w:rPr>
          <w:rFonts w:cstheme="minorHAnsi"/>
          <w:iCs/>
          <w:szCs w:val="20"/>
        </w:rPr>
        <w:t>s</w:t>
      </w:r>
      <w:r w:rsidRPr="00531C39">
        <w:rPr>
          <w:rFonts w:cstheme="minorHAnsi"/>
          <w:iCs/>
          <w:szCs w:val="20"/>
        </w:rPr>
        <w:t xml:space="preserve"> moist </w:t>
      </w:r>
      <w:r w:rsidRPr="000243B2">
        <w:rPr>
          <w:rFonts w:cstheme="minorHAnsi"/>
          <w:iCs/>
          <w:szCs w:val="20"/>
        </w:rPr>
        <w:t xml:space="preserve">soil </w:t>
      </w:r>
      <w:r>
        <w:rPr>
          <w:rFonts w:cstheme="minorHAnsi"/>
          <w:iCs/>
          <w:szCs w:val="20"/>
        </w:rPr>
        <w:t xml:space="preserve">conditions </w:t>
      </w:r>
      <w:r w:rsidRPr="000243B2">
        <w:rPr>
          <w:rFonts w:cstheme="minorHAnsi"/>
          <w:iCs/>
          <w:szCs w:val="20"/>
        </w:rPr>
        <w:t xml:space="preserve">to very shallow inundation. These </w:t>
      </w:r>
      <w:r w:rsidRPr="001F3588">
        <w:rPr>
          <w:rFonts w:cstheme="minorHAnsi"/>
          <w:iCs/>
          <w:szCs w:val="20"/>
        </w:rPr>
        <w:t xml:space="preserve">conditions allow seeds of emergent plants </w:t>
      </w:r>
      <w:r>
        <w:rPr>
          <w:rFonts w:cstheme="minorHAnsi"/>
          <w:iCs/>
          <w:szCs w:val="20"/>
        </w:rPr>
        <w:t>to</w:t>
      </w:r>
      <w:r w:rsidRPr="000243B2">
        <w:rPr>
          <w:rFonts w:cstheme="minorHAnsi"/>
          <w:iCs/>
          <w:szCs w:val="20"/>
        </w:rPr>
        <w:t xml:space="preserve"> germinate and quickly extend their shoots above the water, improving gas exchange and access to light </w:t>
      </w:r>
      <w:r>
        <w:rPr>
          <w:rFonts w:cstheme="minorHAnsi"/>
          <w:iCs/>
          <w:noProof/>
          <w:szCs w:val="20"/>
        </w:rPr>
        <w:t>(Colmer et al. 2011)</w:t>
      </w:r>
      <w:r>
        <w:rPr>
          <w:rFonts w:cstheme="minorHAnsi"/>
          <w:iCs/>
          <w:szCs w:val="20"/>
        </w:rPr>
        <w:t>.</w:t>
      </w:r>
      <w:r w:rsidRPr="000243B2">
        <w:rPr>
          <w:rFonts w:cstheme="minorHAnsi"/>
          <w:iCs/>
          <w:szCs w:val="20"/>
        </w:rPr>
        <w:t xml:space="preserve"> This enhances survival and more rapid progression to mature and more resilient life stages. Where inundation is deeper, germinatio</w:t>
      </w:r>
      <w:r w:rsidRPr="001F3588">
        <w:rPr>
          <w:rFonts w:cstheme="minorHAnsi"/>
          <w:iCs/>
          <w:szCs w:val="20"/>
        </w:rPr>
        <w:t xml:space="preserve">n may not be triggered and seeds that do germinate may lack sufficient energy reserves to extend their shoots through the water column, and consequently perish. </w:t>
      </w:r>
      <w:r>
        <w:rPr>
          <w:rFonts w:cstheme="minorHAnsi"/>
          <w:iCs/>
          <w:szCs w:val="20"/>
        </w:rPr>
        <w:t xml:space="preserve"> </w:t>
      </w:r>
      <w:r>
        <w:t xml:space="preserve">Models of the probability of occurrence of water dependant species in response to inundation suggest a steep decline in </w:t>
      </w:r>
      <w:r w:rsidRPr="00B65497">
        <w:t>occurrence once the duration of inundation &gt;25</w:t>
      </w:r>
      <w:r>
        <w:t xml:space="preserve"> </w:t>
      </w:r>
      <w:r w:rsidRPr="00B65497">
        <w:t xml:space="preserve">cm exceeds 40 days over the summer period. </w:t>
      </w:r>
    </w:p>
    <w:p w14:paraId="0989FB7F" w14:textId="367B42A5" w:rsidR="00D21E9C" w:rsidRPr="00B65497" w:rsidRDefault="00D21E9C" w:rsidP="00D21E9C">
      <w:pPr>
        <w:pStyle w:val="SNormalText"/>
        <w:spacing w:before="120" w:line="22" w:lineRule="atLeast"/>
        <w:jc w:val="both"/>
        <w:rPr>
          <w:rFonts w:cstheme="minorHAnsi"/>
          <w:iCs/>
          <w:szCs w:val="20"/>
        </w:rPr>
      </w:pPr>
      <w:r w:rsidRPr="00B65497">
        <w:rPr>
          <w:rFonts w:asciiTheme="minorHAnsi" w:hAnsiTheme="minorHAnsi" w:cstheme="minorHAnsi"/>
          <w:iCs/>
          <w:sz w:val="20"/>
          <w:szCs w:val="20"/>
          <w:lang w:val="en-AU" w:eastAsia="zh-CN"/>
        </w:rPr>
        <w:lastRenderedPageBreak/>
        <w:t>As fringing vegetation matures, set</w:t>
      </w:r>
      <w:r>
        <w:rPr>
          <w:rFonts w:asciiTheme="minorHAnsi" w:hAnsiTheme="minorHAnsi" w:cstheme="minorHAnsi"/>
          <w:iCs/>
          <w:sz w:val="20"/>
          <w:szCs w:val="20"/>
          <w:lang w:val="en-AU" w:eastAsia="zh-CN"/>
        </w:rPr>
        <w:t>s</w:t>
      </w:r>
      <w:r w:rsidRPr="00B65497">
        <w:rPr>
          <w:rFonts w:asciiTheme="minorHAnsi" w:hAnsiTheme="minorHAnsi" w:cstheme="minorHAnsi"/>
          <w:iCs/>
          <w:sz w:val="20"/>
          <w:szCs w:val="20"/>
          <w:lang w:val="en-AU" w:eastAsia="zh-CN"/>
        </w:rPr>
        <w:t xml:space="preserve"> seed, and expands in extent, it is likely to show greater tolerance to unfavourable inundation events and to recover more rapidly following such events. </w:t>
      </w:r>
      <w:r w:rsidRPr="00B65497">
        <w:rPr>
          <w:rFonts w:asciiTheme="minorHAnsi" w:hAnsiTheme="minorHAnsi" w:cstheme="minorHAnsi"/>
          <w:iCs/>
          <w:sz w:val="20"/>
          <w:szCs w:val="20"/>
        </w:rPr>
        <w:t>Following the lower summer flows in 2020-21 many plants along the fringing zone were observed to be flowering and setting seeds in March. This suggest</w:t>
      </w:r>
      <w:r w:rsidR="002B6735">
        <w:rPr>
          <w:rFonts w:asciiTheme="minorHAnsi" w:hAnsiTheme="minorHAnsi" w:cstheme="minorHAnsi"/>
          <w:iCs/>
          <w:sz w:val="20"/>
          <w:szCs w:val="20"/>
        </w:rPr>
        <w:t>s</w:t>
      </w:r>
      <w:r w:rsidRPr="00B65497">
        <w:rPr>
          <w:rFonts w:asciiTheme="minorHAnsi" w:hAnsiTheme="minorHAnsi" w:cstheme="minorHAnsi"/>
          <w:iCs/>
          <w:sz w:val="20"/>
          <w:szCs w:val="20"/>
        </w:rPr>
        <w:t xml:space="preserve"> that 13 weeks of low summer flow allow plants to mature and </w:t>
      </w:r>
      <w:r>
        <w:rPr>
          <w:rFonts w:asciiTheme="minorHAnsi" w:hAnsiTheme="minorHAnsi" w:cstheme="minorHAnsi"/>
          <w:iCs/>
          <w:sz w:val="20"/>
          <w:szCs w:val="20"/>
        </w:rPr>
        <w:t>reproduce</w:t>
      </w:r>
      <w:r w:rsidRPr="00B65497">
        <w:rPr>
          <w:rFonts w:asciiTheme="minorHAnsi" w:hAnsiTheme="minorHAnsi" w:cstheme="minorHAnsi"/>
          <w:iCs/>
          <w:sz w:val="20"/>
          <w:szCs w:val="20"/>
        </w:rPr>
        <w:t xml:space="preserve">. </w:t>
      </w:r>
      <w:r w:rsidRPr="00B65497">
        <w:rPr>
          <w:rFonts w:asciiTheme="minorHAnsi" w:hAnsiTheme="minorHAnsi" w:cstheme="minorHAnsi"/>
          <w:sz w:val="20"/>
          <w:szCs w:val="20"/>
        </w:rPr>
        <w:t>This is consistent with studies by</w:t>
      </w:r>
      <w:r>
        <w:rPr>
          <w:rFonts w:asciiTheme="minorHAnsi" w:hAnsiTheme="minorHAnsi" w:cstheme="minorHAnsi"/>
          <w:sz w:val="20"/>
          <w:szCs w:val="20"/>
        </w:rPr>
        <w:t xml:space="preserve"> </w:t>
      </w:r>
      <w:r w:rsidR="00AC34E7">
        <w:rPr>
          <w:rFonts w:asciiTheme="minorHAnsi" w:hAnsiTheme="minorHAnsi" w:cstheme="minorHAnsi"/>
          <w:noProof/>
          <w:sz w:val="20"/>
          <w:szCs w:val="20"/>
        </w:rPr>
        <w:t>Warwick &amp; Brock (2003)</w:t>
      </w:r>
      <w:r w:rsidRPr="00B65497">
        <w:rPr>
          <w:rFonts w:asciiTheme="minorHAnsi" w:hAnsiTheme="minorHAnsi" w:cstheme="minorHAnsi"/>
          <w:sz w:val="20"/>
          <w:szCs w:val="20"/>
        </w:rPr>
        <w:t xml:space="preserve"> that found most species that germinated in a soil seed bank study were flowering at 13 weeks under suitable </w:t>
      </w:r>
      <w:r>
        <w:rPr>
          <w:rFonts w:asciiTheme="minorHAnsi" w:hAnsiTheme="minorHAnsi" w:cstheme="minorHAnsi"/>
          <w:sz w:val="20"/>
          <w:szCs w:val="20"/>
        </w:rPr>
        <w:t>inundation regimes</w:t>
      </w:r>
      <w:r w:rsidRPr="00B65497">
        <w:rPr>
          <w:rFonts w:asciiTheme="minorHAnsi" w:hAnsiTheme="minorHAnsi" w:cstheme="minorHAnsi"/>
          <w:sz w:val="20"/>
          <w:szCs w:val="20"/>
        </w:rPr>
        <w:t xml:space="preserve">. </w:t>
      </w:r>
    </w:p>
    <w:p w14:paraId="0D81F2DC" w14:textId="2DF4C248" w:rsidR="00D21E9C" w:rsidRPr="00B65497" w:rsidRDefault="00D21E9C" w:rsidP="00D21E9C">
      <w:pPr>
        <w:pStyle w:val="SNormalText"/>
        <w:spacing w:before="120" w:line="22" w:lineRule="atLeast"/>
        <w:jc w:val="both"/>
        <w:rPr>
          <w:rFonts w:asciiTheme="minorHAnsi" w:hAnsiTheme="minorHAnsi" w:cstheme="minorHAnsi"/>
          <w:iCs/>
          <w:sz w:val="20"/>
          <w:szCs w:val="20"/>
          <w:lang w:val="en-AU" w:eastAsia="zh-CN"/>
        </w:rPr>
      </w:pPr>
      <w:r w:rsidRPr="00B65497">
        <w:rPr>
          <w:rFonts w:asciiTheme="minorHAnsi" w:hAnsiTheme="minorHAnsi" w:cstheme="minorHAnsi"/>
          <w:iCs/>
          <w:sz w:val="20"/>
          <w:szCs w:val="20"/>
          <w:lang w:val="en-AU" w:eastAsia="zh-CN"/>
        </w:rPr>
        <w:t xml:space="preserve">Although lower summer flows </w:t>
      </w:r>
      <w:r>
        <w:rPr>
          <w:rFonts w:asciiTheme="minorHAnsi" w:hAnsiTheme="minorHAnsi" w:cstheme="minorHAnsi"/>
          <w:iCs/>
          <w:sz w:val="20"/>
          <w:szCs w:val="20"/>
          <w:lang w:val="en-AU" w:eastAsia="zh-CN"/>
        </w:rPr>
        <w:t xml:space="preserve">in 2020-21 </w:t>
      </w:r>
      <w:r w:rsidRPr="00B65497">
        <w:rPr>
          <w:rFonts w:asciiTheme="minorHAnsi" w:hAnsiTheme="minorHAnsi" w:cstheme="minorHAnsi"/>
          <w:iCs/>
          <w:sz w:val="20"/>
          <w:szCs w:val="20"/>
          <w:lang w:val="en-AU" w:eastAsia="zh-CN"/>
        </w:rPr>
        <w:t>resulted in the re-establishment of narrow bands of vegetation from seeds and rhizomes along the lower banks, recruitment was patchy, and benches and</w:t>
      </w:r>
      <w:r w:rsidRPr="00C352AB">
        <w:rPr>
          <w:rFonts w:asciiTheme="minorHAnsi" w:hAnsiTheme="minorHAnsi" w:cstheme="minorHAnsi"/>
          <w:iCs/>
          <w:sz w:val="20"/>
          <w:szCs w:val="20"/>
          <w:lang w:val="en-AU" w:eastAsia="zh-CN"/>
        </w:rPr>
        <w:t xml:space="preserve"> bars were important locations for re-establishment. </w:t>
      </w:r>
      <w:r>
        <w:rPr>
          <w:rFonts w:asciiTheme="minorHAnsi" w:hAnsiTheme="minorHAnsi" w:cstheme="minorHAnsi"/>
          <w:iCs/>
          <w:sz w:val="20"/>
          <w:szCs w:val="20"/>
          <w:lang w:val="en-AU" w:eastAsia="zh-CN"/>
        </w:rPr>
        <w:t>M</w:t>
      </w:r>
      <w:r w:rsidRPr="00B65497">
        <w:rPr>
          <w:rFonts w:asciiTheme="minorHAnsi" w:hAnsiTheme="minorHAnsi" w:cstheme="minorHAnsi"/>
          <w:iCs/>
          <w:sz w:val="20"/>
          <w:szCs w:val="20"/>
          <w:lang w:val="en-AU" w:eastAsia="zh-CN"/>
        </w:rPr>
        <w:t xml:space="preserve">ultiple successive years of favourable flow conditions over the growing season </w:t>
      </w:r>
      <w:r>
        <w:rPr>
          <w:rFonts w:asciiTheme="minorHAnsi" w:hAnsiTheme="minorHAnsi" w:cstheme="minorHAnsi"/>
          <w:iCs/>
          <w:sz w:val="20"/>
          <w:szCs w:val="20"/>
          <w:lang w:val="en-AU" w:eastAsia="zh-CN"/>
        </w:rPr>
        <w:t xml:space="preserve">are likely to </w:t>
      </w:r>
      <w:r w:rsidRPr="00B65497">
        <w:rPr>
          <w:rFonts w:asciiTheme="minorHAnsi" w:hAnsiTheme="minorHAnsi" w:cstheme="minorHAnsi"/>
          <w:iCs/>
          <w:sz w:val="20"/>
          <w:szCs w:val="20"/>
          <w:lang w:val="en-AU" w:eastAsia="zh-CN"/>
        </w:rPr>
        <w:t>be needed to allow re-established plants to expand their distribution and enhance local propagule pools.</w:t>
      </w:r>
    </w:p>
    <w:p w14:paraId="4D4E8C7B" w14:textId="3C44A2A3" w:rsidR="00D21E9C" w:rsidRPr="00C352AB" w:rsidRDefault="00D21E9C" w:rsidP="00D21E9C">
      <w:pPr>
        <w:pStyle w:val="SNormalText"/>
        <w:spacing w:before="120" w:line="22" w:lineRule="atLeast"/>
        <w:jc w:val="both"/>
        <w:rPr>
          <w:rFonts w:asciiTheme="minorHAnsi" w:hAnsiTheme="minorHAnsi" w:cstheme="minorHAnsi"/>
          <w:iCs/>
          <w:sz w:val="20"/>
          <w:szCs w:val="20"/>
          <w:lang w:val="en-AU" w:eastAsia="zh-CN"/>
        </w:rPr>
      </w:pPr>
      <w:r w:rsidRPr="00C352AB">
        <w:rPr>
          <w:rFonts w:asciiTheme="minorHAnsi" w:hAnsiTheme="minorHAnsi" w:cstheme="minorHAnsi"/>
          <w:iCs/>
          <w:sz w:val="20"/>
          <w:szCs w:val="20"/>
          <w:lang w:val="en-AU" w:eastAsia="zh-CN"/>
        </w:rPr>
        <w:t>It is uncertain to what extent longitudinal expansion of vegetation will occur over time, or if other factors limit vegetation expansion along the river length. Some local factors that may constrain establishment of vegetation on the lower banks, even if suitable flows are provide</w:t>
      </w:r>
      <w:r w:rsidR="002B6735">
        <w:rPr>
          <w:rFonts w:asciiTheme="minorHAnsi" w:hAnsiTheme="minorHAnsi" w:cstheme="minorHAnsi"/>
          <w:iCs/>
          <w:sz w:val="20"/>
          <w:szCs w:val="20"/>
          <w:lang w:val="en-AU" w:eastAsia="zh-CN"/>
        </w:rPr>
        <w:t>d</w:t>
      </w:r>
      <w:r w:rsidRPr="00C352AB">
        <w:rPr>
          <w:rFonts w:asciiTheme="minorHAnsi" w:hAnsiTheme="minorHAnsi" w:cstheme="minorHAnsi"/>
          <w:iCs/>
          <w:sz w:val="20"/>
          <w:szCs w:val="20"/>
          <w:lang w:val="en-AU" w:eastAsia="zh-CN"/>
        </w:rPr>
        <w:t xml:space="preserve"> include: </w:t>
      </w:r>
    </w:p>
    <w:p w14:paraId="59702B1D" w14:textId="77777777" w:rsidR="00D21E9C" w:rsidRPr="00C352AB" w:rsidRDefault="00D21E9C" w:rsidP="00DE6E94">
      <w:pPr>
        <w:pStyle w:val="SNormalText"/>
        <w:numPr>
          <w:ilvl w:val="0"/>
          <w:numId w:val="82"/>
        </w:numPr>
        <w:spacing w:before="120" w:line="22" w:lineRule="atLeast"/>
        <w:jc w:val="both"/>
        <w:rPr>
          <w:rFonts w:asciiTheme="minorHAnsi" w:hAnsiTheme="minorHAnsi" w:cstheme="minorHAnsi"/>
          <w:iCs/>
          <w:sz w:val="20"/>
          <w:szCs w:val="20"/>
          <w:lang w:val="en-AU" w:eastAsia="zh-CN"/>
        </w:rPr>
      </w:pPr>
      <w:r w:rsidRPr="00C352AB">
        <w:rPr>
          <w:rFonts w:asciiTheme="minorHAnsi" w:hAnsiTheme="minorHAnsi" w:cstheme="minorHAnsi"/>
          <w:iCs/>
          <w:sz w:val="20"/>
          <w:szCs w:val="20"/>
          <w:lang w:val="en-AU" w:eastAsia="zh-CN"/>
        </w:rPr>
        <w:t>depleted propagule sources at some locations</w:t>
      </w:r>
    </w:p>
    <w:p w14:paraId="3F32EEF9" w14:textId="77777777" w:rsidR="00D21E9C" w:rsidRPr="00C352AB" w:rsidRDefault="00D21E9C" w:rsidP="00DE6E94">
      <w:pPr>
        <w:pStyle w:val="SNormalText"/>
        <w:numPr>
          <w:ilvl w:val="0"/>
          <w:numId w:val="82"/>
        </w:numPr>
        <w:spacing w:before="120" w:line="22" w:lineRule="atLeast"/>
        <w:jc w:val="both"/>
        <w:rPr>
          <w:rFonts w:asciiTheme="minorHAnsi" w:hAnsiTheme="minorHAnsi" w:cstheme="minorHAnsi"/>
          <w:iCs/>
          <w:sz w:val="20"/>
          <w:szCs w:val="20"/>
          <w:lang w:val="en-AU" w:eastAsia="zh-CN"/>
        </w:rPr>
      </w:pPr>
      <w:r w:rsidRPr="00C352AB">
        <w:rPr>
          <w:rFonts w:asciiTheme="minorHAnsi" w:hAnsiTheme="minorHAnsi" w:cstheme="minorHAnsi"/>
          <w:iCs/>
          <w:sz w:val="20"/>
          <w:szCs w:val="20"/>
          <w:lang w:val="en-AU" w:eastAsia="zh-CN"/>
        </w:rPr>
        <w:t>steep banks that provide only very narrow bands of favourable hydraulic conditions for establishment</w:t>
      </w:r>
    </w:p>
    <w:p w14:paraId="20068E77" w14:textId="77777777" w:rsidR="00D21E9C" w:rsidRPr="00C352AB" w:rsidRDefault="00D21E9C" w:rsidP="00DE6E94">
      <w:pPr>
        <w:pStyle w:val="SNormalText"/>
        <w:numPr>
          <w:ilvl w:val="0"/>
          <w:numId w:val="82"/>
        </w:numPr>
        <w:spacing w:before="120" w:line="22" w:lineRule="atLeast"/>
        <w:jc w:val="both"/>
        <w:rPr>
          <w:rFonts w:asciiTheme="minorHAnsi" w:hAnsiTheme="minorHAnsi" w:cstheme="minorHAnsi"/>
          <w:iCs/>
          <w:sz w:val="20"/>
          <w:szCs w:val="20"/>
          <w:lang w:val="en-AU" w:eastAsia="zh-CN"/>
        </w:rPr>
      </w:pPr>
      <w:r w:rsidRPr="00C352AB">
        <w:rPr>
          <w:rFonts w:asciiTheme="minorHAnsi" w:hAnsiTheme="minorHAnsi" w:cstheme="minorHAnsi"/>
          <w:iCs/>
          <w:sz w:val="20"/>
          <w:szCs w:val="20"/>
          <w:lang w:val="en-AU" w:eastAsia="zh-CN"/>
        </w:rPr>
        <w:t xml:space="preserve">absence of retentive features that slow flow and promote seed deposition and favour early establishment </w:t>
      </w:r>
    </w:p>
    <w:p w14:paraId="36943410" w14:textId="77777777" w:rsidR="00D21E9C" w:rsidRPr="00C352AB" w:rsidRDefault="00D21E9C" w:rsidP="00DE6E94">
      <w:pPr>
        <w:pStyle w:val="SNormalText"/>
        <w:numPr>
          <w:ilvl w:val="0"/>
          <w:numId w:val="82"/>
        </w:numPr>
        <w:spacing w:before="120" w:line="22" w:lineRule="atLeast"/>
        <w:jc w:val="both"/>
        <w:rPr>
          <w:rFonts w:asciiTheme="minorHAnsi" w:hAnsiTheme="minorHAnsi" w:cstheme="minorHAnsi"/>
          <w:iCs/>
          <w:sz w:val="20"/>
          <w:szCs w:val="20"/>
          <w:lang w:val="en-AU" w:eastAsia="zh-CN"/>
        </w:rPr>
      </w:pPr>
      <w:r w:rsidRPr="00C352AB">
        <w:rPr>
          <w:rFonts w:asciiTheme="minorHAnsi" w:hAnsiTheme="minorHAnsi" w:cstheme="minorHAnsi"/>
          <w:iCs/>
          <w:sz w:val="20"/>
          <w:szCs w:val="20"/>
          <w:lang w:val="en-AU" w:eastAsia="zh-CN"/>
        </w:rPr>
        <w:t>lack of shade that reduces thermal stress</w:t>
      </w:r>
    </w:p>
    <w:p w14:paraId="6E9E1291" w14:textId="77777777" w:rsidR="00D21E9C" w:rsidRPr="00E52F1D" w:rsidRDefault="00D21E9C" w:rsidP="00DE6E94">
      <w:pPr>
        <w:pStyle w:val="SNormalText"/>
        <w:numPr>
          <w:ilvl w:val="0"/>
          <w:numId w:val="82"/>
        </w:numPr>
        <w:spacing w:before="120" w:line="22" w:lineRule="atLeast"/>
        <w:jc w:val="both"/>
        <w:rPr>
          <w:rFonts w:asciiTheme="minorHAnsi" w:hAnsiTheme="minorHAnsi" w:cstheme="minorHAnsi"/>
          <w:iCs/>
          <w:sz w:val="20"/>
          <w:szCs w:val="20"/>
          <w:lang w:val="en-AU" w:eastAsia="zh-CN"/>
        </w:rPr>
      </w:pPr>
      <w:r w:rsidRPr="00C352AB">
        <w:rPr>
          <w:rFonts w:asciiTheme="minorHAnsi" w:hAnsiTheme="minorHAnsi" w:cstheme="minorHAnsi"/>
          <w:iCs/>
          <w:sz w:val="20"/>
          <w:szCs w:val="20"/>
          <w:lang w:val="en-AU" w:eastAsia="zh-CN"/>
        </w:rPr>
        <w:t>flow scour on outside bends.</w:t>
      </w:r>
    </w:p>
    <w:p w14:paraId="413B2CD4" w14:textId="012789B6" w:rsidR="00D21E9C" w:rsidRPr="00BA2632" w:rsidRDefault="00D21E9C" w:rsidP="00D21E9C">
      <w:pPr>
        <w:spacing w:before="120" w:line="22" w:lineRule="atLeast"/>
        <w:rPr>
          <w:rFonts w:cstheme="minorHAnsi"/>
          <w:i/>
          <w:lang w:eastAsia="en-US"/>
        </w:rPr>
      </w:pPr>
      <w:r>
        <w:t xml:space="preserve">Although flows suitable for the establishment of fringing vegetation can conflict with flows required to meet consumptive demand, vegetation in this region of the bank has intrinsic value as well as playing functional roles such as reducing bank erosion </w:t>
      </w:r>
      <w:r>
        <w:rPr>
          <w:noProof/>
        </w:rPr>
        <w:t>(O'donnell et al. 2015)</w:t>
      </w:r>
      <w:r>
        <w:t xml:space="preserve">. The role vegetation plays in improving bank stability by stabilising and trapping sediment and slowing flows is well supported in the literature, with studies demonstrating that vegetated stream banks have lower rates or occurrence of erosion </w:t>
      </w:r>
      <w:r w:rsidR="00AC34E7">
        <w:rPr>
          <w:noProof/>
        </w:rPr>
        <w:t>(Abt et al. 1994, Abernethy &amp; Rutherfurd 1998, Harmel et al. 1999, Steiger et al. 2001, Rutherfurd 2007)</w:t>
      </w:r>
      <w:r>
        <w:t>.</w:t>
      </w:r>
    </w:p>
    <w:p w14:paraId="16338714" w14:textId="77777777" w:rsidR="00D21E9C" w:rsidRPr="001F5B39" w:rsidRDefault="00D21E9C" w:rsidP="00D21E9C">
      <w:pPr>
        <w:pStyle w:val="Para0"/>
        <w:spacing w:line="22" w:lineRule="atLeast"/>
        <w:rPr>
          <w:rFonts w:asciiTheme="minorHAnsi" w:hAnsiTheme="minorHAnsi" w:cstheme="minorHAnsi"/>
          <w:b/>
          <w:i/>
          <w:iCs/>
        </w:rPr>
      </w:pPr>
      <w:r w:rsidRPr="001F5B39">
        <w:rPr>
          <w:rFonts w:asciiTheme="minorHAnsi" w:hAnsiTheme="minorHAnsi" w:cstheme="minorHAnsi"/>
          <w:b/>
          <w:i/>
          <w:iCs/>
        </w:rPr>
        <w:t>Adaptive management</w:t>
      </w:r>
    </w:p>
    <w:p w14:paraId="51D1B75F" w14:textId="77777777" w:rsidR="00D21E9C" w:rsidRPr="00BA2632" w:rsidRDefault="00D21E9C" w:rsidP="00D21E9C">
      <w:pPr>
        <w:pStyle w:val="Para0"/>
        <w:spacing w:line="22" w:lineRule="atLeast"/>
        <w:rPr>
          <w:rFonts w:asciiTheme="minorHAnsi" w:hAnsiTheme="minorHAnsi" w:cstheme="minorHAnsi"/>
          <w:bCs/>
        </w:rPr>
      </w:pPr>
      <w:r w:rsidRPr="00BA2632">
        <w:rPr>
          <w:rFonts w:asciiTheme="minorHAnsi" w:hAnsiTheme="minorHAnsi" w:cstheme="minorHAnsi"/>
          <w:bCs/>
        </w:rPr>
        <w:t xml:space="preserve">To promote recovery of vegetation along the </w:t>
      </w:r>
      <w:r>
        <w:rPr>
          <w:rFonts w:asciiTheme="minorHAnsi" w:hAnsiTheme="minorHAnsi" w:cstheme="minorHAnsi"/>
          <w:bCs/>
        </w:rPr>
        <w:t>river fringe</w:t>
      </w:r>
      <w:r w:rsidRPr="00BA2632">
        <w:rPr>
          <w:rFonts w:asciiTheme="minorHAnsi" w:hAnsiTheme="minorHAnsi" w:cstheme="minorHAnsi"/>
          <w:bCs/>
        </w:rPr>
        <w:t xml:space="preserve"> flow management should consider the following:</w:t>
      </w:r>
    </w:p>
    <w:p w14:paraId="75749EAF" w14:textId="77777777" w:rsidR="00D21E9C" w:rsidRPr="00BA2632" w:rsidRDefault="00D21E9C" w:rsidP="00DE6E94">
      <w:pPr>
        <w:pStyle w:val="ListParagraph"/>
        <w:numPr>
          <w:ilvl w:val="0"/>
          <w:numId w:val="53"/>
        </w:numPr>
        <w:spacing w:line="22" w:lineRule="atLeast"/>
      </w:pPr>
      <w:r w:rsidRPr="00BA2632">
        <w:t xml:space="preserve">Synchronise freshes with tributary flows where possible to enhance propagule supply. </w:t>
      </w:r>
    </w:p>
    <w:p w14:paraId="15F8A45A" w14:textId="77777777" w:rsidR="00D21E9C" w:rsidRDefault="00D21E9C" w:rsidP="00DE6E94">
      <w:pPr>
        <w:pStyle w:val="ListParagraph"/>
        <w:numPr>
          <w:ilvl w:val="0"/>
          <w:numId w:val="53"/>
        </w:numPr>
        <w:spacing w:line="22" w:lineRule="atLeast"/>
      </w:pPr>
      <w:r>
        <w:t>Provide low flows for 6-8 weeks following the recession of the Spring Fresh to promote recruitment of vegetation before delivering higher flow pulses for environmental or consumptive purposes. Further windows of low flows should be provided over the growth season to promote plant growth, flowering, seed set and vegetative expansion.</w:t>
      </w:r>
    </w:p>
    <w:p w14:paraId="7EC5BF13" w14:textId="77777777" w:rsidR="00D21E9C" w:rsidRDefault="00D21E9C" w:rsidP="00DE6E94">
      <w:pPr>
        <w:pStyle w:val="ListParagraph"/>
        <w:numPr>
          <w:ilvl w:val="0"/>
          <w:numId w:val="53"/>
        </w:numPr>
        <w:spacing w:line="22" w:lineRule="atLeast"/>
      </w:pPr>
      <w:r>
        <w:t>The total number of days plants are inundated by &gt;25 cm over summer should not exceed 40 days and individual inundation events should be less than two weeks.</w:t>
      </w:r>
    </w:p>
    <w:p w14:paraId="03402674" w14:textId="77777777" w:rsidR="00D21E9C" w:rsidRDefault="00D21E9C" w:rsidP="00DE6E94">
      <w:pPr>
        <w:pStyle w:val="ListParagraph"/>
        <w:numPr>
          <w:ilvl w:val="0"/>
          <w:numId w:val="53"/>
        </w:numPr>
        <w:spacing w:line="22" w:lineRule="atLeast"/>
      </w:pPr>
      <w:r>
        <w:t>Provide adequate periods of low flows between inundation events to allow plants to recover.</w:t>
      </w:r>
    </w:p>
    <w:p w14:paraId="4F0FEF01" w14:textId="77777777" w:rsidR="00D21E9C" w:rsidRDefault="00D21E9C" w:rsidP="00DE6E94">
      <w:pPr>
        <w:pStyle w:val="ListParagraph"/>
        <w:numPr>
          <w:ilvl w:val="0"/>
          <w:numId w:val="53"/>
        </w:numPr>
        <w:spacing w:line="22" w:lineRule="atLeast"/>
      </w:pPr>
      <w:r>
        <w:t>Avoid submergence of plants during flowering or seed set.</w:t>
      </w:r>
    </w:p>
    <w:p w14:paraId="3150E26B" w14:textId="7A895C1B" w:rsidR="00D21E9C" w:rsidRDefault="00D21E9C" w:rsidP="00DE6E94">
      <w:pPr>
        <w:pStyle w:val="ListParagraph"/>
        <w:numPr>
          <w:ilvl w:val="0"/>
          <w:numId w:val="53"/>
        </w:numPr>
        <w:spacing w:line="22" w:lineRule="atLeast"/>
      </w:pPr>
      <w:r>
        <w:t xml:space="preserve">In some years provide low flows for ~13 weeks </w:t>
      </w:r>
      <w:r w:rsidRPr="00BA2632">
        <w:t xml:space="preserve">following the recession of the </w:t>
      </w:r>
      <w:r>
        <w:t>Spring Fresh to allow plants to set seed and replenish the local soil seed bank</w:t>
      </w:r>
      <w:r w:rsidRPr="00BA2632">
        <w:t>.</w:t>
      </w:r>
    </w:p>
    <w:p w14:paraId="070AE051" w14:textId="77777777" w:rsidR="00D21E9C" w:rsidRDefault="00D21E9C" w:rsidP="00DE6E94">
      <w:pPr>
        <w:pStyle w:val="ListParagraph"/>
        <w:numPr>
          <w:ilvl w:val="0"/>
          <w:numId w:val="53"/>
        </w:numPr>
        <w:spacing w:line="22" w:lineRule="atLeast"/>
      </w:pPr>
      <w:r>
        <w:t>Provide successive years of low summer flows to increase the spatial extent and propagule supply of water dependant species in the fringing zone.</w:t>
      </w:r>
    </w:p>
    <w:p w14:paraId="474C34CE" w14:textId="77777777" w:rsidR="00D21E9C" w:rsidRPr="001F5B39" w:rsidRDefault="00D21E9C" w:rsidP="00D21E9C">
      <w:pPr>
        <w:pStyle w:val="ListParagraph"/>
        <w:spacing w:line="22" w:lineRule="atLeast"/>
        <w:ind w:left="0"/>
        <w:rPr>
          <w:rFonts w:cstheme="minorHAnsi"/>
          <w:i/>
          <w:iCs/>
        </w:rPr>
      </w:pPr>
      <w:r w:rsidRPr="001F5B39">
        <w:rPr>
          <w:rFonts w:cstheme="minorHAnsi"/>
          <w:b/>
          <w:i/>
          <w:iCs/>
        </w:rPr>
        <w:t>Analysis</w:t>
      </w:r>
    </w:p>
    <w:p w14:paraId="51929136" w14:textId="7AA6B9B6" w:rsidR="00D21E9C" w:rsidRDefault="00D21E9C" w:rsidP="00D21E9C">
      <w:pPr>
        <w:spacing w:line="22" w:lineRule="atLeast"/>
      </w:pPr>
      <w:r>
        <w:t>Models of vegetation responses to inundation duration over the IVT period show similar patterns of responses to models of inundation over the year. This suggests that response over the growth season may exert the most influence on vegetation.  To explore this, it would be useful to develop models that can assess the relative influence of inundation in different seasons on vegetation attributes at the end of the growth season (i.e., March surveys).</w:t>
      </w:r>
    </w:p>
    <w:p w14:paraId="7ED99E4E" w14:textId="5D6FAC66" w:rsidR="00D21E9C" w:rsidRDefault="00D21E9C" w:rsidP="00D21E9C">
      <w:pPr>
        <w:spacing w:line="22" w:lineRule="atLeast"/>
      </w:pPr>
      <w:r>
        <w:t>Current models do not assess if responses differ depending on whether inundation is intermittent or continuous and this</w:t>
      </w:r>
      <w:r w:rsidR="003709C1">
        <w:t xml:space="preserve"> </w:t>
      </w:r>
      <w:r>
        <w:t>warrants further attention given its relevance to flow management.</w:t>
      </w:r>
    </w:p>
    <w:p w14:paraId="7D9B006E" w14:textId="77777777" w:rsidR="00D21E9C" w:rsidRDefault="00D21E9C" w:rsidP="00D21E9C">
      <w:pPr>
        <w:spacing w:line="22" w:lineRule="atLeast"/>
      </w:pPr>
    </w:p>
    <w:p w14:paraId="3E6C83F5" w14:textId="77777777" w:rsidR="00D21E9C" w:rsidRPr="00BA2632" w:rsidRDefault="00D21E9C" w:rsidP="00D21E9C">
      <w:pPr>
        <w:spacing w:line="22" w:lineRule="atLeast"/>
      </w:pPr>
    </w:p>
    <w:p w14:paraId="640F1B8E" w14:textId="77777777" w:rsidR="00D21E9C" w:rsidRPr="001F5B39" w:rsidRDefault="00D21E9C" w:rsidP="00D21E9C">
      <w:pPr>
        <w:spacing w:line="22" w:lineRule="atLeast"/>
        <w:rPr>
          <w:rFonts w:cstheme="minorHAnsi"/>
          <w:b/>
          <w:i/>
          <w:iCs/>
        </w:rPr>
      </w:pPr>
      <w:r w:rsidRPr="001F5B39">
        <w:rPr>
          <w:rFonts w:cstheme="minorHAnsi"/>
          <w:b/>
          <w:i/>
          <w:iCs/>
        </w:rPr>
        <w:lastRenderedPageBreak/>
        <w:t>Research</w:t>
      </w:r>
    </w:p>
    <w:p w14:paraId="32A0F05A" w14:textId="77777777" w:rsidR="00D21E9C" w:rsidRPr="00BA2632" w:rsidRDefault="00D21E9C" w:rsidP="00D21E9C">
      <w:pPr>
        <w:spacing w:after="200" w:line="22" w:lineRule="atLeast"/>
        <w:contextualSpacing/>
        <w:rPr>
          <w:rFonts w:cstheme="minorHAnsi"/>
          <w:szCs w:val="24"/>
          <w:lang w:val="en-GB"/>
        </w:rPr>
      </w:pPr>
      <w:r w:rsidRPr="00BA2632">
        <w:rPr>
          <w:rFonts w:cstheme="minorHAnsi"/>
          <w:szCs w:val="24"/>
          <w:lang w:val="en-GB"/>
        </w:rPr>
        <w:t>Adaptive flow management to promote the establishment of vegetation would be supported by research to address the following knowledge gaps:</w:t>
      </w:r>
    </w:p>
    <w:p w14:paraId="63317766" w14:textId="77777777" w:rsidR="00D21E9C" w:rsidRDefault="00D21E9C" w:rsidP="00DE6E94">
      <w:pPr>
        <w:pStyle w:val="ListParagraph"/>
        <w:numPr>
          <w:ilvl w:val="0"/>
          <w:numId w:val="55"/>
        </w:numPr>
        <w:spacing w:line="22" w:lineRule="atLeast"/>
        <w:ind w:left="714" w:hanging="357"/>
        <w:rPr>
          <w:lang w:val="en-GB"/>
        </w:rPr>
      </w:pPr>
      <w:r w:rsidRPr="006401DE">
        <w:rPr>
          <w:lang w:val="en-GB"/>
        </w:rPr>
        <w:t xml:space="preserve">How do fish spawning </w:t>
      </w:r>
      <w:proofErr w:type="spellStart"/>
      <w:r w:rsidRPr="006401DE">
        <w:rPr>
          <w:lang w:val="en-GB"/>
        </w:rPr>
        <w:t>freshes</w:t>
      </w:r>
      <w:proofErr w:type="spellEnd"/>
      <w:r w:rsidRPr="006401DE">
        <w:rPr>
          <w:lang w:val="en-GB"/>
        </w:rPr>
        <w:t xml:space="preserve"> delivered after the </w:t>
      </w:r>
      <w:r>
        <w:rPr>
          <w:lang w:val="en-GB"/>
        </w:rPr>
        <w:t>Spring Fresh</w:t>
      </w:r>
      <w:r w:rsidRPr="006401DE">
        <w:rPr>
          <w:lang w:val="en-GB"/>
        </w:rPr>
        <w:t xml:space="preserve"> influence the survival of young plants that have germinated along </w:t>
      </w:r>
      <w:r>
        <w:rPr>
          <w:lang w:val="en-GB"/>
        </w:rPr>
        <w:t>in the fringing zone</w:t>
      </w:r>
      <w:r w:rsidRPr="006401DE">
        <w:rPr>
          <w:lang w:val="en-GB"/>
        </w:rPr>
        <w:t xml:space="preserve"> following the recession of the </w:t>
      </w:r>
      <w:r>
        <w:rPr>
          <w:lang w:val="en-GB"/>
        </w:rPr>
        <w:t>Spring Fresh</w:t>
      </w:r>
      <w:r w:rsidRPr="006401DE">
        <w:rPr>
          <w:lang w:val="en-GB"/>
        </w:rPr>
        <w:t>?</w:t>
      </w:r>
    </w:p>
    <w:p w14:paraId="7BBE6190" w14:textId="77777777" w:rsidR="00D21E9C" w:rsidRPr="006401DE" w:rsidRDefault="00D21E9C" w:rsidP="00DE6E94">
      <w:pPr>
        <w:pStyle w:val="ListParagraph"/>
        <w:numPr>
          <w:ilvl w:val="0"/>
          <w:numId w:val="55"/>
        </w:numPr>
        <w:spacing w:line="22" w:lineRule="atLeast"/>
        <w:rPr>
          <w:lang w:val="en-GB"/>
        </w:rPr>
      </w:pPr>
      <w:r>
        <w:rPr>
          <w:lang w:val="en-GB"/>
        </w:rPr>
        <w:t xml:space="preserve">Do low flow events that trigger germination deplete propagule availability and reduce the germination response to subsequent low flow events in the same season? </w:t>
      </w:r>
    </w:p>
    <w:p w14:paraId="51B1C587" w14:textId="77777777" w:rsidR="00D21E9C" w:rsidRDefault="00D21E9C" w:rsidP="00DE6E94">
      <w:pPr>
        <w:pStyle w:val="ListParagraph"/>
        <w:numPr>
          <w:ilvl w:val="0"/>
          <w:numId w:val="54"/>
        </w:numPr>
        <w:spacing w:line="22" w:lineRule="atLeast"/>
      </w:pPr>
      <w:r>
        <w:t>Can impacts of high IVT demand on vegetation in the fringing zone be mitigated by delivering IVT flows as short pulses of higher volume to prevent prolonged inundation &gt;25 cm over</w:t>
      </w:r>
      <w:r w:rsidRPr="00D46E2D">
        <w:t xml:space="preserve"> </w:t>
      </w:r>
      <w:r>
        <w:t>summer?</w:t>
      </w:r>
    </w:p>
    <w:p w14:paraId="2BF39B65" w14:textId="77777777" w:rsidR="00D21E9C" w:rsidRDefault="00D21E9C" w:rsidP="00DE6E94">
      <w:pPr>
        <w:pStyle w:val="ListParagraph"/>
        <w:numPr>
          <w:ilvl w:val="0"/>
          <w:numId w:val="54"/>
        </w:numPr>
        <w:spacing w:line="22" w:lineRule="atLeast"/>
      </w:pPr>
      <w:r>
        <w:t>How do elevated IVT flows impact on flowering and seed production of vegetation?</w:t>
      </w:r>
    </w:p>
    <w:p w14:paraId="3B9D32E1" w14:textId="77777777" w:rsidR="00D21E9C" w:rsidRDefault="00D21E9C" w:rsidP="00DE6E94">
      <w:pPr>
        <w:pStyle w:val="ListParagraph"/>
        <w:numPr>
          <w:ilvl w:val="0"/>
          <w:numId w:val="54"/>
        </w:numPr>
        <w:spacing w:line="22" w:lineRule="atLeast"/>
      </w:pPr>
      <w:r>
        <w:t>As newly recruited vegetation matures, is it more tolerant to high summer flows?</w:t>
      </w:r>
    </w:p>
    <w:p w14:paraId="18B5BCA1" w14:textId="77777777" w:rsidR="00D21E9C" w:rsidRDefault="00D21E9C" w:rsidP="00DE6E94">
      <w:pPr>
        <w:pStyle w:val="ListParagraph"/>
        <w:numPr>
          <w:ilvl w:val="0"/>
          <w:numId w:val="54"/>
        </w:numPr>
        <w:spacing w:line="22" w:lineRule="atLeast"/>
      </w:pPr>
      <w:r>
        <w:t>How do antecedent flow conditions and starting vegetation condition influence responses of vegetation to flow events?</w:t>
      </w:r>
    </w:p>
    <w:p w14:paraId="0F122CA1" w14:textId="77777777" w:rsidR="00D21E9C" w:rsidRDefault="00D21E9C" w:rsidP="00DE6E94">
      <w:pPr>
        <w:pStyle w:val="ListParagraph"/>
        <w:numPr>
          <w:ilvl w:val="0"/>
          <w:numId w:val="54"/>
        </w:numPr>
        <w:spacing w:line="22" w:lineRule="atLeast"/>
      </w:pPr>
      <w:r>
        <w:t xml:space="preserve">Do patches of fringing vegetation </w:t>
      </w:r>
      <w:r w:rsidRPr="009762C6">
        <w:t>expand longitudinally under favourable</w:t>
      </w:r>
      <w:r>
        <w:t xml:space="preserve"> flows</w:t>
      </w:r>
      <w:r w:rsidRPr="009762C6">
        <w:t xml:space="preserve"> and how quickly does this occur</w:t>
      </w:r>
      <w:r>
        <w:t>?</w:t>
      </w:r>
    </w:p>
    <w:p w14:paraId="4746E28C" w14:textId="77777777" w:rsidR="00D21E9C" w:rsidRDefault="00D21E9C" w:rsidP="00DE6E94">
      <w:pPr>
        <w:pStyle w:val="ListParagraph"/>
        <w:numPr>
          <w:ilvl w:val="0"/>
          <w:numId w:val="54"/>
        </w:numPr>
        <w:spacing w:line="22" w:lineRule="atLeast"/>
      </w:pPr>
      <w:r>
        <w:t>What non-flow factors constrain recruitment of vegetation on the lower banks including:</w:t>
      </w:r>
    </w:p>
    <w:p w14:paraId="056DE855" w14:textId="77777777" w:rsidR="00D21E9C" w:rsidRDefault="00D21E9C" w:rsidP="00DE6E94">
      <w:pPr>
        <w:pStyle w:val="ListParagraph"/>
        <w:numPr>
          <w:ilvl w:val="1"/>
          <w:numId w:val="54"/>
        </w:numPr>
        <w:spacing w:after="0" w:line="22" w:lineRule="atLeast"/>
      </w:pPr>
      <w:r>
        <w:t xml:space="preserve">propagule availability </w:t>
      </w:r>
    </w:p>
    <w:p w14:paraId="6476C5B1" w14:textId="77777777" w:rsidR="00D21E9C" w:rsidRDefault="00D21E9C" w:rsidP="00DE6E94">
      <w:pPr>
        <w:pStyle w:val="ListParagraph"/>
        <w:numPr>
          <w:ilvl w:val="1"/>
          <w:numId w:val="54"/>
        </w:numPr>
        <w:spacing w:after="0" w:line="22" w:lineRule="atLeast"/>
      </w:pPr>
      <w:r>
        <w:t>bank slope</w:t>
      </w:r>
    </w:p>
    <w:p w14:paraId="3B8AF5B6" w14:textId="77777777" w:rsidR="00D21E9C" w:rsidRDefault="00D21E9C" w:rsidP="00DE6E94">
      <w:pPr>
        <w:pStyle w:val="ListParagraph"/>
        <w:numPr>
          <w:ilvl w:val="1"/>
          <w:numId w:val="54"/>
        </w:numPr>
        <w:spacing w:after="0" w:line="22" w:lineRule="atLeast"/>
      </w:pPr>
      <w:r>
        <w:t xml:space="preserve">retentive features </w:t>
      </w:r>
    </w:p>
    <w:p w14:paraId="5D011BDC" w14:textId="77777777" w:rsidR="00D21E9C" w:rsidRPr="009762C6" w:rsidRDefault="00D21E9C" w:rsidP="00DE6E94">
      <w:pPr>
        <w:pStyle w:val="ListParagraph"/>
        <w:numPr>
          <w:ilvl w:val="1"/>
          <w:numId w:val="54"/>
        </w:numPr>
        <w:spacing w:after="0" w:line="22" w:lineRule="atLeast"/>
      </w:pPr>
      <w:r>
        <w:t xml:space="preserve">shade </w:t>
      </w:r>
    </w:p>
    <w:p w14:paraId="0E96B179" w14:textId="77777777" w:rsidR="00D21E9C" w:rsidRDefault="00D21E9C" w:rsidP="00DE6E94">
      <w:pPr>
        <w:pStyle w:val="ListParagraph"/>
        <w:numPr>
          <w:ilvl w:val="1"/>
          <w:numId w:val="54"/>
        </w:numPr>
        <w:spacing w:after="0" w:line="22" w:lineRule="atLeast"/>
      </w:pPr>
      <w:r>
        <w:t>flow scour on outside bends</w:t>
      </w:r>
    </w:p>
    <w:p w14:paraId="46232DAC" w14:textId="77777777" w:rsidR="00D21E9C" w:rsidRDefault="00D21E9C" w:rsidP="00D21E9C">
      <w:pPr>
        <w:spacing w:after="0" w:line="22" w:lineRule="atLeast"/>
        <w:ind w:left="1080"/>
      </w:pPr>
    </w:p>
    <w:p w14:paraId="4E9BFA99" w14:textId="77777777" w:rsidR="00D21E9C" w:rsidRDefault="00D21E9C" w:rsidP="00DE6E94">
      <w:pPr>
        <w:pStyle w:val="ListParagraph"/>
        <w:numPr>
          <w:ilvl w:val="0"/>
          <w:numId w:val="54"/>
        </w:numPr>
        <w:spacing w:line="22" w:lineRule="atLeast"/>
      </w:pPr>
      <w:r w:rsidRPr="009762C6">
        <w:t>What is the maximum portion of river length that</w:t>
      </w:r>
      <w:r>
        <w:t xml:space="preserve"> </w:t>
      </w:r>
      <w:r w:rsidRPr="009762C6">
        <w:t>fringing vegetation</w:t>
      </w:r>
      <w:r>
        <w:t xml:space="preserve"> can establish on with</w:t>
      </w:r>
      <w:r w:rsidRPr="009762C6">
        <w:t xml:space="preserve"> optimal </w:t>
      </w:r>
      <w:r>
        <w:t xml:space="preserve">flows, given the non-flow constraints listed above? This can help to set realistic targets for what can be achieved under improved flow conditions. </w:t>
      </w:r>
    </w:p>
    <w:p w14:paraId="50E994A0" w14:textId="77777777" w:rsidR="00D21E9C" w:rsidRDefault="00D21E9C" w:rsidP="00DE6E94">
      <w:pPr>
        <w:pStyle w:val="ListParagraph"/>
        <w:numPr>
          <w:ilvl w:val="0"/>
          <w:numId w:val="54"/>
        </w:numPr>
        <w:spacing w:line="22" w:lineRule="atLeast"/>
      </w:pPr>
      <w:r>
        <w:t>How much</w:t>
      </w:r>
      <w:r w:rsidRPr="009762C6">
        <w:t xml:space="preserve"> fringing vegetation </w:t>
      </w:r>
      <w:r>
        <w:t>i</w:t>
      </w:r>
      <w:r w:rsidRPr="009762C6">
        <w:t>s needed to</w:t>
      </w:r>
      <w:r>
        <w:t xml:space="preserve"> ensure the persistence of plant populations and to</w:t>
      </w:r>
      <w:r w:rsidRPr="009762C6">
        <w:t xml:space="preserve"> support ecological functions such as bank protection and fauna habitat provision</w:t>
      </w:r>
      <w:r>
        <w:t>?</w:t>
      </w:r>
    </w:p>
    <w:p w14:paraId="2BF79E2F" w14:textId="77777777" w:rsidR="00D21E9C" w:rsidRDefault="00D21E9C" w:rsidP="00D21E9C">
      <w:r>
        <w:br w:type="page"/>
      </w:r>
    </w:p>
    <w:p w14:paraId="71FCA959" w14:textId="68B7C91E" w:rsidR="0073393B" w:rsidRPr="00272A33" w:rsidRDefault="00D21E9C" w:rsidP="0073393B">
      <w:pPr>
        <w:pStyle w:val="Heading1"/>
      </w:pPr>
      <w:bookmarkStart w:id="445" w:name="_Toc84416109"/>
      <w:bookmarkStart w:id="446" w:name="_Toc84417392"/>
      <w:bookmarkStart w:id="447" w:name="_Toc84475696"/>
      <w:r>
        <w:lastRenderedPageBreak/>
        <w:t>F</w:t>
      </w:r>
      <w:r w:rsidR="0073393B" w:rsidRPr="00272A33">
        <w:t>ish</w:t>
      </w:r>
      <w:bookmarkEnd w:id="445"/>
      <w:bookmarkEnd w:id="446"/>
      <w:bookmarkEnd w:id="447"/>
    </w:p>
    <w:p w14:paraId="7213C908" w14:textId="70523FE9" w:rsidR="003D4281" w:rsidRPr="00BA2632" w:rsidRDefault="003D4281" w:rsidP="003D4281">
      <w:pPr>
        <w:pStyle w:val="Heading2"/>
      </w:pPr>
      <w:bookmarkStart w:id="448" w:name="_Toc84416110"/>
      <w:bookmarkStart w:id="449" w:name="_Toc84417393"/>
      <w:bookmarkStart w:id="450" w:name="_Toc84475697"/>
      <w:r w:rsidRPr="00BA2632">
        <w:t>Introduction</w:t>
      </w:r>
      <w:bookmarkEnd w:id="448"/>
      <w:bookmarkEnd w:id="449"/>
      <w:bookmarkEnd w:id="450"/>
    </w:p>
    <w:p w14:paraId="05D9C1FA" w14:textId="2A7D994D" w:rsidR="00BA2162" w:rsidRPr="00BA2632" w:rsidRDefault="00BA2162" w:rsidP="00BA2162">
      <w:pPr>
        <w:rPr>
          <w:lang w:eastAsia="en-AU"/>
        </w:rPr>
      </w:pPr>
      <w:r w:rsidRPr="00BA2632">
        <w:rPr>
          <w:lang w:eastAsia="en-AU"/>
        </w:rPr>
        <w:t xml:space="preserve">Riverine ecosystems throughout the Murray-Darling Basin have been greatly modified by the construction of dams and weirs, and associated water regulation. These modifications are linked to major changes in river ecology, including reduced abundance and distribution of native fish populations. Water for the environment, complemented with additional recovery measures, are considered key to rehabilitating native fish populations in the Murray-Darling Basin. The MER Program ‘Fish Theme’, which continues the work undertaken through the LTIM Project, aims to evaluate the benefits of Commonwealth environmental water to native fish populations and improve understanding of flow-ecology and population dynamics of native fish to inform environmental water management for fish </w:t>
      </w:r>
      <w:r w:rsidRPr="00BA2632">
        <w:t>(</w:t>
      </w:r>
      <w:r w:rsidRPr="00946134">
        <w:rPr>
          <w:lang w:eastAsia="en-AU"/>
        </w:rPr>
        <w:t>https://flow-mer.org.au/basin-theme-fish/</w:t>
      </w:r>
      <w:r w:rsidRPr="00BA2632">
        <w:rPr>
          <w:lang w:eastAsia="en-AU"/>
        </w:rPr>
        <w:t xml:space="preserve">). </w:t>
      </w:r>
    </w:p>
    <w:p w14:paraId="0DF3444D" w14:textId="1097E889" w:rsidR="00BA2162" w:rsidRPr="00BA2632" w:rsidRDefault="00BA2162" w:rsidP="00BA2162">
      <w:pPr>
        <w:rPr>
          <w:lang w:eastAsia="en-AU"/>
        </w:rPr>
      </w:pPr>
      <w:r w:rsidRPr="00BA2632">
        <w:rPr>
          <w:lang w:eastAsia="en-AU"/>
        </w:rPr>
        <w:t xml:space="preserve">Two fish monitoring methods are employed in the </w:t>
      </w:r>
      <w:r>
        <w:rPr>
          <w:lang w:eastAsia="en-AU"/>
        </w:rPr>
        <w:t xml:space="preserve">core </w:t>
      </w:r>
      <w:r w:rsidRPr="00BA2632">
        <w:rPr>
          <w:lang w:eastAsia="en-AU"/>
        </w:rPr>
        <w:t>MER Program monitoring in the Lower Goulburn River Selected Area: 1) Annual population surveys using electrofishing and netting, and</w:t>
      </w:r>
      <w:r w:rsidRPr="00BA2632">
        <w:t xml:space="preserve"> 2) </w:t>
      </w:r>
      <w:r w:rsidRPr="00BA2632">
        <w:rPr>
          <w:lang w:eastAsia="en-AU"/>
        </w:rPr>
        <w:t xml:space="preserve">Surveys of eggs and larvae using drift nets. The annual population surveys provide data to be integrated and analysed </w:t>
      </w:r>
      <w:r w:rsidRPr="00BA2632">
        <w:t>across</w:t>
      </w:r>
      <w:r w:rsidRPr="00BA2632">
        <w:rPr>
          <w:lang w:eastAsia="en-AU"/>
        </w:rPr>
        <w:t xml:space="preserve"> all seven Selected Areas in relation to the benefits of water for the environment to native fish populations</w:t>
      </w:r>
      <w:r w:rsidRPr="00BA2632">
        <w:t xml:space="preserve"> </w:t>
      </w:r>
      <w:r w:rsidRPr="00BA2632">
        <w:rPr>
          <w:lang w:eastAsia="en-AU"/>
        </w:rPr>
        <w:t xml:space="preserve">using statistical models </w:t>
      </w:r>
      <w:r w:rsidRPr="00BA2632">
        <w:t>(</w:t>
      </w:r>
      <w:r w:rsidRPr="00946134">
        <w:rPr>
          <w:lang w:eastAsia="en-AU"/>
        </w:rPr>
        <w:t>https://flow-mer.org.au/basin-theme-fish/</w:t>
      </w:r>
      <w:r w:rsidRPr="00BA2632">
        <w:rPr>
          <w:lang w:eastAsia="en-AU"/>
        </w:rPr>
        <w:t xml:space="preserve">). The annual population surveys in the lower Goulburn River build upon annual surveys conducted since 2003 and represent one of the longest continuous sets of fish monitoring data collected in the Murray Darling Basin.  Moreover, this covers a wide range of climatic conditions including record drought, record floods, and a major blackwater event that contributed to widespread fish kills. </w:t>
      </w:r>
    </w:p>
    <w:p w14:paraId="48900574" w14:textId="77777777" w:rsidR="00BA2162" w:rsidRPr="00BA2632" w:rsidRDefault="00BA2162" w:rsidP="00BA2162">
      <w:pPr>
        <w:rPr>
          <w:lang w:eastAsia="en-AU"/>
        </w:rPr>
      </w:pPr>
      <w:r w:rsidRPr="00BA2632">
        <w:rPr>
          <w:lang w:eastAsia="en-AU"/>
        </w:rPr>
        <w:t>The drift net surveys in the lower Goulburn River collect eggs and larvae of a range of fish species, but specifically aim to examine the influence of flow on spawning of golden perch and silver perch. Environmental flows aimed specifically at initiating spawning in golden perch</w:t>
      </w:r>
      <w:r>
        <w:rPr>
          <w:lang w:eastAsia="en-AU"/>
        </w:rPr>
        <w:t xml:space="preserve"> (</w:t>
      </w:r>
      <w:proofErr w:type="spellStart"/>
      <w:r w:rsidRPr="009A6FAC">
        <w:rPr>
          <w:i/>
          <w:iCs/>
          <w:lang w:eastAsia="en-AU"/>
        </w:rPr>
        <w:t>Macquaria</w:t>
      </w:r>
      <w:proofErr w:type="spellEnd"/>
      <w:r w:rsidRPr="009A6FAC">
        <w:rPr>
          <w:i/>
          <w:iCs/>
          <w:lang w:eastAsia="en-AU"/>
        </w:rPr>
        <w:t xml:space="preserve"> </w:t>
      </w:r>
      <w:proofErr w:type="spellStart"/>
      <w:r w:rsidRPr="009A6FAC">
        <w:rPr>
          <w:i/>
          <w:iCs/>
          <w:lang w:eastAsia="en-AU"/>
        </w:rPr>
        <w:t>ambigua</w:t>
      </w:r>
      <w:proofErr w:type="spellEnd"/>
      <w:r w:rsidRPr="009A6FAC">
        <w:rPr>
          <w:lang w:eastAsia="en-AU"/>
        </w:rPr>
        <w:t>)</w:t>
      </w:r>
      <w:r w:rsidRPr="00BA2632">
        <w:rPr>
          <w:lang w:eastAsia="en-AU"/>
        </w:rPr>
        <w:t xml:space="preserve"> and silver perch</w:t>
      </w:r>
      <w:r>
        <w:rPr>
          <w:lang w:eastAsia="en-AU"/>
        </w:rPr>
        <w:t xml:space="preserve"> (</w:t>
      </w:r>
      <w:proofErr w:type="spellStart"/>
      <w:r w:rsidRPr="009A6FAC">
        <w:rPr>
          <w:i/>
          <w:iCs/>
          <w:lang w:eastAsia="en-AU"/>
        </w:rPr>
        <w:t>Bidyanus</w:t>
      </w:r>
      <w:proofErr w:type="spellEnd"/>
      <w:r w:rsidRPr="009A6FAC">
        <w:rPr>
          <w:i/>
          <w:iCs/>
          <w:lang w:eastAsia="en-AU"/>
        </w:rPr>
        <w:t xml:space="preserve"> </w:t>
      </w:r>
      <w:proofErr w:type="spellStart"/>
      <w:r w:rsidRPr="009A6FAC">
        <w:rPr>
          <w:i/>
          <w:iCs/>
          <w:lang w:eastAsia="en-AU"/>
        </w:rPr>
        <w:t>bidyanus</w:t>
      </w:r>
      <w:proofErr w:type="spellEnd"/>
      <w:r>
        <w:rPr>
          <w:lang w:eastAsia="en-AU"/>
        </w:rPr>
        <w:t>)</w:t>
      </w:r>
      <w:r w:rsidRPr="00BA2632">
        <w:rPr>
          <w:lang w:eastAsia="en-AU"/>
        </w:rPr>
        <w:t xml:space="preserve"> have been introduced into the management of regulated rivers in the Murray-Darling Basin in recent years by the Commonwealth Environmental Water Office, with planning and delivery in partnership with Ca</w:t>
      </w:r>
      <w:r w:rsidRPr="00BA2632">
        <w:t>tchment Management Authorities. Spawning of both species has been linked to flows, but there is a need for a more detailed understanding of how components of the flow regime such as timing, duration, and magnitude affect spawning</w:t>
      </w:r>
      <w:r>
        <w:t>,</w:t>
      </w:r>
      <w:r w:rsidRPr="00BA2632">
        <w:t xml:space="preserve"> </w:t>
      </w:r>
      <w:proofErr w:type="gramStart"/>
      <w:r w:rsidRPr="00BA2632">
        <w:t>in order to</w:t>
      </w:r>
      <w:proofErr w:type="gramEnd"/>
      <w:r w:rsidRPr="00BA2632">
        <w:t xml:space="preserve"> develop and refine environmental flow delivery strategies. </w:t>
      </w:r>
    </w:p>
    <w:p w14:paraId="18F6BEB9" w14:textId="703F057E" w:rsidR="003D4281" w:rsidRPr="00BA2632" w:rsidRDefault="003D4281" w:rsidP="003D4281">
      <w:pPr>
        <w:pStyle w:val="Heading2"/>
      </w:pPr>
      <w:bookmarkStart w:id="451" w:name="_Toc84416111"/>
      <w:bookmarkStart w:id="452" w:name="_Toc84417394"/>
      <w:bookmarkStart w:id="453" w:name="_Toc84475698"/>
      <w:r w:rsidRPr="00BA2632">
        <w:t>Basin and area specific evaluation questions</w:t>
      </w:r>
      <w:bookmarkEnd w:id="451"/>
      <w:bookmarkEnd w:id="452"/>
      <w:bookmarkEnd w:id="453"/>
    </w:p>
    <w:p w14:paraId="4CFF7920" w14:textId="7F657585" w:rsidR="003D4281" w:rsidRPr="00BA2632" w:rsidRDefault="003D4281" w:rsidP="003D4281">
      <w:r w:rsidRPr="00BA2632">
        <w:t xml:space="preserve">The key basin and area-scale evaluation questions and relevant indicators for fish are listed in </w:t>
      </w:r>
      <w:r w:rsidR="003F697A" w:rsidRPr="00BA2632">
        <w:t xml:space="preserve">Table </w:t>
      </w:r>
      <w:r w:rsidR="003F697A">
        <w:rPr>
          <w:noProof/>
        </w:rPr>
        <w:t>8</w:t>
      </w:r>
      <w:r w:rsidR="003F697A">
        <w:rPr>
          <w:noProof/>
        </w:rPr>
        <w:noBreakHyphen/>
        <w:t>1</w:t>
      </w:r>
      <w:r w:rsidRPr="00BA2632">
        <w:t>.</w:t>
      </w:r>
    </w:p>
    <w:p w14:paraId="7FD6AA1F" w14:textId="02C5B821" w:rsidR="003D4281" w:rsidRPr="00BA2632" w:rsidRDefault="003D4281" w:rsidP="003D4281">
      <w:pPr>
        <w:pStyle w:val="Caption"/>
        <w:jc w:val="left"/>
        <w:rPr>
          <w:rFonts w:cstheme="minorHAnsi"/>
        </w:rPr>
      </w:pPr>
      <w:bookmarkStart w:id="454" w:name="_Ref46913920"/>
      <w:bookmarkStart w:id="455" w:name="_Toc95391488"/>
      <w:r w:rsidRPr="00BA2632">
        <w:t xml:space="preserve">Table </w:t>
      </w:r>
      <w:r w:rsidR="000B75AF">
        <w:rPr>
          <w:noProof/>
        </w:rPr>
        <w:t>8</w:t>
      </w:r>
      <w:r w:rsidR="000B75AF">
        <w:noBreakHyphen/>
      </w:r>
      <w:r w:rsidR="000B75AF">
        <w:rPr>
          <w:noProof/>
        </w:rPr>
        <w:t>1</w:t>
      </w:r>
      <w:bookmarkEnd w:id="454"/>
      <w:r w:rsidRPr="00BA2632">
        <w:t xml:space="preserve"> </w:t>
      </w:r>
      <w:r w:rsidRPr="00BA2632">
        <w:rPr>
          <w:rFonts w:cstheme="minorHAnsi"/>
        </w:rPr>
        <w:t>Fish key evaluation questions for the Goulburn selected area and associated indicators and evaluation approaches.</w:t>
      </w:r>
      <w:bookmarkEnd w:id="455"/>
    </w:p>
    <w:tbl>
      <w:tblPr>
        <w:tblStyle w:val="LightList-Accent11"/>
        <w:tblpPr w:leftFromText="180" w:rightFromText="180" w:vertAnchor="text" w:horzAnchor="margin" w:tblpXSpec="center" w:tblpY="11"/>
        <w:tblW w:w="10060" w:type="dxa"/>
        <w:tblLook w:val="04A0" w:firstRow="1" w:lastRow="0" w:firstColumn="1" w:lastColumn="0" w:noHBand="0" w:noVBand="1"/>
      </w:tblPr>
      <w:tblGrid>
        <w:gridCol w:w="2967"/>
        <w:gridCol w:w="2693"/>
        <w:gridCol w:w="4400"/>
      </w:tblGrid>
      <w:tr w:rsidR="003D4281" w:rsidRPr="00BA2632" w14:paraId="60A488DC" w14:textId="77777777" w:rsidTr="004305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7" w:type="dxa"/>
          </w:tcPr>
          <w:p w14:paraId="69495DDF" w14:textId="77777777" w:rsidR="003D4281" w:rsidRPr="00BA2632" w:rsidRDefault="003D4281" w:rsidP="00E26D3C">
            <w:pPr>
              <w:jc w:val="left"/>
              <w:rPr>
                <w:rFonts w:cstheme="minorHAnsi"/>
                <w:b w:val="0"/>
                <w:sz w:val="18"/>
                <w:szCs w:val="18"/>
              </w:rPr>
            </w:pPr>
            <w:r w:rsidRPr="00BA2632">
              <w:rPr>
                <w:rFonts w:cstheme="minorHAnsi"/>
                <w:sz w:val="18"/>
                <w:szCs w:val="18"/>
              </w:rPr>
              <w:t>Key Evaluation Questions</w:t>
            </w:r>
          </w:p>
        </w:tc>
        <w:tc>
          <w:tcPr>
            <w:tcW w:w="2693" w:type="dxa"/>
          </w:tcPr>
          <w:p w14:paraId="3EA32288" w14:textId="77777777" w:rsidR="003D4281" w:rsidRPr="00BA2632" w:rsidRDefault="003D4281" w:rsidP="00E26D3C">
            <w:pPr>
              <w:jc w:val="left"/>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BA2632">
              <w:rPr>
                <w:rFonts w:cstheme="minorHAnsi"/>
                <w:sz w:val="18"/>
                <w:szCs w:val="18"/>
              </w:rPr>
              <w:t>Indicator</w:t>
            </w:r>
          </w:p>
        </w:tc>
        <w:tc>
          <w:tcPr>
            <w:tcW w:w="4400" w:type="dxa"/>
          </w:tcPr>
          <w:p w14:paraId="1370922D" w14:textId="77777777" w:rsidR="003D4281" w:rsidRPr="00BA2632" w:rsidRDefault="003D4281" w:rsidP="00E26D3C">
            <w:pPr>
              <w:jc w:val="left"/>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BA2632">
              <w:rPr>
                <w:rFonts w:cstheme="minorHAnsi"/>
                <w:sz w:val="18"/>
                <w:szCs w:val="18"/>
              </w:rPr>
              <w:t>Evaluation Approaches</w:t>
            </w:r>
          </w:p>
        </w:tc>
      </w:tr>
      <w:tr w:rsidR="003D4281" w:rsidRPr="00BA2632" w14:paraId="1BAD8585" w14:textId="77777777" w:rsidTr="00430523">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10060" w:type="dxa"/>
            <w:gridSpan w:val="3"/>
          </w:tcPr>
          <w:p w14:paraId="232348D3" w14:textId="77777777" w:rsidR="003D4281" w:rsidRPr="00BA2632" w:rsidRDefault="003D4281" w:rsidP="00E26D3C">
            <w:pPr>
              <w:pStyle w:val="Tablebullet"/>
              <w:ind w:left="283"/>
              <w:jc w:val="center"/>
              <w:rPr>
                <w:rFonts w:cstheme="minorHAnsi"/>
                <w:sz w:val="18"/>
                <w:szCs w:val="18"/>
              </w:rPr>
            </w:pPr>
            <w:r w:rsidRPr="00BA2632">
              <w:rPr>
                <w:rFonts w:cstheme="minorHAnsi"/>
                <w:sz w:val="18"/>
                <w:szCs w:val="18"/>
              </w:rPr>
              <w:t>Basin Scale evaluation Questions</w:t>
            </w:r>
          </w:p>
        </w:tc>
      </w:tr>
      <w:tr w:rsidR="003D4281" w:rsidRPr="00BA2632" w14:paraId="3112653A" w14:textId="77777777" w:rsidTr="00430523">
        <w:trPr>
          <w:trHeight w:val="702"/>
        </w:trPr>
        <w:tc>
          <w:tcPr>
            <w:cnfStyle w:val="001000000000" w:firstRow="0" w:lastRow="0" w:firstColumn="1" w:lastColumn="0" w:oddVBand="0" w:evenVBand="0" w:oddHBand="0" w:evenHBand="0" w:firstRowFirstColumn="0" w:firstRowLastColumn="0" w:lastRowFirstColumn="0" w:lastRowLastColumn="0"/>
            <w:tcW w:w="2967" w:type="dxa"/>
          </w:tcPr>
          <w:p w14:paraId="6AE80200" w14:textId="77777777" w:rsidR="003D4281" w:rsidRPr="00BA2632" w:rsidRDefault="003D4281"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 xml:space="preserve">What did CEW contribute to sustaining native fish populations? </w:t>
            </w:r>
          </w:p>
        </w:tc>
        <w:tc>
          <w:tcPr>
            <w:tcW w:w="2693" w:type="dxa"/>
          </w:tcPr>
          <w:p w14:paraId="61A1AD2A" w14:textId="77777777" w:rsidR="003D4281" w:rsidRPr="00BA2632" w:rsidRDefault="003D4281" w:rsidP="00E26D3C">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Fish species occurrence and abundance (Specific indicators to be confirmed at Basin Scale)</w:t>
            </w:r>
          </w:p>
        </w:tc>
        <w:tc>
          <w:tcPr>
            <w:tcW w:w="4400" w:type="dxa"/>
          </w:tcPr>
          <w:p w14:paraId="127D0525" w14:textId="77777777" w:rsidR="003D4281" w:rsidRPr="00BA2632" w:rsidRDefault="003D4281" w:rsidP="00E26D3C">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Annual population surveys (electrofishing and netting), and surveys of eggs and larvae (drift nets).</w:t>
            </w:r>
          </w:p>
          <w:p w14:paraId="613B0A98" w14:textId="77777777" w:rsidR="003D4281" w:rsidRPr="00BA2632" w:rsidRDefault="003D4281" w:rsidP="00E26D3C">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 xml:space="preserve">All data </w:t>
            </w:r>
            <w:proofErr w:type="gramStart"/>
            <w:r w:rsidRPr="00BA2632">
              <w:rPr>
                <w:rFonts w:cstheme="minorHAnsi"/>
                <w:sz w:val="18"/>
                <w:szCs w:val="18"/>
              </w:rPr>
              <w:t>entered into</w:t>
            </w:r>
            <w:proofErr w:type="gramEnd"/>
            <w:r w:rsidRPr="00BA2632">
              <w:rPr>
                <w:rFonts w:cstheme="minorHAnsi"/>
                <w:sz w:val="18"/>
                <w:szCs w:val="18"/>
              </w:rPr>
              <w:t xml:space="preserve"> the MDMS for use in statistical analysis at the Basin-Scale to examine relationships between fish population metrics and flow data.</w:t>
            </w:r>
          </w:p>
        </w:tc>
      </w:tr>
      <w:tr w:rsidR="003D4281" w:rsidRPr="00BA2632" w14:paraId="0DDC3B3B" w14:textId="77777777" w:rsidTr="00430523">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967" w:type="dxa"/>
          </w:tcPr>
          <w:p w14:paraId="29C22D26" w14:textId="77777777" w:rsidR="003D4281" w:rsidRPr="00BA2632" w:rsidRDefault="003D4281"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What did CEW contribute to sustaining native fish reproduction?</w:t>
            </w:r>
          </w:p>
        </w:tc>
        <w:tc>
          <w:tcPr>
            <w:tcW w:w="2693" w:type="dxa"/>
          </w:tcPr>
          <w:p w14:paraId="194AE4CC" w14:textId="77777777" w:rsidR="003D4281" w:rsidRPr="00BA2632" w:rsidRDefault="003D4281" w:rsidP="00E26D3C">
            <w:pPr>
              <w:pStyle w:val="Tablebullet"/>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Occurrence and counts of eggs and larval fish (Specific indicators to be confirmed at Basin Scale)</w:t>
            </w:r>
          </w:p>
        </w:tc>
        <w:tc>
          <w:tcPr>
            <w:tcW w:w="4400" w:type="dxa"/>
          </w:tcPr>
          <w:p w14:paraId="69381F5A" w14:textId="77777777" w:rsidR="003D4281" w:rsidRPr="00BA2632" w:rsidRDefault="003D4281" w:rsidP="00E26D3C">
            <w:pPr>
              <w:pStyle w:val="Tablebullet"/>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Observations based on surveys of eggs and larvae (drift nets).</w:t>
            </w:r>
          </w:p>
          <w:p w14:paraId="2917B735" w14:textId="77777777" w:rsidR="003D4281" w:rsidRPr="00BA2632" w:rsidRDefault="003D4281" w:rsidP="00E26D3C">
            <w:pPr>
              <w:pStyle w:val="Tablebullet"/>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Statistical models predicting the likelihood of spawning.</w:t>
            </w:r>
          </w:p>
        </w:tc>
      </w:tr>
      <w:tr w:rsidR="003D4281" w:rsidRPr="00BA2632" w14:paraId="302693CA" w14:textId="77777777" w:rsidTr="00430523">
        <w:trPr>
          <w:trHeight w:val="702"/>
        </w:trPr>
        <w:tc>
          <w:tcPr>
            <w:cnfStyle w:val="001000000000" w:firstRow="0" w:lastRow="0" w:firstColumn="1" w:lastColumn="0" w:oddVBand="0" w:evenVBand="0" w:oddHBand="0" w:evenHBand="0" w:firstRowFirstColumn="0" w:firstRowLastColumn="0" w:lastRowFirstColumn="0" w:lastRowLastColumn="0"/>
            <w:tcW w:w="2967" w:type="dxa"/>
          </w:tcPr>
          <w:p w14:paraId="54D90B24" w14:textId="77777777" w:rsidR="003D4281" w:rsidRPr="00BA2632" w:rsidRDefault="003D4281"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What did CEW contribute to sustaining native fish survival?</w:t>
            </w:r>
          </w:p>
        </w:tc>
        <w:tc>
          <w:tcPr>
            <w:tcW w:w="2693" w:type="dxa"/>
          </w:tcPr>
          <w:p w14:paraId="258D5393" w14:textId="77777777" w:rsidR="003D4281" w:rsidRPr="00BA2632" w:rsidRDefault="003D4281" w:rsidP="00E26D3C">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Fish species occurrence and abundance (Specific indicators to be confirmed at Basin Scale)</w:t>
            </w:r>
          </w:p>
        </w:tc>
        <w:tc>
          <w:tcPr>
            <w:tcW w:w="4400" w:type="dxa"/>
          </w:tcPr>
          <w:p w14:paraId="39CBECAB" w14:textId="77777777" w:rsidR="003D4281" w:rsidRPr="00BA2632" w:rsidRDefault="003D4281" w:rsidP="00E26D3C">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Annual population surveys (electrofishing and netting).</w:t>
            </w:r>
          </w:p>
          <w:p w14:paraId="5F4333C9" w14:textId="77777777" w:rsidR="003D4281" w:rsidRPr="00BA2632" w:rsidRDefault="003D4281" w:rsidP="00E26D3C">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 xml:space="preserve">All data </w:t>
            </w:r>
            <w:proofErr w:type="gramStart"/>
            <w:r w:rsidRPr="00BA2632">
              <w:rPr>
                <w:rFonts w:cstheme="minorHAnsi"/>
                <w:sz w:val="18"/>
                <w:szCs w:val="18"/>
              </w:rPr>
              <w:t>entered into</w:t>
            </w:r>
            <w:proofErr w:type="gramEnd"/>
            <w:r w:rsidRPr="00BA2632">
              <w:rPr>
                <w:rFonts w:cstheme="minorHAnsi"/>
                <w:sz w:val="18"/>
                <w:szCs w:val="18"/>
              </w:rPr>
              <w:t xml:space="preserve"> the MDMS for use in statistical analysis at the Basin-Scale to examine relationships between fish survival metrics and flow data.</w:t>
            </w:r>
          </w:p>
        </w:tc>
      </w:tr>
      <w:tr w:rsidR="003D4281" w:rsidRPr="00BA2632" w14:paraId="56C26386" w14:textId="77777777" w:rsidTr="00430523">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0060" w:type="dxa"/>
            <w:gridSpan w:val="3"/>
            <w:vAlign w:val="center"/>
          </w:tcPr>
          <w:p w14:paraId="53008A31" w14:textId="77777777" w:rsidR="003D4281" w:rsidRPr="00BA2632" w:rsidRDefault="003D4281" w:rsidP="00E26D3C">
            <w:pPr>
              <w:pStyle w:val="Tablebullet"/>
              <w:ind w:left="283"/>
              <w:jc w:val="center"/>
              <w:rPr>
                <w:rFonts w:cstheme="minorHAnsi"/>
                <w:sz w:val="18"/>
                <w:szCs w:val="18"/>
              </w:rPr>
            </w:pPr>
            <w:r w:rsidRPr="00BA2632">
              <w:rPr>
                <w:rFonts w:cstheme="minorHAnsi"/>
                <w:sz w:val="18"/>
                <w:szCs w:val="18"/>
              </w:rPr>
              <w:t>Area Scale evaluation questions</w:t>
            </w:r>
          </w:p>
        </w:tc>
      </w:tr>
      <w:tr w:rsidR="003D4281" w:rsidRPr="00BA2632" w14:paraId="4856CDB0" w14:textId="77777777" w:rsidTr="00430523">
        <w:trPr>
          <w:trHeight w:val="702"/>
        </w:trPr>
        <w:tc>
          <w:tcPr>
            <w:cnfStyle w:val="001000000000" w:firstRow="0" w:lastRow="0" w:firstColumn="1" w:lastColumn="0" w:oddVBand="0" w:evenVBand="0" w:oddHBand="0" w:evenHBand="0" w:firstRowFirstColumn="0" w:firstRowLastColumn="0" w:lastRowFirstColumn="0" w:lastRowLastColumn="0"/>
            <w:tcW w:w="2967" w:type="dxa"/>
          </w:tcPr>
          <w:p w14:paraId="7A70F0D4" w14:textId="77777777" w:rsidR="003D4281" w:rsidRPr="00BA2632" w:rsidRDefault="003D4281"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t>What did CEW contribute to the recruitment of golden perch in the adult population in the lower Goulburn River?</w:t>
            </w:r>
          </w:p>
        </w:tc>
        <w:tc>
          <w:tcPr>
            <w:tcW w:w="2693" w:type="dxa"/>
          </w:tcPr>
          <w:p w14:paraId="59D3FD75" w14:textId="77777777" w:rsidR="003D4281" w:rsidRPr="00BA2632" w:rsidRDefault="003D4281" w:rsidP="00E26D3C">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rFonts w:cstheme="minorHAnsi"/>
                <w:sz w:val="18"/>
                <w:szCs w:val="18"/>
              </w:rPr>
              <w:t>Counts of young-of-year golden perch in annual surveys.</w:t>
            </w:r>
          </w:p>
        </w:tc>
        <w:tc>
          <w:tcPr>
            <w:tcW w:w="4400" w:type="dxa"/>
          </w:tcPr>
          <w:p w14:paraId="34AF68DE" w14:textId="77777777" w:rsidR="003D4281" w:rsidRPr="00BA2632" w:rsidRDefault="003D4281" w:rsidP="00E26D3C">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A2632">
              <w:rPr>
                <w:sz w:val="18"/>
                <w:szCs w:val="18"/>
              </w:rPr>
              <w:t xml:space="preserve">Annual population surveys (electrofishing and netting). </w:t>
            </w:r>
          </w:p>
        </w:tc>
      </w:tr>
      <w:tr w:rsidR="003D4281" w:rsidRPr="00BA2632" w14:paraId="70D0A0B1" w14:textId="77777777" w:rsidTr="004305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7" w:type="dxa"/>
          </w:tcPr>
          <w:p w14:paraId="451DA5E4" w14:textId="77777777" w:rsidR="003D4281" w:rsidRPr="00BA2632" w:rsidRDefault="003D4281" w:rsidP="00E26D3C">
            <w:pPr>
              <w:pStyle w:val="Tablesmalltext"/>
              <w:jc w:val="left"/>
              <w:rPr>
                <w:rStyle w:val="Strong"/>
                <w:rFonts w:ascii="Calibri" w:hAnsi="Calibri" w:cstheme="minorHAnsi"/>
                <w:sz w:val="18"/>
                <w:szCs w:val="18"/>
              </w:rPr>
            </w:pPr>
            <w:r w:rsidRPr="00BA2632">
              <w:rPr>
                <w:rStyle w:val="Strong"/>
                <w:rFonts w:ascii="Calibri" w:hAnsi="Calibri" w:cstheme="minorHAnsi"/>
                <w:sz w:val="18"/>
                <w:szCs w:val="18"/>
              </w:rPr>
              <w:lastRenderedPageBreak/>
              <w:t>What did CEW contribute to golden perch or silver perch spawning?</w:t>
            </w:r>
          </w:p>
        </w:tc>
        <w:tc>
          <w:tcPr>
            <w:tcW w:w="2693" w:type="dxa"/>
          </w:tcPr>
          <w:p w14:paraId="1D71E436" w14:textId="77777777" w:rsidR="003D4281" w:rsidRPr="00BA2632" w:rsidRDefault="003D4281" w:rsidP="00E26D3C">
            <w:pPr>
              <w:pStyle w:val="Tablebullet"/>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Counts of eggs and larvae in drift net surveys.</w:t>
            </w:r>
          </w:p>
        </w:tc>
        <w:tc>
          <w:tcPr>
            <w:tcW w:w="4400" w:type="dxa"/>
          </w:tcPr>
          <w:p w14:paraId="354CB0ED" w14:textId="77777777" w:rsidR="003D4281" w:rsidRPr="00BA2632" w:rsidRDefault="003D4281" w:rsidP="00E26D3C">
            <w:pPr>
              <w:pStyle w:val="Tablebullet"/>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Observations based on surveys of eggs and larvae (drift nets).</w:t>
            </w:r>
          </w:p>
          <w:p w14:paraId="5A2C4E9C" w14:textId="77777777" w:rsidR="003D4281" w:rsidRPr="00BA2632" w:rsidRDefault="003D4281" w:rsidP="00E26D3C">
            <w:pPr>
              <w:pStyle w:val="Tablebullet"/>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Statistical models predicting the likelihood of spawning.</w:t>
            </w:r>
          </w:p>
        </w:tc>
      </w:tr>
    </w:tbl>
    <w:p w14:paraId="0EB1A755" w14:textId="77777777" w:rsidR="003D4281" w:rsidRPr="00BA2632" w:rsidRDefault="003D4281" w:rsidP="003D4281">
      <w:pPr>
        <w:rPr>
          <w:lang w:eastAsia="en-US"/>
        </w:rPr>
      </w:pPr>
    </w:p>
    <w:p w14:paraId="506D1343" w14:textId="327CC8BA" w:rsidR="003D4281" w:rsidRPr="00BA2632" w:rsidRDefault="003D4281" w:rsidP="003D4281">
      <w:pPr>
        <w:pStyle w:val="Heading2"/>
      </w:pPr>
      <w:bookmarkStart w:id="456" w:name="_Toc84416112"/>
      <w:bookmarkStart w:id="457" w:name="_Toc84417395"/>
      <w:bookmarkStart w:id="458" w:name="_Toc84475699"/>
      <w:r w:rsidRPr="00BA2632">
        <w:t>Main findings from monitoring program</w:t>
      </w:r>
      <w:bookmarkEnd w:id="456"/>
      <w:bookmarkEnd w:id="457"/>
      <w:bookmarkEnd w:id="458"/>
    </w:p>
    <w:p w14:paraId="2A1B65C7" w14:textId="77777777" w:rsidR="001F6749" w:rsidRPr="00BA2632" w:rsidRDefault="001F6749" w:rsidP="001F6749">
      <w:pPr>
        <w:rPr>
          <w:lang w:eastAsia="en-US"/>
        </w:rPr>
      </w:pPr>
      <w:bookmarkStart w:id="459" w:name="_Hlk48221308"/>
      <w:r w:rsidRPr="00BA2632">
        <w:rPr>
          <w:lang w:eastAsia="en-US"/>
        </w:rPr>
        <w:t>The following sections provides a high-level summary of the outcomes of the 20</w:t>
      </w:r>
      <w:r>
        <w:rPr>
          <w:lang w:eastAsia="en-US"/>
        </w:rPr>
        <w:t>20</w:t>
      </w:r>
      <w:r w:rsidRPr="00BA2632">
        <w:rPr>
          <w:lang w:eastAsia="en-US"/>
        </w:rPr>
        <w:t>-2</w:t>
      </w:r>
      <w:r>
        <w:rPr>
          <w:lang w:eastAsia="en-US"/>
        </w:rPr>
        <w:t>1</w:t>
      </w:r>
      <w:r w:rsidRPr="00BA2632">
        <w:rPr>
          <w:lang w:eastAsia="en-US"/>
        </w:rPr>
        <w:t xml:space="preserve"> monitoring and the implications of these findings to previous years outcomes.  </w:t>
      </w:r>
    </w:p>
    <w:p w14:paraId="32E18A22" w14:textId="77777777" w:rsidR="003D4281" w:rsidRPr="00BA2632" w:rsidRDefault="003D4281" w:rsidP="003D4281">
      <w:pPr>
        <w:pStyle w:val="Heading3"/>
      </w:pPr>
      <w:bookmarkStart w:id="460" w:name="_Toc84417396"/>
      <w:r w:rsidRPr="00BA2632">
        <w:t>20</w:t>
      </w:r>
      <w:r>
        <w:t>20</w:t>
      </w:r>
      <w:r w:rsidRPr="00BA2632">
        <w:t>/2</w:t>
      </w:r>
      <w:r>
        <w:t>1</w:t>
      </w:r>
      <w:r w:rsidRPr="00BA2632">
        <w:t xml:space="preserve"> findings</w:t>
      </w:r>
      <w:bookmarkEnd w:id="460"/>
    </w:p>
    <w:bookmarkEnd w:id="459"/>
    <w:p w14:paraId="44D79BB2" w14:textId="77777777" w:rsidR="00C674AA" w:rsidRPr="00BA2632" w:rsidRDefault="00C674AA" w:rsidP="00C674AA">
      <w:pPr>
        <w:pStyle w:val="Para0"/>
        <w:rPr>
          <w:rFonts w:asciiTheme="minorHAnsi" w:hAnsiTheme="minorHAnsi" w:cstheme="minorBidi"/>
        </w:rPr>
      </w:pPr>
      <w:r w:rsidRPr="00BA2632">
        <w:rPr>
          <w:rFonts w:asciiTheme="minorHAnsi" w:hAnsiTheme="minorHAnsi" w:cstheme="minorBidi"/>
        </w:rPr>
        <w:t>The main findings from the 20</w:t>
      </w:r>
      <w:r>
        <w:rPr>
          <w:rFonts w:asciiTheme="minorHAnsi" w:hAnsiTheme="minorHAnsi" w:cstheme="minorBidi"/>
        </w:rPr>
        <w:t>20</w:t>
      </w:r>
      <w:r w:rsidRPr="00BA2632">
        <w:rPr>
          <w:rFonts w:asciiTheme="minorHAnsi" w:hAnsiTheme="minorHAnsi" w:cstheme="minorBidi"/>
        </w:rPr>
        <w:t>-2</w:t>
      </w:r>
      <w:r>
        <w:rPr>
          <w:rFonts w:asciiTheme="minorHAnsi" w:hAnsiTheme="minorHAnsi" w:cstheme="minorBidi"/>
        </w:rPr>
        <w:t>1</w:t>
      </w:r>
      <w:r w:rsidRPr="00BA2632">
        <w:rPr>
          <w:rFonts w:asciiTheme="minorHAnsi" w:hAnsiTheme="minorHAnsi" w:cstheme="minorBidi"/>
        </w:rPr>
        <w:t xml:space="preserve"> monitoring are:</w:t>
      </w:r>
    </w:p>
    <w:p w14:paraId="1E7CDA27" w14:textId="77777777" w:rsidR="00C674AA" w:rsidRDefault="00C674AA" w:rsidP="00DE6E94">
      <w:pPr>
        <w:pStyle w:val="ListParagraph"/>
        <w:numPr>
          <w:ilvl w:val="0"/>
          <w:numId w:val="56"/>
        </w:numPr>
        <w:rPr>
          <w:lang w:eastAsia="en-US"/>
        </w:rPr>
      </w:pPr>
      <w:r>
        <w:rPr>
          <w:lang w:eastAsia="en-US"/>
        </w:rPr>
        <w:t>The nationally threatened trout cod was collected in low numbers in the 2021 annual population surveys. Evidence of spawning was also detected, with larvae of trout cod collected in the drift surveys in November 2020.</w:t>
      </w:r>
    </w:p>
    <w:p w14:paraId="36C9BF85" w14:textId="77777777" w:rsidR="00C674AA" w:rsidRDefault="00C674AA" w:rsidP="00DE6E94">
      <w:pPr>
        <w:pStyle w:val="ListParagraph"/>
        <w:numPr>
          <w:ilvl w:val="0"/>
          <w:numId w:val="56"/>
        </w:numPr>
        <w:rPr>
          <w:lang w:eastAsia="en-US"/>
        </w:rPr>
      </w:pPr>
      <w:r>
        <w:rPr>
          <w:lang w:eastAsia="en-US"/>
        </w:rPr>
        <w:t>A</w:t>
      </w:r>
      <w:r>
        <w:t xml:space="preserve"> large</w:t>
      </w:r>
      <w:r w:rsidRPr="00CC4CE2">
        <w:rPr>
          <w:lang w:eastAsia="en-US"/>
        </w:rPr>
        <w:t xml:space="preserve"> proportion of the</w:t>
      </w:r>
      <w:r>
        <w:rPr>
          <w:lang w:eastAsia="en-US"/>
        </w:rPr>
        <w:t xml:space="preserve"> Murray cod</w:t>
      </w:r>
      <w:r w:rsidRPr="00CC4CE2">
        <w:rPr>
          <w:lang w:eastAsia="en-US"/>
        </w:rPr>
        <w:t xml:space="preserve"> population </w:t>
      </w:r>
      <w:r>
        <w:rPr>
          <w:lang w:eastAsia="en-US"/>
        </w:rPr>
        <w:t>comprised</w:t>
      </w:r>
      <w:r w:rsidRPr="00CC4CE2">
        <w:rPr>
          <w:lang w:eastAsia="en-US"/>
        </w:rPr>
        <w:t xml:space="preserve"> young-of-year fish</w:t>
      </w:r>
      <w:r>
        <w:rPr>
          <w:lang w:eastAsia="en-US"/>
        </w:rPr>
        <w:t>, likely spawned in spring-summer 2020.</w:t>
      </w:r>
    </w:p>
    <w:p w14:paraId="74C51161" w14:textId="77777777" w:rsidR="00C674AA" w:rsidRPr="005716EA" w:rsidRDefault="00C674AA" w:rsidP="00DE6E94">
      <w:pPr>
        <w:pStyle w:val="ListParagraph"/>
        <w:numPr>
          <w:ilvl w:val="0"/>
          <w:numId w:val="56"/>
        </w:numPr>
        <w:rPr>
          <w:lang w:eastAsia="en-US"/>
        </w:rPr>
      </w:pPr>
      <w:r w:rsidRPr="005716EA">
        <w:rPr>
          <w:lang w:eastAsia="en-US"/>
        </w:rPr>
        <w:t xml:space="preserve">There was a considerable increase in </w:t>
      </w:r>
      <w:r w:rsidRPr="00C7189A">
        <w:rPr>
          <w:lang w:eastAsia="en-US"/>
        </w:rPr>
        <w:t xml:space="preserve">the </w:t>
      </w:r>
      <w:r w:rsidRPr="005716EA">
        <w:rPr>
          <w:lang w:eastAsia="en-US"/>
        </w:rPr>
        <w:t xml:space="preserve">abundance of </w:t>
      </w:r>
      <w:r w:rsidRPr="00C7189A">
        <w:rPr>
          <w:lang w:eastAsia="en-US"/>
        </w:rPr>
        <w:t>two small</w:t>
      </w:r>
      <w:r>
        <w:rPr>
          <w:lang w:eastAsia="en-US"/>
        </w:rPr>
        <w:t>-</w:t>
      </w:r>
      <w:r w:rsidRPr="00C7189A">
        <w:rPr>
          <w:lang w:eastAsia="en-US"/>
        </w:rPr>
        <w:t xml:space="preserve">bodied fish species, </w:t>
      </w:r>
      <w:r w:rsidRPr="005716EA">
        <w:rPr>
          <w:lang w:eastAsia="en-US"/>
        </w:rPr>
        <w:t>Murray River rainbowfish</w:t>
      </w:r>
      <w:r w:rsidRPr="00C7189A">
        <w:rPr>
          <w:lang w:eastAsia="en-US"/>
        </w:rPr>
        <w:t xml:space="preserve"> and Australian Smelt,</w:t>
      </w:r>
      <w:r w:rsidRPr="005716EA">
        <w:rPr>
          <w:lang w:eastAsia="en-US"/>
        </w:rPr>
        <w:t xml:space="preserve"> </w:t>
      </w:r>
      <w:r w:rsidRPr="00C7189A">
        <w:rPr>
          <w:lang w:eastAsia="en-US"/>
        </w:rPr>
        <w:t xml:space="preserve">in the 2021 annual </w:t>
      </w:r>
      <w:r>
        <w:rPr>
          <w:lang w:eastAsia="en-US"/>
        </w:rPr>
        <w:t xml:space="preserve">population </w:t>
      </w:r>
      <w:r w:rsidRPr="00C7189A">
        <w:rPr>
          <w:lang w:eastAsia="en-US"/>
        </w:rPr>
        <w:t>surveys</w:t>
      </w:r>
      <w:r w:rsidRPr="005716EA">
        <w:rPr>
          <w:lang w:eastAsia="en-US"/>
        </w:rPr>
        <w:t>.</w:t>
      </w:r>
    </w:p>
    <w:p w14:paraId="47389BB1" w14:textId="77777777" w:rsidR="00C674AA" w:rsidRPr="005716EA" w:rsidRDefault="00C674AA" w:rsidP="00DE6E94">
      <w:pPr>
        <w:pStyle w:val="ListParagraph"/>
        <w:numPr>
          <w:ilvl w:val="0"/>
          <w:numId w:val="56"/>
        </w:numPr>
        <w:rPr>
          <w:lang w:eastAsia="en-US"/>
        </w:rPr>
      </w:pPr>
      <w:r w:rsidRPr="00C7189A">
        <w:rPr>
          <w:lang w:eastAsia="en-US"/>
        </w:rPr>
        <w:t xml:space="preserve">Low numbers of the nationally threatened silver perch were collected in the 2021 </w:t>
      </w:r>
      <w:r>
        <w:rPr>
          <w:lang w:eastAsia="en-US"/>
        </w:rPr>
        <w:t xml:space="preserve">annual population </w:t>
      </w:r>
      <w:r w:rsidRPr="00C7189A">
        <w:rPr>
          <w:lang w:eastAsia="en-US"/>
        </w:rPr>
        <w:t xml:space="preserve">surveys. </w:t>
      </w:r>
      <w:r w:rsidRPr="005716EA">
        <w:rPr>
          <w:lang w:eastAsia="en-AU"/>
        </w:rPr>
        <w:t>Spawning of silver perch was also detected in drift sampling in late November 2020 coinciding with a targeted within-channel enviro</w:t>
      </w:r>
      <w:r w:rsidRPr="005716EA">
        <w:rPr>
          <w:rFonts w:hint="eastAsia"/>
          <w:lang w:eastAsia="en-AU"/>
        </w:rPr>
        <w:t>nmental flow pulse</w:t>
      </w:r>
      <w:r w:rsidRPr="005716EA">
        <w:rPr>
          <w:lang w:eastAsia="en-AU"/>
        </w:rPr>
        <w:t>.</w:t>
      </w:r>
    </w:p>
    <w:p w14:paraId="61B9AD0A" w14:textId="77777777" w:rsidR="00C674AA" w:rsidRDefault="00C674AA" w:rsidP="00DE6E94">
      <w:pPr>
        <w:pStyle w:val="ListParagraph"/>
        <w:numPr>
          <w:ilvl w:val="0"/>
          <w:numId w:val="56"/>
        </w:numPr>
        <w:rPr>
          <w:lang w:eastAsia="en-US"/>
        </w:rPr>
      </w:pPr>
      <w:r>
        <w:rPr>
          <w:lang w:eastAsia="en-AU"/>
        </w:rPr>
        <w:t>S</w:t>
      </w:r>
      <w:r w:rsidRPr="006873EE">
        <w:rPr>
          <w:lang w:eastAsia="en-AU"/>
        </w:rPr>
        <w:t xml:space="preserve">pawning of golden perch was detected in drift sampling in late October </w:t>
      </w:r>
      <w:r>
        <w:rPr>
          <w:lang w:eastAsia="en-AU"/>
        </w:rPr>
        <w:t xml:space="preserve">2020 </w:t>
      </w:r>
      <w:r w:rsidRPr="006873EE">
        <w:rPr>
          <w:lang w:eastAsia="en-AU"/>
        </w:rPr>
        <w:t xml:space="preserve">during a natural within-channel flow pulse, and in mid-November </w:t>
      </w:r>
      <w:r>
        <w:rPr>
          <w:lang w:eastAsia="en-AU"/>
        </w:rPr>
        <w:t xml:space="preserve">2020 </w:t>
      </w:r>
      <w:r w:rsidRPr="006873EE">
        <w:rPr>
          <w:lang w:eastAsia="en-AU"/>
        </w:rPr>
        <w:t>coinciding with a targeted within-channel environmental flow pulse.</w:t>
      </w:r>
      <w:r w:rsidRPr="00CC4CE2">
        <w:rPr>
          <w:lang w:eastAsia="en-US"/>
        </w:rPr>
        <w:t xml:space="preserve"> </w:t>
      </w:r>
      <w:r>
        <w:rPr>
          <w:lang w:eastAsia="en-US"/>
        </w:rPr>
        <w:t xml:space="preserve">A single young-of-year golden perch was collected in the annual surveys in 2021. </w:t>
      </w:r>
    </w:p>
    <w:p w14:paraId="2B304D5F" w14:textId="77777777" w:rsidR="00C674AA" w:rsidRDefault="00C674AA" w:rsidP="00DE6E94">
      <w:pPr>
        <w:pStyle w:val="ListParagraph"/>
        <w:numPr>
          <w:ilvl w:val="0"/>
          <w:numId w:val="56"/>
        </w:numPr>
        <w:rPr>
          <w:lang w:eastAsia="en-US"/>
        </w:rPr>
      </w:pPr>
      <w:r w:rsidRPr="00CC4CE2">
        <w:rPr>
          <w:lang w:eastAsia="en-AU"/>
        </w:rPr>
        <w:t xml:space="preserve">A single </w:t>
      </w:r>
      <w:proofErr w:type="spellStart"/>
      <w:r w:rsidRPr="00CC4CE2">
        <w:rPr>
          <w:lang w:eastAsia="en-AU"/>
        </w:rPr>
        <w:t>unspecked</w:t>
      </w:r>
      <w:proofErr w:type="spellEnd"/>
      <w:r w:rsidRPr="00CC4CE2">
        <w:rPr>
          <w:lang w:eastAsia="en-AU"/>
        </w:rPr>
        <w:t xml:space="preserve"> </w:t>
      </w:r>
      <w:proofErr w:type="spellStart"/>
      <w:r w:rsidRPr="00CC4CE2">
        <w:rPr>
          <w:lang w:eastAsia="en-AU"/>
        </w:rPr>
        <w:t>hardyhead</w:t>
      </w:r>
      <w:proofErr w:type="spellEnd"/>
      <w:r w:rsidRPr="00CC4CE2">
        <w:rPr>
          <w:lang w:eastAsia="en-AU"/>
        </w:rPr>
        <w:t xml:space="preserve"> was collected in </w:t>
      </w:r>
      <w:r w:rsidRPr="001865CF">
        <w:rPr>
          <w:lang w:eastAsia="en-AU"/>
        </w:rPr>
        <w:t>the 2021 annual population surveys</w:t>
      </w:r>
      <w:r w:rsidRPr="00CC4CE2">
        <w:rPr>
          <w:lang w:eastAsia="en-AU"/>
        </w:rPr>
        <w:t>. This species had not been collected in the previous six years but is occasionally encountered in the Goulburn River</w:t>
      </w:r>
      <w:r>
        <w:rPr>
          <w:lang w:eastAsia="en-AU"/>
        </w:rPr>
        <w:t xml:space="preserve"> </w:t>
      </w:r>
      <w:r>
        <w:rPr>
          <w:lang w:eastAsia="en-AU"/>
        </w:rPr>
        <w:br/>
        <w:t xml:space="preserve">(W.M. </w:t>
      </w:r>
      <w:proofErr w:type="spellStart"/>
      <w:r>
        <w:rPr>
          <w:lang w:eastAsia="en-AU"/>
        </w:rPr>
        <w:t>Koster</w:t>
      </w:r>
      <w:proofErr w:type="spellEnd"/>
      <w:r>
        <w:rPr>
          <w:lang w:eastAsia="en-AU"/>
        </w:rPr>
        <w:t>, unpublished)</w:t>
      </w:r>
      <w:r w:rsidRPr="00CC4CE2">
        <w:rPr>
          <w:lang w:eastAsia="en-AU"/>
        </w:rPr>
        <w:t xml:space="preserve">.  </w:t>
      </w:r>
    </w:p>
    <w:p w14:paraId="2BB95780" w14:textId="78B20F70" w:rsidR="003D4281" w:rsidRPr="006633FC" w:rsidRDefault="003D4281" w:rsidP="003D4281">
      <w:pPr>
        <w:pStyle w:val="Heading3"/>
      </w:pPr>
      <w:bookmarkStart w:id="461" w:name="_Toc84417397"/>
      <w:r w:rsidRPr="006633FC">
        <w:t>Summary of previous findings and implications for any new finding</w:t>
      </w:r>
      <w:bookmarkEnd w:id="461"/>
      <w:r w:rsidRPr="006633FC">
        <w:t xml:space="preserve"> </w:t>
      </w:r>
    </w:p>
    <w:p w14:paraId="5DFC0119" w14:textId="77777777" w:rsidR="00C674AA" w:rsidRPr="00C7189A" w:rsidRDefault="00C674AA" w:rsidP="00690C8C">
      <w:pPr>
        <w:pStyle w:val="ListParagraph"/>
        <w:numPr>
          <w:ilvl w:val="0"/>
          <w:numId w:val="19"/>
        </w:numPr>
        <w:rPr>
          <w:color w:val="000000" w:themeColor="text1"/>
          <w:lang w:eastAsia="en-US"/>
        </w:rPr>
      </w:pPr>
      <w:r w:rsidRPr="00C7189A">
        <w:rPr>
          <w:color w:val="000000" w:themeColor="text1"/>
          <w:lang w:eastAsia="en-US"/>
        </w:rPr>
        <w:t xml:space="preserve">The nationally threatened trout cod has now been collected in low numbers in consecutive years </w:t>
      </w:r>
      <w:r>
        <w:rPr>
          <w:color w:val="000000" w:themeColor="text1"/>
          <w:lang w:eastAsia="en-US"/>
        </w:rPr>
        <w:br/>
      </w:r>
      <w:r w:rsidRPr="00C7189A">
        <w:rPr>
          <w:color w:val="000000" w:themeColor="text1"/>
          <w:lang w:eastAsia="en-US"/>
        </w:rPr>
        <w:t xml:space="preserve">(2020 and 2021) in the annual </w:t>
      </w:r>
      <w:r>
        <w:rPr>
          <w:color w:val="000000" w:themeColor="text1"/>
          <w:lang w:eastAsia="en-US"/>
        </w:rPr>
        <w:t xml:space="preserve">population </w:t>
      </w:r>
      <w:r w:rsidRPr="00C7189A">
        <w:rPr>
          <w:color w:val="000000" w:themeColor="text1"/>
          <w:lang w:eastAsia="en-US"/>
        </w:rPr>
        <w:t xml:space="preserve">surveys and four of the last seven years. Larvae of trout cod </w:t>
      </w:r>
      <w:r>
        <w:rPr>
          <w:color w:val="000000" w:themeColor="text1"/>
          <w:lang w:eastAsia="en-US"/>
        </w:rPr>
        <w:t>have been</w:t>
      </w:r>
      <w:r w:rsidRPr="00C7189A">
        <w:rPr>
          <w:color w:val="000000" w:themeColor="text1"/>
          <w:lang w:eastAsia="en-US"/>
        </w:rPr>
        <w:t xml:space="preserve"> also collected for </w:t>
      </w:r>
      <w:r>
        <w:rPr>
          <w:color w:val="000000" w:themeColor="text1"/>
          <w:lang w:eastAsia="en-US"/>
        </w:rPr>
        <w:t>four</w:t>
      </w:r>
      <w:r w:rsidRPr="00C7189A">
        <w:rPr>
          <w:color w:val="000000" w:themeColor="text1"/>
          <w:lang w:eastAsia="en-US"/>
        </w:rPr>
        <w:t xml:space="preserve"> consecutive year</w:t>
      </w:r>
      <w:r>
        <w:rPr>
          <w:color w:val="000000" w:themeColor="text1"/>
          <w:lang w:eastAsia="en-US"/>
        </w:rPr>
        <w:t>s</w:t>
      </w:r>
      <w:r w:rsidRPr="00C7189A">
        <w:rPr>
          <w:color w:val="000000" w:themeColor="text1"/>
          <w:lang w:eastAsia="en-US"/>
        </w:rPr>
        <w:t xml:space="preserve"> (2017-2020) in the drift surveys. Results from VEFMAP sampling conducted by ARI show</w:t>
      </w:r>
      <w:r>
        <w:rPr>
          <w:color w:val="000000" w:themeColor="text1"/>
          <w:lang w:eastAsia="en-US"/>
        </w:rPr>
        <w:t xml:space="preserve"> trout cod</w:t>
      </w:r>
      <w:r w:rsidRPr="00C7189A">
        <w:rPr>
          <w:color w:val="000000" w:themeColor="text1"/>
          <w:lang w:eastAsia="en-US"/>
        </w:rPr>
        <w:t xml:space="preserve"> are more common in the Goulburn River in upstream reaches near Murchison.</w:t>
      </w:r>
    </w:p>
    <w:p w14:paraId="27C30E0D" w14:textId="77777777" w:rsidR="00C674AA" w:rsidRDefault="00C674AA" w:rsidP="00690C8C">
      <w:pPr>
        <w:pStyle w:val="ListParagraph"/>
        <w:numPr>
          <w:ilvl w:val="0"/>
          <w:numId w:val="19"/>
        </w:numPr>
        <w:rPr>
          <w:lang w:eastAsia="en-US"/>
        </w:rPr>
      </w:pPr>
      <w:r>
        <w:rPr>
          <w:lang w:eastAsia="en-US"/>
        </w:rPr>
        <w:t xml:space="preserve">Abundance of Murray cod remains lower than levels recorded prior to the 2017 blackwater event. Nevertheless, a considerable proportion of the population in the 2021 surveys was young-of-year fish. </w:t>
      </w:r>
      <w:r w:rsidRPr="00F6008F">
        <w:rPr>
          <w:lang w:eastAsia="en-US"/>
        </w:rPr>
        <w:t xml:space="preserve">These individuals likely originated from recent natural spawning in the river, as the Murray cod population in the Goulburn River consists almost entirely of </w:t>
      </w:r>
      <w:r w:rsidRPr="00C7189A">
        <w:rPr>
          <w:i/>
          <w:iCs/>
          <w:lang w:eastAsia="en-US"/>
        </w:rPr>
        <w:t>in situ</w:t>
      </w:r>
      <w:r w:rsidRPr="00F6008F">
        <w:rPr>
          <w:lang w:eastAsia="en-US"/>
        </w:rPr>
        <w:t xml:space="preserve"> recruit</w:t>
      </w:r>
      <w:r>
        <w:rPr>
          <w:lang w:eastAsia="en-US"/>
        </w:rPr>
        <w:t>s</w:t>
      </w:r>
      <w:r w:rsidRPr="00F6008F">
        <w:rPr>
          <w:lang w:eastAsia="en-US"/>
        </w:rPr>
        <w:t>.</w:t>
      </w:r>
    </w:p>
    <w:p w14:paraId="00FEC6C4" w14:textId="77777777" w:rsidR="00C674AA" w:rsidRPr="00C7189A" w:rsidRDefault="00C674AA" w:rsidP="00690C8C">
      <w:pPr>
        <w:pStyle w:val="ListParagraph"/>
        <w:numPr>
          <w:ilvl w:val="0"/>
          <w:numId w:val="19"/>
        </w:numPr>
        <w:rPr>
          <w:color w:val="000000" w:themeColor="text1"/>
          <w:lang w:eastAsia="en-US"/>
        </w:rPr>
      </w:pPr>
      <w:r w:rsidRPr="00C7189A">
        <w:rPr>
          <w:color w:val="000000" w:themeColor="text1"/>
          <w:lang w:eastAsia="en-US"/>
        </w:rPr>
        <w:t xml:space="preserve">A single young-of-year golden perch was collected in the annual </w:t>
      </w:r>
      <w:r>
        <w:rPr>
          <w:color w:val="000000" w:themeColor="text1"/>
          <w:lang w:eastAsia="en-US"/>
        </w:rPr>
        <w:t xml:space="preserve">population </w:t>
      </w:r>
      <w:r w:rsidRPr="00C7189A">
        <w:rPr>
          <w:color w:val="000000" w:themeColor="text1"/>
          <w:lang w:eastAsia="en-US"/>
        </w:rPr>
        <w:t xml:space="preserve">surveys in 2021. It is probable that this individual was stocked as the golden perch population in the Goulburn River consists mostly of stocked fish. </w:t>
      </w:r>
      <w:r>
        <w:rPr>
          <w:color w:val="000000" w:themeColor="text1"/>
          <w:lang w:eastAsia="en-US"/>
        </w:rPr>
        <w:t>Y</w:t>
      </w:r>
      <w:r w:rsidRPr="00C7189A">
        <w:rPr>
          <w:color w:val="000000" w:themeColor="text1"/>
          <w:lang w:eastAsia="en-US"/>
        </w:rPr>
        <w:t xml:space="preserve">oung-of-year golden perch are rarely collected in the annual population surveys, </w:t>
      </w:r>
      <w:r>
        <w:rPr>
          <w:color w:val="000000" w:themeColor="text1"/>
          <w:lang w:eastAsia="en-US"/>
        </w:rPr>
        <w:t>a</w:t>
      </w:r>
      <w:r w:rsidRPr="001B691F">
        <w:rPr>
          <w:color w:val="000000" w:themeColor="text1"/>
          <w:lang w:eastAsia="en-US"/>
        </w:rPr>
        <w:t xml:space="preserve">lthough </w:t>
      </w:r>
      <w:r w:rsidRPr="00C7189A">
        <w:rPr>
          <w:color w:val="000000" w:themeColor="text1"/>
          <w:lang w:eastAsia="en-US"/>
        </w:rPr>
        <w:t>this is likely because early life stages (eggs, larvae) drift downstream and into the Murray River.</w:t>
      </w:r>
    </w:p>
    <w:p w14:paraId="491C0FF7" w14:textId="429CB00D" w:rsidR="00C674AA" w:rsidRPr="000F1670" w:rsidRDefault="00C674AA" w:rsidP="00690C8C">
      <w:pPr>
        <w:pStyle w:val="ListParagraph"/>
        <w:numPr>
          <w:ilvl w:val="0"/>
          <w:numId w:val="19"/>
        </w:numPr>
        <w:rPr>
          <w:lang w:eastAsia="en-US"/>
        </w:rPr>
      </w:pPr>
      <w:r w:rsidRPr="006633FC">
        <w:rPr>
          <w:lang w:eastAsia="en-US"/>
        </w:rPr>
        <w:t xml:space="preserve">Only low numbers of silver perch were collected in the 2021 surveys. </w:t>
      </w:r>
      <w:r w:rsidRPr="00C7189A">
        <w:rPr>
          <w:lang w:eastAsia="en-US"/>
        </w:rPr>
        <w:t xml:space="preserve">The silver perch population in the Goulburn River consists mostly of fish originating from the Murray River. Flows can be important in promoting </w:t>
      </w:r>
      <w:r w:rsidRPr="000F1670">
        <w:rPr>
          <w:lang w:eastAsia="en-US"/>
        </w:rPr>
        <w:t xml:space="preserve">immigration of silver perch into tributaries such as the Goulburn River </w:t>
      </w:r>
      <w:r w:rsidR="005F0888">
        <w:rPr>
          <w:noProof/>
          <w:lang w:eastAsia="en-US"/>
        </w:rPr>
        <w:t>(Koster et al. 2021)</w:t>
      </w:r>
      <w:r w:rsidR="00D92102">
        <w:rPr>
          <w:lang w:eastAsia="en-US"/>
        </w:rPr>
        <w:t>,</w:t>
      </w:r>
      <w:r w:rsidRPr="000F1670">
        <w:rPr>
          <w:lang w:eastAsia="en-US"/>
        </w:rPr>
        <w:t xml:space="preserve"> notwithstanding the outcome will be dependent on the abundance of fish in the Murray River.</w:t>
      </w:r>
    </w:p>
    <w:p w14:paraId="549D4A80" w14:textId="77777777" w:rsidR="00C674AA" w:rsidRPr="00C7189A" w:rsidRDefault="00C674AA" w:rsidP="00690C8C">
      <w:pPr>
        <w:pStyle w:val="ListParagraph"/>
        <w:numPr>
          <w:ilvl w:val="0"/>
          <w:numId w:val="19"/>
        </w:numPr>
        <w:rPr>
          <w:lang w:eastAsia="en-US"/>
        </w:rPr>
      </w:pPr>
      <w:r w:rsidRPr="00C7189A">
        <w:rPr>
          <w:color w:val="000000" w:themeColor="text1"/>
          <w:lang w:eastAsia="en-US"/>
        </w:rPr>
        <w:t xml:space="preserve">Abundances of Murray River rainbowfish in the 2021 </w:t>
      </w:r>
      <w:r>
        <w:rPr>
          <w:color w:val="000000" w:themeColor="text1"/>
          <w:lang w:eastAsia="en-US"/>
        </w:rPr>
        <w:t xml:space="preserve">population </w:t>
      </w:r>
      <w:r w:rsidRPr="00C7189A">
        <w:rPr>
          <w:color w:val="000000" w:themeColor="text1"/>
          <w:lang w:eastAsia="en-US"/>
        </w:rPr>
        <w:t xml:space="preserve">surveys were the highest recorded in the last seven years. </w:t>
      </w:r>
      <w:r>
        <w:rPr>
          <w:color w:val="000000" w:themeColor="text1"/>
          <w:lang w:eastAsia="en-US"/>
        </w:rPr>
        <w:t xml:space="preserve">Abundances of Australian smelt were also high relative to previous years. </w:t>
      </w:r>
      <w:r w:rsidRPr="00C7189A">
        <w:rPr>
          <w:color w:val="000000" w:themeColor="text1"/>
          <w:lang w:eastAsia="en-US"/>
        </w:rPr>
        <w:t xml:space="preserve">It is possible that a reduction in high flow conditions throughout summer 2021 relative to the previous few years </w:t>
      </w:r>
      <w:r>
        <w:rPr>
          <w:color w:val="000000" w:themeColor="text1"/>
          <w:lang w:eastAsia="en-US"/>
        </w:rPr>
        <w:t>may</w:t>
      </w:r>
      <w:r w:rsidRPr="00C7189A">
        <w:rPr>
          <w:color w:val="000000" w:themeColor="text1"/>
          <w:lang w:eastAsia="en-US"/>
        </w:rPr>
        <w:t xml:space="preserve"> have been more favourable to recruitment.</w:t>
      </w:r>
    </w:p>
    <w:p w14:paraId="313FF8A7" w14:textId="77777777" w:rsidR="00C674AA" w:rsidRPr="00C7189A" w:rsidRDefault="00C674AA" w:rsidP="00690C8C">
      <w:pPr>
        <w:pStyle w:val="ListParagraph"/>
        <w:numPr>
          <w:ilvl w:val="0"/>
          <w:numId w:val="19"/>
        </w:numPr>
        <w:rPr>
          <w:color w:val="000000" w:themeColor="text1"/>
          <w:lang w:eastAsia="en-US"/>
        </w:rPr>
      </w:pPr>
      <w:r w:rsidRPr="00E2059C">
        <w:rPr>
          <w:color w:val="000000" w:themeColor="text1"/>
          <w:lang w:eastAsia="en-US"/>
        </w:rPr>
        <w:lastRenderedPageBreak/>
        <w:t xml:space="preserve">Spawning of golden perch and silver perch </w:t>
      </w:r>
      <w:r>
        <w:rPr>
          <w:color w:val="000000" w:themeColor="text1"/>
          <w:lang w:eastAsia="en-US"/>
        </w:rPr>
        <w:t>in the Goulburn River occurs</w:t>
      </w:r>
      <w:r w:rsidRPr="00C7189A">
        <w:rPr>
          <w:color w:val="000000" w:themeColor="text1"/>
          <w:lang w:eastAsia="en-AU"/>
        </w:rPr>
        <w:t xml:space="preserve"> during within-channel flow pulses or </w:t>
      </w:r>
      <w:proofErr w:type="spellStart"/>
      <w:r w:rsidRPr="00C7189A">
        <w:rPr>
          <w:color w:val="000000" w:themeColor="text1"/>
          <w:lang w:eastAsia="en-AU"/>
        </w:rPr>
        <w:t>bankfull</w:t>
      </w:r>
      <w:proofErr w:type="spellEnd"/>
      <w:r w:rsidRPr="00C7189A">
        <w:rPr>
          <w:color w:val="000000" w:themeColor="text1"/>
          <w:lang w:eastAsia="en-AU"/>
        </w:rPr>
        <w:t xml:space="preserve"> flows especially around November-December, including during periods of targeted managed environmental flow releases (</w:t>
      </w:r>
      <w:r w:rsidRPr="00DD0C46">
        <w:rPr>
          <w:color w:val="000000" w:themeColor="text1"/>
          <w:lang w:eastAsia="en-AU"/>
        </w:rPr>
        <w:t>i.e.,</w:t>
      </w:r>
      <w:r w:rsidRPr="00C7189A">
        <w:rPr>
          <w:color w:val="000000" w:themeColor="text1"/>
          <w:lang w:eastAsia="en-AU"/>
        </w:rPr>
        <w:t xml:space="preserve"> ‘freshes’). Environmental water allocation in the Goulburn River can effectively enhance or trigger spawning of golden perch and silver perch.</w:t>
      </w:r>
    </w:p>
    <w:p w14:paraId="330F5EEE" w14:textId="6E9E44DC" w:rsidR="003D4281" w:rsidRPr="00BA2632" w:rsidRDefault="003D4281" w:rsidP="003D4281">
      <w:pPr>
        <w:pStyle w:val="Heading3"/>
      </w:pPr>
      <w:bookmarkStart w:id="462" w:name="_Toc84417398"/>
      <w:r w:rsidRPr="00BA2632">
        <w:t>Summary of findings relevant to evaluation questions</w:t>
      </w:r>
      <w:bookmarkEnd w:id="462"/>
    </w:p>
    <w:p w14:paraId="6FB9AA26" w14:textId="1C6DB851" w:rsidR="003D4281" w:rsidRPr="006633FC" w:rsidRDefault="003F697A" w:rsidP="003D4281">
      <w:pPr>
        <w:rPr>
          <w:lang w:eastAsia="en-US"/>
        </w:rPr>
      </w:pPr>
      <w:r w:rsidRPr="00332401">
        <w:t xml:space="preserve">Table </w:t>
      </w:r>
      <w:r>
        <w:rPr>
          <w:noProof/>
        </w:rPr>
        <w:t>8</w:t>
      </w:r>
      <w:r>
        <w:rPr>
          <w:noProof/>
        </w:rPr>
        <w:noBreakHyphen/>
        <w:t>2</w:t>
      </w:r>
      <w:r w:rsidR="003D4281" w:rsidRPr="00BA2632">
        <w:rPr>
          <w:lang w:eastAsia="en-US"/>
        </w:rPr>
        <w:t xml:space="preserve"> provides a summary of the findings relevant to basin and areas scale evaluation questions.  Key points are </w:t>
      </w:r>
      <w:r w:rsidR="003D4281" w:rsidRPr="006633FC">
        <w:rPr>
          <w:lang w:eastAsia="en-US"/>
        </w:rPr>
        <w:t xml:space="preserve">outlined below: </w:t>
      </w:r>
    </w:p>
    <w:p w14:paraId="5C9240C1" w14:textId="77777777" w:rsidR="004971BB" w:rsidRPr="006633FC" w:rsidRDefault="004971BB" w:rsidP="00690C8C">
      <w:pPr>
        <w:pStyle w:val="Para0"/>
        <w:numPr>
          <w:ilvl w:val="0"/>
          <w:numId w:val="19"/>
        </w:numPr>
        <w:rPr>
          <w:rFonts w:asciiTheme="minorHAnsi" w:hAnsiTheme="minorHAnsi"/>
          <w:lang w:eastAsia="en-AU"/>
        </w:rPr>
      </w:pPr>
      <w:r w:rsidRPr="006633FC">
        <w:rPr>
          <w:rFonts w:asciiTheme="minorHAnsi" w:hAnsiTheme="minorHAnsi"/>
          <w:lang w:eastAsia="en-AU"/>
        </w:rPr>
        <w:t xml:space="preserve">Spawning of golden perch was detected in drift sampling in late October 2020 during a natural within-channel flow pulse, and in mid-November 2020 coinciding with a targeted within-channel environmental flow pulse. </w:t>
      </w:r>
    </w:p>
    <w:p w14:paraId="71CB0606" w14:textId="4268380B" w:rsidR="004971BB" w:rsidRPr="006633FC" w:rsidRDefault="004971BB" w:rsidP="00690C8C">
      <w:pPr>
        <w:pStyle w:val="Para0"/>
        <w:numPr>
          <w:ilvl w:val="0"/>
          <w:numId w:val="19"/>
        </w:numPr>
        <w:rPr>
          <w:rFonts w:asciiTheme="minorHAnsi" w:hAnsiTheme="minorHAnsi"/>
          <w:lang w:eastAsia="en-AU"/>
        </w:rPr>
      </w:pPr>
      <w:r w:rsidRPr="006633FC">
        <w:rPr>
          <w:rFonts w:asciiTheme="minorHAnsi" w:hAnsiTheme="minorHAnsi"/>
          <w:lang w:eastAsia="en-AU"/>
        </w:rPr>
        <w:t>Our analysis shows that the probability of spawning of golden perch in the Goulburn River was related to discharge, with greatly increased spawning probability at flows between about 3500–4000 ML</w:t>
      </w:r>
      <w:r w:rsidR="000F1670">
        <w:rPr>
          <w:rFonts w:asciiTheme="minorHAnsi" w:hAnsiTheme="minorHAnsi"/>
          <w:lang w:eastAsia="en-AU"/>
        </w:rPr>
        <w:t>/</w:t>
      </w:r>
      <w:r w:rsidRPr="006633FC">
        <w:rPr>
          <w:rFonts w:asciiTheme="minorHAnsi" w:hAnsiTheme="minorHAnsi"/>
          <w:lang w:eastAsia="en-AU"/>
        </w:rPr>
        <w:t xml:space="preserve">day when water temperature exceeded ~18.6°C. </w:t>
      </w:r>
    </w:p>
    <w:p w14:paraId="14B31330" w14:textId="77777777" w:rsidR="004971BB" w:rsidRDefault="004971BB" w:rsidP="00690C8C">
      <w:pPr>
        <w:pStyle w:val="ListParagraph"/>
        <w:numPr>
          <w:ilvl w:val="0"/>
          <w:numId w:val="19"/>
        </w:numPr>
        <w:rPr>
          <w:lang w:eastAsia="en-US"/>
        </w:rPr>
      </w:pPr>
      <w:r w:rsidRPr="006633FC">
        <w:rPr>
          <w:lang w:eastAsia="en-AU"/>
        </w:rPr>
        <w:t xml:space="preserve">Our analysis also shows that increased flows prior to spawning were associated with increased spawning probability for golden perch. </w:t>
      </w:r>
    </w:p>
    <w:p w14:paraId="34F3C76B" w14:textId="77777777" w:rsidR="004971BB" w:rsidRPr="00C7189A" w:rsidRDefault="004971BB" w:rsidP="00690C8C">
      <w:pPr>
        <w:pStyle w:val="ListParagraph"/>
        <w:numPr>
          <w:ilvl w:val="0"/>
          <w:numId w:val="19"/>
        </w:numPr>
        <w:rPr>
          <w:lang w:eastAsia="en-US"/>
        </w:rPr>
      </w:pPr>
      <w:r w:rsidRPr="00C7189A">
        <w:rPr>
          <w:lang w:eastAsia="en-US"/>
        </w:rPr>
        <w:t xml:space="preserve">These results support previous findings linking prior flows and golden perch spawning and suggest that it is important to provide adequate flows not just to cue spawning but throughout the </w:t>
      </w:r>
      <w:r>
        <w:rPr>
          <w:lang w:eastAsia="en-US"/>
        </w:rPr>
        <w:t xml:space="preserve">leadup to the </w:t>
      </w:r>
      <w:r w:rsidRPr="00C7189A">
        <w:rPr>
          <w:lang w:eastAsia="en-US"/>
        </w:rPr>
        <w:t xml:space="preserve">reproductive season. </w:t>
      </w:r>
    </w:p>
    <w:p w14:paraId="07362971" w14:textId="47776DF6" w:rsidR="004971BB" w:rsidRDefault="004971BB" w:rsidP="00690C8C">
      <w:pPr>
        <w:pStyle w:val="Para0"/>
        <w:numPr>
          <w:ilvl w:val="0"/>
          <w:numId w:val="19"/>
        </w:numPr>
        <w:rPr>
          <w:rFonts w:asciiTheme="minorHAnsi" w:hAnsiTheme="minorHAnsi"/>
          <w:lang w:eastAsia="en-AU"/>
        </w:rPr>
      </w:pPr>
      <w:r w:rsidRPr="006873EE">
        <w:rPr>
          <w:rFonts w:asciiTheme="minorHAnsi" w:hAnsiTheme="minorHAnsi"/>
          <w:lang w:eastAsia="en-AU"/>
        </w:rPr>
        <w:t>To achieve the management objective of spawning of golden perch in the Goulburn River, elevated flows throughout spring, coupled with flow pulses of around at least 3500–4000 ML</w:t>
      </w:r>
      <w:r w:rsidR="000F1670">
        <w:rPr>
          <w:rFonts w:asciiTheme="minorHAnsi" w:hAnsiTheme="minorHAnsi"/>
          <w:lang w:eastAsia="en-AU"/>
        </w:rPr>
        <w:t>/</w:t>
      </w:r>
      <w:r w:rsidRPr="006873EE">
        <w:rPr>
          <w:rFonts w:asciiTheme="minorHAnsi" w:hAnsiTheme="minorHAnsi"/>
          <w:lang w:eastAsia="en-AU"/>
        </w:rPr>
        <w:t xml:space="preserve">day particularly around November, are needed. </w:t>
      </w:r>
    </w:p>
    <w:p w14:paraId="43E09829" w14:textId="77777777" w:rsidR="004971BB" w:rsidRDefault="004971BB" w:rsidP="00690C8C">
      <w:pPr>
        <w:pStyle w:val="Para0"/>
        <w:numPr>
          <w:ilvl w:val="0"/>
          <w:numId w:val="19"/>
        </w:numPr>
        <w:rPr>
          <w:rFonts w:asciiTheme="minorHAnsi" w:hAnsiTheme="minorHAnsi"/>
          <w:lang w:eastAsia="en-AU"/>
        </w:rPr>
      </w:pPr>
      <w:r w:rsidRPr="006873EE">
        <w:rPr>
          <w:rFonts w:asciiTheme="minorHAnsi" w:hAnsiTheme="minorHAnsi"/>
          <w:lang w:eastAsia="en-AU"/>
        </w:rPr>
        <w:t>Spawning of silver perch was also detected in drift sampling in late November coinciding with a targeted within-channel enviro</w:t>
      </w:r>
      <w:r w:rsidRPr="006873EE">
        <w:rPr>
          <w:rFonts w:asciiTheme="minorHAnsi" w:hAnsiTheme="minorHAnsi" w:hint="eastAsia"/>
          <w:lang w:eastAsia="en-AU"/>
        </w:rPr>
        <w:t xml:space="preserve">nmental flow pulse. </w:t>
      </w:r>
    </w:p>
    <w:p w14:paraId="1A3A3B02" w14:textId="77777777" w:rsidR="004971BB" w:rsidRDefault="004971BB" w:rsidP="00690C8C">
      <w:pPr>
        <w:pStyle w:val="ListParagraph"/>
        <w:numPr>
          <w:ilvl w:val="0"/>
          <w:numId w:val="19"/>
        </w:numPr>
        <w:rPr>
          <w:lang w:eastAsia="en-US"/>
        </w:rPr>
      </w:pPr>
      <w:proofErr w:type="gramStart"/>
      <w:r w:rsidRPr="006873EE">
        <w:rPr>
          <w:rFonts w:hint="eastAsia"/>
          <w:lang w:eastAsia="en-AU"/>
        </w:rPr>
        <w:t>Similar to</w:t>
      </w:r>
      <w:proofErr w:type="gramEnd"/>
      <w:r w:rsidRPr="006873EE">
        <w:rPr>
          <w:rFonts w:hint="eastAsia"/>
          <w:lang w:eastAsia="en-AU"/>
        </w:rPr>
        <w:t xml:space="preserve"> golden perch, spawning of silver perch in the Goulburn River appears dependent on elevated flows in late spring-summer coupled with appropriate water temperature.</w:t>
      </w:r>
      <w:r w:rsidRPr="00054657">
        <w:rPr>
          <w:lang w:eastAsia="en-US"/>
        </w:rPr>
        <w:t xml:space="preserve"> </w:t>
      </w:r>
    </w:p>
    <w:p w14:paraId="46F67499" w14:textId="77777777" w:rsidR="004971BB" w:rsidRPr="00160C15" w:rsidRDefault="004971BB" w:rsidP="00690C8C">
      <w:pPr>
        <w:pStyle w:val="ListParagraph"/>
        <w:numPr>
          <w:ilvl w:val="0"/>
          <w:numId w:val="19"/>
        </w:numPr>
        <w:rPr>
          <w:lang w:eastAsia="en-US"/>
        </w:rPr>
      </w:pPr>
      <w:r w:rsidRPr="00160C15">
        <w:rPr>
          <w:lang w:eastAsia="en-US"/>
        </w:rPr>
        <w:t>Measuring or reporting recruitment outcomes at a reach or river scale in this region may be unsuitable for species with early life stages that can drift or disperse long distances away from spawning locations.</w:t>
      </w:r>
    </w:p>
    <w:p w14:paraId="613B9B52" w14:textId="77777777" w:rsidR="003D4281" w:rsidRPr="00C7189A" w:rsidRDefault="003D4281" w:rsidP="003D4281">
      <w:pPr>
        <w:rPr>
          <w:highlight w:val="yellow"/>
          <w:lang w:eastAsia="en-US"/>
        </w:rPr>
      </w:pPr>
    </w:p>
    <w:p w14:paraId="46C28968" w14:textId="411633BC" w:rsidR="003D4281" w:rsidRPr="00BA2632" w:rsidRDefault="003D4281" w:rsidP="003D4281">
      <w:pPr>
        <w:pStyle w:val="Caption"/>
        <w:rPr>
          <w:i/>
          <w:lang w:eastAsia="en-US"/>
        </w:rPr>
      </w:pPr>
      <w:bookmarkStart w:id="463" w:name="_Ref50478990"/>
      <w:bookmarkStart w:id="464" w:name="_Toc95391489"/>
      <w:r w:rsidRPr="00332401">
        <w:t xml:space="preserve">Table </w:t>
      </w:r>
      <w:r w:rsidR="000B75AF">
        <w:rPr>
          <w:noProof/>
        </w:rPr>
        <w:t>8</w:t>
      </w:r>
      <w:r w:rsidR="000B75AF">
        <w:noBreakHyphen/>
      </w:r>
      <w:r w:rsidR="000B75AF">
        <w:rPr>
          <w:noProof/>
        </w:rPr>
        <w:t>2</w:t>
      </w:r>
      <w:bookmarkEnd w:id="463"/>
      <w:r w:rsidRPr="00332401">
        <w:t xml:space="preserve"> Summary of fish findings relevant to evaluation questions.</w:t>
      </w:r>
      <w:bookmarkEnd w:id="464"/>
    </w:p>
    <w:tbl>
      <w:tblPr>
        <w:tblStyle w:val="TableGrid"/>
        <w:tblW w:w="997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tblCellMar>
        <w:tblLook w:val="04A0" w:firstRow="1" w:lastRow="0" w:firstColumn="1" w:lastColumn="0" w:noHBand="0" w:noVBand="1"/>
      </w:tblPr>
      <w:tblGrid>
        <w:gridCol w:w="1611"/>
        <w:gridCol w:w="1985"/>
        <w:gridCol w:w="3118"/>
        <w:gridCol w:w="3261"/>
      </w:tblGrid>
      <w:tr w:rsidR="00D82A1D" w:rsidRPr="00BA2632" w14:paraId="3D82B62D" w14:textId="77777777" w:rsidTr="000F1670">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611" w:type="dxa"/>
            <w:tcBorders>
              <w:right w:val="single" w:sz="4" w:space="0" w:color="FFFFFF" w:themeColor="background1"/>
            </w:tcBorders>
            <w:shd w:val="clear" w:color="auto" w:fill="00338D"/>
          </w:tcPr>
          <w:p w14:paraId="63AD7476" w14:textId="77777777" w:rsidR="00D82A1D" w:rsidRPr="00BA2632" w:rsidRDefault="00D82A1D" w:rsidP="00E26D3C">
            <w:pPr>
              <w:jc w:val="left"/>
              <w:rPr>
                <w:rFonts w:cstheme="minorHAnsi"/>
                <w:bCs/>
                <w:color w:val="FFFFFF"/>
                <w:sz w:val="18"/>
                <w:szCs w:val="18"/>
              </w:rPr>
            </w:pPr>
            <w:r w:rsidRPr="00BA2632">
              <w:rPr>
                <w:rFonts w:cstheme="minorHAnsi"/>
                <w:bCs/>
                <w:color w:val="FFFFFF"/>
                <w:sz w:val="18"/>
                <w:szCs w:val="18"/>
              </w:rPr>
              <w:t>Question</w:t>
            </w:r>
          </w:p>
        </w:tc>
        <w:tc>
          <w:tcPr>
            <w:tcW w:w="1985" w:type="dxa"/>
            <w:tcBorders>
              <w:left w:val="single" w:sz="4" w:space="0" w:color="FFFFFF" w:themeColor="background1"/>
              <w:right w:val="single" w:sz="4" w:space="0" w:color="FFFFFF" w:themeColor="background1"/>
            </w:tcBorders>
            <w:shd w:val="clear" w:color="auto" w:fill="00338D"/>
          </w:tcPr>
          <w:p w14:paraId="1059ADD5" w14:textId="77777777" w:rsidR="00D82A1D" w:rsidRPr="00BA2632" w:rsidRDefault="00D82A1D" w:rsidP="00E26D3C">
            <w:pPr>
              <w:jc w:val="left"/>
              <w:cnfStyle w:val="100000000000" w:firstRow="1" w:lastRow="0" w:firstColumn="0" w:lastColumn="0" w:oddVBand="0" w:evenVBand="0" w:oddHBand="0" w:evenHBand="0" w:firstRowFirstColumn="0" w:firstRowLastColumn="0" w:lastRowFirstColumn="0" w:lastRowLastColumn="0"/>
              <w:rPr>
                <w:rFonts w:cstheme="minorHAnsi"/>
                <w:bCs/>
                <w:color w:val="FFFFFF"/>
                <w:sz w:val="18"/>
                <w:szCs w:val="18"/>
              </w:rPr>
            </w:pPr>
            <w:r w:rsidRPr="00BA2632">
              <w:rPr>
                <w:rFonts w:cstheme="minorHAnsi"/>
                <w:bCs/>
                <w:color w:val="FFFFFF"/>
                <w:sz w:val="18"/>
                <w:szCs w:val="18"/>
              </w:rPr>
              <w:t>Were appropriate flows provided?</w:t>
            </w:r>
          </w:p>
        </w:tc>
        <w:tc>
          <w:tcPr>
            <w:tcW w:w="3118" w:type="dxa"/>
            <w:tcBorders>
              <w:left w:val="single" w:sz="4" w:space="0" w:color="FFFFFF" w:themeColor="background1"/>
              <w:right w:val="single" w:sz="4" w:space="0" w:color="FFFFFF" w:themeColor="background1"/>
            </w:tcBorders>
            <w:shd w:val="clear" w:color="auto" w:fill="00338D"/>
          </w:tcPr>
          <w:p w14:paraId="5B6E8B7C" w14:textId="77777777" w:rsidR="00D82A1D" w:rsidRPr="00BA2632" w:rsidRDefault="00D82A1D" w:rsidP="00E26D3C">
            <w:pPr>
              <w:jc w:val="left"/>
              <w:cnfStyle w:val="100000000000" w:firstRow="1" w:lastRow="0" w:firstColumn="0" w:lastColumn="0" w:oddVBand="0" w:evenVBand="0" w:oddHBand="0" w:evenHBand="0" w:firstRowFirstColumn="0" w:firstRowLastColumn="0" w:lastRowFirstColumn="0" w:lastRowLastColumn="0"/>
              <w:rPr>
                <w:rFonts w:cstheme="minorHAnsi"/>
                <w:bCs/>
                <w:color w:val="FFFFFF"/>
                <w:sz w:val="18"/>
                <w:szCs w:val="18"/>
              </w:rPr>
            </w:pPr>
            <w:r w:rsidRPr="00BA2632">
              <w:rPr>
                <w:rFonts w:cstheme="minorHAnsi"/>
                <w:bCs/>
                <w:color w:val="FFFFFF"/>
                <w:sz w:val="18"/>
                <w:szCs w:val="18"/>
              </w:rPr>
              <w:t>Effect of environmental flows</w:t>
            </w:r>
          </w:p>
        </w:tc>
        <w:tc>
          <w:tcPr>
            <w:tcW w:w="3261" w:type="dxa"/>
            <w:tcBorders>
              <w:left w:val="single" w:sz="4" w:space="0" w:color="FFFFFF" w:themeColor="background1"/>
            </w:tcBorders>
            <w:shd w:val="clear" w:color="auto" w:fill="00338D"/>
          </w:tcPr>
          <w:p w14:paraId="3AE9FC59" w14:textId="77777777" w:rsidR="00D82A1D" w:rsidRPr="00BA2632" w:rsidRDefault="00D82A1D" w:rsidP="00E26D3C">
            <w:pPr>
              <w:jc w:val="left"/>
              <w:cnfStyle w:val="100000000000" w:firstRow="1" w:lastRow="0" w:firstColumn="0" w:lastColumn="0" w:oddVBand="0" w:evenVBand="0" w:oddHBand="0" w:evenHBand="0" w:firstRowFirstColumn="0" w:firstRowLastColumn="0" w:lastRowFirstColumn="0" w:lastRowLastColumn="0"/>
              <w:rPr>
                <w:rFonts w:cstheme="minorHAnsi"/>
                <w:bCs/>
                <w:color w:val="FFFFFF"/>
                <w:sz w:val="18"/>
                <w:szCs w:val="18"/>
              </w:rPr>
            </w:pPr>
            <w:r w:rsidRPr="00BA2632">
              <w:rPr>
                <w:rFonts w:cstheme="minorHAnsi"/>
                <w:bCs/>
                <w:color w:val="FFFFFF"/>
                <w:sz w:val="18"/>
                <w:szCs w:val="18"/>
              </w:rPr>
              <w:t>What information was the evaluation based on?</w:t>
            </w:r>
          </w:p>
        </w:tc>
      </w:tr>
      <w:tr w:rsidR="00D82A1D" w:rsidRPr="00BA2632" w14:paraId="7139B02A" w14:textId="77777777" w:rsidTr="000F16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75" w:type="dxa"/>
            <w:gridSpan w:val="4"/>
            <w:shd w:val="clear" w:color="auto" w:fill="FFFFFF" w:themeFill="background2"/>
            <w:vAlign w:val="center"/>
          </w:tcPr>
          <w:p w14:paraId="5A93C000" w14:textId="77777777" w:rsidR="00D82A1D" w:rsidRPr="00BA2632" w:rsidRDefault="00D82A1D" w:rsidP="00E26D3C">
            <w:pPr>
              <w:pStyle w:val="Tablesmalltext"/>
              <w:jc w:val="left"/>
              <w:rPr>
                <w:rFonts w:asciiTheme="minorHAnsi" w:hAnsiTheme="minorHAnsi" w:cstheme="minorHAnsi"/>
                <w:sz w:val="18"/>
                <w:szCs w:val="18"/>
              </w:rPr>
            </w:pPr>
            <w:r w:rsidRPr="00BA2632">
              <w:rPr>
                <w:rFonts w:asciiTheme="minorHAnsi" w:hAnsiTheme="minorHAnsi" w:cstheme="minorHAnsi"/>
                <w:sz w:val="18"/>
                <w:szCs w:val="18"/>
              </w:rPr>
              <w:t>Basin scale evaluation questions</w:t>
            </w:r>
          </w:p>
        </w:tc>
      </w:tr>
      <w:tr w:rsidR="00D82A1D" w:rsidRPr="00BA2632" w14:paraId="2804650E" w14:textId="77777777" w:rsidTr="000F167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1" w:type="dxa"/>
            <w:shd w:val="clear" w:color="auto" w:fill="FFFFFF" w:themeFill="background2"/>
          </w:tcPr>
          <w:p w14:paraId="4D28383D" w14:textId="77777777" w:rsidR="00D82A1D" w:rsidRPr="00BA2632" w:rsidRDefault="00D82A1D" w:rsidP="00E26D3C">
            <w:pPr>
              <w:pStyle w:val="Tablesmalltext"/>
              <w:jc w:val="left"/>
              <w:rPr>
                <w:rStyle w:val="Strong"/>
                <w:rFonts w:asciiTheme="minorHAnsi" w:hAnsiTheme="minorHAnsi" w:cstheme="minorHAnsi"/>
                <w:sz w:val="18"/>
                <w:szCs w:val="18"/>
              </w:rPr>
            </w:pPr>
            <w:r w:rsidRPr="00BA2632">
              <w:rPr>
                <w:rStyle w:val="Strong"/>
                <w:rFonts w:asciiTheme="minorHAnsi" w:hAnsiTheme="minorHAnsi" w:cstheme="minorHAnsi"/>
                <w:sz w:val="18"/>
                <w:szCs w:val="18"/>
              </w:rPr>
              <w:t xml:space="preserve">What did Commonwealth environmental water contribute to sustaining native fish populations? </w:t>
            </w:r>
          </w:p>
        </w:tc>
        <w:tc>
          <w:tcPr>
            <w:tcW w:w="1985" w:type="dxa"/>
            <w:shd w:val="clear" w:color="auto" w:fill="FFFFFF" w:themeFill="background2"/>
          </w:tcPr>
          <w:p w14:paraId="1B02551A"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sz w:val="18"/>
                <w:szCs w:val="18"/>
              </w:rPr>
            </w:pPr>
            <w:r w:rsidRPr="00BA2632">
              <w:rPr>
                <w:sz w:val="18"/>
                <w:szCs w:val="18"/>
              </w:rPr>
              <w:t>Quantitative statistical analysis is needed to examine relationships between fish population metrics and flow data.</w:t>
            </w:r>
          </w:p>
        </w:tc>
        <w:tc>
          <w:tcPr>
            <w:tcW w:w="3118" w:type="dxa"/>
            <w:shd w:val="clear" w:color="auto" w:fill="FFFFFF" w:themeFill="background2"/>
          </w:tcPr>
          <w:p w14:paraId="43879139"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Key observations from surveys include:</w:t>
            </w:r>
          </w:p>
          <w:p w14:paraId="42DB1C30"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 xml:space="preserve">There was a </w:t>
            </w:r>
            <w:r>
              <w:rPr>
                <w:rFonts w:cstheme="minorHAnsi"/>
                <w:sz w:val="18"/>
                <w:szCs w:val="18"/>
              </w:rPr>
              <w:t xml:space="preserve">large increase </w:t>
            </w:r>
            <w:r w:rsidRPr="00BA2632">
              <w:rPr>
                <w:rFonts w:cstheme="minorHAnsi"/>
                <w:sz w:val="18"/>
                <w:szCs w:val="18"/>
              </w:rPr>
              <w:t>in abundances of Murray River rainbowfish</w:t>
            </w:r>
            <w:r>
              <w:rPr>
                <w:rFonts w:cstheme="minorHAnsi"/>
                <w:sz w:val="18"/>
                <w:szCs w:val="18"/>
              </w:rPr>
              <w:t xml:space="preserve"> and Australian smelt in 2021</w:t>
            </w:r>
            <w:r w:rsidRPr="00BA2632">
              <w:rPr>
                <w:rFonts w:cstheme="minorHAnsi"/>
                <w:sz w:val="18"/>
                <w:szCs w:val="18"/>
              </w:rPr>
              <w:t xml:space="preserve">. </w:t>
            </w:r>
          </w:p>
          <w:p w14:paraId="6AD5272A"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5716EA">
              <w:rPr>
                <w:rFonts w:cstheme="minorHAnsi"/>
                <w:sz w:val="18"/>
                <w:szCs w:val="18"/>
              </w:rPr>
              <w:t>One native (bony bream) and t</w:t>
            </w:r>
            <w:r>
              <w:rPr>
                <w:rFonts w:cstheme="minorHAnsi"/>
                <w:sz w:val="18"/>
                <w:szCs w:val="18"/>
              </w:rPr>
              <w:t>wo</w:t>
            </w:r>
            <w:r w:rsidRPr="005716EA">
              <w:rPr>
                <w:rFonts w:cstheme="minorHAnsi"/>
                <w:sz w:val="18"/>
                <w:szCs w:val="18"/>
              </w:rPr>
              <w:t xml:space="preserve"> exotic (redfin perch, oriental </w:t>
            </w:r>
            <w:proofErr w:type="spellStart"/>
            <w:r w:rsidRPr="005716EA">
              <w:rPr>
                <w:rFonts w:cstheme="minorHAnsi"/>
                <w:sz w:val="18"/>
                <w:szCs w:val="18"/>
              </w:rPr>
              <w:t>weatherloach</w:t>
            </w:r>
            <w:proofErr w:type="spellEnd"/>
            <w:r w:rsidRPr="005716EA">
              <w:rPr>
                <w:rFonts w:cstheme="minorHAnsi"/>
                <w:sz w:val="18"/>
                <w:szCs w:val="18"/>
              </w:rPr>
              <w:t>) species collected in low numbers in previous surveys were not detected in 2021.</w:t>
            </w:r>
          </w:p>
          <w:p w14:paraId="0E4C6C46"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Spawning</w:t>
            </w:r>
            <w:r w:rsidRPr="00BA2632">
              <w:rPr>
                <w:rFonts w:cstheme="minorHAnsi"/>
                <w:sz w:val="18"/>
                <w:szCs w:val="18"/>
              </w:rPr>
              <w:t xml:space="preserve"> of golden perch</w:t>
            </w:r>
            <w:r>
              <w:rPr>
                <w:rFonts w:cstheme="minorHAnsi"/>
                <w:sz w:val="18"/>
                <w:szCs w:val="18"/>
              </w:rPr>
              <w:t xml:space="preserve"> and silver perch</w:t>
            </w:r>
            <w:r w:rsidRPr="00BA2632">
              <w:rPr>
                <w:rFonts w:cstheme="minorHAnsi"/>
                <w:sz w:val="18"/>
                <w:szCs w:val="18"/>
              </w:rPr>
              <w:t xml:space="preserve"> was detected in the 20</w:t>
            </w:r>
            <w:r>
              <w:rPr>
                <w:rFonts w:cstheme="minorHAnsi"/>
                <w:sz w:val="18"/>
                <w:szCs w:val="18"/>
              </w:rPr>
              <w:t>20</w:t>
            </w:r>
            <w:r w:rsidRPr="00BA2632">
              <w:rPr>
                <w:rFonts w:cstheme="minorHAnsi"/>
                <w:sz w:val="18"/>
                <w:szCs w:val="18"/>
              </w:rPr>
              <w:t xml:space="preserve"> drift sampling.</w:t>
            </w:r>
          </w:p>
        </w:tc>
        <w:tc>
          <w:tcPr>
            <w:tcW w:w="3261" w:type="dxa"/>
            <w:shd w:val="clear" w:color="auto" w:fill="FFFFFF" w:themeFill="background2"/>
          </w:tcPr>
          <w:p w14:paraId="24E27034"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A</w:t>
            </w:r>
            <w:r w:rsidRPr="00BA2632">
              <w:rPr>
                <w:rFonts w:eastAsia="MS Mincho" w:cstheme="minorHAnsi"/>
                <w:sz w:val="18"/>
                <w:szCs w:val="18"/>
                <w:lang w:eastAsia="en-AU"/>
              </w:rPr>
              <w:t>nnual population surveys (electrofishing and netting)</w:t>
            </w:r>
            <w:r w:rsidRPr="00BA2632">
              <w:rPr>
                <w:rFonts w:cstheme="minorHAnsi"/>
                <w:sz w:val="18"/>
                <w:szCs w:val="18"/>
              </w:rPr>
              <w:t>, and s</w:t>
            </w:r>
            <w:r w:rsidRPr="00BA2632">
              <w:rPr>
                <w:rFonts w:eastAsia="MS Mincho" w:cstheme="minorHAnsi"/>
                <w:sz w:val="18"/>
                <w:szCs w:val="18"/>
                <w:lang w:eastAsia="en-AU"/>
              </w:rPr>
              <w:t>urveys of eggs and larvae (drift nets)</w:t>
            </w:r>
            <w:r w:rsidRPr="00BA2632">
              <w:rPr>
                <w:rFonts w:cstheme="minorHAnsi"/>
                <w:sz w:val="18"/>
                <w:szCs w:val="18"/>
              </w:rPr>
              <w:t xml:space="preserve">. </w:t>
            </w:r>
          </w:p>
          <w:p w14:paraId="1DF74C44"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All data was entered into the MDMS for use in statistical analysis at the Basin-Scale to examine relationships between fish survival metrics and flow data.</w:t>
            </w:r>
          </w:p>
          <w:p w14:paraId="33358A38" w14:textId="77777777" w:rsidR="00D82A1D" w:rsidRPr="00BA2632" w:rsidRDefault="00D82A1D"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p>
        </w:tc>
      </w:tr>
      <w:tr w:rsidR="00D82A1D" w:rsidRPr="00BA2632" w14:paraId="4F1666E0" w14:textId="77777777" w:rsidTr="000F16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1" w:type="dxa"/>
            <w:shd w:val="clear" w:color="auto" w:fill="FFFFFF" w:themeFill="background2"/>
          </w:tcPr>
          <w:p w14:paraId="4BA59457" w14:textId="77777777" w:rsidR="00D82A1D" w:rsidRPr="00BA2632" w:rsidRDefault="00D82A1D" w:rsidP="00E26D3C">
            <w:pPr>
              <w:pStyle w:val="Tablesmalltext"/>
              <w:jc w:val="left"/>
              <w:rPr>
                <w:rFonts w:asciiTheme="minorHAnsi" w:hAnsiTheme="minorHAnsi" w:cstheme="minorHAnsi"/>
                <w:sz w:val="18"/>
                <w:szCs w:val="18"/>
              </w:rPr>
            </w:pPr>
            <w:r w:rsidRPr="00BA2632">
              <w:rPr>
                <w:rStyle w:val="Strong"/>
                <w:rFonts w:asciiTheme="minorHAnsi" w:hAnsiTheme="minorHAnsi" w:cstheme="minorHAnsi"/>
                <w:sz w:val="18"/>
                <w:szCs w:val="18"/>
              </w:rPr>
              <w:lastRenderedPageBreak/>
              <w:t>What did Commonwealth environmental water contribute to sustaining native fish reproduction?</w:t>
            </w:r>
          </w:p>
        </w:tc>
        <w:tc>
          <w:tcPr>
            <w:tcW w:w="1985" w:type="dxa"/>
            <w:shd w:val="clear" w:color="auto" w:fill="FFFFFF" w:themeFill="background2"/>
          </w:tcPr>
          <w:p w14:paraId="2A38A7AC" w14:textId="77777777" w:rsidR="00D82A1D" w:rsidRPr="00BA2632" w:rsidRDefault="00D82A1D" w:rsidP="00E26D3C">
            <w:pPr>
              <w:pStyle w:val="Tablebullet"/>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 xml:space="preserve">Environmental water was delivered specifically for spawning of golden perch </w:t>
            </w:r>
            <w:r>
              <w:rPr>
                <w:rFonts w:cstheme="minorHAnsi"/>
                <w:sz w:val="18"/>
                <w:szCs w:val="18"/>
              </w:rPr>
              <w:t>in November 2020.</w:t>
            </w:r>
          </w:p>
        </w:tc>
        <w:tc>
          <w:tcPr>
            <w:tcW w:w="3118" w:type="dxa"/>
            <w:shd w:val="clear" w:color="auto" w:fill="FFFFFF" w:themeFill="background2"/>
          </w:tcPr>
          <w:p w14:paraId="5A8531B2" w14:textId="77777777" w:rsidR="00D82A1D" w:rsidRDefault="00D82A1D" w:rsidP="00E26D3C">
            <w:pPr>
              <w:pStyle w:val="Tablebullet"/>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5716EA">
              <w:rPr>
                <w:rFonts w:cstheme="minorHAnsi"/>
                <w:sz w:val="18"/>
                <w:szCs w:val="18"/>
              </w:rPr>
              <w:t xml:space="preserve">Spawning of golden perch was detected in mid-October coinciding with a </w:t>
            </w:r>
            <w:r>
              <w:rPr>
                <w:rFonts w:cstheme="minorHAnsi"/>
                <w:sz w:val="18"/>
                <w:szCs w:val="18"/>
              </w:rPr>
              <w:t xml:space="preserve">natural </w:t>
            </w:r>
            <w:r w:rsidRPr="005716EA">
              <w:rPr>
                <w:rFonts w:cstheme="minorHAnsi"/>
                <w:sz w:val="18"/>
                <w:szCs w:val="18"/>
              </w:rPr>
              <w:t xml:space="preserve">within-channel flow pulse. </w:t>
            </w:r>
          </w:p>
          <w:p w14:paraId="42D06D0E" w14:textId="77777777" w:rsidR="00D82A1D" w:rsidRPr="00BA2632" w:rsidRDefault="00D82A1D" w:rsidP="00E26D3C">
            <w:pPr>
              <w:pStyle w:val="Tablebullet"/>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5716EA">
              <w:rPr>
                <w:rFonts w:cstheme="minorHAnsi"/>
                <w:sz w:val="18"/>
                <w:szCs w:val="18"/>
              </w:rPr>
              <w:t xml:space="preserve">Spawning of golden perch and silver perch was also detected in mid and late November respectively coinciding with a within-channel environmental flow pulse. </w:t>
            </w:r>
          </w:p>
        </w:tc>
        <w:tc>
          <w:tcPr>
            <w:tcW w:w="3261" w:type="dxa"/>
            <w:shd w:val="clear" w:color="auto" w:fill="FFFFFF" w:themeFill="background2"/>
          </w:tcPr>
          <w:p w14:paraId="50F4816F" w14:textId="77777777" w:rsidR="00D82A1D" w:rsidRPr="00BA2632" w:rsidRDefault="00D82A1D" w:rsidP="00E26D3C">
            <w:pPr>
              <w:pStyle w:val="Tablebullet"/>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Observations based on surveys of eggs and larvae (drift nets).</w:t>
            </w:r>
          </w:p>
        </w:tc>
      </w:tr>
      <w:tr w:rsidR="00D82A1D" w:rsidRPr="00BA2632" w14:paraId="06568CD8" w14:textId="77777777" w:rsidTr="000F167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1" w:type="dxa"/>
            <w:shd w:val="clear" w:color="auto" w:fill="FFFFFF" w:themeFill="background2"/>
          </w:tcPr>
          <w:p w14:paraId="29757A44" w14:textId="77777777" w:rsidR="00D82A1D" w:rsidRPr="00BA2632" w:rsidRDefault="00D82A1D" w:rsidP="00E26D3C">
            <w:pPr>
              <w:pStyle w:val="Tablesmalltext"/>
              <w:jc w:val="left"/>
              <w:rPr>
                <w:rFonts w:asciiTheme="minorHAnsi" w:hAnsiTheme="minorHAnsi" w:cstheme="minorHAnsi"/>
                <w:sz w:val="18"/>
                <w:szCs w:val="18"/>
              </w:rPr>
            </w:pPr>
            <w:r w:rsidRPr="00BA2632">
              <w:rPr>
                <w:rStyle w:val="Strong"/>
                <w:rFonts w:asciiTheme="minorHAnsi" w:hAnsiTheme="minorHAnsi" w:cstheme="minorHAnsi"/>
                <w:sz w:val="18"/>
                <w:szCs w:val="18"/>
              </w:rPr>
              <w:t>What did Commonwealth environmental water contribute to sustaining native fish survival?</w:t>
            </w:r>
          </w:p>
        </w:tc>
        <w:tc>
          <w:tcPr>
            <w:tcW w:w="1985" w:type="dxa"/>
            <w:shd w:val="clear" w:color="auto" w:fill="FFFFFF" w:themeFill="background2"/>
          </w:tcPr>
          <w:p w14:paraId="1AE042D8"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Quantitative statistical analysis is needed to examine relationships between fish survival metrics and flow data.</w:t>
            </w:r>
          </w:p>
        </w:tc>
        <w:tc>
          <w:tcPr>
            <w:tcW w:w="3118" w:type="dxa"/>
            <w:shd w:val="clear" w:color="auto" w:fill="FFFFFF" w:themeFill="background2"/>
          </w:tcPr>
          <w:p w14:paraId="28711E87"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Key observations from surveys include:</w:t>
            </w:r>
          </w:p>
          <w:p w14:paraId="16ACF484"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 xml:space="preserve">Abundances of several </w:t>
            </w:r>
            <w:r>
              <w:rPr>
                <w:rFonts w:cstheme="minorHAnsi"/>
                <w:sz w:val="18"/>
                <w:szCs w:val="18"/>
              </w:rPr>
              <w:t xml:space="preserve">small-bodied </w:t>
            </w:r>
            <w:r w:rsidRPr="00BA2632">
              <w:rPr>
                <w:rFonts w:cstheme="minorHAnsi"/>
                <w:sz w:val="18"/>
                <w:szCs w:val="18"/>
              </w:rPr>
              <w:t>native species increased in 202</w:t>
            </w:r>
            <w:r>
              <w:rPr>
                <w:rFonts w:cstheme="minorHAnsi"/>
                <w:sz w:val="18"/>
                <w:szCs w:val="18"/>
              </w:rPr>
              <w:t>1</w:t>
            </w:r>
            <w:r w:rsidRPr="00BA2632">
              <w:rPr>
                <w:rFonts w:cstheme="minorHAnsi"/>
                <w:sz w:val="18"/>
                <w:szCs w:val="18"/>
              </w:rPr>
              <w:t xml:space="preserve">. </w:t>
            </w:r>
          </w:p>
          <w:p w14:paraId="042D2CC5"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5716EA">
              <w:rPr>
                <w:rFonts w:cstheme="minorHAnsi"/>
                <w:sz w:val="18"/>
                <w:szCs w:val="18"/>
              </w:rPr>
              <w:t>One native and t</w:t>
            </w:r>
            <w:r>
              <w:rPr>
                <w:rFonts w:cstheme="minorHAnsi"/>
                <w:sz w:val="18"/>
                <w:szCs w:val="18"/>
              </w:rPr>
              <w:t>wo</w:t>
            </w:r>
            <w:r w:rsidRPr="005716EA">
              <w:rPr>
                <w:rFonts w:cstheme="minorHAnsi"/>
                <w:sz w:val="18"/>
                <w:szCs w:val="18"/>
              </w:rPr>
              <w:t xml:space="preserve"> exotic species collected in low numbers in previous surveys were not detected in 2021.</w:t>
            </w:r>
          </w:p>
        </w:tc>
        <w:tc>
          <w:tcPr>
            <w:tcW w:w="3261" w:type="dxa"/>
            <w:shd w:val="clear" w:color="auto" w:fill="FFFFFF" w:themeFill="background2"/>
          </w:tcPr>
          <w:p w14:paraId="541B399D"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ascii="Calibri" w:eastAsia="MS Mincho" w:hAnsi="Calibri" w:cstheme="minorHAnsi"/>
                <w:sz w:val="18"/>
                <w:szCs w:val="18"/>
                <w:lang w:eastAsia="en-AU"/>
              </w:rPr>
              <w:t>Annual population surveys (electrofishing and netting).</w:t>
            </w:r>
          </w:p>
          <w:p w14:paraId="337E10C8"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All data was entered into the MDMS for use in statistical analysis at the Basin-Scale to examine relationships between fish survival metrics and flow data.</w:t>
            </w:r>
          </w:p>
        </w:tc>
      </w:tr>
      <w:tr w:rsidR="00D82A1D" w:rsidRPr="00BA2632" w14:paraId="00155B31" w14:textId="77777777" w:rsidTr="000F16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75" w:type="dxa"/>
            <w:gridSpan w:val="4"/>
            <w:shd w:val="clear" w:color="auto" w:fill="FFFFFF" w:themeFill="background2"/>
            <w:vAlign w:val="center"/>
          </w:tcPr>
          <w:p w14:paraId="4165F92F" w14:textId="77777777" w:rsidR="00D82A1D" w:rsidRPr="00BA2632" w:rsidRDefault="00D82A1D" w:rsidP="00E26D3C">
            <w:pPr>
              <w:pStyle w:val="Tablesmalltext"/>
              <w:jc w:val="left"/>
              <w:rPr>
                <w:rFonts w:asciiTheme="minorHAnsi" w:hAnsiTheme="minorHAnsi" w:cstheme="minorHAnsi"/>
                <w:sz w:val="18"/>
                <w:szCs w:val="18"/>
              </w:rPr>
            </w:pPr>
            <w:r w:rsidRPr="00BA2632">
              <w:rPr>
                <w:rStyle w:val="Strong"/>
                <w:rFonts w:asciiTheme="minorHAnsi" w:hAnsiTheme="minorHAnsi" w:cstheme="minorHAnsi"/>
                <w:b/>
                <w:sz w:val="18"/>
                <w:szCs w:val="18"/>
              </w:rPr>
              <w:t>Area scale evaluation questions</w:t>
            </w:r>
          </w:p>
        </w:tc>
      </w:tr>
      <w:tr w:rsidR="00D82A1D" w:rsidRPr="00BA2632" w14:paraId="2ED55C21" w14:textId="77777777" w:rsidTr="000F167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1" w:type="dxa"/>
            <w:shd w:val="clear" w:color="auto" w:fill="FFFFFF" w:themeFill="background2"/>
          </w:tcPr>
          <w:p w14:paraId="4E58157B" w14:textId="77777777" w:rsidR="00D82A1D" w:rsidRPr="00BA2632" w:rsidRDefault="00D82A1D" w:rsidP="00E26D3C">
            <w:pPr>
              <w:pStyle w:val="Tablesmalltext"/>
              <w:jc w:val="left"/>
              <w:rPr>
                <w:rStyle w:val="Strong"/>
                <w:rFonts w:asciiTheme="minorHAnsi" w:hAnsiTheme="minorHAnsi" w:cstheme="minorHAnsi"/>
                <w:sz w:val="18"/>
                <w:szCs w:val="18"/>
              </w:rPr>
            </w:pPr>
            <w:r w:rsidRPr="00BA2632">
              <w:rPr>
                <w:rStyle w:val="Strong"/>
                <w:rFonts w:asciiTheme="minorHAnsi" w:hAnsiTheme="minorHAnsi" w:cstheme="minorHAnsi"/>
                <w:sz w:val="18"/>
                <w:szCs w:val="18"/>
              </w:rPr>
              <w:t>What did CEW contribute to the recruitment of golden perch in the adult population in the lower Goulburn River?</w:t>
            </w:r>
          </w:p>
        </w:tc>
        <w:tc>
          <w:tcPr>
            <w:tcW w:w="1985" w:type="dxa"/>
            <w:shd w:val="clear" w:color="auto" w:fill="FFFFFF" w:themeFill="background2"/>
          </w:tcPr>
          <w:p w14:paraId="243CEFBF" w14:textId="77777777" w:rsidR="00D82A1D" w:rsidRPr="006248F4" w:rsidRDefault="00D82A1D"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5500D9">
              <w:rPr>
                <w:rFonts w:asciiTheme="minorHAnsi" w:hAnsiTheme="minorHAnsi" w:cstheme="minorHAnsi"/>
                <w:sz w:val="18"/>
                <w:szCs w:val="18"/>
              </w:rPr>
              <w:t>Environmental water was delivered specifically for spawning of golden perch in November 2020.</w:t>
            </w:r>
          </w:p>
        </w:tc>
        <w:tc>
          <w:tcPr>
            <w:tcW w:w="3118" w:type="dxa"/>
            <w:shd w:val="clear" w:color="auto" w:fill="FFFFFF" w:themeFill="background2"/>
          </w:tcPr>
          <w:p w14:paraId="50C62E41"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A single</w:t>
            </w:r>
            <w:r w:rsidRPr="00BA2632">
              <w:rPr>
                <w:rFonts w:cstheme="minorHAnsi"/>
                <w:sz w:val="18"/>
                <w:szCs w:val="18"/>
              </w:rPr>
              <w:t xml:space="preserve"> young-of-year golden perch w</w:t>
            </w:r>
            <w:r>
              <w:rPr>
                <w:rFonts w:cstheme="minorHAnsi"/>
                <w:sz w:val="18"/>
                <w:szCs w:val="18"/>
              </w:rPr>
              <w:t>as</w:t>
            </w:r>
            <w:r w:rsidRPr="00BA2632">
              <w:rPr>
                <w:rFonts w:cstheme="minorHAnsi"/>
                <w:sz w:val="18"/>
                <w:szCs w:val="18"/>
              </w:rPr>
              <w:t xml:space="preserve"> collected in the annual surveys in 202</w:t>
            </w:r>
            <w:r>
              <w:rPr>
                <w:rFonts w:cstheme="minorHAnsi"/>
                <w:sz w:val="18"/>
                <w:szCs w:val="18"/>
              </w:rPr>
              <w:t>1</w:t>
            </w:r>
            <w:r w:rsidRPr="00BA2632">
              <w:rPr>
                <w:rFonts w:cstheme="minorHAnsi"/>
                <w:sz w:val="18"/>
                <w:szCs w:val="18"/>
              </w:rPr>
              <w:t>. It is</w:t>
            </w:r>
            <w:r>
              <w:rPr>
                <w:rFonts w:cstheme="minorHAnsi"/>
                <w:sz w:val="18"/>
                <w:szCs w:val="18"/>
              </w:rPr>
              <w:t xml:space="preserve"> probable</w:t>
            </w:r>
            <w:r w:rsidRPr="00BA2632">
              <w:rPr>
                <w:rFonts w:cstheme="minorHAnsi"/>
                <w:sz w:val="18"/>
                <w:szCs w:val="18"/>
              </w:rPr>
              <w:t xml:space="preserve"> that th</w:t>
            </w:r>
            <w:r>
              <w:rPr>
                <w:rFonts w:cstheme="minorHAnsi"/>
                <w:sz w:val="18"/>
                <w:szCs w:val="18"/>
              </w:rPr>
              <w:t>is</w:t>
            </w:r>
            <w:r w:rsidRPr="00BA2632">
              <w:rPr>
                <w:rFonts w:cstheme="minorHAnsi"/>
                <w:sz w:val="18"/>
                <w:szCs w:val="18"/>
              </w:rPr>
              <w:t xml:space="preserve"> individual</w:t>
            </w:r>
            <w:r>
              <w:rPr>
                <w:rFonts w:cstheme="minorHAnsi"/>
                <w:sz w:val="18"/>
                <w:szCs w:val="18"/>
              </w:rPr>
              <w:t xml:space="preserve"> was stocked,</w:t>
            </w:r>
            <w:r>
              <w:t xml:space="preserve"> </w:t>
            </w:r>
            <w:r w:rsidRPr="00332401">
              <w:rPr>
                <w:rFonts w:cstheme="minorHAnsi"/>
                <w:sz w:val="18"/>
                <w:szCs w:val="18"/>
              </w:rPr>
              <w:t>as the golden perch population in the Goulburn River consists mostly of stocked fish</w:t>
            </w:r>
            <w:r w:rsidRPr="00BA2632">
              <w:rPr>
                <w:rFonts w:cstheme="minorHAnsi"/>
                <w:sz w:val="18"/>
                <w:szCs w:val="18"/>
              </w:rPr>
              <w:t>.</w:t>
            </w:r>
          </w:p>
          <w:p w14:paraId="5DE95279" w14:textId="77777777" w:rsidR="00D82A1D" w:rsidRPr="00BA2632" w:rsidRDefault="00D82A1D" w:rsidP="00E26D3C">
            <w:pPr>
              <w:pStyle w:val="Tablesmalltex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3261" w:type="dxa"/>
            <w:shd w:val="clear" w:color="auto" w:fill="FFFFFF" w:themeFill="background2"/>
          </w:tcPr>
          <w:p w14:paraId="5B0DC425"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 xml:space="preserve">Qualitative observations based on drift netting and electrofishing and fyke netting data. </w:t>
            </w:r>
          </w:p>
          <w:p w14:paraId="3A2AB7A1"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 xml:space="preserve">Previous monitoring shows that the Goulburn River supports spawning of golden perch if appropriate flows are provided. Young-of-year fish are rarely collected in the annual population surveys. This is likely because fish early life stages (eggs, larvae) drift downstream and into the Murray River. </w:t>
            </w:r>
          </w:p>
          <w:p w14:paraId="13D35C74"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 xml:space="preserve">Otolith strontium analysis as part of other projects shows golden perch spawning in the Goulburn River acts as a source of fish to both the Goulburn and Murray rivers. </w:t>
            </w:r>
          </w:p>
          <w:p w14:paraId="2E8E9420" w14:textId="77777777" w:rsidR="00D82A1D" w:rsidRPr="00BA2632" w:rsidRDefault="00D82A1D" w:rsidP="00E26D3C">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A2632">
              <w:rPr>
                <w:rFonts w:cstheme="minorHAnsi"/>
                <w:sz w:val="18"/>
                <w:szCs w:val="18"/>
              </w:rPr>
              <w:t>Measuring or reporting ‘recruitment’ outcomes at a reach or river scale in this region may be unsuitable for species with early life stages that can drift or disperse long distances away from spawning locations.</w:t>
            </w:r>
          </w:p>
        </w:tc>
      </w:tr>
      <w:tr w:rsidR="00D82A1D" w:rsidRPr="00BA2632" w14:paraId="30CB91D6" w14:textId="77777777" w:rsidTr="000F16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1" w:type="dxa"/>
            <w:shd w:val="clear" w:color="auto" w:fill="FFFFFF" w:themeFill="background2"/>
          </w:tcPr>
          <w:p w14:paraId="4A3C22EC" w14:textId="77777777" w:rsidR="00D82A1D" w:rsidRPr="00BA2632" w:rsidRDefault="00D82A1D" w:rsidP="00E26D3C">
            <w:pPr>
              <w:pStyle w:val="Tablesmalltext"/>
              <w:jc w:val="left"/>
              <w:rPr>
                <w:rStyle w:val="Strong"/>
                <w:rFonts w:asciiTheme="minorHAnsi" w:hAnsiTheme="minorHAnsi" w:cstheme="minorHAnsi"/>
                <w:sz w:val="18"/>
                <w:szCs w:val="18"/>
              </w:rPr>
            </w:pPr>
            <w:r w:rsidRPr="00BA2632">
              <w:rPr>
                <w:rStyle w:val="Strong"/>
                <w:rFonts w:asciiTheme="minorHAnsi" w:hAnsiTheme="minorHAnsi" w:cstheme="minorHAnsi"/>
                <w:sz w:val="18"/>
                <w:szCs w:val="18"/>
              </w:rPr>
              <w:t>What did CEW contribute to golden perch or silver perch spawning?</w:t>
            </w:r>
          </w:p>
        </w:tc>
        <w:tc>
          <w:tcPr>
            <w:tcW w:w="1985" w:type="dxa"/>
            <w:shd w:val="clear" w:color="auto" w:fill="FFFFFF" w:themeFill="background2"/>
          </w:tcPr>
          <w:p w14:paraId="001495C6" w14:textId="77777777" w:rsidR="00D82A1D" w:rsidRPr="006248F4" w:rsidRDefault="00D82A1D" w:rsidP="00E26D3C">
            <w:pPr>
              <w:pStyle w:val="Tablesmal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eastAsia="zh-CN"/>
              </w:rPr>
            </w:pPr>
            <w:r w:rsidRPr="005500D9">
              <w:rPr>
                <w:rFonts w:asciiTheme="minorHAnsi" w:hAnsiTheme="minorHAnsi" w:cstheme="minorHAnsi"/>
                <w:sz w:val="18"/>
                <w:szCs w:val="18"/>
              </w:rPr>
              <w:t>Environmental water was delivered specifically for spawning of golden perch in November 2020.</w:t>
            </w:r>
          </w:p>
        </w:tc>
        <w:tc>
          <w:tcPr>
            <w:tcW w:w="3118" w:type="dxa"/>
            <w:shd w:val="clear" w:color="auto" w:fill="FFFFFF" w:themeFill="background2"/>
          </w:tcPr>
          <w:p w14:paraId="30C27ED5" w14:textId="77777777" w:rsidR="00D82A1D" w:rsidRPr="00BA2632" w:rsidRDefault="00D82A1D" w:rsidP="00E26D3C">
            <w:pPr>
              <w:pStyle w:val="Tablebullet"/>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32401">
              <w:rPr>
                <w:rFonts w:cstheme="minorHAnsi"/>
                <w:sz w:val="18"/>
                <w:szCs w:val="18"/>
              </w:rPr>
              <w:t xml:space="preserve">Spawning of golden perch and silver perch was detected in mid and late November respectively coinciding with a within-channel environmental flow pulse. </w:t>
            </w:r>
          </w:p>
        </w:tc>
        <w:tc>
          <w:tcPr>
            <w:tcW w:w="3261" w:type="dxa"/>
            <w:shd w:val="clear" w:color="auto" w:fill="FFFFFF" w:themeFill="background2"/>
          </w:tcPr>
          <w:p w14:paraId="30888A2C" w14:textId="77777777" w:rsidR="00D82A1D" w:rsidRPr="00BA2632" w:rsidRDefault="00D82A1D" w:rsidP="00E26D3C">
            <w:pPr>
              <w:pStyle w:val="Tablebullet"/>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Observations based on surveys of eggs and larvae (drift nets).</w:t>
            </w:r>
          </w:p>
          <w:p w14:paraId="01298478" w14:textId="77777777" w:rsidR="00D82A1D" w:rsidRPr="00BA2632" w:rsidRDefault="00D82A1D" w:rsidP="00E26D3C">
            <w:pPr>
              <w:pStyle w:val="Tablebullet"/>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A2632">
              <w:rPr>
                <w:rFonts w:cstheme="minorHAnsi"/>
                <w:sz w:val="18"/>
                <w:szCs w:val="18"/>
              </w:rPr>
              <w:t>Statistical models predicting the likelihood of spawning.</w:t>
            </w:r>
          </w:p>
        </w:tc>
      </w:tr>
    </w:tbl>
    <w:p w14:paraId="49612BB9" w14:textId="77777777" w:rsidR="003D4281" w:rsidRDefault="003D4281" w:rsidP="003D4281"/>
    <w:p w14:paraId="2FD738A4" w14:textId="77777777" w:rsidR="003D4281" w:rsidRDefault="003D4281" w:rsidP="003D4281">
      <w:r>
        <w:br w:type="page"/>
      </w:r>
    </w:p>
    <w:p w14:paraId="40E61AAD" w14:textId="2709FF3A" w:rsidR="003D4281" w:rsidRPr="00BA2632" w:rsidRDefault="003D4281" w:rsidP="003D4281">
      <w:pPr>
        <w:pStyle w:val="Heading2"/>
      </w:pPr>
      <w:bookmarkStart w:id="465" w:name="_Toc84416113"/>
      <w:bookmarkStart w:id="466" w:name="_Toc84417399"/>
      <w:bookmarkStart w:id="467" w:name="_Toc84475700"/>
      <w:r w:rsidRPr="00BA2632">
        <w:lastRenderedPageBreak/>
        <w:t>Monitoring methods and analytical techniques</w:t>
      </w:r>
      <w:bookmarkEnd w:id="465"/>
      <w:bookmarkEnd w:id="466"/>
      <w:bookmarkEnd w:id="467"/>
    </w:p>
    <w:p w14:paraId="569A27C0" w14:textId="41F4BB2A" w:rsidR="003D4281" w:rsidRDefault="003D4281" w:rsidP="003D4281">
      <w:pPr>
        <w:pStyle w:val="Heading3"/>
      </w:pPr>
      <w:bookmarkStart w:id="468" w:name="_Toc84417400"/>
      <w:r w:rsidRPr="00BA2632">
        <w:t>Annual population surveys (electrofishing and netting)</w:t>
      </w:r>
      <w:bookmarkStart w:id="469" w:name="_Hlk48221248"/>
      <w:bookmarkEnd w:id="468"/>
    </w:p>
    <w:p w14:paraId="75CD4757" w14:textId="196CB008" w:rsidR="00D82A1D" w:rsidRPr="00BA2632" w:rsidRDefault="00D82A1D" w:rsidP="00D82A1D">
      <w:pPr>
        <w:rPr>
          <w:lang w:eastAsia="en-AU"/>
        </w:rPr>
      </w:pPr>
      <w:r w:rsidRPr="00BA2632">
        <w:rPr>
          <w:lang w:eastAsia="en-AU"/>
        </w:rPr>
        <w:t>Electrofishing was conducted at 10 sites in the Goulburn River during May and June 202</w:t>
      </w:r>
      <w:r>
        <w:rPr>
          <w:lang w:eastAsia="en-AU"/>
        </w:rPr>
        <w:t>1</w:t>
      </w:r>
      <w:r w:rsidRPr="00BA2632">
        <w:t xml:space="preserve"> </w:t>
      </w:r>
      <w:r w:rsidRPr="00BA2632">
        <w:rPr>
          <w:lang w:eastAsia="en-AU"/>
        </w:rPr>
        <w:t xml:space="preserve">using the same methods as previous years of the study (2015-2019) and as documented in the Standard Operating Procedures included in the Goulburn River MER plan 2019-2022 </w:t>
      </w:r>
      <w:r w:rsidR="00566073">
        <w:rPr>
          <w:noProof/>
          <w:lang w:eastAsia="en-AU"/>
        </w:rPr>
        <w:t>(Webb et al. 2019b)</w:t>
      </w:r>
      <w:r w:rsidRPr="00BA2632">
        <w:rPr>
          <w:lang w:eastAsia="en-AU"/>
        </w:rPr>
        <w:t>. Briefly, sampling was conducted at each site during daylight hours using a Smith–Root model 5 GPP boat–mounted electrofishing unit (</w:t>
      </w:r>
      <w:r w:rsidR="003F697A">
        <w:t xml:space="preserve">Figure </w:t>
      </w:r>
      <w:r w:rsidR="003F697A">
        <w:rPr>
          <w:noProof/>
        </w:rPr>
        <w:t>8</w:t>
      </w:r>
      <w:r w:rsidR="003F697A">
        <w:noBreakHyphen/>
      </w:r>
      <w:r w:rsidR="003F697A">
        <w:rPr>
          <w:noProof/>
        </w:rPr>
        <w:t>1</w:t>
      </w:r>
      <w:r w:rsidRPr="00BA2632">
        <w:rPr>
          <w:lang w:eastAsia="en-AU"/>
        </w:rPr>
        <w:t>). At each site the total time during which electrical current was applied to the water was 2880 seconds. Ten fyke nets were also set at each site (</w:t>
      </w:r>
      <w:r w:rsidR="003F697A">
        <w:t xml:space="preserve">Figure </w:t>
      </w:r>
      <w:r w:rsidR="003F697A">
        <w:rPr>
          <w:noProof/>
        </w:rPr>
        <w:t>8</w:t>
      </w:r>
      <w:r w:rsidR="003F697A">
        <w:noBreakHyphen/>
      </w:r>
      <w:r w:rsidR="003F697A">
        <w:rPr>
          <w:noProof/>
        </w:rPr>
        <w:t>1</w:t>
      </w:r>
      <w:r w:rsidRPr="00BA2632">
        <w:rPr>
          <w:lang w:eastAsia="en-AU"/>
        </w:rPr>
        <w:t xml:space="preserve">). Nets were set in late afternoon and retrieved the following morning. </w:t>
      </w:r>
    </w:p>
    <w:p w14:paraId="0C759825" w14:textId="77777777" w:rsidR="00CD3473" w:rsidRDefault="00D82A1D" w:rsidP="000E3799">
      <w:pPr>
        <w:pStyle w:val="Caption"/>
        <w:keepNext/>
        <w:jc w:val="center"/>
      </w:pPr>
      <w:bookmarkStart w:id="470" w:name="_Ref48219542"/>
      <w:r>
        <w:rPr>
          <w:noProof/>
          <w:lang w:val="en-GB"/>
        </w:rPr>
        <w:drawing>
          <wp:inline distT="0" distB="0" distL="0" distR="0" wp14:anchorId="7C5E9F38" wp14:editId="6D14C4B8">
            <wp:extent cx="3902075" cy="2499360"/>
            <wp:effectExtent l="0" t="0" r="3175" b="0"/>
            <wp:docPr id="16" name="Picture 16" descr="A picture containing tree, outdoor,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ree, outdoor, boat&#10;&#10;Description automatically generated"/>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902075" cy="2499360"/>
                    </a:xfrm>
                    <a:prstGeom prst="rect">
                      <a:avLst/>
                    </a:prstGeom>
                    <a:noFill/>
                  </pic:spPr>
                </pic:pic>
              </a:graphicData>
            </a:graphic>
          </wp:inline>
        </w:drawing>
      </w:r>
      <w:r>
        <w:rPr>
          <w:noProof/>
          <w:lang w:val="en-GB"/>
        </w:rPr>
        <w:drawing>
          <wp:inline distT="0" distB="0" distL="0" distR="0" wp14:anchorId="3FF7486B" wp14:editId="1ACC67BF">
            <wp:extent cx="1402080" cy="2493645"/>
            <wp:effectExtent l="0" t="0" r="7620" b="1905"/>
            <wp:docPr id="2" name="Picture 2" descr="A picture containing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person&#10;&#10;Description automatically generated"/>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402080" cy="2493645"/>
                    </a:xfrm>
                    <a:prstGeom prst="rect">
                      <a:avLst/>
                    </a:prstGeom>
                    <a:noFill/>
                  </pic:spPr>
                </pic:pic>
              </a:graphicData>
            </a:graphic>
          </wp:inline>
        </w:drawing>
      </w:r>
    </w:p>
    <w:p w14:paraId="558BFB26" w14:textId="424B44F1" w:rsidR="00D82A1D" w:rsidRDefault="00CD3473" w:rsidP="00CD3473">
      <w:pPr>
        <w:pStyle w:val="Caption"/>
      </w:pPr>
      <w:bookmarkStart w:id="471" w:name="_Ref83790129"/>
      <w:bookmarkStart w:id="472" w:name="_Toc83907774"/>
      <w:bookmarkStart w:id="473" w:name="_Toc84475751"/>
      <w:r>
        <w:t xml:space="preserve">Figure </w:t>
      </w:r>
      <w:r w:rsidR="003F697A">
        <w:rPr>
          <w:noProof/>
        </w:rPr>
        <w:t>8</w:t>
      </w:r>
      <w:r w:rsidR="00B85158">
        <w:noBreakHyphen/>
      </w:r>
      <w:r w:rsidR="003F697A">
        <w:rPr>
          <w:noProof/>
        </w:rPr>
        <w:t>1</w:t>
      </w:r>
      <w:bookmarkEnd w:id="471"/>
      <w:r>
        <w:t xml:space="preserve"> </w:t>
      </w:r>
      <w:r w:rsidRPr="00BA1CDB">
        <w:t>Electrofishing and netting surveys on the Goulburn River</w:t>
      </w:r>
      <w:r>
        <w:t>.</w:t>
      </w:r>
      <w:bookmarkEnd w:id="472"/>
      <w:bookmarkEnd w:id="473"/>
    </w:p>
    <w:p w14:paraId="076308FB" w14:textId="36801324" w:rsidR="003D4281" w:rsidRDefault="003D4281" w:rsidP="003D4281">
      <w:pPr>
        <w:pStyle w:val="Heading3"/>
      </w:pPr>
      <w:bookmarkStart w:id="474" w:name="_Toc84417401"/>
      <w:bookmarkEnd w:id="469"/>
      <w:bookmarkEnd w:id="470"/>
      <w:r w:rsidRPr="00BA2632">
        <w:t>Surveys of eggs and larvae (drift nets)</w:t>
      </w:r>
      <w:bookmarkEnd w:id="474"/>
    </w:p>
    <w:p w14:paraId="5DD5E4C5" w14:textId="034DA88F" w:rsidR="00D82A1D" w:rsidRPr="00BA2632" w:rsidRDefault="00D82A1D" w:rsidP="00D82A1D">
      <w:pPr>
        <w:rPr>
          <w:lang w:eastAsia="en-AU"/>
        </w:rPr>
      </w:pPr>
      <w:r w:rsidRPr="00BA2632">
        <w:rPr>
          <w:lang w:eastAsia="en-AU"/>
        </w:rPr>
        <w:t>Fish eggs and larvae were sampled at four sites (Yambuna, McCoy’s Bridge, Loch Garry, Pyke Road) on the Goulburn River using three drift nets at each site using the same methods as per previous years of the study (2014-201</w:t>
      </w:r>
      <w:r>
        <w:rPr>
          <w:lang w:eastAsia="en-AU"/>
        </w:rPr>
        <w:t>9</w:t>
      </w:r>
      <w:r w:rsidRPr="00BA2632">
        <w:rPr>
          <w:lang w:eastAsia="en-AU"/>
        </w:rPr>
        <w:t xml:space="preserve">) </w:t>
      </w:r>
      <w:r>
        <w:rPr>
          <w:lang w:eastAsia="en-AU"/>
        </w:rPr>
        <w:br/>
      </w:r>
      <w:r w:rsidRPr="00BA2632">
        <w:rPr>
          <w:lang w:eastAsia="en-AU"/>
        </w:rPr>
        <w:t>(</w:t>
      </w:r>
      <w:r w:rsidR="003F697A">
        <w:t xml:space="preserve">Figure </w:t>
      </w:r>
      <w:r w:rsidR="003F697A">
        <w:rPr>
          <w:noProof/>
        </w:rPr>
        <w:t>8</w:t>
      </w:r>
      <w:r w:rsidR="003F697A">
        <w:noBreakHyphen/>
      </w:r>
      <w:r w:rsidR="003F697A">
        <w:rPr>
          <w:noProof/>
        </w:rPr>
        <w:t>2</w:t>
      </w:r>
      <w:r w:rsidRPr="00BA2632">
        <w:rPr>
          <w:lang w:eastAsia="en-AU"/>
        </w:rPr>
        <w:t>). Sampling was conducted once per week from October to December 20</w:t>
      </w:r>
      <w:r>
        <w:rPr>
          <w:lang w:eastAsia="en-AU"/>
        </w:rPr>
        <w:t>20</w:t>
      </w:r>
      <w:r w:rsidRPr="00BA2632">
        <w:rPr>
          <w:lang w:eastAsia="en-AU"/>
        </w:rPr>
        <w:t>. Drift nets were of 500-µm mesh, 150 cm long with a 50 cm mouth diameter, and had flow meters (General Oceanics, Florida, USA) fitted to the mouth of the net to measure the volume of water filtered. Nets were set in late afternoon (1500–1800 hours) and retrieved the following morning (0800–1000 hours). Drift samples were inspected briefly in the field to obtain fertilised eggs so that these could be taken to the laboratory for hatching to assist identification. The remainder of the samples preserved in 90% ethanol and taken to the laboratory for processing and identification.</w:t>
      </w:r>
    </w:p>
    <w:p w14:paraId="5423EB15" w14:textId="77777777" w:rsidR="000E3799" w:rsidRDefault="00D82A1D" w:rsidP="000E3799">
      <w:pPr>
        <w:pStyle w:val="Para0"/>
        <w:keepNext/>
        <w:jc w:val="center"/>
      </w:pPr>
      <w:r>
        <w:rPr>
          <w:noProof/>
          <w:lang w:val="en-GB"/>
        </w:rPr>
        <w:drawing>
          <wp:inline distT="0" distB="0" distL="0" distR="0" wp14:anchorId="0B8DCD83" wp14:editId="5C44E78F">
            <wp:extent cx="4815181" cy="2712720"/>
            <wp:effectExtent l="0" t="0" r="5080" b="0"/>
            <wp:docPr id="20" name="Picture 20" descr="A person holding a fis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holding a fish&#10;&#10;Description automatically generated with medium confidence"/>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823068" cy="2717163"/>
                    </a:xfrm>
                    <a:prstGeom prst="rect">
                      <a:avLst/>
                    </a:prstGeom>
                    <a:noFill/>
                  </pic:spPr>
                </pic:pic>
              </a:graphicData>
            </a:graphic>
          </wp:inline>
        </w:drawing>
      </w:r>
    </w:p>
    <w:p w14:paraId="71B651AC" w14:textId="05A70284" w:rsidR="00D82A1D" w:rsidRPr="00BA2632" w:rsidRDefault="000E3799" w:rsidP="000E3799">
      <w:pPr>
        <w:pStyle w:val="Caption"/>
      </w:pPr>
      <w:bookmarkStart w:id="475" w:name="_Ref83790199"/>
      <w:bookmarkStart w:id="476" w:name="_Toc83907775"/>
      <w:bookmarkStart w:id="477" w:name="_Toc84475752"/>
      <w:r>
        <w:t xml:space="preserve">Figure </w:t>
      </w:r>
      <w:r w:rsidR="003F697A">
        <w:rPr>
          <w:noProof/>
        </w:rPr>
        <w:t>8</w:t>
      </w:r>
      <w:r w:rsidR="00B85158">
        <w:noBreakHyphen/>
      </w:r>
      <w:r w:rsidR="003F697A">
        <w:rPr>
          <w:noProof/>
        </w:rPr>
        <w:t>2</w:t>
      </w:r>
      <w:bookmarkEnd w:id="475"/>
      <w:r>
        <w:t xml:space="preserve"> </w:t>
      </w:r>
      <w:r w:rsidRPr="0068548C">
        <w:t>Golden perch eggs collected in drift netting surveys on the Goulburn River</w:t>
      </w:r>
      <w:r>
        <w:t>.</w:t>
      </w:r>
      <w:bookmarkEnd w:id="476"/>
      <w:bookmarkEnd w:id="477"/>
    </w:p>
    <w:p w14:paraId="02FB0F88" w14:textId="1CC27F9C" w:rsidR="003D4281" w:rsidRPr="00BA2632" w:rsidRDefault="003D4281" w:rsidP="003D4281">
      <w:pPr>
        <w:pStyle w:val="Heading2"/>
      </w:pPr>
      <w:bookmarkStart w:id="478" w:name="_Toc84416114"/>
      <w:bookmarkStart w:id="479" w:name="_Toc84417402"/>
      <w:bookmarkStart w:id="480" w:name="_Toc84475701"/>
      <w:r w:rsidRPr="00BA2632">
        <w:lastRenderedPageBreak/>
        <w:t>Results</w:t>
      </w:r>
      <w:bookmarkEnd w:id="478"/>
      <w:bookmarkEnd w:id="479"/>
      <w:bookmarkEnd w:id="480"/>
    </w:p>
    <w:p w14:paraId="748F8BED" w14:textId="091AACCF" w:rsidR="003D4281" w:rsidRPr="00BA2632" w:rsidRDefault="003D4281" w:rsidP="00F00E8C">
      <w:pPr>
        <w:pStyle w:val="Heading3"/>
      </w:pPr>
      <w:bookmarkStart w:id="481" w:name="_Toc84417403"/>
      <w:r w:rsidRPr="00BA2632">
        <w:t>Annual population surveys (electrofishing and netting)</w:t>
      </w:r>
      <w:bookmarkEnd w:id="481"/>
    </w:p>
    <w:p w14:paraId="65D5FBE1" w14:textId="77777777" w:rsidR="00724381" w:rsidRDefault="00724381" w:rsidP="00724381">
      <w:pPr>
        <w:rPr>
          <w:lang w:eastAsia="en-AU"/>
        </w:rPr>
      </w:pPr>
      <w:r>
        <w:rPr>
          <w:lang w:eastAsia="en-AU"/>
        </w:rPr>
        <w:t xml:space="preserve">Nine native and three exotic species were collected from the ten survey sites in the Goulburn River in 2021. The nationally threatened trout cod was collected for the second consecutive year (2020 and 2021) and has been collected in four of the last seven years. Other species of conservation significance collected were silver perch, Murray cod and Murray River rainbowfish. A single </w:t>
      </w:r>
      <w:proofErr w:type="spellStart"/>
      <w:r>
        <w:rPr>
          <w:lang w:eastAsia="en-AU"/>
        </w:rPr>
        <w:t>unspecked</w:t>
      </w:r>
      <w:proofErr w:type="spellEnd"/>
      <w:r>
        <w:rPr>
          <w:lang w:eastAsia="en-AU"/>
        </w:rPr>
        <w:t xml:space="preserve"> </w:t>
      </w:r>
      <w:proofErr w:type="spellStart"/>
      <w:r>
        <w:rPr>
          <w:lang w:eastAsia="en-AU"/>
        </w:rPr>
        <w:t>hardyhead</w:t>
      </w:r>
      <w:proofErr w:type="spellEnd"/>
      <w:r>
        <w:rPr>
          <w:lang w:eastAsia="en-AU"/>
        </w:rPr>
        <w:t xml:space="preserve"> was collected in 2021. This species had not been collected in the previous six years but is occasionally encountered in the Goulburn River.  </w:t>
      </w:r>
    </w:p>
    <w:p w14:paraId="5D2CE3B8" w14:textId="6C2192AF" w:rsidR="00724381" w:rsidRDefault="00724381" w:rsidP="00724381">
      <w:pPr>
        <w:rPr>
          <w:lang w:eastAsia="en-AU"/>
        </w:rPr>
      </w:pPr>
      <w:proofErr w:type="gramStart"/>
      <w:r>
        <w:rPr>
          <w:lang w:eastAsia="en-AU"/>
        </w:rPr>
        <w:t>Similar to</w:t>
      </w:r>
      <w:proofErr w:type="gramEnd"/>
      <w:r>
        <w:rPr>
          <w:lang w:eastAsia="en-AU"/>
        </w:rPr>
        <w:t xml:space="preserve"> the results of previous surveys, the small-bodied Australian smelt was the most abundant species collected, and the exotic carp was the most abundant large-bodied species collected. Abundances (mean number per site) of Murray River rainbowfish were considerably higher in 2021 compared to the previous six years. Abundances of Australian smelt were also high relative to previous years. One native (bony bream) and two exotic (redfin perch, oriental </w:t>
      </w:r>
      <w:proofErr w:type="spellStart"/>
      <w:r>
        <w:rPr>
          <w:lang w:eastAsia="en-AU"/>
        </w:rPr>
        <w:t>weatherloach</w:t>
      </w:r>
      <w:proofErr w:type="spellEnd"/>
      <w:r>
        <w:rPr>
          <w:lang w:eastAsia="en-AU"/>
        </w:rPr>
        <w:t>) species collected in low numbers in previous surveys were not detected in 2021.</w:t>
      </w:r>
    </w:p>
    <w:p w14:paraId="63B62CB3" w14:textId="77777777" w:rsidR="00724381" w:rsidRPr="00BA2632" w:rsidRDefault="00724381" w:rsidP="00724381">
      <w:pPr>
        <w:jc w:val="center"/>
        <w:rPr>
          <w:lang w:eastAsia="en-AU"/>
        </w:rPr>
      </w:pPr>
      <w:r>
        <w:rPr>
          <w:noProof/>
          <w:lang w:val="en-GB"/>
        </w:rPr>
        <w:lastRenderedPageBreak/>
        <w:drawing>
          <wp:inline distT="0" distB="0" distL="0" distR="0" wp14:anchorId="1040534A" wp14:editId="047462B2">
            <wp:extent cx="6115050" cy="8577580"/>
            <wp:effectExtent l="0" t="0" r="0" b="0"/>
            <wp:docPr id="474" name="Picture 47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A picture containing chart&#10;&#10;Description automatically generated"/>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6115050" cy="8577580"/>
                    </a:xfrm>
                    <a:prstGeom prst="rect">
                      <a:avLst/>
                    </a:prstGeom>
                    <a:noFill/>
                  </pic:spPr>
                </pic:pic>
              </a:graphicData>
            </a:graphic>
          </wp:inline>
        </w:drawing>
      </w:r>
    </w:p>
    <w:p w14:paraId="5EDDB8F9" w14:textId="4F9EBB9A" w:rsidR="00724381" w:rsidRPr="00BA2632" w:rsidRDefault="00724381" w:rsidP="00724381">
      <w:pPr>
        <w:pStyle w:val="Caption"/>
        <w:rPr>
          <w:rFonts w:ascii="Arial Narrow" w:eastAsia="Times New Roman" w:hAnsi="Arial Narrow" w:cs="Times New Roman"/>
          <w:b w:val="0"/>
          <w:i/>
          <w:iCs w:val="0"/>
          <w:color w:val="000000"/>
          <w:kern w:val="28"/>
        </w:rPr>
      </w:pPr>
      <w:bookmarkStart w:id="482" w:name="_Ref48219483"/>
      <w:bookmarkStart w:id="483" w:name="_Ref45109192"/>
      <w:bookmarkStart w:id="484" w:name="_Toc83907776"/>
      <w:bookmarkStart w:id="485" w:name="_Toc84475753"/>
      <w:r w:rsidRPr="00BA2632">
        <w:t xml:space="preserve">Figure </w:t>
      </w:r>
      <w:r w:rsidR="00B85158">
        <w:rPr>
          <w:noProof/>
        </w:rPr>
        <w:t>8</w:t>
      </w:r>
      <w:r w:rsidR="00B85158">
        <w:noBreakHyphen/>
      </w:r>
      <w:r w:rsidR="00B85158">
        <w:rPr>
          <w:noProof/>
        </w:rPr>
        <w:t>3</w:t>
      </w:r>
      <w:bookmarkEnd w:id="482"/>
      <w:r w:rsidRPr="00BA2632">
        <w:t xml:space="preserve"> </w:t>
      </w:r>
      <w:bookmarkEnd w:id="483"/>
      <w:r w:rsidRPr="00BA2632">
        <w:t>Mean number (±se) per site of fish species collected during electrofishing surveys 2015 to 202</w:t>
      </w:r>
      <w:r>
        <w:t>1</w:t>
      </w:r>
      <w:r w:rsidRPr="00BA2632">
        <w:t>. * denotes exotic species.</w:t>
      </w:r>
      <w:bookmarkEnd w:id="484"/>
      <w:bookmarkEnd w:id="485"/>
    </w:p>
    <w:p w14:paraId="7B0E2283" w14:textId="77777777" w:rsidR="00724381" w:rsidRPr="00BA2632" w:rsidRDefault="00724381" w:rsidP="00724381">
      <w:pPr>
        <w:rPr>
          <w:lang w:eastAsia="en-AU"/>
        </w:rPr>
      </w:pPr>
    </w:p>
    <w:p w14:paraId="684EF7AB" w14:textId="77777777" w:rsidR="00724381" w:rsidRPr="00BA2632" w:rsidRDefault="00724381" w:rsidP="00026BC7">
      <w:pPr>
        <w:jc w:val="center"/>
        <w:rPr>
          <w:lang w:eastAsia="en-AU"/>
        </w:rPr>
      </w:pPr>
      <w:r>
        <w:rPr>
          <w:noProof/>
          <w:lang w:val="en-GB"/>
        </w:rPr>
        <w:drawing>
          <wp:inline distT="0" distB="0" distL="0" distR="0" wp14:anchorId="2AEFE0A7" wp14:editId="413898BF">
            <wp:extent cx="5913755" cy="5322570"/>
            <wp:effectExtent l="0" t="0" r="0" b="0"/>
            <wp:docPr id="479" name="Picture 479"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Chart&#10;&#10;Description automatically generated with medium confidence"/>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913755" cy="5322570"/>
                    </a:xfrm>
                    <a:prstGeom prst="rect">
                      <a:avLst/>
                    </a:prstGeom>
                    <a:noFill/>
                  </pic:spPr>
                </pic:pic>
              </a:graphicData>
            </a:graphic>
          </wp:inline>
        </w:drawing>
      </w:r>
    </w:p>
    <w:p w14:paraId="38805388" w14:textId="7B726B69" w:rsidR="00724381" w:rsidRPr="00BA2632" w:rsidRDefault="00724381" w:rsidP="00724381">
      <w:pPr>
        <w:pStyle w:val="Caption"/>
        <w:rPr>
          <w:rFonts w:ascii="Arial Narrow" w:eastAsia="Times New Roman" w:hAnsi="Arial Narrow" w:cs="Times New Roman"/>
          <w:b w:val="0"/>
          <w:i/>
          <w:iCs w:val="0"/>
          <w:color w:val="000000"/>
          <w:kern w:val="28"/>
        </w:rPr>
      </w:pPr>
      <w:bookmarkStart w:id="486" w:name="_Ref49432200"/>
      <w:bookmarkStart w:id="487" w:name="_Toc83907777"/>
      <w:bookmarkStart w:id="488" w:name="_Toc84475754"/>
      <w:r w:rsidRPr="00BA2632">
        <w:t xml:space="preserve">Figure </w:t>
      </w:r>
      <w:r w:rsidR="003F697A">
        <w:rPr>
          <w:noProof/>
        </w:rPr>
        <w:t>8</w:t>
      </w:r>
      <w:r w:rsidR="00B85158">
        <w:noBreakHyphen/>
      </w:r>
      <w:r w:rsidR="003F697A">
        <w:rPr>
          <w:noProof/>
        </w:rPr>
        <w:t>4</w:t>
      </w:r>
      <w:bookmarkEnd w:id="486"/>
      <w:r w:rsidRPr="00BA2632">
        <w:t xml:space="preserve"> Mean number (±se) per site of fish species collected during fyke netting surveys 2015 to 202</w:t>
      </w:r>
      <w:r>
        <w:t>1</w:t>
      </w:r>
      <w:r w:rsidRPr="00BA2632">
        <w:t>. * denotes exotic species.</w:t>
      </w:r>
      <w:bookmarkEnd w:id="487"/>
      <w:bookmarkEnd w:id="488"/>
    </w:p>
    <w:p w14:paraId="2E115E47" w14:textId="7366A5E8" w:rsidR="00724381" w:rsidRPr="00BA2632" w:rsidRDefault="00724381" w:rsidP="00724381">
      <w:pPr>
        <w:rPr>
          <w:lang w:eastAsia="en-AU"/>
        </w:rPr>
      </w:pPr>
      <w:r w:rsidRPr="00BA2632">
        <w:rPr>
          <w:lang w:eastAsia="en-AU"/>
        </w:rPr>
        <w:t xml:space="preserve">Length frequency histograms are presented below for four of the large-bodied species collected: Murray cod, trout cod, golden </w:t>
      </w:r>
      <w:proofErr w:type="gramStart"/>
      <w:r w:rsidRPr="00BA2632">
        <w:rPr>
          <w:lang w:eastAsia="en-AU"/>
        </w:rPr>
        <w:t>perch</w:t>
      </w:r>
      <w:proofErr w:type="gramEnd"/>
      <w:r w:rsidRPr="00BA2632">
        <w:rPr>
          <w:lang w:eastAsia="en-AU"/>
        </w:rPr>
        <w:t xml:space="preserve"> and silver perch (</w:t>
      </w:r>
      <w:r w:rsidR="003F697A" w:rsidRPr="00BA2632">
        <w:t xml:space="preserve">Figure </w:t>
      </w:r>
      <w:r w:rsidR="003F697A">
        <w:t>8</w:t>
      </w:r>
      <w:r w:rsidR="003F697A">
        <w:noBreakHyphen/>
        <w:t>5</w:t>
      </w:r>
      <w:r w:rsidRPr="00BA2632">
        <w:rPr>
          <w:lang w:eastAsia="en-AU"/>
        </w:rPr>
        <w:t xml:space="preserve">). </w:t>
      </w:r>
    </w:p>
    <w:p w14:paraId="6B5A8369" w14:textId="77777777" w:rsidR="00724381" w:rsidRDefault="00724381" w:rsidP="00724381">
      <w:pPr>
        <w:rPr>
          <w:lang w:eastAsia="en-AU"/>
        </w:rPr>
      </w:pPr>
      <w:r w:rsidRPr="00DF51D5">
        <w:rPr>
          <w:lang w:eastAsia="en-AU"/>
        </w:rPr>
        <w:t>The population structure of Murray cod collected in the 2021 surveys consisted of several cohorts, with young-of-year (YOY) fish (</w:t>
      </w:r>
      <w:proofErr w:type="gramStart"/>
      <w:r w:rsidRPr="00DF51D5">
        <w:rPr>
          <w:lang w:eastAsia="en-AU"/>
        </w:rPr>
        <w:t>i.e.</w:t>
      </w:r>
      <w:proofErr w:type="gramEnd"/>
      <w:r w:rsidRPr="00DF51D5">
        <w:rPr>
          <w:lang w:eastAsia="en-AU"/>
        </w:rPr>
        <w:t xml:space="preserve"> &lt;100 mm in length) comprising the largest cohort. </w:t>
      </w:r>
      <w:proofErr w:type="gramStart"/>
      <w:r w:rsidRPr="00DF51D5">
        <w:rPr>
          <w:lang w:eastAsia="en-AU"/>
        </w:rPr>
        <w:t>The majority of</w:t>
      </w:r>
      <w:proofErr w:type="gramEnd"/>
      <w:r w:rsidRPr="00DF51D5">
        <w:rPr>
          <w:lang w:eastAsia="en-AU"/>
        </w:rPr>
        <w:t xml:space="preserve"> the population were below the minimum legal angling size (550 mm) for Murray cod. The population structure of golden perch in 2021 consisted mostly of large (&gt;300 mm in length) adult fish </w:t>
      </w:r>
      <w:proofErr w:type="gramStart"/>
      <w:r w:rsidRPr="00DF51D5">
        <w:rPr>
          <w:lang w:eastAsia="en-AU"/>
        </w:rPr>
        <w:t>similar to</w:t>
      </w:r>
      <w:proofErr w:type="gramEnd"/>
      <w:r w:rsidRPr="00DF51D5">
        <w:rPr>
          <w:lang w:eastAsia="en-AU"/>
        </w:rPr>
        <w:t xml:space="preserve"> previous years. One juvenile golden perch (37 mm in length) was collected. Three silver perch were collected in 2021 ranging in length from 124 to 310 mm which represent immature and mature individuals. Two juvenile trout cod were collected in 2021 (142 and 147 mm in length).</w:t>
      </w:r>
    </w:p>
    <w:p w14:paraId="0A704723" w14:textId="77777777" w:rsidR="00724381" w:rsidRPr="00BA2632" w:rsidRDefault="00724381" w:rsidP="00724381">
      <w:pPr>
        <w:rPr>
          <w:lang w:eastAsia="en-AU"/>
        </w:rPr>
      </w:pPr>
    </w:p>
    <w:p w14:paraId="5814BEFB" w14:textId="77777777" w:rsidR="002B6735" w:rsidRDefault="002B6735" w:rsidP="00026BC7">
      <w:pPr>
        <w:pStyle w:val="Para0"/>
        <w:jc w:val="center"/>
        <w:rPr>
          <w:noProof/>
          <w:lang w:val="en-GB"/>
        </w:rPr>
      </w:pPr>
    </w:p>
    <w:p w14:paraId="1065C416" w14:textId="07BF7C6B" w:rsidR="00724381" w:rsidRPr="00BA2632" w:rsidRDefault="00724381" w:rsidP="002B6735">
      <w:pPr>
        <w:pStyle w:val="Para0"/>
        <w:jc w:val="center"/>
      </w:pPr>
      <w:r>
        <w:rPr>
          <w:noProof/>
          <w:lang w:val="en-GB"/>
        </w:rPr>
        <w:lastRenderedPageBreak/>
        <w:drawing>
          <wp:inline distT="0" distB="0" distL="0" distR="0" wp14:anchorId="0164603F" wp14:editId="4739A613">
            <wp:extent cx="6075045" cy="8462010"/>
            <wp:effectExtent l="0" t="0" r="1905" b="0"/>
            <wp:docPr id="480" name="Picture 48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Calendar&#10;&#10;Description automatically generated"/>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l="747"/>
                    <a:stretch/>
                  </pic:blipFill>
                  <pic:spPr bwMode="auto">
                    <a:xfrm>
                      <a:off x="0" y="0"/>
                      <a:ext cx="6075045" cy="8462010"/>
                    </a:xfrm>
                    <a:prstGeom prst="rect">
                      <a:avLst/>
                    </a:prstGeom>
                    <a:noFill/>
                    <a:ln>
                      <a:noFill/>
                    </a:ln>
                    <a:extLst>
                      <a:ext uri="{53640926-AAD7-44D8-BBD7-CCE9431645EC}">
                        <a14:shadowObscured xmlns:a14="http://schemas.microsoft.com/office/drawing/2010/main"/>
                      </a:ext>
                    </a:extLst>
                  </pic:spPr>
                </pic:pic>
              </a:graphicData>
            </a:graphic>
          </wp:inline>
        </w:drawing>
      </w:r>
    </w:p>
    <w:p w14:paraId="2B204694" w14:textId="407D703A" w:rsidR="00724381" w:rsidRPr="00BA2632" w:rsidRDefault="00724381" w:rsidP="00724381">
      <w:pPr>
        <w:pStyle w:val="Caption"/>
      </w:pPr>
      <w:bookmarkStart w:id="489" w:name="_Ref48219605"/>
      <w:bookmarkStart w:id="490" w:name="_Ref45109249"/>
      <w:bookmarkStart w:id="491" w:name="_Ref17100528"/>
      <w:bookmarkStart w:id="492" w:name="_Hlk42693570"/>
      <w:bookmarkStart w:id="493" w:name="_Toc529424077"/>
      <w:bookmarkStart w:id="494" w:name="_Toc18572065"/>
      <w:bookmarkStart w:id="495" w:name="_Toc24468427"/>
      <w:bookmarkStart w:id="496" w:name="_Toc83907778"/>
      <w:bookmarkStart w:id="497" w:name="_Toc84475755"/>
      <w:r w:rsidRPr="00BA2632">
        <w:t xml:space="preserve">Figure </w:t>
      </w:r>
      <w:r w:rsidR="003F697A">
        <w:rPr>
          <w:noProof/>
        </w:rPr>
        <w:t>8</w:t>
      </w:r>
      <w:r w:rsidR="00B85158">
        <w:noBreakHyphen/>
      </w:r>
      <w:r w:rsidR="003F697A">
        <w:rPr>
          <w:noProof/>
        </w:rPr>
        <w:t>5</w:t>
      </w:r>
      <w:bookmarkEnd w:id="489"/>
      <w:r w:rsidRPr="00BA2632">
        <w:t xml:space="preserve"> </w:t>
      </w:r>
      <w:bookmarkEnd w:id="490"/>
      <w:bookmarkEnd w:id="491"/>
      <w:r w:rsidRPr="00BA2632">
        <w:t xml:space="preserve">Length </w:t>
      </w:r>
      <w:bookmarkEnd w:id="492"/>
      <w:r w:rsidRPr="00BA2632">
        <w:t xml:space="preserve">frequency of golden perch, Murray cod, silver perch and trout cod collected in the Goulburn River </w:t>
      </w:r>
      <w:bookmarkEnd w:id="493"/>
      <w:bookmarkEnd w:id="494"/>
      <w:bookmarkEnd w:id="495"/>
      <w:r w:rsidRPr="00BA2632">
        <w:t>2015-2020.</w:t>
      </w:r>
      <w:bookmarkEnd w:id="496"/>
      <w:bookmarkEnd w:id="497"/>
    </w:p>
    <w:p w14:paraId="5F052701" w14:textId="77777777" w:rsidR="00724381" w:rsidRDefault="00724381" w:rsidP="00724381">
      <w:pPr>
        <w:rPr>
          <w:lang w:eastAsia="en-AU"/>
        </w:rPr>
      </w:pPr>
    </w:p>
    <w:p w14:paraId="339798C4" w14:textId="29F6D99B" w:rsidR="003D4281" w:rsidRPr="00BA2632" w:rsidRDefault="003D4281" w:rsidP="00F00E8C">
      <w:pPr>
        <w:pStyle w:val="Heading3"/>
      </w:pPr>
      <w:bookmarkStart w:id="498" w:name="_Toc26772973"/>
      <w:bookmarkStart w:id="499" w:name="_Toc84417404"/>
      <w:r w:rsidRPr="00BA2632">
        <w:lastRenderedPageBreak/>
        <w:t>Surveys of eggs and larvae (drift nets)</w:t>
      </w:r>
      <w:bookmarkEnd w:id="498"/>
      <w:bookmarkEnd w:id="499"/>
    </w:p>
    <w:p w14:paraId="52A22B5A" w14:textId="0EA09F9A" w:rsidR="00724381" w:rsidRPr="003379B1" w:rsidRDefault="00724381" w:rsidP="00724381">
      <w:pPr>
        <w:rPr>
          <w:highlight w:val="yellow"/>
          <w:lang w:eastAsia="en-AU"/>
        </w:rPr>
      </w:pPr>
      <w:bookmarkStart w:id="500" w:name="_Ref48219692"/>
      <w:bookmarkStart w:id="501" w:name="_Ref24383060"/>
      <w:bookmarkStart w:id="502" w:name="_Toc24468483"/>
      <w:bookmarkStart w:id="503" w:name="_Toc18572111"/>
      <w:bookmarkStart w:id="504" w:name="_Toc529424350"/>
      <w:r w:rsidRPr="00447713">
        <w:rPr>
          <w:lang w:eastAsia="en-AU"/>
        </w:rPr>
        <w:t xml:space="preserve">Over 2800 individuals (eggs and larvae) representing </w:t>
      </w:r>
      <w:r>
        <w:rPr>
          <w:lang w:eastAsia="en-AU"/>
        </w:rPr>
        <w:t>seven</w:t>
      </w:r>
      <w:r w:rsidRPr="00447713">
        <w:rPr>
          <w:lang w:eastAsia="en-AU"/>
        </w:rPr>
        <w:t xml:space="preserve"> native </w:t>
      </w:r>
      <w:r>
        <w:rPr>
          <w:lang w:eastAsia="en-AU"/>
        </w:rPr>
        <w:t xml:space="preserve">and one exotic </w:t>
      </w:r>
      <w:r w:rsidRPr="00447713">
        <w:rPr>
          <w:lang w:eastAsia="en-AU"/>
        </w:rPr>
        <w:t>species were collected from the four drift sampling sites in the Goulburn River in 2020 (</w:t>
      </w:r>
      <w:r w:rsidR="003F697A" w:rsidRPr="00BA2632">
        <w:t xml:space="preserve">Table </w:t>
      </w:r>
      <w:r w:rsidR="003F697A">
        <w:rPr>
          <w:noProof/>
        </w:rPr>
        <w:t>8</w:t>
      </w:r>
      <w:r w:rsidR="003F697A">
        <w:noBreakHyphen/>
      </w:r>
      <w:r w:rsidR="003F697A">
        <w:rPr>
          <w:noProof/>
        </w:rPr>
        <w:t>3</w:t>
      </w:r>
      <w:r w:rsidRPr="00447713">
        <w:rPr>
          <w:lang w:eastAsia="en-AU"/>
        </w:rPr>
        <w:t xml:space="preserve">). Murray cod was the most abundant species collected, comprising 58% of the total abundance for all species, </w:t>
      </w:r>
      <w:proofErr w:type="gramStart"/>
      <w:r w:rsidRPr="00447713">
        <w:rPr>
          <w:lang w:eastAsia="en-AU"/>
        </w:rPr>
        <w:t>similar to</w:t>
      </w:r>
      <w:proofErr w:type="gramEnd"/>
      <w:r w:rsidRPr="00447713">
        <w:rPr>
          <w:lang w:eastAsia="en-AU"/>
        </w:rPr>
        <w:t xml:space="preserve"> the results of previous surveys. </w:t>
      </w:r>
      <w:r w:rsidRPr="00CA16A0">
        <w:rPr>
          <w:lang w:eastAsia="en-AU"/>
        </w:rPr>
        <w:t xml:space="preserve">Spawning by trout cod was detected in 2020 </w:t>
      </w:r>
      <w:r>
        <w:rPr>
          <w:lang w:eastAsia="en-AU"/>
        </w:rPr>
        <w:t xml:space="preserve">with </w:t>
      </w:r>
      <w:r w:rsidRPr="00CA16A0">
        <w:rPr>
          <w:lang w:eastAsia="en-AU"/>
        </w:rPr>
        <w:t>a single larva</w:t>
      </w:r>
      <w:r>
        <w:rPr>
          <w:lang w:eastAsia="en-AU"/>
        </w:rPr>
        <w:t xml:space="preserve"> </w:t>
      </w:r>
      <w:r w:rsidRPr="00CA16A0">
        <w:rPr>
          <w:lang w:eastAsia="en-AU"/>
        </w:rPr>
        <w:t>collected in late November.</w:t>
      </w:r>
    </w:p>
    <w:p w14:paraId="326604E5" w14:textId="320075EE" w:rsidR="00724381" w:rsidRDefault="00724381" w:rsidP="00724381">
      <w:pPr>
        <w:rPr>
          <w:lang w:eastAsia="en-AU"/>
        </w:rPr>
      </w:pPr>
      <w:r>
        <w:rPr>
          <w:lang w:eastAsia="en-AU"/>
        </w:rPr>
        <w:t>Spawning of golden perch was detected in mid-October (8 eggs) coinciding with an unregulated within-channel flow pulse</w:t>
      </w:r>
      <w:r w:rsidR="00851548">
        <w:rPr>
          <w:lang w:eastAsia="en-AU"/>
        </w:rPr>
        <w:t xml:space="preserve"> (</w:t>
      </w:r>
      <w:r w:rsidR="003F697A" w:rsidRPr="00BA2632">
        <w:t xml:space="preserve">Figure </w:t>
      </w:r>
      <w:r w:rsidR="003F697A">
        <w:rPr>
          <w:noProof/>
        </w:rPr>
        <w:t>8</w:t>
      </w:r>
      <w:r w:rsidR="003F697A">
        <w:noBreakHyphen/>
      </w:r>
      <w:r w:rsidR="003F697A">
        <w:rPr>
          <w:noProof/>
        </w:rPr>
        <w:t>6</w:t>
      </w:r>
      <w:r w:rsidR="00851548">
        <w:rPr>
          <w:lang w:eastAsia="en-AU"/>
        </w:rPr>
        <w:t>)</w:t>
      </w:r>
      <w:r>
        <w:rPr>
          <w:lang w:eastAsia="en-AU"/>
        </w:rPr>
        <w:t>. Water temperature around this time was about 17</w:t>
      </w:r>
      <w:r w:rsidRPr="00DA2354">
        <w:rPr>
          <w:lang w:eastAsia="en-AU"/>
        </w:rPr>
        <w:t>°C</w:t>
      </w:r>
      <w:r>
        <w:rPr>
          <w:lang w:eastAsia="en-AU"/>
        </w:rPr>
        <w:t>, which is the coolest temperature at which spawning has been detected since the start of the LTIM Project in 2014.</w:t>
      </w:r>
      <w:r w:rsidRPr="00DA2354">
        <w:t xml:space="preserve"> </w:t>
      </w:r>
      <w:r>
        <w:t xml:space="preserve">Spawning of golden perch </w:t>
      </w:r>
      <w:r>
        <w:rPr>
          <w:lang w:eastAsia="en-AU"/>
        </w:rPr>
        <w:t xml:space="preserve">(818 eggs and 14 larvae) </w:t>
      </w:r>
      <w:r>
        <w:t xml:space="preserve">and silver perch (18 eggs) was also detected in late </w:t>
      </w:r>
      <w:r>
        <w:rPr>
          <w:lang w:eastAsia="en-AU"/>
        </w:rPr>
        <w:t>November coinciding</w:t>
      </w:r>
      <w:r w:rsidRPr="00DA2354">
        <w:rPr>
          <w:lang w:eastAsia="en-AU"/>
        </w:rPr>
        <w:t xml:space="preserve"> with </w:t>
      </w:r>
      <w:r>
        <w:rPr>
          <w:lang w:eastAsia="en-AU"/>
        </w:rPr>
        <w:t xml:space="preserve">a </w:t>
      </w:r>
      <w:r w:rsidRPr="00DA2354">
        <w:rPr>
          <w:lang w:eastAsia="en-AU"/>
        </w:rPr>
        <w:t xml:space="preserve">within-channel </w:t>
      </w:r>
      <w:r>
        <w:rPr>
          <w:lang w:eastAsia="en-AU"/>
        </w:rPr>
        <w:t xml:space="preserve">environmental flow </w:t>
      </w:r>
      <w:r w:rsidRPr="00DA2354">
        <w:rPr>
          <w:lang w:eastAsia="en-AU"/>
        </w:rPr>
        <w:t xml:space="preserve">pulse. Water temperature around </w:t>
      </w:r>
      <w:r>
        <w:rPr>
          <w:lang w:eastAsia="en-AU"/>
        </w:rPr>
        <w:t>this time was about 22-23</w:t>
      </w:r>
      <w:r w:rsidRPr="00DA2354">
        <w:rPr>
          <w:lang w:eastAsia="en-AU"/>
        </w:rPr>
        <w:t>°C.</w:t>
      </w:r>
      <w:r w:rsidRPr="00CA16A0">
        <w:rPr>
          <w:lang w:eastAsia="en-AU"/>
        </w:rPr>
        <w:t xml:space="preserve"> </w:t>
      </w:r>
    </w:p>
    <w:p w14:paraId="0ED69FEF" w14:textId="5414FE3B" w:rsidR="00724381" w:rsidRDefault="00724381" w:rsidP="00724381">
      <w:pPr>
        <w:rPr>
          <w:lang w:eastAsia="en-AU"/>
        </w:rPr>
      </w:pPr>
      <w:r>
        <w:rPr>
          <w:lang w:eastAsia="en-AU"/>
        </w:rPr>
        <w:t>Using data collected during LTIM (2014-2018) and MER (2019-2020) monitoring as well as earlier sampling (2010-2014) (</w:t>
      </w:r>
      <w:proofErr w:type="spellStart"/>
      <w:r>
        <w:rPr>
          <w:lang w:eastAsia="en-AU"/>
        </w:rPr>
        <w:t>Koster</w:t>
      </w:r>
      <w:proofErr w:type="spellEnd"/>
      <w:r>
        <w:rPr>
          <w:lang w:eastAsia="en-AU"/>
        </w:rPr>
        <w:t xml:space="preserve"> unpublished data) our analyses show that the probability of spawning of golden perch was related to discharge, with greatly increased spawning probability at flows between about 3500–4000 ML</w:t>
      </w:r>
      <w:r w:rsidR="00DB7E06">
        <w:rPr>
          <w:lang w:eastAsia="en-AU"/>
        </w:rPr>
        <w:t>/</w:t>
      </w:r>
      <w:r>
        <w:rPr>
          <w:lang w:eastAsia="en-AU"/>
        </w:rPr>
        <w:t>day when water temperature exceeded ~18.6°C. Using water velocity</w:t>
      </w:r>
      <w:r w:rsidR="00851548">
        <w:rPr>
          <w:lang w:eastAsia="en-AU"/>
        </w:rPr>
        <w:t>,</w:t>
      </w:r>
      <w:r>
        <w:rPr>
          <w:lang w:eastAsia="en-AU"/>
        </w:rPr>
        <w:t xml:space="preserve"> as the descriptor of flow</w:t>
      </w:r>
      <w:r w:rsidR="00851548">
        <w:rPr>
          <w:lang w:eastAsia="en-AU"/>
        </w:rPr>
        <w:t>,</w:t>
      </w:r>
      <w:r>
        <w:rPr>
          <w:lang w:eastAsia="en-AU"/>
        </w:rPr>
        <w:t xml:space="preserve"> result in a similar pattern, with the peak probability of spawning at velocity &gt;0.2-0.3 m s</w:t>
      </w:r>
      <w:r w:rsidRPr="00A168AB">
        <w:rPr>
          <w:vertAlign w:val="superscript"/>
          <w:lang w:eastAsia="en-AU"/>
        </w:rPr>
        <w:t>-1</w:t>
      </w:r>
      <w:r>
        <w:rPr>
          <w:lang w:eastAsia="en-AU"/>
        </w:rPr>
        <w:t xml:space="preserve"> when temperature was &gt;18.6°C</w:t>
      </w:r>
      <w:r w:rsidR="000A750C">
        <w:rPr>
          <w:lang w:eastAsia="en-AU"/>
        </w:rPr>
        <w:t xml:space="preserve"> (</w:t>
      </w:r>
      <w:r w:rsidR="000A750C" w:rsidRPr="00BA49D5">
        <w:t xml:space="preserve">Figure </w:t>
      </w:r>
      <w:r w:rsidR="000A750C">
        <w:rPr>
          <w:noProof/>
        </w:rPr>
        <w:t>8</w:t>
      </w:r>
      <w:r w:rsidR="000A750C">
        <w:noBreakHyphen/>
      </w:r>
      <w:r w:rsidR="000A750C">
        <w:rPr>
          <w:noProof/>
        </w:rPr>
        <w:t>7</w:t>
      </w:r>
      <w:r w:rsidR="000A750C">
        <w:rPr>
          <w:lang w:eastAsia="en-AU"/>
        </w:rPr>
        <w:t xml:space="preserve">; </w:t>
      </w:r>
      <w:r w:rsidR="000A750C" w:rsidRPr="00BA2632">
        <w:t xml:space="preserve">Figure </w:t>
      </w:r>
      <w:r w:rsidR="000A750C">
        <w:rPr>
          <w:noProof/>
        </w:rPr>
        <w:t>8</w:t>
      </w:r>
      <w:r w:rsidR="000A750C">
        <w:noBreakHyphen/>
      </w:r>
      <w:r w:rsidR="000A750C">
        <w:rPr>
          <w:noProof/>
        </w:rPr>
        <w:t>8</w:t>
      </w:r>
      <w:r w:rsidR="000A750C">
        <w:rPr>
          <w:lang w:eastAsia="en-AU"/>
        </w:rPr>
        <w:t>)</w:t>
      </w:r>
      <w:r>
        <w:rPr>
          <w:lang w:eastAsia="en-AU"/>
        </w:rPr>
        <w:t>. I</w:t>
      </w:r>
      <w:r w:rsidRPr="00931C89">
        <w:rPr>
          <w:lang w:eastAsia="en-AU"/>
        </w:rPr>
        <w:t xml:space="preserve">ncreased flows prior to spawning were </w:t>
      </w:r>
      <w:r>
        <w:rPr>
          <w:lang w:eastAsia="en-AU"/>
        </w:rPr>
        <w:t xml:space="preserve">also </w:t>
      </w:r>
      <w:r w:rsidRPr="00931C89">
        <w:rPr>
          <w:lang w:eastAsia="en-AU"/>
        </w:rPr>
        <w:t>associated with increased spawning probability, more so at the three sites in Reach 2</w:t>
      </w:r>
      <w:r>
        <w:rPr>
          <w:lang w:eastAsia="en-AU"/>
        </w:rPr>
        <w:t>.</w:t>
      </w:r>
    </w:p>
    <w:p w14:paraId="16030254" w14:textId="789EE719" w:rsidR="003D4281" w:rsidRPr="00BA2632" w:rsidRDefault="003D4281" w:rsidP="003D4281">
      <w:pPr>
        <w:pStyle w:val="Caption"/>
      </w:pPr>
      <w:bookmarkStart w:id="505" w:name="_Ref83790435"/>
      <w:bookmarkStart w:id="506" w:name="_Toc95391490"/>
      <w:r w:rsidRPr="00BA2632">
        <w:t xml:space="preserve">Table </w:t>
      </w:r>
      <w:r w:rsidR="000B75AF">
        <w:rPr>
          <w:noProof/>
        </w:rPr>
        <w:t>8</w:t>
      </w:r>
      <w:r w:rsidR="000B75AF">
        <w:noBreakHyphen/>
      </w:r>
      <w:r w:rsidR="000B75AF">
        <w:rPr>
          <w:noProof/>
        </w:rPr>
        <w:t>3</w:t>
      </w:r>
      <w:bookmarkEnd w:id="500"/>
      <w:bookmarkEnd w:id="505"/>
      <w:r w:rsidRPr="00BA2632">
        <w:t xml:space="preserve"> </w:t>
      </w:r>
      <w:bookmarkEnd w:id="501"/>
      <w:r w:rsidRPr="00BA2632">
        <w:t>Numbers of eggs (E) and larvae (L) of fish species collected in drift net surveys from the Goulburn River 2014-20</w:t>
      </w:r>
      <w:r>
        <w:t>20</w:t>
      </w:r>
      <w:r w:rsidRPr="00BA2632">
        <w:t>. Species with asterisk are exotic species.</w:t>
      </w:r>
      <w:bookmarkEnd w:id="502"/>
      <w:bookmarkEnd w:id="503"/>
      <w:bookmarkEnd w:id="504"/>
      <w:bookmarkEnd w:id="506"/>
    </w:p>
    <w:tbl>
      <w:tblPr>
        <w:tblStyle w:val="TableGrid3"/>
        <w:tblpPr w:leftFromText="180" w:rightFromText="180" w:vertAnchor="text" w:horzAnchor="margin" w:tblpXSpec="center" w:tblpY="20"/>
        <w:tblW w:w="5000" w:type="pct"/>
        <w:tblInd w:w="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897"/>
        <w:gridCol w:w="1001"/>
        <w:gridCol w:w="1003"/>
        <w:gridCol w:w="1003"/>
        <w:gridCol w:w="1003"/>
        <w:gridCol w:w="1001"/>
        <w:gridCol w:w="1003"/>
        <w:gridCol w:w="1003"/>
        <w:gridCol w:w="997"/>
      </w:tblGrid>
      <w:tr w:rsidR="00141713" w:rsidRPr="00DB7E06" w14:paraId="233CAB24" w14:textId="77777777" w:rsidTr="00DB7E06">
        <w:trPr>
          <w:cantSplit/>
          <w:tblHeader/>
        </w:trPr>
        <w:tc>
          <w:tcPr>
            <w:tcW w:w="957" w:type="pct"/>
            <w:tcBorders>
              <w:top w:val="single" w:sz="4" w:space="0" w:color="808080"/>
              <w:left w:val="single" w:sz="4" w:space="0" w:color="808080"/>
              <w:bottom w:val="single" w:sz="4" w:space="0" w:color="808080"/>
              <w:right w:val="single" w:sz="4" w:space="0" w:color="FFFFFF" w:themeColor="background1"/>
            </w:tcBorders>
            <w:shd w:val="clear" w:color="auto" w:fill="00338D"/>
            <w:hideMark/>
          </w:tcPr>
          <w:p w14:paraId="7C9FBE7C" w14:textId="77777777" w:rsidR="00724381" w:rsidRPr="00DB7E06" w:rsidRDefault="00724381" w:rsidP="00E26D3C">
            <w:pPr>
              <w:spacing w:before="40" w:after="40"/>
              <w:rPr>
                <w:rFonts w:cstheme="minorHAnsi"/>
                <w:sz w:val="18"/>
                <w:szCs w:val="18"/>
              </w:rPr>
            </w:pPr>
            <w:r w:rsidRPr="00DB7E06">
              <w:rPr>
                <w:rFonts w:cstheme="minorHAnsi"/>
                <w:sz w:val="18"/>
                <w:szCs w:val="18"/>
              </w:rPr>
              <w:t>Species</w:t>
            </w:r>
          </w:p>
        </w:tc>
        <w:tc>
          <w:tcPr>
            <w:tcW w:w="505"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hideMark/>
          </w:tcPr>
          <w:p w14:paraId="175B8885" w14:textId="77777777" w:rsidR="00724381" w:rsidRPr="00DB7E06" w:rsidRDefault="00724381" w:rsidP="00E26D3C">
            <w:pPr>
              <w:spacing w:before="40" w:after="40"/>
              <w:rPr>
                <w:rFonts w:cstheme="minorHAnsi"/>
                <w:sz w:val="18"/>
                <w:szCs w:val="18"/>
              </w:rPr>
            </w:pPr>
            <w:r w:rsidRPr="00DB7E06">
              <w:rPr>
                <w:rFonts w:cstheme="minorHAnsi"/>
                <w:sz w:val="18"/>
                <w:szCs w:val="18"/>
              </w:rPr>
              <w:t>2014</w:t>
            </w:r>
          </w:p>
        </w:tc>
        <w:tc>
          <w:tcPr>
            <w:tcW w:w="506"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hideMark/>
          </w:tcPr>
          <w:p w14:paraId="2D911854" w14:textId="77777777" w:rsidR="00724381" w:rsidRPr="00DB7E06" w:rsidRDefault="00724381" w:rsidP="00E26D3C">
            <w:pPr>
              <w:spacing w:before="40" w:after="40"/>
              <w:rPr>
                <w:rFonts w:cstheme="minorHAnsi"/>
                <w:sz w:val="18"/>
                <w:szCs w:val="18"/>
              </w:rPr>
            </w:pPr>
            <w:r w:rsidRPr="00DB7E06">
              <w:rPr>
                <w:rFonts w:cstheme="minorHAnsi"/>
                <w:sz w:val="18"/>
                <w:szCs w:val="18"/>
              </w:rPr>
              <w:t>2015</w:t>
            </w:r>
          </w:p>
        </w:tc>
        <w:tc>
          <w:tcPr>
            <w:tcW w:w="506"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hideMark/>
          </w:tcPr>
          <w:p w14:paraId="325F2954" w14:textId="77777777" w:rsidR="00724381" w:rsidRPr="00DB7E06" w:rsidRDefault="00724381" w:rsidP="00E26D3C">
            <w:pPr>
              <w:spacing w:before="40" w:after="40"/>
              <w:rPr>
                <w:rFonts w:cstheme="minorHAnsi"/>
                <w:sz w:val="18"/>
                <w:szCs w:val="18"/>
              </w:rPr>
            </w:pPr>
            <w:r w:rsidRPr="00DB7E06">
              <w:rPr>
                <w:rFonts w:cstheme="minorHAnsi"/>
                <w:sz w:val="18"/>
                <w:szCs w:val="18"/>
              </w:rPr>
              <w:t>2016</w:t>
            </w:r>
          </w:p>
        </w:tc>
        <w:tc>
          <w:tcPr>
            <w:tcW w:w="506"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hideMark/>
          </w:tcPr>
          <w:p w14:paraId="07C15B0E" w14:textId="77777777" w:rsidR="00724381" w:rsidRPr="00DB7E06" w:rsidRDefault="00724381" w:rsidP="00E26D3C">
            <w:pPr>
              <w:spacing w:before="40" w:after="40"/>
              <w:rPr>
                <w:rFonts w:cstheme="minorHAnsi"/>
                <w:sz w:val="18"/>
                <w:szCs w:val="18"/>
              </w:rPr>
            </w:pPr>
            <w:r w:rsidRPr="00DB7E06">
              <w:rPr>
                <w:rFonts w:cstheme="minorHAnsi"/>
                <w:sz w:val="18"/>
                <w:szCs w:val="18"/>
              </w:rPr>
              <w:t xml:space="preserve">2017 </w:t>
            </w:r>
          </w:p>
        </w:tc>
        <w:tc>
          <w:tcPr>
            <w:tcW w:w="505"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hideMark/>
          </w:tcPr>
          <w:p w14:paraId="1FCECBE7" w14:textId="77777777" w:rsidR="00724381" w:rsidRPr="00DB7E06" w:rsidRDefault="00724381" w:rsidP="00E26D3C">
            <w:pPr>
              <w:tabs>
                <w:tab w:val="left" w:pos="588"/>
              </w:tabs>
              <w:spacing w:before="40" w:after="40"/>
              <w:rPr>
                <w:rFonts w:cstheme="minorHAnsi"/>
                <w:sz w:val="18"/>
                <w:szCs w:val="18"/>
              </w:rPr>
            </w:pPr>
            <w:r w:rsidRPr="00DB7E06">
              <w:rPr>
                <w:rFonts w:cstheme="minorHAnsi"/>
                <w:sz w:val="18"/>
                <w:szCs w:val="18"/>
              </w:rPr>
              <w:t xml:space="preserve">2018 </w:t>
            </w:r>
          </w:p>
        </w:tc>
        <w:tc>
          <w:tcPr>
            <w:tcW w:w="506"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tcPr>
          <w:p w14:paraId="5B713003" w14:textId="77777777" w:rsidR="00724381" w:rsidRPr="00DB7E06" w:rsidRDefault="00724381" w:rsidP="00E26D3C">
            <w:pPr>
              <w:spacing w:before="40" w:after="40"/>
              <w:rPr>
                <w:rFonts w:cstheme="minorHAnsi"/>
                <w:sz w:val="18"/>
                <w:szCs w:val="18"/>
              </w:rPr>
            </w:pPr>
            <w:r w:rsidRPr="00DB7E06">
              <w:rPr>
                <w:rFonts w:cstheme="minorHAnsi"/>
                <w:sz w:val="18"/>
                <w:szCs w:val="18"/>
              </w:rPr>
              <w:t>2019</w:t>
            </w:r>
          </w:p>
        </w:tc>
        <w:tc>
          <w:tcPr>
            <w:tcW w:w="506"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tcPr>
          <w:p w14:paraId="204BCDCA" w14:textId="77777777" w:rsidR="00724381" w:rsidRPr="00DB7E06" w:rsidRDefault="00724381" w:rsidP="00E26D3C">
            <w:pPr>
              <w:spacing w:before="40" w:after="40"/>
              <w:rPr>
                <w:rFonts w:cstheme="minorHAnsi"/>
                <w:sz w:val="18"/>
                <w:szCs w:val="18"/>
              </w:rPr>
            </w:pPr>
            <w:r w:rsidRPr="00DB7E06">
              <w:rPr>
                <w:rFonts w:cstheme="minorHAnsi"/>
                <w:sz w:val="18"/>
                <w:szCs w:val="18"/>
              </w:rPr>
              <w:t>2020</w:t>
            </w:r>
          </w:p>
        </w:tc>
        <w:tc>
          <w:tcPr>
            <w:tcW w:w="504"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hideMark/>
          </w:tcPr>
          <w:p w14:paraId="17228B0A" w14:textId="77777777" w:rsidR="00724381" w:rsidRPr="00DB7E06" w:rsidRDefault="00724381" w:rsidP="00E26D3C">
            <w:pPr>
              <w:spacing w:before="40" w:after="40"/>
              <w:rPr>
                <w:rFonts w:cstheme="minorHAnsi"/>
                <w:sz w:val="18"/>
                <w:szCs w:val="18"/>
              </w:rPr>
            </w:pPr>
            <w:r w:rsidRPr="00DB7E06">
              <w:rPr>
                <w:rFonts w:cstheme="minorHAnsi"/>
                <w:sz w:val="18"/>
                <w:szCs w:val="18"/>
              </w:rPr>
              <w:t>Total</w:t>
            </w:r>
          </w:p>
        </w:tc>
      </w:tr>
      <w:tr w:rsidR="00724381" w:rsidRPr="00DB7E06" w14:paraId="749196BF" w14:textId="77777777" w:rsidTr="00DB7E06">
        <w:trPr>
          <w:cantSplit/>
        </w:trPr>
        <w:tc>
          <w:tcPr>
            <w:tcW w:w="957" w:type="pct"/>
            <w:tcBorders>
              <w:top w:val="single" w:sz="4" w:space="0" w:color="808080"/>
              <w:left w:val="single" w:sz="4" w:space="0" w:color="808080"/>
              <w:bottom w:val="single" w:sz="4" w:space="0" w:color="808080"/>
              <w:right w:val="single" w:sz="4" w:space="0" w:color="808080"/>
            </w:tcBorders>
            <w:hideMark/>
          </w:tcPr>
          <w:p w14:paraId="697E59DE" w14:textId="77777777" w:rsidR="00724381" w:rsidRPr="00DB7E06" w:rsidRDefault="00724381" w:rsidP="00E26D3C">
            <w:pPr>
              <w:spacing w:before="40" w:after="40"/>
              <w:rPr>
                <w:rFonts w:cstheme="minorHAnsi"/>
                <w:sz w:val="18"/>
                <w:szCs w:val="18"/>
              </w:rPr>
            </w:pPr>
            <w:r w:rsidRPr="00DB7E06">
              <w:rPr>
                <w:rFonts w:cstheme="minorHAnsi"/>
                <w:sz w:val="18"/>
                <w:szCs w:val="18"/>
              </w:rPr>
              <w:t>Silver perch</w:t>
            </w:r>
          </w:p>
        </w:tc>
        <w:tc>
          <w:tcPr>
            <w:tcW w:w="505" w:type="pct"/>
            <w:tcBorders>
              <w:top w:val="single" w:sz="4" w:space="0" w:color="808080"/>
              <w:left w:val="single" w:sz="4" w:space="0" w:color="808080"/>
              <w:bottom w:val="single" w:sz="4" w:space="0" w:color="808080"/>
              <w:right w:val="single" w:sz="4" w:space="0" w:color="808080"/>
            </w:tcBorders>
            <w:hideMark/>
          </w:tcPr>
          <w:p w14:paraId="2F4A9907" w14:textId="77777777" w:rsidR="00724381" w:rsidRPr="00DB7E06" w:rsidRDefault="00724381" w:rsidP="00E26D3C">
            <w:pPr>
              <w:spacing w:before="40" w:after="40"/>
              <w:rPr>
                <w:rFonts w:cstheme="minorHAnsi"/>
                <w:sz w:val="18"/>
                <w:szCs w:val="18"/>
              </w:rPr>
            </w:pPr>
            <w:r w:rsidRPr="00DB7E06">
              <w:rPr>
                <w:rFonts w:cstheme="minorHAnsi"/>
                <w:sz w:val="18"/>
                <w:szCs w:val="18"/>
              </w:rPr>
              <w:t>47E</w:t>
            </w:r>
          </w:p>
        </w:tc>
        <w:tc>
          <w:tcPr>
            <w:tcW w:w="506" w:type="pct"/>
            <w:tcBorders>
              <w:top w:val="single" w:sz="4" w:space="0" w:color="808080"/>
              <w:left w:val="single" w:sz="4" w:space="0" w:color="808080"/>
              <w:bottom w:val="single" w:sz="4" w:space="0" w:color="808080"/>
              <w:right w:val="single" w:sz="4" w:space="0" w:color="808080"/>
            </w:tcBorders>
          </w:tcPr>
          <w:p w14:paraId="5BDD734A"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hideMark/>
          </w:tcPr>
          <w:p w14:paraId="599CBE3D" w14:textId="77777777" w:rsidR="00724381" w:rsidRPr="00DB7E06" w:rsidRDefault="00724381" w:rsidP="00E26D3C">
            <w:pPr>
              <w:tabs>
                <w:tab w:val="center" w:pos="569"/>
              </w:tabs>
              <w:spacing w:before="40" w:after="40"/>
              <w:rPr>
                <w:rFonts w:cstheme="minorHAnsi"/>
                <w:sz w:val="18"/>
                <w:szCs w:val="18"/>
              </w:rPr>
            </w:pPr>
            <w:r w:rsidRPr="00DB7E06">
              <w:rPr>
                <w:rFonts w:cstheme="minorHAnsi"/>
                <w:sz w:val="18"/>
                <w:szCs w:val="18"/>
              </w:rPr>
              <w:t>34E</w:t>
            </w:r>
          </w:p>
        </w:tc>
        <w:tc>
          <w:tcPr>
            <w:tcW w:w="506" w:type="pct"/>
            <w:tcBorders>
              <w:top w:val="single" w:sz="4" w:space="0" w:color="808080"/>
              <w:left w:val="single" w:sz="4" w:space="0" w:color="808080"/>
              <w:bottom w:val="single" w:sz="4" w:space="0" w:color="808080"/>
              <w:right w:val="single" w:sz="4" w:space="0" w:color="808080"/>
            </w:tcBorders>
            <w:hideMark/>
          </w:tcPr>
          <w:p w14:paraId="6D3B1AA0" w14:textId="77777777" w:rsidR="00724381" w:rsidRPr="00DB7E06" w:rsidRDefault="00724381" w:rsidP="00E26D3C">
            <w:pPr>
              <w:spacing w:before="40" w:after="40"/>
              <w:rPr>
                <w:rFonts w:cstheme="minorHAnsi"/>
                <w:sz w:val="18"/>
                <w:szCs w:val="18"/>
              </w:rPr>
            </w:pPr>
            <w:r w:rsidRPr="00DB7E06">
              <w:rPr>
                <w:rFonts w:cstheme="minorHAnsi"/>
                <w:sz w:val="18"/>
                <w:szCs w:val="18"/>
              </w:rPr>
              <w:t>37E</w:t>
            </w:r>
          </w:p>
        </w:tc>
        <w:tc>
          <w:tcPr>
            <w:tcW w:w="505" w:type="pct"/>
            <w:tcBorders>
              <w:top w:val="single" w:sz="4" w:space="0" w:color="808080"/>
              <w:left w:val="single" w:sz="4" w:space="0" w:color="808080"/>
              <w:bottom w:val="single" w:sz="4" w:space="0" w:color="808080"/>
              <w:right w:val="single" w:sz="4" w:space="0" w:color="808080"/>
            </w:tcBorders>
            <w:hideMark/>
          </w:tcPr>
          <w:p w14:paraId="0F795E9E" w14:textId="77777777" w:rsidR="00724381" w:rsidRPr="00DB7E06" w:rsidRDefault="00724381" w:rsidP="00E26D3C">
            <w:pPr>
              <w:spacing w:before="40" w:after="40"/>
              <w:rPr>
                <w:rFonts w:cstheme="minorHAnsi"/>
                <w:sz w:val="18"/>
                <w:szCs w:val="18"/>
              </w:rPr>
            </w:pPr>
            <w:r w:rsidRPr="00DB7E06">
              <w:rPr>
                <w:rFonts w:cstheme="minorHAnsi"/>
                <w:sz w:val="18"/>
                <w:szCs w:val="18"/>
              </w:rPr>
              <w:t>67E</w:t>
            </w:r>
          </w:p>
        </w:tc>
        <w:tc>
          <w:tcPr>
            <w:tcW w:w="506" w:type="pct"/>
            <w:tcBorders>
              <w:top w:val="single" w:sz="4" w:space="0" w:color="808080"/>
              <w:left w:val="single" w:sz="4" w:space="0" w:color="808080"/>
              <w:bottom w:val="single" w:sz="4" w:space="0" w:color="808080"/>
              <w:right w:val="single" w:sz="4" w:space="0" w:color="808080"/>
            </w:tcBorders>
          </w:tcPr>
          <w:p w14:paraId="3E2F9BDB" w14:textId="77777777" w:rsidR="00724381" w:rsidRPr="00DB7E06" w:rsidRDefault="00724381" w:rsidP="00E26D3C">
            <w:pPr>
              <w:spacing w:before="40" w:after="40"/>
              <w:rPr>
                <w:rFonts w:cstheme="minorHAnsi"/>
                <w:sz w:val="18"/>
                <w:szCs w:val="18"/>
              </w:rPr>
            </w:pPr>
            <w:r w:rsidRPr="00DB7E06">
              <w:rPr>
                <w:rFonts w:cstheme="minorHAnsi"/>
                <w:sz w:val="18"/>
                <w:szCs w:val="18"/>
              </w:rPr>
              <w:t>7E</w:t>
            </w:r>
          </w:p>
        </w:tc>
        <w:tc>
          <w:tcPr>
            <w:tcW w:w="506" w:type="pct"/>
            <w:tcBorders>
              <w:top w:val="single" w:sz="4" w:space="0" w:color="808080"/>
              <w:left w:val="single" w:sz="4" w:space="0" w:color="808080"/>
              <w:bottom w:val="single" w:sz="4" w:space="0" w:color="808080"/>
              <w:right w:val="single" w:sz="4" w:space="0" w:color="808080"/>
            </w:tcBorders>
          </w:tcPr>
          <w:p w14:paraId="437AECD6" w14:textId="77777777" w:rsidR="00724381" w:rsidRPr="00DB7E06" w:rsidRDefault="00724381" w:rsidP="00E26D3C">
            <w:pPr>
              <w:spacing w:before="40" w:after="40"/>
              <w:rPr>
                <w:rFonts w:cstheme="minorHAnsi"/>
                <w:sz w:val="18"/>
                <w:szCs w:val="18"/>
              </w:rPr>
            </w:pPr>
            <w:r w:rsidRPr="00DB7E06">
              <w:rPr>
                <w:rFonts w:cstheme="minorHAnsi"/>
                <w:sz w:val="18"/>
                <w:szCs w:val="18"/>
              </w:rPr>
              <w:t>18E</w:t>
            </w:r>
          </w:p>
        </w:tc>
        <w:tc>
          <w:tcPr>
            <w:tcW w:w="504" w:type="pct"/>
            <w:tcBorders>
              <w:top w:val="single" w:sz="4" w:space="0" w:color="808080"/>
              <w:left w:val="single" w:sz="4" w:space="0" w:color="808080"/>
              <w:bottom w:val="single" w:sz="4" w:space="0" w:color="808080"/>
              <w:right w:val="single" w:sz="4" w:space="0" w:color="808080"/>
            </w:tcBorders>
            <w:shd w:val="clear" w:color="auto" w:fill="auto"/>
            <w:hideMark/>
          </w:tcPr>
          <w:p w14:paraId="5DDCA422" w14:textId="77777777" w:rsidR="00724381" w:rsidRPr="00DB7E06" w:rsidRDefault="00724381" w:rsidP="00E26D3C">
            <w:pPr>
              <w:spacing w:before="40" w:after="40"/>
              <w:rPr>
                <w:rFonts w:cstheme="minorHAnsi"/>
                <w:sz w:val="18"/>
                <w:szCs w:val="18"/>
              </w:rPr>
            </w:pPr>
            <w:r w:rsidRPr="00DB7E06">
              <w:rPr>
                <w:rFonts w:cstheme="minorHAnsi"/>
                <w:sz w:val="18"/>
                <w:szCs w:val="18"/>
              </w:rPr>
              <w:t>210</w:t>
            </w:r>
          </w:p>
        </w:tc>
      </w:tr>
      <w:tr w:rsidR="00724381" w:rsidRPr="00DB7E06" w14:paraId="727C9416" w14:textId="77777777" w:rsidTr="00DB7E06">
        <w:trPr>
          <w:cantSplit/>
        </w:trPr>
        <w:tc>
          <w:tcPr>
            <w:tcW w:w="957" w:type="pct"/>
            <w:tcBorders>
              <w:top w:val="single" w:sz="4" w:space="0" w:color="808080"/>
              <w:left w:val="single" w:sz="4" w:space="0" w:color="808080"/>
              <w:bottom w:val="single" w:sz="4" w:space="0" w:color="808080"/>
              <w:right w:val="single" w:sz="4" w:space="0" w:color="808080"/>
            </w:tcBorders>
            <w:hideMark/>
          </w:tcPr>
          <w:p w14:paraId="10511AE5" w14:textId="77777777" w:rsidR="00724381" w:rsidRPr="00DB7E06" w:rsidRDefault="00724381" w:rsidP="00E26D3C">
            <w:pPr>
              <w:spacing w:before="40" w:after="40"/>
              <w:rPr>
                <w:rFonts w:cstheme="minorHAnsi"/>
                <w:sz w:val="18"/>
                <w:szCs w:val="18"/>
              </w:rPr>
            </w:pPr>
            <w:r w:rsidRPr="00DB7E06">
              <w:rPr>
                <w:rFonts w:cstheme="minorHAnsi"/>
                <w:sz w:val="18"/>
                <w:szCs w:val="18"/>
              </w:rPr>
              <w:t xml:space="preserve">Murray cod </w:t>
            </w:r>
          </w:p>
        </w:tc>
        <w:tc>
          <w:tcPr>
            <w:tcW w:w="505" w:type="pct"/>
            <w:tcBorders>
              <w:top w:val="single" w:sz="4" w:space="0" w:color="808080"/>
              <w:left w:val="single" w:sz="4" w:space="0" w:color="808080"/>
              <w:bottom w:val="single" w:sz="4" w:space="0" w:color="808080"/>
              <w:right w:val="single" w:sz="4" w:space="0" w:color="808080"/>
            </w:tcBorders>
            <w:hideMark/>
          </w:tcPr>
          <w:p w14:paraId="12818043" w14:textId="77777777" w:rsidR="00724381" w:rsidRPr="00DB7E06" w:rsidRDefault="00724381" w:rsidP="00E26D3C">
            <w:pPr>
              <w:spacing w:before="40" w:after="40"/>
              <w:rPr>
                <w:rFonts w:cstheme="minorHAnsi"/>
                <w:sz w:val="18"/>
                <w:szCs w:val="18"/>
              </w:rPr>
            </w:pPr>
            <w:r w:rsidRPr="00DB7E06">
              <w:rPr>
                <w:rFonts w:cstheme="minorHAnsi"/>
                <w:sz w:val="18"/>
                <w:szCs w:val="18"/>
              </w:rPr>
              <w:t>942L</w:t>
            </w:r>
          </w:p>
        </w:tc>
        <w:tc>
          <w:tcPr>
            <w:tcW w:w="506" w:type="pct"/>
            <w:tcBorders>
              <w:top w:val="single" w:sz="4" w:space="0" w:color="808080"/>
              <w:left w:val="single" w:sz="4" w:space="0" w:color="808080"/>
              <w:bottom w:val="single" w:sz="4" w:space="0" w:color="808080"/>
              <w:right w:val="single" w:sz="4" w:space="0" w:color="808080"/>
            </w:tcBorders>
            <w:hideMark/>
          </w:tcPr>
          <w:p w14:paraId="0D223F3E" w14:textId="77777777" w:rsidR="00724381" w:rsidRPr="00DB7E06" w:rsidRDefault="00724381" w:rsidP="00E26D3C">
            <w:pPr>
              <w:spacing w:before="40" w:after="40"/>
              <w:rPr>
                <w:rFonts w:cstheme="minorHAnsi"/>
                <w:sz w:val="18"/>
                <w:szCs w:val="18"/>
              </w:rPr>
            </w:pPr>
            <w:r w:rsidRPr="00DB7E06">
              <w:rPr>
                <w:rFonts w:cstheme="minorHAnsi"/>
                <w:sz w:val="18"/>
                <w:szCs w:val="18"/>
              </w:rPr>
              <w:t>355L</w:t>
            </w:r>
          </w:p>
        </w:tc>
        <w:tc>
          <w:tcPr>
            <w:tcW w:w="506" w:type="pct"/>
            <w:tcBorders>
              <w:top w:val="single" w:sz="4" w:space="0" w:color="808080"/>
              <w:left w:val="single" w:sz="4" w:space="0" w:color="808080"/>
              <w:bottom w:val="single" w:sz="4" w:space="0" w:color="808080"/>
              <w:right w:val="single" w:sz="4" w:space="0" w:color="808080"/>
            </w:tcBorders>
            <w:hideMark/>
          </w:tcPr>
          <w:p w14:paraId="75E0EA23" w14:textId="77777777" w:rsidR="00724381" w:rsidRPr="00DB7E06" w:rsidRDefault="00724381" w:rsidP="00E26D3C">
            <w:pPr>
              <w:tabs>
                <w:tab w:val="center" w:pos="569"/>
              </w:tabs>
              <w:spacing w:before="40" w:after="40"/>
              <w:rPr>
                <w:rFonts w:cstheme="minorHAnsi"/>
                <w:sz w:val="18"/>
                <w:szCs w:val="18"/>
              </w:rPr>
            </w:pPr>
            <w:r w:rsidRPr="00DB7E06">
              <w:rPr>
                <w:rFonts w:cstheme="minorHAnsi"/>
                <w:sz w:val="18"/>
                <w:szCs w:val="18"/>
              </w:rPr>
              <w:t>892L</w:t>
            </w:r>
          </w:p>
        </w:tc>
        <w:tc>
          <w:tcPr>
            <w:tcW w:w="506" w:type="pct"/>
            <w:tcBorders>
              <w:top w:val="single" w:sz="4" w:space="0" w:color="808080"/>
              <w:left w:val="single" w:sz="4" w:space="0" w:color="808080"/>
              <w:bottom w:val="single" w:sz="4" w:space="0" w:color="808080"/>
              <w:right w:val="single" w:sz="4" w:space="0" w:color="808080"/>
            </w:tcBorders>
            <w:hideMark/>
          </w:tcPr>
          <w:p w14:paraId="50833EE5" w14:textId="77777777" w:rsidR="00724381" w:rsidRPr="00DB7E06" w:rsidRDefault="00724381" w:rsidP="00E26D3C">
            <w:pPr>
              <w:spacing w:before="40" w:after="40"/>
              <w:rPr>
                <w:rFonts w:cstheme="minorHAnsi"/>
                <w:sz w:val="18"/>
                <w:szCs w:val="18"/>
              </w:rPr>
            </w:pPr>
            <w:r w:rsidRPr="00DB7E06">
              <w:rPr>
                <w:rFonts w:cstheme="minorHAnsi"/>
                <w:sz w:val="18"/>
                <w:szCs w:val="18"/>
              </w:rPr>
              <w:t>2007L</w:t>
            </w:r>
          </w:p>
        </w:tc>
        <w:tc>
          <w:tcPr>
            <w:tcW w:w="505" w:type="pct"/>
            <w:tcBorders>
              <w:top w:val="single" w:sz="4" w:space="0" w:color="808080"/>
              <w:left w:val="single" w:sz="4" w:space="0" w:color="808080"/>
              <w:bottom w:val="single" w:sz="4" w:space="0" w:color="808080"/>
              <w:right w:val="single" w:sz="4" w:space="0" w:color="808080"/>
            </w:tcBorders>
            <w:hideMark/>
          </w:tcPr>
          <w:p w14:paraId="5610AC89" w14:textId="77777777" w:rsidR="00724381" w:rsidRPr="00DB7E06" w:rsidRDefault="00724381" w:rsidP="00E26D3C">
            <w:pPr>
              <w:spacing w:before="40" w:after="40"/>
              <w:rPr>
                <w:rFonts w:cstheme="minorHAnsi"/>
                <w:sz w:val="18"/>
                <w:szCs w:val="18"/>
              </w:rPr>
            </w:pPr>
            <w:r w:rsidRPr="00DB7E06">
              <w:rPr>
                <w:rFonts w:cstheme="minorHAnsi"/>
                <w:sz w:val="18"/>
                <w:szCs w:val="18"/>
              </w:rPr>
              <w:t>1939L</w:t>
            </w:r>
          </w:p>
        </w:tc>
        <w:tc>
          <w:tcPr>
            <w:tcW w:w="506" w:type="pct"/>
            <w:tcBorders>
              <w:top w:val="single" w:sz="4" w:space="0" w:color="808080"/>
              <w:left w:val="single" w:sz="4" w:space="0" w:color="808080"/>
              <w:bottom w:val="single" w:sz="4" w:space="0" w:color="808080"/>
              <w:right w:val="single" w:sz="4" w:space="0" w:color="808080"/>
            </w:tcBorders>
          </w:tcPr>
          <w:p w14:paraId="58B7D956" w14:textId="77777777" w:rsidR="00724381" w:rsidRPr="00DB7E06" w:rsidRDefault="00724381" w:rsidP="00E26D3C">
            <w:pPr>
              <w:spacing w:before="40" w:after="40"/>
              <w:rPr>
                <w:rFonts w:cstheme="minorHAnsi"/>
                <w:sz w:val="18"/>
                <w:szCs w:val="18"/>
              </w:rPr>
            </w:pPr>
            <w:r w:rsidRPr="00DB7E06">
              <w:rPr>
                <w:rFonts w:cstheme="minorHAnsi"/>
                <w:sz w:val="18"/>
                <w:szCs w:val="18"/>
              </w:rPr>
              <w:t>1046L</w:t>
            </w:r>
          </w:p>
        </w:tc>
        <w:tc>
          <w:tcPr>
            <w:tcW w:w="506" w:type="pct"/>
            <w:tcBorders>
              <w:top w:val="single" w:sz="4" w:space="0" w:color="808080"/>
              <w:left w:val="single" w:sz="4" w:space="0" w:color="808080"/>
              <w:bottom w:val="single" w:sz="4" w:space="0" w:color="808080"/>
              <w:right w:val="single" w:sz="4" w:space="0" w:color="808080"/>
            </w:tcBorders>
          </w:tcPr>
          <w:p w14:paraId="2019A2B8" w14:textId="77777777" w:rsidR="00724381" w:rsidRPr="00DB7E06" w:rsidRDefault="00724381" w:rsidP="00E26D3C">
            <w:pPr>
              <w:spacing w:before="40" w:after="40"/>
              <w:rPr>
                <w:rFonts w:cstheme="minorHAnsi"/>
                <w:sz w:val="18"/>
                <w:szCs w:val="18"/>
              </w:rPr>
            </w:pPr>
            <w:r w:rsidRPr="00DB7E06">
              <w:rPr>
                <w:rFonts w:cstheme="minorHAnsi"/>
                <w:sz w:val="18"/>
                <w:szCs w:val="18"/>
              </w:rPr>
              <w:t>1659L</w:t>
            </w:r>
          </w:p>
        </w:tc>
        <w:tc>
          <w:tcPr>
            <w:tcW w:w="504" w:type="pct"/>
            <w:tcBorders>
              <w:top w:val="single" w:sz="4" w:space="0" w:color="808080"/>
              <w:left w:val="single" w:sz="4" w:space="0" w:color="808080"/>
              <w:bottom w:val="single" w:sz="4" w:space="0" w:color="808080"/>
              <w:right w:val="single" w:sz="4" w:space="0" w:color="808080"/>
            </w:tcBorders>
            <w:hideMark/>
          </w:tcPr>
          <w:p w14:paraId="12842498" w14:textId="77777777" w:rsidR="00724381" w:rsidRPr="00DB7E06" w:rsidRDefault="00724381" w:rsidP="00E26D3C">
            <w:pPr>
              <w:spacing w:before="40" w:after="40"/>
              <w:rPr>
                <w:rFonts w:cstheme="minorHAnsi"/>
                <w:sz w:val="18"/>
                <w:szCs w:val="18"/>
                <w:highlight w:val="yellow"/>
              </w:rPr>
            </w:pPr>
            <w:r w:rsidRPr="00DB7E06">
              <w:rPr>
                <w:rFonts w:cstheme="minorHAnsi"/>
                <w:sz w:val="18"/>
                <w:szCs w:val="18"/>
              </w:rPr>
              <w:t>8840</w:t>
            </w:r>
          </w:p>
        </w:tc>
      </w:tr>
      <w:tr w:rsidR="00724381" w:rsidRPr="00DB7E06" w14:paraId="3C079BE2" w14:textId="77777777" w:rsidTr="00DB7E06">
        <w:trPr>
          <w:cantSplit/>
        </w:trPr>
        <w:tc>
          <w:tcPr>
            <w:tcW w:w="957" w:type="pct"/>
            <w:tcBorders>
              <w:top w:val="single" w:sz="4" w:space="0" w:color="808080"/>
              <w:left w:val="single" w:sz="4" w:space="0" w:color="808080"/>
              <w:bottom w:val="single" w:sz="4" w:space="0" w:color="808080"/>
              <w:right w:val="single" w:sz="4" w:space="0" w:color="808080"/>
            </w:tcBorders>
            <w:hideMark/>
          </w:tcPr>
          <w:p w14:paraId="304A0B07" w14:textId="77777777" w:rsidR="00724381" w:rsidRPr="00DB7E06" w:rsidRDefault="00724381" w:rsidP="00E26D3C">
            <w:pPr>
              <w:spacing w:before="40" w:after="40"/>
              <w:rPr>
                <w:rFonts w:cstheme="minorHAnsi"/>
                <w:sz w:val="18"/>
                <w:szCs w:val="18"/>
              </w:rPr>
            </w:pPr>
            <w:r w:rsidRPr="00DB7E06">
              <w:rPr>
                <w:rFonts w:cstheme="minorHAnsi"/>
                <w:sz w:val="18"/>
                <w:szCs w:val="18"/>
              </w:rPr>
              <w:t>Trout cod</w:t>
            </w:r>
          </w:p>
        </w:tc>
        <w:tc>
          <w:tcPr>
            <w:tcW w:w="505" w:type="pct"/>
            <w:tcBorders>
              <w:top w:val="single" w:sz="4" w:space="0" w:color="808080"/>
              <w:left w:val="single" w:sz="4" w:space="0" w:color="808080"/>
              <w:bottom w:val="single" w:sz="4" w:space="0" w:color="808080"/>
              <w:right w:val="single" w:sz="4" w:space="0" w:color="808080"/>
            </w:tcBorders>
          </w:tcPr>
          <w:p w14:paraId="2395C8E9"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4449636B"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4E77D25E"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hideMark/>
          </w:tcPr>
          <w:p w14:paraId="65CE3976" w14:textId="77777777" w:rsidR="00724381" w:rsidRPr="00DB7E06" w:rsidRDefault="00724381" w:rsidP="00E26D3C">
            <w:pPr>
              <w:spacing w:before="40" w:after="40"/>
              <w:rPr>
                <w:rFonts w:cstheme="minorHAnsi"/>
                <w:sz w:val="18"/>
                <w:szCs w:val="18"/>
              </w:rPr>
            </w:pPr>
            <w:r w:rsidRPr="00DB7E06">
              <w:rPr>
                <w:rFonts w:cstheme="minorHAnsi"/>
                <w:sz w:val="18"/>
                <w:szCs w:val="18"/>
              </w:rPr>
              <w:t>15L</w:t>
            </w:r>
          </w:p>
        </w:tc>
        <w:tc>
          <w:tcPr>
            <w:tcW w:w="505" w:type="pct"/>
            <w:tcBorders>
              <w:top w:val="single" w:sz="4" w:space="0" w:color="808080"/>
              <w:left w:val="single" w:sz="4" w:space="0" w:color="808080"/>
              <w:bottom w:val="single" w:sz="4" w:space="0" w:color="808080"/>
              <w:right w:val="single" w:sz="4" w:space="0" w:color="808080"/>
            </w:tcBorders>
            <w:hideMark/>
          </w:tcPr>
          <w:p w14:paraId="337F517D" w14:textId="77777777" w:rsidR="00724381" w:rsidRPr="00DB7E06" w:rsidRDefault="00724381" w:rsidP="00E26D3C">
            <w:pPr>
              <w:spacing w:before="40" w:after="40"/>
              <w:rPr>
                <w:rFonts w:cstheme="minorHAnsi"/>
                <w:sz w:val="18"/>
                <w:szCs w:val="18"/>
              </w:rPr>
            </w:pPr>
            <w:r w:rsidRPr="00DB7E06">
              <w:rPr>
                <w:rFonts w:cstheme="minorHAnsi"/>
                <w:sz w:val="18"/>
                <w:szCs w:val="18"/>
              </w:rPr>
              <w:t>25L</w:t>
            </w:r>
          </w:p>
        </w:tc>
        <w:tc>
          <w:tcPr>
            <w:tcW w:w="506" w:type="pct"/>
            <w:tcBorders>
              <w:top w:val="single" w:sz="4" w:space="0" w:color="808080"/>
              <w:left w:val="single" w:sz="4" w:space="0" w:color="808080"/>
              <w:bottom w:val="single" w:sz="4" w:space="0" w:color="808080"/>
              <w:right w:val="single" w:sz="4" w:space="0" w:color="808080"/>
            </w:tcBorders>
          </w:tcPr>
          <w:p w14:paraId="3665F849" w14:textId="77777777" w:rsidR="00724381" w:rsidRPr="00DB7E06" w:rsidRDefault="00724381" w:rsidP="00E26D3C">
            <w:pPr>
              <w:spacing w:before="40" w:after="40"/>
              <w:rPr>
                <w:rFonts w:cstheme="minorHAnsi"/>
                <w:sz w:val="18"/>
                <w:szCs w:val="18"/>
              </w:rPr>
            </w:pPr>
            <w:r w:rsidRPr="00DB7E06">
              <w:rPr>
                <w:rFonts w:cstheme="minorHAnsi"/>
                <w:sz w:val="18"/>
                <w:szCs w:val="18"/>
              </w:rPr>
              <w:t>13L</w:t>
            </w:r>
          </w:p>
        </w:tc>
        <w:tc>
          <w:tcPr>
            <w:tcW w:w="506" w:type="pct"/>
            <w:tcBorders>
              <w:top w:val="single" w:sz="4" w:space="0" w:color="808080"/>
              <w:left w:val="single" w:sz="4" w:space="0" w:color="808080"/>
              <w:bottom w:val="single" w:sz="4" w:space="0" w:color="808080"/>
              <w:right w:val="single" w:sz="4" w:space="0" w:color="808080"/>
            </w:tcBorders>
          </w:tcPr>
          <w:p w14:paraId="00F2D420" w14:textId="77777777" w:rsidR="00724381" w:rsidRPr="00DB7E06" w:rsidRDefault="00724381" w:rsidP="00E26D3C">
            <w:pPr>
              <w:spacing w:before="40" w:after="40"/>
              <w:rPr>
                <w:rFonts w:cstheme="minorHAnsi"/>
                <w:sz w:val="18"/>
                <w:szCs w:val="18"/>
              </w:rPr>
            </w:pPr>
            <w:r w:rsidRPr="00DB7E06">
              <w:rPr>
                <w:rFonts w:cstheme="minorHAnsi"/>
                <w:sz w:val="18"/>
                <w:szCs w:val="18"/>
              </w:rPr>
              <w:t>1L</w:t>
            </w:r>
          </w:p>
        </w:tc>
        <w:tc>
          <w:tcPr>
            <w:tcW w:w="504" w:type="pct"/>
            <w:tcBorders>
              <w:top w:val="single" w:sz="4" w:space="0" w:color="808080"/>
              <w:left w:val="single" w:sz="4" w:space="0" w:color="808080"/>
              <w:bottom w:val="single" w:sz="4" w:space="0" w:color="808080"/>
              <w:right w:val="single" w:sz="4" w:space="0" w:color="808080"/>
            </w:tcBorders>
            <w:hideMark/>
          </w:tcPr>
          <w:p w14:paraId="7EC08DAA" w14:textId="77777777" w:rsidR="00724381" w:rsidRPr="00DB7E06" w:rsidRDefault="00724381" w:rsidP="00E26D3C">
            <w:pPr>
              <w:spacing w:before="40" w:after="40"/>
              <w:rPr>
                <w:rFonts w:cstheme="minorHAnsi"/>
                <w:sz w:val="18"/>
                <w:szCs w:val="18"/>
                <w:highlight w:val="yellow"/>
              </w:rPr>
            </w:pPr>
            <w:r w:rsidRPr="00DB7E06">
              <w:rPr>
                <w:rFonts w:cstheme="minorHAnsi"/>
                <w:sz w:val="18"/>
                <w:szCs w:val="18"/>
              </w:rPr>
              <w:t>54</w:t>
            </w:r>
          </w:p>
        </w:tc>
      </w:tr>
      <w:tr w:rsidR="00724381" w:rsidRPr="00DB7E06" w14:paraId="7308EB87" w14:textId="77777777" w:rsidTr="00DB7E06">
        <w:trPr>
          <w:cantSplit/>
        </w:trPr>
        <w:tc>
          <w:tcPr>
            <w:tcW w:w="957" w:type="pct"/>
            <w:tcBorders>
              <w:top w:val="single" w:sz="4" w:space="0" w:color="808080"/>
              <w:left w:val="single" w:sz="4" w:space="0" w:color="808080"/>
              <w:bottom w:val="single" w:sz="4" w:space="0" w:color="808080"/>
              <w:right w:val="single" w:sz="4" w:space="0" w:color="808080"/>
            </w:tcBorders>
            <w:hideMark/>
          </w:tcPr>
          <w:p w14:paraId="0AF40C7D" w14:textId="77777777" w:rsidR="00724381" w:rsidRPr="00DB7E06" w:rsidRDefault="00724381" w:rsidP="00E26D3C">
            <w:pPr>
              <w:spacing w:before="40" w:after="40"/>
              <w:rPr>
                <w:rFonts w:cstheme="minorHAnsi"/>
                <w:sz w:val="18"/>
                <w:szCs w:val="18"/>
              </w:rPr>
            </w:pPr>
            <w:r w:rsidRPr="00DB7E06">
              <w:rPr>
                <w:rFonts w:cstheme="minorHAnsi"/>
                <w:sz w:val="18"/>
                <w:szCs w:val="18"/>
              </w:rPr>
              <w:t>Unidentified cod sp.</w:t>
            </w:r>
          </w:p>
        </w:tc>
        <w:tc>
          <w:tcPr>
            <w:tcW w:w="505" w:type="pct"/>
            <w:tcBorders>
              <w:top w:val="single" w:sz="4" w:space="0" w:color="808080"/>
              <w:left w:val="single" w:sz="4" w:space="0" w:color="808080"/>
              <w:bottom w:val="single" w:sz="4" w:space="0" w:color="808080"/>
              <w:right w:val="single" w:sz="4" w:space="0" w:color="808080"/>
            </w:tcBorders>
          </w:tcPr>
          <w:p w14:paraId="4F8FD3A7"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5BB78901"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2B0FD550" w14:textId="77777777" w:rsidR="00724381" w:rsidRPr="00DB7E06" w:rsidRDefault="00724381" w:rsidP="00E26D3C">
            <w:pPr>
              <w:tabs>
                <w:tab w:val="center" w:pos="569"/>
              </w:tabs>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197731C3" w14:textId="77777777" w:rsidR="00724381" w:rsidRPr="00DB7E06" w:rsidRDefault="00724381" w:rsidP="00E26D3C">
            <w:pPr>
              <w:spacing w:before="40" w:after="40"/>
              <w:rPr>
                <w:rFonts w:cstheme="minorHAnsi"/>
                <w:sz w:val="18"/>
                <w:szCs w:val="18"/>
              </w:rPr>
            </w:pPr>
          </w:p>
        </w:tc>
        <w:tc>
          <w:tcPr>
            <w:tcW w:w="505" w:type="pct"/>
            <w:tcBorders>
              <w:top w:val="single" w:sz="4" w:space="0" w:color="808080"/>
              <w:left w:val="single" w:sz="4" w:space="0" w:color="808080"/>
              <w:bottom w:val="single" w:sz="4" w:space="0" w:color="808080"/>
              <w:right w:val="single" w:sz="4" w:space="0" w:color="808080"/>
            </w:tcBorders>
            <w:hideMark/>
          </w:tcPr>
          <w:p w14:paraId="0CBCB533" w14:textId="77777777" w:rsidR="00724381" w:rsidRPr="00DB7E06" w:rsidRDefault="00724381" w:rsidP="00E26D3C">
            <w:pPr>
              <w:spacing w:before="40" w:after="40"/>
              <w:rPr>
                <w:rFonts w:cstheme="minorHAnsi"/>
                <w:sz w:val="18"/>
                <w:szCs w:val="18"/>
              </w:rPr>
            </w:pPr>
            <w:r w:rsidRPr="00DB7E06">
              <w:rPr>
                <w:rFonts w:cstheme="minorHAnsi"/>
                <w:sz w:val="18"/>
                <w:szCs w:val="18"/>
              </w:rPr>
              <w:t>349L</w:t>
            </w:r>
          </w:p>
        </w:tc>
        <w:tc>
          <w:tcPr>
            <w:tcW w:w="506" w:type="pct"/>
            <w:tcBorders>
              <w:top w:val="single" w:sz="4" w:space="0" w:color="808080"/>
              <w:left w:val="single" w:sz="4" w:space="0" w:color="808080"/>
              <w:bottom w:val="single" w:sz="4" w:space="0" w:color="808080"/>
              <w:right w:val="single" w:sz="4" w:space="0" w:color="808080"/>
            </w:tcBorders>
          </w:tcPr>
          <w:p w14:paraId="3E801136" w14:textId="77777777" w:rsidR="00724381" w:rsidRPr="00DB7E06" w:rsidRDefault="00724381" w:rsidP="00E26D3C">
            <w:pPr>
              <w:spacing w:before="40" w:after="40"/>
              <w:rPr>
                <w:rFonts w:cstheme="minorHAnsi"/>
                <w:sz w:val="18"/>
                <w:szCs w:val="18"/>
              </w:rPr>
            </w:pPr>
            <w:r w:rsidRPr="00DB7E06">
              <w:rPr>
                <w:rFonts w:cstheme="minorHAnsi"/>
                <w:sz w:val="18"/>
                <w:szCs w:val="18"/>
              </w:rPr>
              <w:t>159L</w:t>
            </w:r>
          </w:p>
        </w:tc>
        <w:tc>
          <w:tcPr>
            <w:tcW w:w="506" w:type="pct"/>
            <w:tcBorders>
              <w:top w:val="single" w:sz="4" w:space="0" w:color="808080"/>
              <w:left w:val="single" w:sz="4" w:space="0" w:color="808080"/>
              <w:bottom w:val="single" w:sz="4" w:space="0" w:color="808080"/>
              <w:right w:val="single" w:sz="4" w:space="0" w:color="808080"/>
            </w:tcBorders>
          </w:tcPr>
          <w:p w14:paraId="52211A7C" w14:textId="77777777" w:rsidR="00724381" w:rsidRPr="00DB7E06" w:rsidRDefault="00724381" w:rsidP="00E26D3C">
            <w:pPr>
              <w:spacing w:before="40" w:after="40"/>
              <w:rPr>
                <w:rFonts w:cstheme="minorHAnsi"/>
                <w:sz w:val="18"/>
                <w:szCs w:val="18"/>
              </w:rPr>
            </w:pPr>
            <w:r w:rsidRPr="00DB7E06">
              <w:rPr>
                <w:rFonts w:cstheme="minorHAnsi"/>
                <w:sz w:val="18"/>
                <w:szCs w:val="18"/>
              </w:rPr>
              <w:t>113L</w:t>
            </w:r>
          </w:p>
        </w:tc>
        <w:tc>
          <w:tcPr>
            <w:tcW w:w="504" w:type="pct"/>
            <w:tcBorders>
              <w:top w:val="single" w:sz="4" w:space="0" w:color="808080"/>
              <w:left w:val="single" w:sz="4" w:space="0" w:color="808080"/>
              <w:bottom w:val="single" w:sz="4" w:space="0" w:color="808080"/>
              <w:right w:val="single" w:sz="4" w:space="0" w:color="808080"/>
            </w:tcBorders>
            <w:shd w:val="clear" w:color="auto" w:fill="auto"/>
            <w:hideMark/>
          </w:tcPr>
          <w:p w14:paraId="5B01E707" w14:textId="77777777" w:rsidR="00724381" w:rsidRPr="00DB7E06" w:rsidRDefault="00724381" w:rsidP="00E26D3C">
            <w:pPr>
              <w:spacing w:before="40" w:after="40"/>
              <w:rPr>
                <w:rFonts w:cstheme="minorHAnsi"/>
                <w:sz w:val="18"/>
                <w:szCs w:val="18"/>
              </w:rPr>
            </w:pPr>
            <w:r w:rsidRPr="00DB7E06">
              <w:rPr>
                <w:rFonts w:cstheme="minorHAnsi"/>
                <w:sz w:val="18"/>
                <w:szCs w:val="18"/>
              </w:rPr>
              <w:t>621</w:t>
            </w:r>
          </w:p>
        </w:tc>
      </w:tr>
      <w:tr w:rsidR="00724381" w:rsidRPr="00DB7E06" w14:paraId="538E85FA" w14:textId="77777777" w:rsidTr="00DB7E06">
        <w:trPr>
          <w:cantSplit/>
        </w:trPr>
        <w:tc>
          <w:tcPr>
            <w:tcW w:w="957" w:type="pct"/>
            <w:tcBorders>
              <w:top w:val="single" w:sz="4" w:space="0" w:color="808080"/>
              <w:left w:val="single" w:sz="4" w:space="0" w:color="808080"/>
              <w:bottom w:val="single" w:sz="4" w:space="0" w:color="808080"/>
              <w:right w:val="single" w:sz="4" w:space="0" w:color="808080"/>
            </w:tcBorders>
            <w:hideMark/>
          </w:tcPr>
          <w:p w14:paraId="3840A124" w14:textId="77777777" w:rsidR="00724381" w:rsidRPr="00DB7E06" w:rsidRDefault="00724381" w:rsidP="00E26D3C">
            <w:pPr>
              <w:spacing w:before="40" w:after="40"/>
              <w:rPr>
                <w:rFonts w:cstheme="minorHAnsi"/>
                <w:sz w:val="18"/>
                <w:szCs w:val="18"/>
              </w:rPr>
            </w:pPr>
            <w:r w:rsidRPr="00DB7E06">
              <w:rPr>
                <w:rFonts w:cstheme="minorHAnsi"/>
                <w:sz w:val="18"/>
                <w:szCs w:val="18"/>
              </w:rPr>
              <w:t xml:space="preserve">Golden perch </w:t>
            </w:r>
          </w:p>
        </w:tc>
        <w:tc>
          <w:tcPr>
            <w:tcW w:w="505" w:type="pct"/>
            <w:tcBorders>
              <w:top w:val="single" w:sz="4" w:space="0" w:color="808080"/>
              <w:left w:val="single" w:sz="4" w:space="0" w:color="808080"/>
              <w:bottom w:val="single" w:sz="4" w:space="0" w:color="808080"/>
              <w:right w:val="single" w:sz="4" w:space="0" w:color="808080"/>
            </w:tcBorders>
            <w:hideMark/>
          </w:tcPr>
          <w:p w14:paraId="2272A8BD" w14:textId="77777777" w:rsidR="00724381" w:rsidRPr="00DB7E06" w:rsidRDefault="00724381" w:rsidP="00E26D3C">
            <w:pPr>
              <w:spacing w:before="40" w:after="40"/>
              <w:rPr>
                <w:rFonts w:cstheme="minorHAnsi"/>
                <w:sz w:val="18"/>
                <w:szCs w:val="18"/>
              </w:rPr>
            </w:pPr>
            <w:r w:rsidRPr="00DB7E06">
              <w:rPr>
                <w:rFonts w:cstheme="minorHAnsi"/>
                <w:sz w:val="18"/>
                <w:szCs w:val="18"/>
              </w:rPr>
              <w:t>1628E, 1L</w:t>
            </w:r>
          </w:p>
        </w:tc>
        <w:tc>
          <w:tcPr>
            <w:tcW w:w="506" w:type="pct"/>
            <w:tcBorders>
              <w:top w:val="single" w:sz="4" w:space="0" w:color="808080"/>
              <w:left w:val="single" w:sz="4" w:space="0" w:color="808080"/>
              <w:bottom w:val="single" w:sz="4" w:space="0" w:color="808080"/>
              <w:right w:val="single" w:sz="4" w:space="0" w:color="808080"/>
            </w:tcBorders>
          </w:tcPr>
          <w:p w14:paraId="23C01927"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hideMark/>
          </w:tcPr>
          <w:p w14:paraId="1B91B361" w14:textId="77777777" w:rsidR="00724381" w:rsidRPr="00DB7E06" w:rsidRDefault="00724381" w:rsidP="00E26D3C">
            <w:pPr>
              <w:tabs>
                <w:tab w:val="center" w:pos="569"/>
              </w:tabs>
              <w:spacing w:before="40" w:after="40"/>
              <w:rPr>
                <w:rFonts w:cstheme="minorHAnsi"/>
                <w:sz w:val="18"/>
                <w:szCs w:val="18"/>
              </w:rPr>
            </w:pPr>
            <w:r w:rsidRPr="00DB7E06">
              <w:rPr>
                <w:rFonts w:cstheme="minorHAnsi"/>
                <w:sz w:val="18"/>
                <w:szCs w:val="18"/>
              </w:rPr>
              <w:t>47E</w:t>
            </w:r>
          </w:p>
        </w:tc>
        <w:tc>
          <w:tcPr>
            <w:tcW w:w="506" w:type="pct"/>
            <w:tcBorders>
              <w:top w:val="single" w:sz="4" w:space="0" w:color="808080"/>
              <w:left w:val="single" w:sz="4" w:space="0" w:color="808080"/>
              <w:bottom w:val="single" w:sz="4" w:space="0" w:color="808080"/>
              <w:right w:val="single" w:sz="4" w:space="0" w:color="808080"/>
            </w:tcBorders>
            <w:hideMark/>
          </w:tcPr>
          <w:p w14:paraId="3F9B4B48" w14:textId="77777777" w:rsidR="00724381" w:rsidRPr="00DB7E06" w:rsidRDefault="00724381" w:rsidP="00E26D3C">
            <w:pPr>
              <w:spacing w:before="40" w:after="40"/>
              <w:rPr>
                <w:rFonts w:cstheme="minorHAnsi"/>
                <w:sz w:val="18"/>
                <w:szCs w:val="18"/>
              </w:rPr>
            </w:pPr>
            <w:r w:rsidRPr="00DB7E06">
              <w:rPr>
                <w:rFonts w:cstheme="minorHAnsi"/>
                <w:sz w:val="18"/>
                <w:szCs w:val="18"/>
              </w:rPr>
              <w:t>289E, 11L</w:t>
            </w:r>
          </w:p>
        </w:tc>
        <w:tc>
          <w:tcPr>
            <w:tcW w:w="505" w:type="pct"/>
            <w:tcBorders>
              <w:top w:val="single" w:sz="4" w:space="0" w:color="808080"/>
              <w:left w:val="single" w:sz="4" w:space="0" w:color="808080"/>
              <w:bottom w:val="single" w:sz="4" w:space="0" w:color="808080"/>
              <w:right w:val="single" w:sz="4" w:space="0" w:color="808080"/>
            </w:tcBorders>
            <w:hideMark/>
          </w:tcPr>
          <w:p w14:paraId="43A3E817" w14:textId="77777777" w:rsidR="00724381" w:rsidRPr="00DB7E06" w:rsidRDefault="00724381" w:rsidP="00E26D3C">
            <w:pPr>
              <w:spacing w:before="40" w:after="40"/>
              <w:rPr>
                <w:rFonts w:cstheme="minorHAnsi"/>
                <w:sz w:val="18"/>
                <w:szCs w:val="18"/>
              </w:rPr>
            </w:pPr>
            <w:r w:rsidRPr="00DB7E06">
              <w:rPr>
                <w:rFonts w:cstheme="minorHAnsi"/>
                <w:sz w:val="18"/>
                <w:szCs w:val="18"/>
              </w:rPr>
              <w:t>18E</w:t>
            </w:r>
          </w:p>
        </w:tc>
        <w:tc>
          <w:tcPr>
            <w:tcW w:w="506" w:type="pct"/>
            <w:tcBorders>
              <w:top w:val="single" w:sz="4" w:space="0" w:color="808080"/>
              <w:left w:val="single" w:sz="4" w:space="0" w:color="808080"/>
              <w:bottom w:val="single" w:sz="4" w:space="0" w:color="808080"/>
              <w:right w:val="single" w:sz="4" w:space="0" w:color="808080"/>
            </w:tcBorders>
          </w:tcPr>
          <w:p w14:paraId="020B9985"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120D2AA8" w14:textId="77777777" w:rsidR="00724381" w:rsidRPr="00DB7E06" w:rsidRDefault="00724381" w:rsidP="00E26D3C">
            <w:pPr>
              <w:spacing w:before="40" w:after="40"/>
              <w:rPr>
                <w:rFonts w:cstheme="minorHAnsi"/>
                <w:sz w:val="18"/>
                <w:szCs w:val="18"/>
              </w:rPr>
            </w:pPr>
            <w:r w:rsidRPr="00DB7E06">
              <w:rPr>
                <w:rFonts w:cstheme="minorHAnsi"/>
                <w:sz w:val="18"/>
                <w:szCs w:val="18"/>
              </w:rPr>
              <w:t>826E, 14L</w:t>
            </w:r>
          </w:p>
        </w:tc>
        <w:tc>
          <w:tcPr>
            <w:tcW w:w="504" w:type="pct"/>
            <w:tcBorders>
              <w:top w:val="single" w:sz="4" w:space="0" w:color="808080"/>
              <w:left w:val="single" w:sz="4" w:space="0" w:color="808080"/>
              <w:bottom w:val="single" w:sz="4" w:space="0" w:color="808080"/>
              <w:right w:val="single" w:sz="4" w:space="0" w:color="808080"/>
            </w:tcBorders>
            <w:hideMark/>
          </w:tcPr>
          <w:p w14:paraId="1E2A3060" w14:textId="77777777" w:rsidR="00724381" w:rsidRPr="00DB7E06" w:rsidRDefault="00724381" w:rsidP="00E26D3C">
            <w:pPr>
              <w:spacing w:before="40" w:after="40"/>
              <w:rPr>
                <w:rFonts w:cstheme="minorHAnsi"/>
                <w:sz w:val="18"/>
                <w:szCs w:val="18"/>
                <w:highlight w:val="yellow"/>
              </w:rPr>
            </w:pPr>
            <w:r w:rsidRPr="00DB7E06">
              <w:rPr>
                <w:rFonts w:cstheme="minorHAnsi"/>
                <w:sz w:val="18"/>
                <w:szCs w:val="18"/>
              </w:rPr>
              <w:t>2834</w:t>
            </w:r>
          </w:p>
        </w:tc>
      </w:tr>
      <w:tr w:rsidR="00724381" w:rsidRPr="00DB7E06" w14:paraId="15B15300" w14:textId="77777777" w:rsidTr="00DB7E06">
        <w:trPr>
          <w:cantSplit/>
        </w:trPr>
        <w:tc>
          <w:tcPr>
            <w:tcW w:w="957" w:type="pct"/>
            <w:tcBorders>
              <w:top w:val="single" w:sz="4" w:space="0" w:color="808080"/>
              <w:left w:val="single" w:sz="4" w:space="0" w:color="808080"/>
              <w:bottom w:val="single" w:sz="4" w:space="0" w:color="808080"/>
              <w:right w:val="single" w:sz="4" w:space="0" w:color="808080"/>
            </w:tcBorders>
            <w:hideMark/>
          </w:tcPr>
          <w:p w14:paraId="1DB69D04" w14:textId="77777777" w:rsidR="00724381" w:rsidRPr="00DB7E06" w:rsidRDefault="00724381" w:rsidP="00E26D3C">
            <w:pPr>
              <w:spacing w:before="40" w:after="40"/>
              <w:rPr>
                <w:rFonts w:cstheme="minorHAnsi"/>
                <w:sz w:val="18"/>
                <w:szCs w:val="18"/>
              </w:rPr>
            </w:pPr>
            <w:r w:rsidRPr="00DB7E06">
              <w:rPr>
                <w:rFonts w:cstheme="minorHAnsi"/>
                <w:sz w:val="18"/>
                <w:szCs w:val="18"/>
              </w:rPr>
              <w:t>Common carp*</w:t>
            </w:r>
          </w:p>
        </w:tc>
        <w:tc>
          <w:tcPr>
            <w:tcW w:w="505" w:type="pct"/>
            <w:tcBorders>
              <w:top w:val="single" w:sz="4" w:space="0" w:color="808080"/>
              <w:left w:val="single" w:sz="4" w:space="0" w:color="808080"/>
              <w:bottom w:val="single" w:sz="4" w:space="0" w:color="808080"/>
              <w:right w:val="single" w:sz="4" w:space="0" w:color="808080"/>
            </w:tcBorders>
          </w:tcPr>
          <w:p w14:paraId="01B26A17"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hideMark/>
          </w:tcPr>
          <w:p w14:paraId="349C9A58" w14:textId="77777777" w:rsidR="00724381" w:rsidRPr="00DB7E06" w:rsidRDefault="00724381" w:rsidP="00E26D3C">
            <w:pPr>
              <w:spacing w:before="40" w:after="40"/>
              <w:rPr>
                <w:rFonts w:cstheme="minorHAnsi"/>
                <w:sz w:val="18"/>
                <w:szCs w:val="18"/>
              </w:rPr>
            </w:pPr>
            <w:r w:rsidRPr="00DB7E06">
              <w:rPr>
                <w:rFonts w:cstheme="minorHAnsi"/>
                <w:sz w:val="18"/>
                <w:szCs w:val="18"/>
              </w:rPr>
              <w:t>15L</w:t>
            </w:r>
          </w:p>
        </w:tc>
        <w:tc>
          <w:tcPr>
            <w:tcW w:w="506" w:type="pct"/>
            <w:tcBorders>
              <w:top w:val="single" w:sz="4" w:space="0" w:color="808080"/>
              <w:left w:val="single" w:sz="4" w:space="0" w:color="808080"/>
              <w:bottom w:val="single" w:sz="4" w:space="0" w:color="808080"/>
              <w:right w:val="single" w:sz="4" w:space="0" w:color="808080"/>
            </w:tcBorders>
            <w:hideMark/>
          </w:tcPr>
          <w:p w14:paraId="76D9FF54" w14:textId="77777777" w:rsidR="00724381" w:rsidRPr="00DB7E06" w:rsidRDefault="00724381" w:rsidP="00E26D3C">
            <w:pPr>
              <w:spacing w:before="40" w:after="40"/>
              <w:rPr>
                <w:rFonts w:cstheme="minorHAnsi"/>
                <w:sz w:val="18"/>
                <w:szCs w:val="18"/>
              </w:rPr>
            </w:pPr>
            <w:r w:rsidRPr="00DB7E06">
              <w:rPr>
                <w:rFonts w:cstheme="minorHAnsi"/>
                <w:sz w:val="18"/>
                <w:szCs w:val="18"/>
              </w:rPr>
              <w:t>19L</w:t>
            </w:r>
          </w:p>
        </w:tc>
        <w:tc>
          <w:tcPr>
            <w:tcW w:w="506" w:type="pct"/>
            <w:tcBorders>
              <w:top w:val="single" w:sz="4" w:space="0" w:color="808080"/>
              <w:left w:val="single" w:sz="4" w:space="0" w:color="808080"/>
              <w:bottom w:val="single" w:sz="4" w:space="0" w:color="808080"/>
              <w:right w:val="single" w:sz="4" w:space="0" w:color="808080"/>
            </w:tcBorders>
            <w:hideMark/>
          </w:tcPr>
          <w:p w14:paraId="242536CC" w14:textId="77777777" w:rsidR="00724381" w:rsidRPr="00DB7E06" w:rsidRDefault="00724381" w:rsidP="00E26D3C">
            <w:pPr>
              <w:spacing w:before="40" w:after="40"/>
              <w:rPr>
                <w:rFonts w:cstheme="minorHAnsi"/>
                <w:sz w:val="18"/>
                <w:szCs w:val="18"/>
              </w:rPr>
            </w:pPr>
            <w:r w:rsidRPr="00DB7E06">
              <w:rPr>
                <w:rFonts w:cstheme="minorHAnsi"/>
                <w:sz w:val="18"/>
                <w:szCs w:val="18"/>
              </w:rPr>
              <w:t>16L</w:t>
            </w:r>
          </w:p>
        </w:tc>
        <w:tc>
          <w:tcPr>
            <w:tcW w:w="505" w:type="pct"/>
            <w:tcBorders>
              <w:top w:val="single" w:sz="4" w:space="0" w:color="808080"/>
              <w:left w:val="single" w:sz="4" w:space="0" w:color="808080"/>
              <w:bottom w:val="single" w:sz="4" w:space="0" w:color="808080"/>
              <w:right w:val="single" w:sz="4" w:space="0" w:color="808080"/>
            </w:tcBorders>
            <w:hideMark/>
          </w:tcPr>
          <w:p w14:paraId="42B3FE8F" w14:textId="77777777" w:rsidR="00724381" w:rsidRPr="00DB7E06" w:rsidRDefault="00724381" w:rsidP="00E26D3C">
            <w:pPr>
              <w:spacing w:before="40" w:after="40"/>
              <w:rPr>
                <w:rFonts w:cstheme="minorHAnsi"/>
                <w:sz w:val="18"/>
                <w:szCs w:val="18"/>
              </w:rPr>
            </w:pPr>
            <w:r w:rsidRPr="00DB7E06">
              <w:rPr>
                <w:rFonts w:cstheme="minorHAnsi"/>
                <w:sz w:val="18"/>
                <w:szCs w:val="18"/>
              </w:rPr>
              <w:t>5L</w:t>
            </w:r>
          </w:p>
        </w:tc>
        <w:tc>
          <w:tcPr>
            <w:tcW w:w="506" w:type="pct"/>
            <w:tcBorders>
              <w:top w:val="single" w:sz="4" w:space="0" w:color="808080"/>
              <w:left w:val="single" w:sz="4" w:space="0" w:color="808080"/>
              <w:bottom w:val="single" w:sz="4" w:space="0" w:color="808080"/>
              <w:right w:val="single" w:sz="4" w:space="0" w:color="808080"/>
            </w:tcBorders>
          </w:tcPr>
          <w:p w14:paraId="0E39949C"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5206E449" w14:textId="77777777" w:rsidR="00724381" w:rsidRPr="00DB7E06" w:rsidRDefault="00724381" w:rsidP="00E26D3C">
            <w:pPr>
              <w:spacing w:before="40" w:after="40"/>
              <w:rPr>
                <w:rFonts w:cstheme="minorHAnsi"/>
                <w:sz w:val="18"/>
                <w:szCs w:val="18"/>
              </w:rPr>
            </w:pPr>
            <w:r w:rsidRPr="00DB7E06">
              <w:rPr>
                <w:rFonts w:cstheme="minorHAnsi"/>
                <w:sz w:val="18"/>
                <w:szCs w:val="18"/>
              </w:rPr>
              <w:t>2L</w:t>
            </w:r>
          </w:p>
        </w:tc>
        <w:tc>
          <w:tcPr>
            <w:tcW w:w="504" w:type="pct"/>
            <w:tcBorders>
              <w:top w:val="single" w:sz="4" w:space="0" w:color="808080"/>
              <w:left w:val="single" w:sz="4" w:space="0" w:color="808080"/>
              <w:bottom w:val="single" w:sz="4" w:space="0" w:color="808080"/>
              <w:right w:val="single" w:sz="4" w:space="0" w:color="808080"/>
            </w:tcBorders>
            <w:hideMark/>
          </w:tcPr>
          <w:p w14:paraId="6D70A686" w14:textId="77777777" w:rsidR="00724381" w:rsidRPr="00DB7E06" w:rsidRDefault="00724381" w:rsidP="00E26D3C">
            <w:pPr>
              <w:spacing w:before="40" w:after="40"/>
              <w:rPr>
                <w:rFonts w:cstheme="minorHAnsi"/>
                <w:sz w:val="18"/>
                <w:szCs w:val="18"/>
                <w:highlight w:val="yellow"/>
              </w:rPr>
            </w:pPr>
            <w:r w:rsidRPr="00DB7E06">
              <w:rPr>
                <w:rFonts w:cstheme="minorHAnsi"/>
                <w:sz w:val="18"/>
                <w:szCs w:val="18"/>
              </w:rPr>
              <w:t>57</w:t>
            </w:r>
          </w:p>
        </w:tc>
      </w:tr>
      <w:tr w:rsidR="00724381" w:rsidRPr="00DB7E06" w14:paraId="14C776B5" w14:textId="77777777" w:rsidTr="00DB7E06">
        <w:trPr>
          <w:cantSplit/>
        </w:trPr>
        <w:tc>
          <w:tcPr>
            <w:tcW w:w="957" w:type="pct"/>
            <w:tcBorders>
              <w:top w:val="single" w:sz="4" w:space="0" w:color="808080"/>
              <w:left w:val="single" w:sz="4" w:space="0" w:color="808080"/>
              <w:bottom w:val="single" w:sz="4" w:space="0" w:color="808080"/>
              <w:right w:val="single" w:sz="4" w:space="0" w:color="808080"/>
            </w:tcBorders>
            <w:hideMark/>
          </w:tcPr>
          <w:p w14:paraId="4EC9E544" w14:textId="77777777" w:rsidR="00724381" w:rsidRPr="00DB7E06" w:rsidRDefault="00724381" w:rsidP="00E26D3C">
            <w:pPr>
              <w:spacing w:before="40" w:after="40"/>
              <w:rPr>
                <w:rFonts w:cstheme="minorHAnsi"/>
                <w:sz w:val="18"/>
                <w:szCs w:val="18"/>
              </w:rPr>
            </w:pPr>
            <w:r w:rsidRPr="00DB7E06">
              <w:rPr>
                <w:rFonts w:cstheme="minorHAnsi"/>
                <w:sz w:val="18"/>
                <w:szCs w:val="18"/>
              </w:rPr>
              <w:t xml:space="preserve">Australian smelt </w:t>
            </w:r>
          </w:p>
        </w:tc>
        <w:tc>
          <w:tcPr>
            <w:tcW w:w="505" w:type="pct"/>
            <w:tcBorders>
              <w:top w:val="single" w:sz="4" w:space="0" w:color="808080"/>
              <w:left w:val="single" w:sz="4" w:space="0" w:color="808080"/>
              <w:bottom w:val="single" w:sz="4" w:space="0" w:color="808080"/>
              <w:right w:val="single" w:sz="4" w:space="0" w:color="808080"/>
            </w:tcBorders>
            <w:hideMark/>
          </w:tcPr>
          <w:p w14:paraId="326D395F" w14:textId="77777777" w:rsidR="00724381" w:rsidRPr="00DB7E06" w:rsidRDefault="00724381" w:rsidP="00E26D3C">
            <w:pPr>
              <w:spacing w:before="40" w:after="40"/>
              <w:rPr>
                <w:rFonts w:cstheme="minorHAnsi"/>
                <w:sz w:val="18"/>
                <w:szCs w:val="18"/>
              </w:rPr>
            </w:pPr>
            <w:r w:rsidRPr="00DB7E06">
              <w:rPr>
                <w:rFonts w:cstheme="minorHAnsi"/>
                <w:sz w:val="18"/>
                <w:szCs w:val="18"/>
              </w:rPr>
              <w:t>204E, 9L</w:t>
            </w:r>
          </w:p>
        </w:tc>
        <w:tc>
          <w:tcPr>
            <w:tcW w:w="506" w:type="pct"/>
            <w:tcBorders>
              <w:top w:val="single" w:sz="4" w:space="0" w:color="808080"/>
              <w:left w:val="single" w:sz="4" w:space="0" w:color="808080"/>
              <w:bottom w:val="single" w:sz="4" w:space="0" w:color="808080"/>
              <w:right w:val="single" w:sz="4" w:space="0" w:color="808080"/>
            </w:tcBorders>
            <w:hideMark/>
          </w:tcPr>
          <w:p w14:paraId="233EB8EC" w14:textId="77777777" w:rsidR="00724381" w:rsidRPr="00DB7E06" w:rsidRDefault="00724381" w:rsidP="00E26D3C">
            <w:pPr>
              <w:spacing w:before="40" w:after="40"/>
              <w:rPr>
                <w:rFonts w:cstheme="minorHAnsi"/>
                <w:sz w:val="18"/>
                <w:szCs w:val="18"/>
              </w:rPr>
            </w:pPr>
            <w:r w:rsidRPr="00DB7E06">
              <w:rPr>
                <w:rFonts w:cstheme="minorHAnsi"/>
                <w:sz w:val="18"/>
                <w:szCs w:val="18"/>
              </w:rPr>
              <w:t>81E, 7L</w:t>
            </w:r>
          </w:p>
        </w:tc>
        <w:tc>
          <w:tcPr>
            <w:tcW w:w="506" w:type="pct"/>
            <w:tcBorders>
              <w:top w:val="single" w:sz="4" w:space="0" w:color="808080"/>
              <w:left w:val="single" w:sz="4" w:space="0" w:color="808080"/>
              <w:bottom w:val="single" w:sz="4" w:space="0" w:color="808080"/>
              <w:right w:val="single" w:sz="4" w:space="0" w:color="808080"/>
            </w:tcBorders>
            <w:hideMark/>
          </w:tcPr>
          <w:p w14:paraId="3848ED2F" w14:textId="77777777" w:rsidR="00724381" w:rsidRPr="00DB7E06" w:rsidRDefault="00724381" w:rsidP="00E26D3C">
            <w:pPr>
              <w:spacing w:before="40" w:after="40"/>
              <w:rPr>
                <w:rFonts w:cstheme="minorHAnsi"/>
                <w:sz w:val="18"/>
                <w:szCs w:val="18"/>
              </w:rPr>
            </w:pPr>
            <w:r w:rsidRPr="00DB7E06">
              <w:rPr>
                <w:rFonts w:cstheme="minorHAnsi"/>
                <w:sz w:val="18"/>
                <w:szCs w:val="18"/>
              </w:rPr>
              <w:t>32E, 1L</w:t>
            </w:r>
          </w:p>
        </w:tc>
        <w:tc>
          <w:tcPr>
            <w:tcW w:w="506" w:type="pct"/>
            <w:tcBorders>
              <w:top w:val="single" w:sz="4" w:space="0" w:color="808080"/>
              <w:left w:val="single" w:sz="4" w:space="0" w:color="808080"/>
              <w:bottom w:val="single" w:sz="4" w:space="0" w:color="808080"/>
              <w:right w:val="single" w:sz="4" w:space="0" w:color="808080"/>
            </w:tcBorders>
            <w:hideMark/>
          </w:tcPr>
          <w:p w14:paraId="60BFE76F" w14:textId="77777777" w:rsidR="00724381" w:rsidRPr="00DB7E06" w:rsidRDefault="00724381" w:rsidP="00E26D3C">
            <w:pPr>
              <w:spacing w:before="40" w:after="40"/>
              <w:rPr>
                <w:rFonts w:cstheme="minorHAnsi"/>
                <w:sz w:val="18"/>
                <w:szCs w:val="18"/>
              </w:rPr>
            </w:pPr>
            <w:r w:rsidRPr="00DB7E06">
              <w:rPr>
                <w:rFonts w:cstheme="minorHAnsi"/>
                <w:sz w:val="18"/>
                <w:szCs w:val="18"/>
              </w:rPr>
              <w:t>177E, 16L</w:t>
            </w:r>
          </w:p>
        </w:tc>
        <w:tc>
          <w:tcPr>
            <w:tcW w:w="505" w:type="pct"/>
            <w:tcBorders>
              <w:top w:val="single" w:sz="4" w:space="0" w:color="808080"/>
              <w:left w:val="single" w:sz="4" w:space="0" w:color="808080"/>
              <w:bottom w:val="single" w:sz="4" w:space="0" w:color="808080"/>
              <w:right w:val="single" w:sz="4" w:space="0" w:color="808080"/>
            </w:tcBorders>
            <w:hideMark/>
          </w:tcPr>
          <w:p w14:paraId="3D1E727A" w14:textId="77777777" w:rsidR="00724381" w:rsidRPr="00DB7E06" w:rsidRDefault="00724381" w:rsidP="00E26D3C">
            <w:pPr>
              <w:spacing w:before="40" w:after="40"/>
              <w:rPr>
                <w:rFonts w:cstheme="minorHAnsi"/>
                <w:sz w:val="18"/>
                <w:szCs w:val="18"/>
              </w:rPr>
            </w:pPr>
            <w:r w:rsidRPr="00DB7E06">
              <w:rPr>
                <w:rFonts w:cstheme="minorHAnsi"/>
                <w:sz w:val="18"/>
                <w:szCs w:val="18"/>
              </w:rPr>
              <w:t>122E, 3L</w:t>
            </w:r>
          </w:p>
        </w:tc>
        <w:tc>
          <w:tcPr>
            <w:tcW w:w="506" w:type="pct"/>
            <w:tcBorders>
              <w:top w:val="single" w:sz="4" w:space="0" w:color="808080"/>
              <w:left w:val="single" w:sz="4" w:space="0" w:color="808080"/>
              <w:bottom w:val="single" w:sz="4" w:space="0" w:color="808080"/>
              <w:right w:val="single" w:sz="4" w:space="0" w:color="808080"/>
            </w:tcBorders>
          </w:tcPr>
          <w:p w14:paraId="541A9467" w14:textId="77777777" w:rsidR="00724381" w:rsidRPr="00DB7E06" w:rsidRDefault="00724381" w:rsidP="00E26D3C">
            <w:pPr>
              <w:spacing w:before="40" w:after="40"/>
              <w:rPr>
                <w:rFonts w:cstheme="minorHAnsi"/>
                <w:sz w:val="18"/>
                <w:szCs w:val="18"/>
              </w:rPr>
            </w:pPr>
            <w:r w:rsidRPr="00DB7E06">
              <w:rPr>
                <w:rFonts w:cstheme="minorHAnsi"/>
                <w:sz w:val="18"/>
                <w:szCs w:val="18"/>
              </w:rPr>
              <w:t>119E, 18L</w:t>
            </w:r>
          </w:p>
        </w:tc>
        <w:tc>
          <w:tcPr>
            <w:tcW w:w="506" w:type="pct"/>
            <w:tcBorders>
              <w:top w:val="single" w:sz="4" w:space="0" w:color="808080"/>
              <w:left w:val="single" w:sz="4" w:space="0" w:color="808080"/>
              <w:bottom w:val="single" w:sz="4" w:space="0" w:color="808080"/>
              <w:right w:val="single" w:sz="4" w:space="0" w:color="808080"/>
            </w:tcBorders>
          </w:tcPr>
          <w:p w14:paraId="1ABC0458" w14:textId="77777777" w:rsidR="00724381" w:rsidRPr="00DB7E06" w:rsidRDefault="00724381" w:rsidP="00E26D3C">
            <w:pPr>
              <w:spacing w:before="40" w:after="40"/>
              <w:rPr>
                <w:rFonts w:cstheme="minorHAnsi"/>
                <w:sz w:val="18"/>
                <w:szCs w:val="18"/>
              </w:rPr>
            </w:pPr>
            <w:r w:rsidRPr="00DB7E06">
              <w:rPr>
                <w:rFonts w:cstheme="minorHAnsi"/>
                <w:sz w:val="18"/>
                <w:szCs w:val="18"/>
              </w:rPr>
              <w:t>129E, 4L</w:t>
            </w:r>
          </w:p>
        </w:tc>
        <w:tc>
          <w:tcPr>
            <w:tcW w:w="504" w:type="pct"/>
            <w:tcBorders>
              <w:top w:val="single" w:sz="4" w:space="0" w:color="808080"/>
              <w:left w:val="single" w:sz="4" w:space="0" w:color="808080"/>
              <w:bottom w:val="single" w:sz="4" w:space="0" w:color="808080"/>
              <w:right w:val="single" w:sz="4" w:space="0" w:color="808080"/>
            </w:tcBorders>
            <w:hideMark/>
          </w:tcPr>
          <w:p w14:paraId="39FF5E0A" w14:textId="77777777" w:rsidR="00724381" w:rsidRPr="00DB7E06" w:rsidRDefault="00724381" w:rsidP="00E26D3C">
            <w:pPr>
              <w:spacing w:before="40" w:after="40"/>
              <w:rPr>
                <w:rFonts w:cstheme="minorHAnsi"/>
                <w:sz w:val="18"/>
                <w:szCs w:val="18"/>
                <w:highlight w:val="yellow"/>
              </w:rPr>
            </w:pPr>
            <w:r w:rsidRPr="00DB7E06">
              <w:rPr>
                <w:rFonts w:cstheme="minorHAnsi"/>
                <w:sz w:val="18"/>
                <w:szCs w:val="18"/>
              </w:rPr>
              <w:t>922</w:t>
            </w:r>
          </w:p>
        </w:tc>
      </w:tr>
      <w:tr w:rsidR="00724381" w:rsidRPr="00DB7E06" w14:paraId="5778FD06" w14:textId="77777777" w:rsidTr="00DB7E06">
        <w:trPr>
          <w:cantSplit/>
        </w:trPr>
        <w:tc>
          <w:tcPr>
            <w:tcW w:w="957" w:type="pct"/>
            <w:tcBorders>
              <w:top w:val="single" w:sz="4" w:space="0" w:color="808080"/>
              <w:left w:val="single" w:sz="4" w:space="0" w:color="808080"/>
              <w:bottom w:val="single" w:sz="4" w:space="0" w:color="808080"/>
              <w:right w:val="single" w:sz="4" w:space="0" w:color="808080"/>
            </w:tcBorders>
            <w:hideMark/>
          </w:tcPr>
          <w:p w14:paraId="4321C5C3" w14:textId="77777777" w:rsidR="00724381" w:rsidRPr="00DB7E06" w:rsidRDefault="00724381" w:rsidP="00E26D3C">
            <w:pPr>
              <w:spacing w:before="40" w:after="40"/>
              <w:rPr>
                <w:rFonts w:cstheme="minorHAnsi"/>
                <w:sz w:val="18"/>
                <w:szCs w:val="18"/>
              </w:rPr>
            </w:pPr>
            <w:r w:rsidRPr="00DB7E06">
              <w:rPr>
                <w:rFonts w:cstheme="minorHAnsi"/>
                <w:sz w:val="18"/>
                <w:szCs w:val="18"/>
              </w:rPr>
              <w:t>Flathead gudgeon</w:t>
            </w:r>
          </w:p>
        </w:tc>
        <w:tc>
          <w:tcPr>
            <w:tcW w:w="505" w:type="pct"/>
            <w:tcBorders>
              <w:top w:val="single" w:sz="4" w:space="0" w:color="808080"/>
              <w:left w:val="single" w:sz="4" w:space="0" w:color="808080"/>
              <w:bottom w:val="single" w:sz="4" w:space="0" w:color="808080"/>
              <w:right w:val="single" w:sz="4" w:space="0" w:color="808080"/>
            </w:tcBorders>
            <w:hideMark/>
          </w:tcPr>
          <w:p w14:paraId="01AC92AD" w14:textId="77777777" w:rsidR="00724381" w:rsidRPr="00DB7E06" w:rsidRDefault="00724381" w:rsidP="00E26D3C">
            <w:pPr>
              <w:spacing w:before="40" w:after="40"/>
              <w:rPr>
                <w:rFonts w:cstheme="minorHAnsi"/>
                <w:sz w:val="18"/>
                <w:szCs w:val="18"/>
              </w:rPr>
            </w:pPr>
            <w:r w:rsidRPr="00DB7E06">
              <w:rPr>
                <w:rFonts w:cstheme="minorHAnsi"/>
                <w:sz w:val="18"/>
                <w:szCs w:val="18"/>
              </w:rPr>
              <w:t>8L</w:t>
            </w:r>
          </w:p>
        </w:tc>
        <w:tc>
          <w:tcPr>
            <w:tcW w:w="506" w:type="pct"/>
            <w:tcBorders>
              <w:top w:val="single" w:sz="4" w:space="0" w:color="808080"/>
              <w:left w:val="single" w:sz="4" w:space="0" w:color="808080"/>
              <w:bottom w:val="single" w:sz="4" w:space="0" w:color="808080"/>
              <w:right w:val="single" w:sz="4" w:space="0" w:color="808080"/>
            </w:tcBorders>
            <w:hideMark/>
          </w:tcPr>
          <w:p w14:paraId="5483993D" w14:textId="77777777" w:rsidR="00724381" w:rsidRPr="00DB7E06" w:rsidRDefault="00724381" w:rsidP="00E26D3C">
            <w:pPr>
              <w:spacing w:before="40" w:after="40"/>
              <w:rPr>
                <w:rFonts w:cstheme="minorHAnsi"/>
                <w:sz w:val="18"/>
                <w:szCs w:val="18"/>
              </w:rPr>
            </w:pPr>
            <w:r w:rsidRPr="00DB7E06">
              <w:rPr>
                <w:rFonts w:cstheme="minorHAnsi"/>
                <w:sz w:val="18"/>
                <w:szCs w:val="18"/>
              </w:rPr>
              <w:t>11L</w:t>
            </w:r>
          </w:p>
        </w:tc>
        <w:tc>
          <w:tcPr>
            <w:tcW w:w="506" w:type="pct"/>
            <w:tcBorders>
              <w:top w:val="single" w:sz="4" w:space="0" w:color="808080"/>
              <w:left w:val="single" w:sz="4" w:space="0" w:color="808080"/>
              <w:bottom w:val="single" w:sz="4" w:space="0" w:color="808080"/>
              <w:right w:val="single" w:sz="4" w:space="0" w:color="808080"/>
            </w:tcBorders>
            <w:hideMark/>
          </w:tcPr>
          <w:p w14:paraId="579AA150" w14:textId="77777777" w:rsidR="00724381" w:rsidRPr="00DB7E06" w:rsidRDefault="00724381" w:rsidP="00E26D3C">
            <w:pPr>
              <w:spacing w:before="40" w:after="40"/>
              <w:rPr>
                <w:rFonts w:cstheme="minorHAnsi"/>
                <w:sz w:val="18"/>
                <w:szCs w:val="18"/>
              </w:rPr>
            </w:pPr>
            <w:r w:rsidRPr="00DB7E06">
              <w:rPr>
                <w:rFonts w:cstheme="minorHAnsi"/>
                <w:sz w:val="18"/>
                <w:szCs w:val="18"/>
              </w:rPr>
              <w:t>18L</w:t>
            </w:r>
          </w:p>
        </w:tc>
        <w:tc>
          <w:tcPr>
            <w:tcW w:w="506" w:type="pct"/>
            <w:tcBorders>
              <w:top w:val="single" w:sz="4" w:space="0" w:color="808080"/>
              <w:left w:val="single" w:sz="4" w:space="0" w:color="808080"/>
              <w:bottom w:val="single" w:sz="4" w:space="0" w:color="808080"/>
              <w:right w:val="single" w:sz="4" w:space="0" w:color="808080"/>
            </w:tcBorders>
            <w:hideMark/>
          </w:tcPr>
          <w:p w14:paraId="622B56F9" w14:textId="77777777" w:rsidR="00724381" w:rsidRPr="00DB7E06" w:rsidRDefault="00724381" w:rsidP="00E26D3C">
            <w:pPr>
              <w:spacing w:before="40" w:after="40"/>
              <w:rPr>
                <w:rFonts w:cstheme="minorHAnsi"/>
                <w:sz w:val="18"/>
                <w:szCs w:val="18"/>
              </w:rPr>
            </w:pPr>
            <w:r w:rsidRPr="00DB7E06">
              <w:rPr>
                <w:rFonts w:cstheme="minorHAnsi"/>
                <w:sz w:val="18"/>
                <w:szCs w:val="18"/>
              </w:rPr>
              <w:t>48L</w:t>
            </w:r>
          </w:p>
        </w:tc>
        <w:tc>
          <w:tcPr>
            <w:tcW w:w="505" w:type="pct"/>
            <w:tcBorders>
              <w:top w:val="single" w:sz="4" w:space="0" w:color="808080"/>
              <w:left w:val="single" w:sz="4" w:space="0" w:color="808080"/>
              <w:bottom w:val="single" w:sz="4" w:space="0" w:color="808080"/>
              <w:right w:val="single" w:sz="4" w:space="0" w:color="808080"/>
            </w:tcBorders>
            <w:hideMark/>
          </w:tcPr>
          <w:p w14:paraId="33B4714A" w14:textId="77777777" w:rsidR="00724381" w:rsidRPr="00DB7E06" w:rsidRDefault="00724381" w:rsidP="00E26D3C">
            <w:pPr>
              <w:spacing w:before="40" w:after="40"/>
              <w:rPr>
                <w:rFonts w:cstheme="minorHAnsi"/>
                <w:sz w:val="18"/>
                <w:szCs w:val="18"/>
              </w:rPr>
            </w:pPr>
            <w:r w:rsidRPr="00DB7E06">
              <w:rPr>
                <w:rFonts w:cstheme="minorHAnsi"/>
                <w:sz w:val="18"/>
                <w:szCs w:val="18"/>
              </w:rPr>
              <w:t>85L</w:t>
            </w:r>
          </w:p>
        </w:tc>
        <w:tc>
          <w:tcPr>
            <w:tcW w:w="506" w:type="pct"/>
            <w:tcBorders>
              <w:top w:val="single" w:sz="4" w:space="0" w:color="808080"/>
              <w:left w:val="single" w:sz="4" w:space="0" w:color="808080"/>
              <w:bottom w:val="single" w:sz="4" w:space="0" w:color="808080"/>
              <w:right w:val="single" w:sz="4" w:space="0" w:color="808080"/>
            </w:tcBorders>
          </w:tcPr>
          <w:p w14:paraId="2C6AEDC3" w14:textId="77777777" w:rsidR="00724381" w:rsidRPr="00DB7E06" w:rsidRDefault="00724381" w:rsidP="00E26D3C">
            <w:pPr>
              <w:spacing w:before="40" w:after="40"/>
              <w:rPr>
                <w:rFonts w:cstheme="minorHAnsi"/>
                <w:sz w:val="18"/>
                <w:szCs w:val="18"/>
              </w:rPr>
            </w:pPr>
            <w:r w:rsidRPr="00DB7E06">
              <w:rPr>
                <w:rFonts w:cstheme="minorHAnsi"/>
                <w:sz w:val="18"/>
                <w:szCs w:val="18"/>
              </w:rPr>
              <w:t>65L</w:t>
            </w:r>
          </w:p>
        </w:tc>
        <w:tc>
          <w:tcPr>
            <w:tcW w:w="506" w:type="pct"/>
            <w:tcBorders>
              <w:top w:val="single" w:sz="4" w:space="0" w:color="808080"/>
              <w:left w:val="single" w:sz="4" w:space="0" w:color="808080"/>
              <w:bottom w:val="single" w:sz="4" w:space="0" w:color="808080"/>
              <w:right w:val="single" w:sz="4" w:space="0" w:color="808080"/>
            </w:tcBorders>
          </w:tcPr>
          <w:p w14:paraId="1D302F6D" w14:textId="77777777" w:rsidR="00724381" w:rsidRPr="00DB7E06" w:rsidRDefault="00724381" w:rsidP="00E26D3C">
            <w:pPr>
              <w:spacing w:before="40" w:after="40"/>
              <w:rPr>
                <w:rFonts w:cstheme="minorHAnsi"/>
                <w:sz w:val="18"/>
                <w:szCs w:val="18"/>
              </w:rPr>
            </w:pPr>
            <w:r w:rsidRPr="00DB7E06">
              <w:rPr>
                <w:rFonts w:cstheme="minorHAnsi"/>
                <w:sz w:val="18"/>
                <w:szCs w:val="18"/>
              </w:rPr>
              <w:t>64L</w:t>
            </w:r>
          </w:p>
        </w:tc>
        <w:tc>
          <w:tcPr>
            <w:tcW w:w="504" w:type="pct"/>
            <w:tcBorders>
              <w:top w:val="single" w:sz="4" w:space="0" w:color="808080"/>
              <w:left w:val="single" w:sz="4" w:space="0" w:color="808080"/>
              <w:bottom w:val="single" w:sz="4" w:space="0" w:color="808080"/>
              <w:right w:val="single" w:sz="4" w:space="0" w:color="808080"/>
            </w:tcBorders>
            <w:hideMark/>
          </w:tcPr>
          <w:p w14:paraId="5C983D6A" w14:textId="77777777" w:rsidR="00724381" w:rsidRPr="00DB7E06" w:rsidRDefault="00724381" w:rsidP="00E26D3C">
            <w:pPr>
              <w:spacing w:before="40" w:after="40"/>
              <w:rPr>
                <w:rFonts w:cstheme="minorHAnsi"/>
                <w:sz w:val="18"/>
                <w:szCs w:val="18"/>
                <w:highlight w:val="yellow"/>
              </w:rPr>
            </w:pPr>
            <w:r w:rsidRPr="00DB7E06">
              <w:rPr>
                <w:rFonts w:cstheme="minorHAnsi"/>
                <w:sz w:val="18"/>
                <w:szCs w:val="18"/>
              </w:rPr>
              <w:t>299</w:t>
            </w:r>
          </w:p>
        </w:tc>
      </w:tr>
      <w:tr w:rsidR="00724381" w:rsidRPr="00DB7E06" w14:paraId="1FB96F60" w14:textId="77777777" w:rsidTr="00DB7E06">
        <w:trPr>
          <w:cantSplit/>
        </w:trPr>
        <w:tc>
          <w:tcPr>
            <w:tcW w:w="957" w:type="pct"/>
            <w:tcBorders>
              <w:top w:val="single" w:sz="4" w:space="0" w:color="808080"/>
              <w:left w:val="single" w:sz="4" w:space="0" w:color="808080"/>
              <w:bottom w:val="single" w:sz="4" w:space="0" w:color="808080"/>
              <w:right w:val="single" w:sz="4" w:space="0" w:color="808080"/>
            </w:tcBorders>
            <w:hideMark/>
          </w:tcPr>
          <w:p w14:paraId="578FB023" w14:textId="77777777" w:rsidR="00724381" w:rsidRPr="00DB7E06" w:rsidRDefault="00724381" w:rsidP="00E26D3C">
            <w:pPr>
              <w:spacing w:before="40" w:after="40"/>
              <w:rPr>
                <w:rFonts w:cstheme="minorHAnsi"/>
                <w:sz w:val="18"/>
                <w:szCs w:val="18"/>
              </w:rPr>
            </w:pPr>
            <w:r w:rsidRPr="00DB7E06">
              <w:rPr>
                <w:rFonts w:cstheme="minorHAnsi"/>
                <w:sz w:val="18"/>
                <w:szCs w:val="18"/>
              </w:rPr>
              <w:t>Carp gudgeon</w:t>
            </w:r>
          </w:p>
        </w:tc>
        <w:tc>
          <w:tcPr>
            <w:tcW w:w="505" w:type="pct"/>
            <w:tcBorders>
              <w:top w:val="single" w:sz="4" w:space="0" w:color="808080"/>
              <w:left w:val="single" w:sz="4" w:space="0" w:color="808080"/>
              <w:bottom w:val="single" w:sz="4" w:space="0" w:color="808080"/>
              <w:right w:val="single" w:sz="4" w:space="0" w:color="808080"/>
            </w:tcBorders>
          </w:tcPr>
          <w:p w14:paraId="3E650A34"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hideMark/>
          </w:tcPr>
          <w:p w14:paraId="45453E6A" w14:textId="77777777" w:rsidR="00724381" w:rsidRPr="00DB7E06" w:rsidRDefault="00724381" w:rsidP="00E26D3C">
            <w:pPr>
              <w:spacing w:before="40" w:after="40"/>
              <w:rPr>
                <w:rFonts w:cstheme="minorHAnsi"/>
                <w:sz w:val="18"/>
                <w:szCs w:val="18"/>
              </w:rPr>
            </w:pPr>
            <w:r w:rsidRPr="00DB7E06">
              <w:rPr>
                <w:rFonts w:cstheme="minorHAnsi"/>
                <w:sz w:val="18"/>
                <w:szCs w:val="18"/>
              </w:rPr>
              <w:t>11L</w:t>
            </w:r>
          </w:p>
        </w:tc>
        <w:tc>
          <w:tcPr>
            <w:tcW w:w="506" w:type="pct"/>
            <w:tcBorders>
              <w:top w:val="single" w:sz="4" w:space="0" w:color="808080"/>
              <w:left w:val="single" w:sz="4" w:space="0" w:color="808080"/>
              <w:bottom w:val="single" w:sz="4" w:space="0" w:color="808080"/>
              <w:right w:val="single" w:sz="4" w:space="0" w:color="808080"/>
            </w:tcBorders>
            <w:hideMark/>
          </w:tcPr>
          <w:p w14:paraId="0C7833F7" w14:textId="77777777" w:rsidR="00724381" w:rsidRPr="00DB7E06" w:rsidRDefault="00724381" w:rsidP="00E26D3C">
            <w:pPr>
              <w:spacing w:before="40" w:after="40"/>
              <w:rPr>
                <w:rFonts w:cstheme="minorHAnsi"/>
                <w:sz w:val="18"/>
                <w:szCs w:val="18"/>
              </w:rPr>
            </w:pPr>
            <w:r w:rsidRPr="00DB7E06">
              <w:rPr>
                <w:rFonts w:cstheme="minorHAnsi"/>
                <w:sz w:val="18"/>
                <w:szCs w:val="18"/>
              </w:rPr>
              <w:t>1L</w:t>
            </w:r>
          </w:p>
        </w:tc>
        <w:tc>
          <w:tcPr>
            <w:tcW w:w="506" w:type="pct"/>
            <w:tcBorders>
              <w:top w:val="single" w:sz="4" w:space="0" w:color="808080"/>
              <w:left w:val="single" w:sz="4" w:space="0" w:color="808080"/>
              <w:bottom w:val="single" w:sz="4" w:space="0" w:color="808080"/>
              <w:right w:val="single" w:sz="4" w:space="0" w:color="808080"/>
            </w:tcBorders>
            <w:hideMark/>
          </w:tcPr>
          <w:p w14:paraId="7A6E3AD5" w14:textId="77777777" w:rsidR="00724381" w:rsidRPr="00DB7E06" w:rsidRDefault="00724381" w:rsidP="00E26D3C">
            <w:pPr>
              <w:spacing w:before="40" w:after="40"/>
              <w:rPr>
                <w:rFonts w:cstheme="minorHAnsi"/>
                <w:sz w:val="18"/>
                <w:szCs w:val="18"/>
              </w:rPr>
            </w:pPr>
            <w:r w:rsidRPr="00DB7E06">
              <w:rPr>
                <w:rFonts w:cstheme="minorHAnsi"/>
                <w:sz w:val="18"/>
                <w:szCs w:val="18"/>
              </w:rPr>
              <w:t>37L</w:t>
            </w:r>
          </w:p>
        </w:tc>
        <w:tc>
          <w:tcPr>
            <w:tcW w:w="505" w:type="pct"/>
            <w:tcBorders>
              <w:top w:val="single" w:sz="4" w:space="0" w:color="808080"/>
              <w:left w:val="single" w:sz="4" w:space="0" w:color="808080"/>
              <w:bottom w:val="single" w:sz="4" w:space="0" w:color="808080"/>
              <w:right w:val="single" w:sz="4" w:space="0" w:color="808080"/>
            </w:tcBorders>
            <w:hideMark/>
          </w:tcPr>
          <w:p w14:paraId="71D3EEBE" w14:textId="77777777" w:rsidR="00724381" w:rsidRPr="00DB7E06" w:rsidRDefault="00724381" w:rsidP="00E26D3C">
            <w:pPr>
              <w:spacing w:before="40" w:after="40"/>
              <w:rPr>
                <w:rFonts w:cstheme="minorHAnsi"/>
                <w:sz w:val="18"/>
                <w:szCs w:val="18"/>
              </w:rPr>
            </w:pPr>
            <w:r w:rsidRPr="00DB7E06">
              <w:rPr>
                <w:rFonts w:cstheme="minorHAnsi"/>
                <w:sz w:val="18"/>
                <w:szCs w:val="18"/>
              </w:rPr>
              <w:t>5L</w:t>
            </w:r>
          </w:p>
        </w:tc>
        <w:tc>
          <w:tcPr>
            <w:tcW w:w="506" w:type="pct"/>
            <w:tcBorders>
              <w:top w:val="single" w:sz="4" w:space="0" w:color="808080"/>
              <w:left w:val="single" w:sz="4" w:space="0" w:color="808080"/>
              <w:bottom w:val="single" w:sz="4" w:space="0" w:color="808080"/>
              <w:right w:val="single" w:sz="4" w:space="0" w:color="808080"/>
            </w:tcBorders>
          </w:tcPr>
          <w:p w14:paraId="6A7AE87B" w14:textId="77777777" w:rsidR="00724381" w:rsidRPr="00DB7E06" w:rsidRDefault="00724381" w:rsidP="00E26D3C">
            <w:pPr>
              <w:spacing w:before="40" w:after="40"/>
              <w:rPr>
                <w:rFonts w:cstheme="minorHAnsi"/>
                <w:sz w:val="18"/>
                <w:szCs w:val="18"/>
              </w:rPr>
            </w:pPr>
            <w:r w:rsidRPr="00DB7E06">
              <w:rPr>
                <w:rFonts w:cstheme="minorHAnsi"/>
                <w:sz w:val="18"/>
                <w:szCs w:val="18"/>
              </w:rPr>
              <w:t>2L</w:t>
            </w:r>
          </w:p>
        </w:tc>
        <w:tc>
          <w:tcPr>
            <w:tcW w:w="506" w:type="pct"/>
            <w:tcBorders>
              <w:top w:val="single" w:sz="4" w:space="0" w:color="808080"/>
              <w:left w:val="single" w:sz="4" w:space="0" w:color="808080"/>
              <w:bottom w:val="single" w:sz="4" w:space="0" w:color="808080"/>
              <w:right w:val="single" w:sz="4" w:space="0" w:color="808080"/>
            </w:tcBorders>
          </w:tcPr>
          <w:p w14:paraId="0835A176" w14:textId="77777777" w:rsidR="00724381" w:rsidRPr="00DB7E06" w:rsidRDefault="00724381" w:rsidP="00E26D3C">
            <w:pPr>
              <w:spacing w:before="40" w:after="40"/>
              <w:rPr>
                <w:rFonts w:cstheme="minorHAnsi"/>
                <w:sz w:val="18"/>
                <w:szCs w:val="18"/>
              </w:rPr>
            </w:pPr>
            <w:r w:rsidRPr="00DB7E06">
              <w:rPr>
                <w:rFonts w:cstheme="minorHAnsi"/>
                <w:sz w:val="18"/>
                <w:szCs w:val="18"/>
              </w:rPr>
              <w:t>5L</w:t>
            </w:r>
          </w:p>
        </w:tc>
        <w:tc>
          <w:tcPr>
            <w:tcW w:w="504" w:type="pct"/>
            <w:tcBorders>
              <w:top w:val="single" w:sz="4" w:space="0" w:color="808080"/>
              <w:left w:val="single" w:sz="4" w:space="0" w:color="808080"/>
              <w:bottom w:val="single" w:sz="4" w:space="0" w:color="808080"/>
              <w:right w:val="single" w:sz="4" w:space="0" w:color="808080"/>
            </w:tcBorders>
            <w:hideMark/>
          </w:tcPr>
          <w:p w14:paraId="0C7FD921" w14:textId="77777777" w:rsidR="00724381" w:rsidRPr="00DB7E06" w:rsidRDefault="00724381" w:rsidP="00E26D3C">
            <w:pPr>
              <w:spacing w:before="40" w:after="40"/>
              <w:rPr>
                <w:rFonts w:cstheme="minorHAnsi"/>
                <w:sz w:val="18"/>
                <w:szCs w:val="18"/>
                <w:highlight w:val="yellow"/>
              </w:rPr>
            </w:pPr>
            <w:r w:rsidRPr="00DB7E06">
              <w:rPr>
                <w:rFonts w:cstheme="minorHAnsi"/>
                <w:sz w:val="18"/>
                <w:szCs w:val="18"/>
              </w:rPr>
              <w:t>61</w:t>
            </w:r>
          </w:p>
        </w:tc>
      </w:tr>
      <w:tr w:rsidR="00724381" w:rsidRPr="00DB7E06" w14:paraId="555448A4" w14:textId="77777777" w:rsidTr="00DB7E06">
        <w:trPr>
          <w:cantSplit/>
        </w:trPr>
        <w:tc>
          <w:tcPr>
            <w:tcW w:w="957" w:type="pct"/>
            <w:tcBorders>
              <w:top w:val="single" w:sz="4" w:space="0" w:color="808080"/>
              <w:left w:val="single" w:sz="4" w:space="0" w:color="808080"/>
              <w:bottom w:val="single" w:sz="4" w:space="0" w:color="808080"/>
              <w:right w:val="single" w:sz="4" w:space="0" w:color="808080"/>
            </w:tcBorders>
            <w:hideMark/>
          </w:tcPr>
          <w:p w14:paraId="27F28C0B" w14:textId="77777777" w:rsidR="00724381" w:rsidRPr="00DB7E06" w:rsidRDefault="00724381" w:rsidP="00E26D3C">
            <w:pPr>
              <w:spacing w:before="40" w:after="40"/>
              <w:rPr>
                <w:rFonts w:cstheme="minorHAnsi"/>
                <w:sz w:val="18"/>
                <w:szCs w:val="18"/>
              </w:rPr>
            </w:pPr>
            <w:r w:rsidRPr="00DB7E06">
              <w:rPr>
                <w:rFonts w:cstheme="minorHAnsi"/>
                <w:sz w:val="18"/>
                <w:szCs w:val="18"/>
              </w:rPr>
              <w:t>Gudgeon sp.</w:t>
            </w:r>
          </w:p>
        </w:tc>
        <w:tc>
          <w:tcPr>
            <w:tcW w:w="505" w:type="pct"/>
            <w:tcBorders>
              <w:top w:val="single" w:sz="4" w:space="0" w:color="808080"/>
              <w:left w:val="single" w:sz="4" w:space="0" w:color="808080"/>
              <w:bottom w:val="single" w:sz="4" w:space="0" w:color="808080"/>
              <w:right w:val="single" w:sz="4" w:space="0" w:color="808080"/>
            </w:tcBorders>
          </w:tcPr>
          <w:p w14:paraId="1EF3577E"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787039E9"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046AA83E"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hideMark/>
          </w:tcPr>
          <w:p w14:paraId="0AC50B19" w14:textId="77777777" w:rsidR="00724381" w:rsidRPr="00DB7E06" w:rsidRDefault="00724381" w:rsidP="00E26D3C">
            <w:pPr>
              <w:spacing w:before="40" w:after="40"/>
              <w:rPr>
                <w:rFonts w:cstheme="minorHAnsi"/>
                <w:sz w:val="18"/>
                <w:szCs w:val="18"/>
              </w:rPr>
            </w:pPr>
            <w:r w:rsidRPr="00DB7E06">
              <w:rPr>
                <w:rFonts w:cstheme="minorHAnsi"/>
                <w:sz w:val="18"/>
                <w:szCs w:val="18"/>
              </w:rPr>
              <w:t>4L</w:t>
            </w:r>
          </w:p>
        </w:tc>
        <w:tc>
          <w:tcPr>
            <w:tcW w:w="505" w:type="pct"/>
            <w:tcBorders>
              <w:top w:val="single" w:sz="4" w:space="0" w:color="808080"/>
              <w:left w:val="single" w:sz="4" w:space="0" w:color="808080"/>
              <w:bottom w:val="single" w:sz="4" w:space="0" w:color="808080"/>
              <w:right w:val="single" w:sz="4" w:space="0" w:color="808080"/>
            </w:tcBorders>
            <w:hideMark/>
          </w:tcPr>
          <w:p w14:paraId="444776E1" w14:textId="77777777" w:rsidR="00724381" w:rsidRPr="00DB7E06" w:rsidRDefault="00724381" w:rsidP="00E26D3C">
            <w:pPr>
              <w:spacing w:before="40" w:after="40"/>
              <w:rPr>
                <w:rFonts w:cstheme="minorHAnsi"/>
                <w:sz w:val="18"/>
                <w:szCs w:val="18"/>
              </w:rPr>
            </w:pPr>
            <w:r w:rsidRPr="00DB7E06">
              <w:rPr>
                <w:rFonts w:cstheme="minorHAnsi"/>
                <w:sz w:val="18"/>
                <w:szCs w:val="18"/>
              </w:rPr>
              <w:t>16L</w:t>
            </w:r>
          </w:p>
        </w:tc>
        <w:tc>
          <w:tcPr>
            <w:tcW w:w="506" w:type="pct"/>
            <w:tcBorders>
              <w:top w:val="single" w:sz="4" w:space="0" w:color="808080"/>
              <w:left w:val="single" w:sz="4" w:space="0" w:color="808080"/>
              <w:bottom w:val="single" w:sz="4" w:space="0" w:color="808080"/>
              <w:right w:val="single" w:sz="4" w:space="0" w:color="808080"/>
            </w:tcBorders>
          </w:tcPr>
          <w:p w14:paraId="04A86371" w14:textId="77777777" w:rsidR="00724381" w:rsidRPr="00DB7E06" w:rsidRDefault="00724381" w:rsidP="00E26D3C">
            <w:pPr>
              <w:spacing w:before="40" w:after="40"/>
              <w:rPr>
                <w:rFonts w:cstheme="minorHAnsi"/>
                <w:sz w:val="18"/>
                <w:szCs w:val="18"/>
              </w:rPr>
            </w:pPr>
            <w:r w:rsidRPr="00DB7E06">
              <w:rPr>
                <w:rFonts w:cstheme="minorHAnsi"/>
                <w:sz w:val="18"/>
                <w:szCs w:val="18"/>
              </w:rPr>
              <w:t>27L</w:t>
            </w:r>
          </w:p>
        </w:tc>
        <w:tc>
          <w:tcPr>
            <w:tcW w:w="506" w:type="pct"/>
            <w:tcBorders>
              <w:top w:val="single" w:sz="4" w:space="0" w:color="808080"/>
              <w:left w:val="single" w:sz="4" w:space="0" w:color="808080"/>
              <w:bottom w:val="single" w:sz="4" w:space="0" w:color="808080"/>
              <w:right w:val="single" w:sz="4" w:space="0" w:color="808080"/>
            </w:tcBorders>
          </w:tcPr>
          <w:p w14:paraId="4AFBA763" w14:textId="77777777" w:rsidR="00724381" w:rsidRPr="00DB7E06" w:rsidRDefault="00724381" w:rsidP="00E26D3C">
            <w:pPr>
              <w:spacing w:before="40" w:after="40"/>
              <w:rPr>
                <w:rFonts w:cstheme="minorHAnsi"/>
                <w:sz w:val="18"/>
                <w:szCs w:val="18"/>
              </w:rPr>
            </w:pPr>
            <w:r w:rsidRPr="00DB7E06">
              <w:rPr>
                <w:rFonts w:cstheme="minorHAnsi"/>
                <w:sz w:val="18"/>
                <w:szCs w:val="18"/>
              </w:rPr>
              <w:t>19L</w:t>
            </w:r>
          </w:p>
        </w:tc>
        <w:tc>
          <w:tcPr>
            <w:tcW w:w="504" w:type="pct"/>
            <w:tcBorders>
              <w:top w:val="single" w:sz="4" w:space="0" w:color="808080"/>
              <w:left w:val="single" w:sz="4" w:space="0" w:color="808080"/>
              <w:bottom w:val="single" w:sz="4" w:space="0" w:color="808080"/>
              <w:right w:val="single" w:sz="4" w:space="0" w:color="808080"/>
            </w:tcBorders>
            <w:hideMark/>
          </w:tcPr>
          <w:p w14:paraId="335169CA" w14:textId="77777777" w:rsidR="00724381" w:rsidRPr="00DB7E06" w:rsidRDefault="00724381" w:rsidP="00E26D3C">
            <w:pPr>
              <w:spacing w:before="40" w:after="40"/>
              <w:rPr>
                <w:rFonts w:cstheme="minorHAnsi"/>
                <w:sz w:val="18"/>
                <w:szCs w:val="18"/>
                <w:highlight w:val="yellow"/>
              </w:rPr>
            </w:pPr>
            <w:r w:rsidRPr="00DB7E06">
              <w:rPr>
                <w:rFonts w:cstheme="minorHAnsi"/>
                <w:sz w:val="18"/>
                <w:szCs w:val="18"/>
              </w:rPr>
              <w:t>66</w:t>
            </w:r>
          </w:p>
        </w:tc>
      </w:tr>
      <w:tr w:rsidR="00724381" w:rsidRPr="00DB7E06" w14:paraId="661DE7B6" w14:textId="77777777" w:rsidTr="00DB7E06">
        <w:trPr>
          <w:cantSplit/>
        </w:trPr>
        <w:tc>
          <w:tcPr>
            <w:tcW w:w="957" w:type="pct"/>
            <w:tcBorders>
              <w:top w:val="single" w:sz="4" w:space="0" w:color="808080"/>
              <w:left w:val="single" w:sz="4" w:space="0" w:color="808080"/>
              <w:bottom w:val="single" w:sz="4" w:space="0" w:color="808080"/>
              <w:right w:val="single" w:sz="4" w:space="0" w:color="808080"/>
            </w:tcBorders>
            <w:hideMark/>
          </w:tcPr>
          <w:p w14:paraId="1D73A8C0" w14:textId="77777777" w:rsidR="00724381" w:rsidRPr="00DB7E06" w:rsidRDefault="00724381" w:rsidP="00E26D3C">
            <w:pPr>
              <w:spacing w:before="40" w:after="40"/>
              <w:rPr>
                <w:rFonts w:cstheme="minorHAnsi"/>
                <w:sz w:val="18"/>
                <w:szCs w:val="18"/>
              </w:rPr>
            </w:pPr>
            <w:r w:rsidRPr="00DB7E06">
              <w:rPr>
                <w:rFonts w:cstheme="minorHAnsi"/>
                <w:sz w:val="18"/>
                <w:szCs w:val="18"/>
              </w:rPr>
              <w:t>Goldfish*</w:t>
            </w:r>
          </w:p>
        </w:tc>
        <w:tc>
          <w:tcPr>
            <w:tcW w:w="505" w:type="pct"/>
            <w:tcBorders>
              <w:top w:val="single" w:sz="4" w:space="0" w:color="808080"/>
              <w:left w:val="single" w:sz="4" w:space="0" w:color="808080"/>
              <w:bottom w:val="single" w:sz="4" w:space="0" w:color="808080"/>
              <w:right w:val="single" w:sz="4" w:space="0" w:color="808080"/>
            </w:tcBorders>
          </w:tcPr>
          <w:p w14:paraId="791D9A2C"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7FB094AC"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34449314"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hideMark/>
          </w:tcPr>
          <w:p w14:paraId="45CB4533" w14:textId="77777777" w:rsidR="00724381" w:rsidRPr="00DB7E06" w:rsidRDefault="00724381" w:rsidP="00E26D3C">
            <w:pPr>
              <w:spacing w:before="40" w:after="40"/>
              <w:rPr>
                <w:rFonts w:cstheme="minorHAnsi"/>
                <w:sz w:val="18"/>
                <w:szCs w:val="18"/>
              </w:rPr>
            </w:pPr>
            <w:r w:rsidRPr="00DB7E06">
              <w:rPr>
                <w:rFonts w:cstheme="minorHAnsi"/>
                <w:sz w:val="18"/>
                <w:szCs w:val="18"/>
              </w:rPr>
              <w:t>1L</w:t>
            </w:r>
          </w:p>
        </w:tc>
        <w:tc>
          <w:tcPr>
            <w:tcW w:w="505" w:type="pct"/>
            <w:tcBorders>
              <w:top w:val="single" w:sz="4" w:space="0" w:color="808080"/>
              <w:left w:val="single" w:sz="4" w:space="0" w:color="808080"/>
              <w:bottom w:val="single" w:sz="4" w:space="0" w:color="808080"/>
              <w:right w:val="single" w:sz="4" w:space="0" w:color="808080"/>
            </w:tcBorders>
          </w:tcPr>
          <w:p w14:paraId="222A94B0"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5696F1A3"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77C0E1EA" w14:textId="77777777" w:rsidR="00724381" w:rsidRPr="00DB7E06" w:rsidRDefault="00724381" w:rsidP="00E26D3C">
            <w:pPr>
              <w:spacing w:before="40" w:after="40"/>
              <w:rPr>
                <w:rFonts w:cstheme="minorHAnsi"/>
                <w:sz w:val="18"/>
                <w:szCs w:val="18"/>
              </w:rPr>
            </w:pPr>
          </w:p>
        </w:tc>
        <w:tc>
          <w:tcPr>
            <w:tcW w:w="504" w:type="pct"/>
            <w:tcBorders>
              <w:top w:val="single" w:sz="4" w:space="0" w:color="808080"/>
              <w:left w:val="single" w:sz="4" w:space="0" w:color="808080"/>
              <w:bottom w:val="single" w:sz="4" w:space="0" w:color="808080"/>
              <w:right w:val="single" w:sz="4" w:space="0" w:color="808080"/>
            </w:tcBorders>
            <w:hideMark/>
          </w:tcPr>
          <w:p w14:paraId="3DA7B6D5" w14:textId="77777777" w:rsidR="00724381" w:rsidRPr="00DB7E06" w:rsidRDefault="00724381" w:rsidP="00E26D3C">
            <w:pPr>
              <w:spacing w:before="40" w:after="40"/>
              <w:rPr>
                <w:rFonts w:cstheme="minorHAnsi"/>
                <w:sz w:val="18"/>
                <w:szCs w:val="18"/>
              </w:rPr>
            </w:pPr>
            <w:r w:rsidRPr="00DB7E06">
              <w:rPr>
                <w:rFonts w:cstheme="minorHAnsi"/>
                <w:sz w:val="18"/>
                <w:szCs w:val="18"/>
              </w:rPr>
              <w:t>1</w:t>
            </w:r>
          </w:p>
        </w:tc>
      </w:tr>
      <w:tr w:rsidR="00724381" w:rsidRPr="00DB7E06" w14:paraId="306F3B45" w14:textId="77777777" w:rsidTr="00DB7E06">
        <w:trPr>
          <w:cantSplit/>
        </w:trPr>
        <w:tc>
          <w:tcPr>
            <w:tcW w:w="957" w:type="pct"/>
            <w:tcBorders>
              <w:top w:val="single" w:sz="4" w:space="0" w:color="808080"/>
              <w:left w:val="single" w:sz="4" w:space="0" w:color="808080"/>
              <w:bottom w:val="single" w:sz="4" w:space="0" w:color="808080"/>
              <w:right w:val="single" w:sz="4" w:space="0" w:color="808080"/>
            </w:tcBorders>
            <w:hideMark/>
          </w:tcPr>
          <w:p w14:paraId="244F2542" w14:textId="77777777" w:rsidR="00724381" w:rsidRPr="00DB7E06" w:rsidRDefault="00724381" w:rsidP="00E26D3C">
            <w:pPr>
              <w:spacing w:before="40" w:after="40"/>
              <w:rPr>
                <w:rFonts w:cstheme="minorHAnsi"/>
                <w:sz w:val="18"/>
                <w:szCs w:val="18"/>
              </w:rPr>
            </w:pPr>
            <w:r w:rsidRPr="00DB7E06">
              <w:rPr>
                <w:rFonts w:cstheme="minorHAnsi"/>
                <w:sz w:val="18"/>
                <w:szCs w:val="18"/>
              </w:rPr>
              <w:t>Unidentified perch</w:t>
            </w:r>
          </w:p>
        </w:tc>
        <w:tc>
          <w:tcPr>
            <w:tcW w:w="505" w:type="pct"/>
            <w:tcBorders>
              <w:top w:val="single" w:sz="4" w:space="0" w:color="808080"/>
              <w:left w:val="single" w:sz="4" w:space="0" w:color="808080"/>
              <w:bottom w:val="single" w:sz="4" w:space="0" w:color="808080"/>
              <w:right w:val="single" w:sz="4" w:space="0" w:color="808080"/>
            </w:tcBorders>
          </w:tcPr>
          <w:p w14:paraId="0B551D49"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5B5137DC"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55D8D18E"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79EC1E3B" w14:textId="77777777" w:rsidR="00724381" w:rsidRPr="00DB7E06" w:rsidRDefault="00724381" w:rsidP="00E26D3C">
            <w:pPr>
              <w:spacing w:before="40" w:after="40"/>
              <w:rPr>
                <w:rFonts w:cstheme="minorHAnsi"/>
                <w:sz w:val="18"/>
                <w:szCs w:val="18"/>
              </w:rPr>
            </w:pPr>
          </w:p>
        </w:tc>
        <w:tc>
          <w:tcPr>
            <w:tcW w:w="505" w:type="pct"/>
            <w:tcBorders>
              <w:top w:val="single" w:sz="4" w:space="0" w:color="808080"/>
              <w:left w:val="single" w:sz="4" w:space="0" w:color="808080"/>
              <w:bottom w:val="single" w:sz="4" w:space="0" w:color="808080"/>
              <w:right w:val="single" w:sz="4" w:space="0" w:color="808080"/>
            </w:tcBorders>
            <w:hideMark/>
          </w:tcPr>
          <w:p w14:paraId="7250C1FB" w14:textId="77777777" w:rsidR="00724381" w:rsidRPr="00DB7E06" w:rsidRDefault="00724381" w:rsidP="00E26D3C">
            <w:pPr>
              <w:spacing w:before="40" w:after="40"/>
              <w:rPr>
                <w:rFonts w:cstheme="minorHAnsi"/>
                <w:sz w:val="18"/>
                <w:szCs w:val="18"/>
              </w:rPr>
            </w:pPr>
            <w:r w:rsidRPr="00DB7E06">
              <w:rPr>
                <w:rFonts w:cstheme="minorHAnsi"/>
                <w:sz w:val="18"/>
                <w:szCs w:val="18"/>
              </w:rPr>
              <w:t>1E</w:t>
            </w:r>
          </w:p>
        </w:tc>
        <w:tc>
          <w:tcPr>
            <w:tcW w:w="506" w:type="pct"/>
            <w:tcBorders>
              <w:top w:val="single" w:sz="4" w:space="0" w:color="808080"/>
              <w:left w:val="single" w:sz="4" w:space="0" w:color="808080"/>
              <w:bottom w:val="single" w:sz="4" w:space="0" w:color="808080"/>
              <w:right w:val="single" w:sz="4" w:space="0" w:color="808080"/>
            </w:tcBorders>
          </w:tcPr>
          <w:p w14:paraId="1F2EA077" w14:textId="77777777" w:rsidR="00724381" w:rsidRPr="00DB7E06" w:rsidRDefault="00724381" w:rsidP="00E26D3C">
            <w:pPr>
              <w:spacing w:before="40" w:after="40"/>
              <w:rPr>
                <w:rFonts w:cstheme="minorHAnsi"/>
                <w:sz w:val="18"/>
                <w:szCs w:val="18"/>
              </w:rPr>
            </w:pPr>
          </w:p>
        </w:tc>
        <w:tc>
          <w:tcPr>
            <w:tcW w:w="506" w:type="pct"/>
            <w:tcBorders>
              <w:top w:val="single" w:sz="4" w:space="0" w:color="808080"/>
              <w:left w:val="single" w:sz="4" w:space="0" w:color="808080"/>
              <w:bottom w:val="single" w:sz="4" w:space="0" w:color="808080"/>
              <w:right w:val="single" w:sz="4" w:space="0" w:color="808080"/>
            </w:tcBorders>
          </w:tcPr>
          <w:p w14:paraId="5ACEA675" w14:textId="77777777" w:rsidR="00724381" w:rsidRPr="00DB7E06" w:rsidRDefault="00724381" w:rsidP="00E26D3C">
            <w:pPr>
              <w:spacing w:before="40" w:after="40"/>
              <w:rPr>
                <w:rFonts w:cstheme="minorHAnsi"/>
                <w:sz w:val="18"/>
                <w:szCs w:val="18"/>
              </w:rPr>
            </w:pPr>
            <w:r w:rsidRPr="00DB7E06">
              <w:rPr>
                <w:rFonts w:cstheme="minorHAnsi"/>
                <w:sz w:val="18"/>
                <w:szCs w:val="18"/>
              </w:rPr>
              <w:t>11E</w:t>
            </w:r>
          </w:p>
        </w:tc>
        <w:tc>
          <w:tcPr>
            <w:tcW w:w="504" w:type="pct"/>
            <w:tcBorders>
              <w:top w:val="single" w:sz="4" w:space="0" w:color="808080"/>
              <w:left w:val="single" w:sz="4" w:space="0" w:color="808080"/>
              <w:bottom w:val="single" w:sz="4" w:space="0" w:color="808080"/>
              <w:right w:val="single" w:sz="4" w:space="0" w:color="808080"/>
            </w:tcBorders>
            <w:hideMark/>
          </w:tcPr>
          <w:p w14:paraId="44D4BD4E" w14:textId="77777777" w:rsidR="00724381" w:rsidRPr="00DB7E06" w:rsidRDefault="00724381" w:rsidP="00E26D3C">
            <w:pPr>
              <w:spacing w:before="40" w:after="40"/>
              <w:rPr>
                <w:rFonts w:cstheme="minorHAnsi"/>
                <w:sz w:val="18"/>
                <w:szCs w:val="18"/>
              </w:rPr>
            </w:pPr>
            <w:r w:rsidRPr="00DB7E06">
              <w:rPr>
                <w:rFonts w:cstheme="minorHAnsi"/>
                <w:sz w:val="18"/>
                <w:szCs w:val="18"/>
              </w:rPr>
              <w:t>12</w:t>
            </w:r>
          </w:p>
        </w:tc>
      </w:tr>
      <w:tr w:rsidR="00724381" w:rsidRPr="00DB7E06" w14:paraId="5F348BF5" w14:textId="77777777" w:rsidTr="00DB7E06">
        <w:trPr>
          <w:cantSplit/>
        </w:trPr>
        <w:tc>
          <w:tcPr>
            <w:tcW w:w="957" w:type="pct"/>
            <w:tcBorders>
              <w:top w:val="single" w:sz="4" w:space="0" w:color="808080"/>
              <w:left w:val="single" w:sz="4" w:space="0" w:color="808080"/>
              <w:bottom w:val="single" w:sz="4" w:space="0" w:color="808080"/>
              <w:right w:val="single" w:sz="4" w:space="0" w:color="808080"/>
            </w:tcBorders>
            <w:hideMark/>
          </w:tcPr>
          <w:p w14:paraId="3641890E" w14:textId="77777777" w:rsidR="00724381" w:rsidRPr="00DB7E06" w:rsidRDefault="00724381" w:rsidP="00E26D3C">
            <w:pPr>
              <w:spacing w:before="40" w:after="40"/>
              <w:rPr>
                <w:rFonts w:cstheme="minorHAnsi"/>
                <w:b/>
                <w:sz w:val="18"/>
                <w:szCs w:val="18"/>
              </w:rPr>
            </w:pPr>
            <w:r w:rsidRPr="00DB7E06">
              <w:rPr>
                <w:rFonts w:cstheme="minorHAnsi"/>
                <w:b/>
                <w:sz w:val="18"/>
                <w:szCs w:val="18"/>
              </w:rPr>
              <w:t xml:space="preserve">Total </w:t>
            </w:r>
          </w:p>
        </w:tc>
        <w:tc>
          <w:tcPr>
            <w:tcW w:w="505" w:type="pct"/>
            <w:tcBorders>
              <w:top w:val="single" w:sz="4" w:space="0" w:color="808080"/>
              <w:left w:val="single" w:sz="4" w:space="0" w:color="808080"/>
              <w:bottom w:val="single" w:sz="4" w:space="0" w:color="808080"/>
              <w:right w:val="single" w:sz="4" w:space="0" w:color="808080"/>
            </w:tcBorders>
            <w:hideMark/>
          </w:tcPr>
          <w:p w14:paraId="0B33A067" w14:textId="77777777" w:rsidR="00724381" w:rsidRPr="00DB7E06" w:rsidRDefault="00724381" w:rsidP="00E26D3C">
            <w:pPr>
              <w:spacing w:before="40" w:after="40"/>
              <w:rPr>
                <w:rFonts w:cstheme="minorHAnsi"/>
                <w:b/>
                <w:sz w:val="18"/>
                <w:szCs w:val="18"/>
              </w:rPr>
            </w:pPr>
            <w:r w:rsidRPr="00DB7E06">
              <w:rPr>
                <w:rFonts w:cstheme="minorHAnsi"/>
                <w:b/>
                <w:sz w:val="18"/>
                <w:szCs w:val="18"/>
              </w:rPr>
              <w:t>2839</w:t>
            </w:r>
          </w:p>
        </w:tc>
        <w:tc>
          <w:tcPr>
            <w:tcW w:w="506" w:type="pct"/>
            <w:tcBorders>
              <w:top w:val="single" w:sz="4" w:space="0" w:color="808080"/>
              <w:left w:val="single" w:sz="4" w:space="0" w:color="808080"/>
              <w:bottom w:val="single" w:sz="4" w:space="0" w:color="808080"/>
              <w:right w:val="single" w:sz="4" w:space="0" w:color="808080"/>
            </w:tcBorders>
            <w:hideMark/>
          </w:tcPr>
          <w:p w14:paraId="569D3960" w14:textId="77777777" w:rsidR="00724381" w:rsidRPr="00DB7E06" w:rsidRDefault="00724381" w:rsidP="00E26D3C">
            <w:pPr>
              <w:spacing w:before="40" w:after="40"/>
              <w:rPr>
                <w:rFonts w:cstheme="minorHAnsi"/>
                <w:b/>
                <w:sz w:val="18"/>
                <w:szCs w:val="18"/>
              </w:rPr>
            </w:pPr>
            <w:r w:rsidRPr="00DB7E06">
              <w:rPr>
                <w:rFonts w:cstheme="minorHAnsi"/>
                <w:b/>
                <w:sz w:val="18"/>
                <w:szCs w:val="18"/>
              </w:rPr>
              <w:t>480</w:t>
            </w:r>
          </w:p>
        </w:tc>
        <w:tc>
          <w:tcPr>
            <w:tcW w:w="506" w:type="pct"/>
            <w:tcBorders>
              <w:top w:val="single" w:sz="4" w:space="0" w:color="808080"/>
              <w:left w:val="single" w:sz="4" w:space="0" w:color="808080"/>
              <w:bottom w:val="single" w:sz="4" w:space="0" w:color="808080"/>
              <w:right w:val="single" w:sz="4" w:space="0" w:color="808080"/>
            </w:tcBorders>
            <w:hideMark/>
          </w:tcPr>
          <w:p w14:paraId="68AF0D49" w14:textId="77777777" w:rsidR="00724381" w:rsidRPr="00DB7E06" w:rsidRDefault="00724381" w:rsidP="00E26D3C">
            <w:pPr>
              <w:spacing w:before="40" w:after="40"/>
              <w:rPr>
                <w:rFonts w:cstheme="minorHAnsi"/>
                <w:b/>
                <w:sz w:val="18"/>
                <w:szCs w:val="18"/>
              </w:rPr>
            </w:pPr>
            <w:r w:rsidRPr="00DB7E06">
              <w:rPr>
                <w:rFonts w:cstheme="minorHAnsi"/>
                <w:b/>
                <w:sz w:val="18"/>
                <w:szCs w:val="18"/>
              </w:rPr>
              <w:t>1044</w:t>
            </w:r>
          </w:p>
        </w:tc>
        <w:tc>
          <w:tcPr>
            <w:tcW w:w="506" w:type="pct"/>
            <w:tcBorders>
              <w:top w:val="single" w:sz="4" w:space="0" w:color="808080"/>
              <w:left w:val="single" w:sz="4" w:space="0" w:color="808080"/>
              <w:bottom w:val="single" w:sz="4" w:space="0" w:color="808080"/>
              <w:right w:val="single" w:sz="4" w:space="0" w:color="808080"/>
            </w:tcBorders>
            <w:hideMark/>
          </w:tcPr>
          <w:p w14:paraId="1E9D9B90" w14:textId="77777777" w:rsidR="00724381" w:rsidRPr="00DB7E06" w:rsidRDefault="00724381" w:rsidP="00E26D3C">
            <w:pPr>
              <w:spacing w:before="40" w:after="40"/>
              <w:rPr>
                <w:rFonts w:cstheme="minorHAnsi"/>
                <w:b/>
                <w:sz w:val="18"/>
                <w:szCs w:val="18"/>
              </w:rPr>
            </w:pPr>
            <w:r w:rsidRPr="00DB7E06">
              <w:rPr>
                <w:rFonts w:cstheme="minorHAnsi"/>
                <w:b/>
                <w:sz w:val="18"/>
                <w:szCs w:val="18"/>
              </w:rPr>
              <w:t>2658</w:t>
            </w:r>
          </w:p>
        </w:tc>
        <w:tc>
          <w:tcPr>
            <w:tcW w:w="505" w:type="pct"/>
            <w:tcBorders>
              <w:top w:val="single" w:sz="4" w:space="0" w:color="808080"/>
              <w:left w:val="single" w:sz="4" w:space="0" w:color="808080"/>
              <w:bottom w:val="single" w:sz="4" w:space="0" w:color="808080"/>
              <w:right w:val="single" w:sz="4" w:space="0" w:color="808080"/>
            </w:tcBorders>
            <w:hideMark/>
          </w:tcPr>
          <w:p w14:paraId="1F65A853" w14:textId="77777777" w:rsidR="00724381" w:rsidRPr="00DB7E06" w:rsidRDefault="00724381" w:rsidP="00E26D3C">
            <w:pPr>
              <w:spacing w:before="40" w:after="40"/>
              <w:rPr>
                <w:rFonts w:cstheme="minorHAnsi"/>
                <w:b/>
                <w:sz w:val="18"/>
                <w:szCs w:val="18"/>
              </w:rPr>
            </w:pPr>
            <w:r w:rsidRPr="00DB7E06">
              <w:rPr>
                <w:rFonts w:cstheme="minorHAnsi"/>
                <w:b/>
                <w:sz w:val="18"/>
                <w:szCs w:val="18"/>
              </w:rPr>
              <w:t>2635</w:t>
            </w:r>
          </w:p>
        </w:tc>
        <w:tc>
          <w:tcPr>
            <w:tcW w:w="506" w:type="pct"/>
            <w:tcBorders>
              <w:top w:val="single" w:sz="4" w:space="0" w:color="808080"/>
              <w:left w:val="single" w:sz="4" w:space="0" w:color="808080"/>
              <w:bottom w:val="single" w:sz="4" w:space="0" w:color="808080"/>
              <w:right w:val="single" w:sz="4" w:space="0" w:color="808080"/>
            </w:tcBorders>
          </w:tcPr>
          <w:p w14:paraId="19F736CC" w14:textId="77777777" w:rsidR="00724381" w:rsidRPr="00DB7E06" w:rsidRDefault="00724381" w:rsidP="00E26D3C">
            <w:pPr>
              <w:spacing w:before="40" w:after="40"/>
              <w:rPr>
                <w:rFonts w:cstheme="minorHAnsi"/>
                <w:b/>
                <w:sz w:val="18"/>
                <w:szCs w:val="18"/>
              </w:rPr>
            </w:pPr>
            <w:r w:rsidRPr="00DB7E06">
              <w:rPr>
                <w:rFonts w:cstheme="minorHAnsi"/>
                <w:b/>
                <w:sz w:val="18"/>
                <w:szCs w:val="18"/>
              </w:rPr>
              <w:t>1456</w:t>
            </w:r>
          </w:p>
        </w:tc>
        <w:tc>
          <w:tcPr>
            <w:tcW w:w="506" w:type="pct"/>
            <w:tcBorders>
              <w:top w:val="single" w:sz="4" w:space="0" w:color="808080"/>
              <w:left w:val="single" w:sz="4" w:space="0" w:color="808080"/>
              <w:bottom w:val="single" w:sz="4" w:space="0" w:color="808080"/>
              <w:right w:val="single" w:sz="4" w:space="0" w:color="808080"/>
            </w:tcBorders>
          </w:tcPr>
          <w:p w14:paraId="3BFDDDE4" w14:textId="77777777" w:rsidR="00724381" w:rsidRPr="00DB7E06" w:rsidRDefault="00724381" w:rsidP="00E26D3C">
            <w:pPr>
              <w:spacing w:before="40" w:after="40"/>
              <w:rPr>
                <w:rFonts w:cstheme="minorHAnsi"/>
                <w:b/>
                <w:sz w:val="18"/>
                <w:szCs w:val="18"/>
              </w:rPr>
            </w:pPr>
            <w:r w:rsidRPr="00DB7E06">
              <w:rPr>
                <w:rFonts w:cstheme="minorHAnsi"/>
                <w:b/>
                <w:sz w:val="18"/>
                <w:szCs w:val="18"/>
              </w:rPr>
              <w:t>2865</w:t>
            </w:r>
          </w:p>
        </w:tc>
        <w:tc>
          <w:tcPr>
            <w:tcW w:w="504" w:type="pct"/>
            <w:tcBorders>
              <w:top w:val="single" w:sz="4" w:space="0" w:color="808080"/>
              <w:left w:val="single" w:sz="4" w:space="0" w:color="808080"/>
              <w:bottom w:val="single" w:sz="4" w:space="0" w:color="808080"/>
              <w:right w:val="single" w:sz="4" w:space="0" w:color="808080"/>
            </w:tcBorders>
            <w:hideMark/>
          </w:tcPr>
          <w:p w14:paraId="15364CFF" w14:textId="77777777" w:rsidR="00724381" w:rsidRPr="00DB7E06" w:rsidRDefault="00724381" w:rsidP="00E26D3C">
            <w:pPr>
              <w:spacing w:before="40" w:after="40"/>
              <w:rPr>
                <w:rFonts w:cstheme="minorHAnsi"/>
                <w:b/>
                <w:sz w:val="18"/>
                <w:szCs w:val="18"/>
              </w:rPr>
            </w:pPr>
            <w:r w:rsidRPr="00DB7E06">
              <w:rPr>
                <w:rFonts w:cstheme="minorHAnsi"/>
                <w:b/>
                <w:sz w:val="18"/>
                <w:szCs w:val="18"/>
              </w:rPr>
              <w:t>13977</w:t>
            </w:r>
          </w:p>
        </w:tc>
      </w:tr>
    </w:tbl>
    <w:p w14:paraId="1C4ADA33" w14:textId="77777777" w:rsidR="00DB7E06" w:rsidRDefault="00DB7E06" w:rsidP="00724381">
      <w:pPr>
        <w:jc w:val="center"/>
        <w:rPr>
          <w:rFonts w:ascii="Arial Narrow" w:eastAsia="Times New Roman" w:hAnsi="Arial Narrow" w:cs="Times New Roman"/>
          <w:b/>
          <w:color w:val="000000"/>
          <w:kern w:val="28"/>
          <w:szCs w:val="20"/>
        </w:rPr>
      </w:pPr>
      <w:bookmarkStart w:id="507" w:name="_Ref45109303"/>
      <w:bookmarkStart w:id="508" w:name="_Ref24384076"/>
    </w:p>
    <w:p w14:paraId="337CFF61" w14:textId="0B822ED2" w:rsidR="00724381" w:rsidRDefault="00724381" w:rsidP="00724381">
      <w:pPr>
        <w:jc w:val="center"/>
        <w:rPr>
          <w:rFonts w:ascii="Arial Narrow" w:eastAsia="Times New Roman" w:hAnsi="Arial Narrow" w:cs="Times New Roman"/>
          <w:b/>
          <w:color w:val="000000"/>
          <w:kern w:val="28"/>
          <w:szCs w:val="20"/>
        </w:rPr>
      </w:pPr>
      <w:r>
        <w:rPr>
          <w:rFonts w:ascii="Arial Narrow" w:eastAsia="Times New Roman" w:hAnsi="Arial Narrow" w:cs="Times New Roman"/>
          <w:b/>
          <w:noProof/>
          <w:color w:val="000000"/>
          <w:kern w:val="28"/>
          <w:szCs w:val="20"/>
          <w:lang w:val="en-GB"/>
        </w:rPr>
        <w:drawing>
          <wp:inline distT="0" distB="0" distL="0" distR="0" wp14:anchorId="1A2FC198" wp14:editId="1E17B9F2">
            <wp:extent cx="6364605" cy="2057400"/>
            <wp:effectExtent l="0" t="0" r="0" b="0"/>
            <wp:docPr id="481" name="Picture 481" descr="Graphical user interfac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Graphical user interface, chart, histogram&#10;&#10;Description automatically generated"/>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6364605" cy="2057400"/>
                    </a:xfrm>
                    <a:prstGeom prst="rect">
                      <a:avLst/>
                    </a:prstGeom>
                    <a:noFill/>
                    <a:ln>
                      <a:noFill/>
                    </a:ln>
                    <a:extLst>
                      <a:ext uri="{53640926-AAD7-44D8-BBD7-CCE9431645EC}">
                        <a14:shadowObscured xmlns:a14="http://schemas.microsoft.com/office/drawing/2010/main"/>
                      </a:ext>
                    </a:extLst>
                  </pic:spPr>
                </pic:pic>
              </a:graphicData>
            </a:graphic>
          </wp:inline>
        </w:drawing>
      </w:r>
    </w:p>
    <w:p w14:paraId="5D5E04E1" w14:textId="0824D654" w:rsidR="00724381" w:rsidRPr="00BA2632" w:rsidRDefault="00724381" w:rsidP="00724381">
      <w:pPr>
        <w:pStyle w:val="Caption"/>
      </w:pPr>
      <w:bookmarkStart w:id="509" w:name="_Ref45281597"/>
      <w:bookmarkStart w:id="510" w:name="_Toc83907779"/>
      <w:bookmarkStart w:id="511" w:name="_Toc84475756"/>
      <w:r w:rsidRPr="00BA2632">
        <w:t xml:space="preserve">Figure </w:t>
      </w:r>
      <w:r w:rsidR="003F697A">
        <w:rPr>
          <w:noProof/>
        </w:rPr>
        <w:t>8</w:t>
      </w:r>
      <w:r w:rsidR="00B85158">
        <w:noBreakHyphen/>
      </w:r>
      <w:r w:rsidR="003F697A">
        <w:rPr>
          <w:noProof/>
        </w:rPr>
        <w:t>6</w:t>
      </w:r>
      <w:bookmarkEnd w:id="507"/>
      <w:bookmarkEnd w:id="509"/>
      <w:r w:rsidRPr="00BA2632">
        <w:t xml:space="preserve"> </w:t>
      </w:r>
      <w:bookmarkEnd w:id="508"/>
      <w:r>
        <w:t>Mean (±se) number of golden perch (left panel) and silver perch (right panel) eggs/larvae per drift net collected in the Goulburn River in 2020. Mean daily discharge (blue line) and water temperature (broken red line) of the Goulburn River at McCoy Bridge. Triangles denote sampling trips.</w:t>
      </w:r>
      <w:bookmarkEnd w:id="510"/>
      <w:bookmarkEnd w:id="511"/>
    </w:p>
    <w:p w14:paraId="285BDFF4" w14:textId="2E661747" w:rsidR="000A750C" w:rsidRDefault="000A750C" w:rsidP="000A750C">
      <w:pPr>
        <w:jc w:val="center"/>
        <w:rPr>
          <w:noProof/>
        </w:rPr>
      </w:pPr>
      <w:r w:rsidRPr="00F63749">
        <w:rPr>
          <w:noProof/>
        </w:rPr>
        <w:lastRenderedPageBreak/>
        <w:drawing>
          <wp:inline distT="0" distB="0" distL="0" distR="0" wp14:anchorId="31751454" wp14:editId="7399B34E">
            <wp:extent cx="5943600" cy="1478280"/>
            <wp:effectExtent l="0" t="0" r="0" b="762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10;&#10;Description automatically generat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943600" cy="1478280"/>
                    </a:xfrm>
                    <a:prstGeom prst="rect">
                      <a:avLst/>
                    </a:prstGeom>
                    <a:noFill/>
                    <a:ln>
                      <a:noFill/>
                    </a:ln>
                  </pic:spPr>
                </pic:pic>
              </a:graphicData>
            </a:graphic>
          </wp:inline>
        </w:drawing>
      </w:r>
      <w:r w:rsidRPr="00F63749">
        <w:rPr>
          <w:noProof/>
        </w:rPr>
        <w:drawing>
          <wp:inline distT="0" distB="0" distL="0" distR="0" wp14:anchorId="6A809A8A" wp14:editId="62B58CDA">
            <wp:extent cx="5943600" cy="1478280"/>
            <wp:effectExtent l="0" t="0" r="0" b="7620"/>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10;&#10;Description automatically generated"/>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943600" cy="1478280"/>
                    </a:xfrm>
                    <a:prstGeom prst="rect">
                      <a:avLst/>
                    </a:prstGeom>
                    <a:noFill/>
                    <a:ln>
                      <a:noFill/>
                    </a:ln>
                  </pic:spPr>
                </pic:pic>
              </a:graphicData>
            </a:graphic>
          </wp:inline>
        </w:drawing>
      </w:r>
      <w:r w:rsidRPr="00F63749">
        <w:rPr>
          <w:noProof/>
        </w:rPr>
        <w:drawing>
          <wp:inline distT="0" distB="0" distL="0" distR="0" wp14:anchorId="69E97689" wp14:editId="3C7562D3">
            <wp:extent cx="5943600" cy="1478280"/>
            <wp:effectExtent l="0" t="0" r="0" b="7620"/>
            <wp:docPr id="454" name="Picture 45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943600" cy="1478280"/>
                    </a:xfrm>
                    <a:prstGeom prst="rect">
                      <a:avLst/>
                    </a:prstGeom>
                    <a:noFill/>
                    <a:ln>
                      <a:noFill/>
                    </a:ln>
                  </pic:spPr>
                </pic:pic>
              </a:graphicData>
            </a:graphic>
          </wp:inline>
        </w:drawing>
      </w:r>
    </w:p>
    <w:p w14:paraId="67AB4B4F" w14:textId="1D97DA6F" w:rsidR="000A750C" w:rsidRPr="00AC048C" w:rsidRDefault="000A750C" w:rsidP="000A750C">
      <w:pPr>
        <w:jc w:val="center"/>
      </w:pPr>
      <w:r w:rsidRPr="00F63749">
        <w:rPr>
          <w:noProof/>
        </w:rPr>
        <w:drawing>
          <wp:inline distT="0" distB="0" distL="0" distR="0" wp14:anchorId="7E5D188F" wp14:editId="548412F8">
            <wp:extent cx="5943600" cy="1478280"/>
            <wp:effectExtent l="0" t="0" r="0" b="7620"/>
            <wp:docPr id="456" name="Picture 45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10;&#10;Description automatically generated"/>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943600" cy="1478280"/>
                    </a:xfrm>
                    <a:prstGeom prst="rect">
                      <a:avLst/>
                    </a:prstGeom>
                    <a:noFill/>
                    <a:ln>
                      <a:noFill/>
                    </a:ln>
                  </pic:spPr>
                </pic:pic>
              </a:graphicData>
            </a:graphic>
          </wp:inline>
        </w:drawing>
      </w:r>
    </w:p>
    <w:p w14:paraId="5B79F6D2" w14:textId="115E5A3A" w:rsidR="00724381" w:rsidRDefault="00724381" w:rsidP="00DB7E06">
      <w:pPr>
        <w:pStyle w:val="Caption"/>
      </w:pPr>
      <w:bookmarkStart w:id="512" w:name="_Ref83909458"/>
      <w:bookmarkStart w:id="513" w:name="_Toc83907780"/>
      <w:bookmarkStart w:id="514" w:name="_Toc84475757"/>
      <w:r w:rsidRPr="00BA49D5">
        <w:t xml:space="preserve">Figure </w:t>
      </w:r>
      <w:r w:rsidR="003F697A">
        <w:rPr>
          <w:noProof/>
        </w:rPr>
        <w:t>8</w:t>
      </w:r>
      <w:r w:rsidR="00B85158">
        <w:noBreakHyphen/>
      </w:r>
      <w:r w:rsidR="003F697A">
        <w:rPr>
          <w:noProof/>
        </w:rPr>
        <w:t>7</w:t>
      </w:r>
      <w:bookmarkEnd w:id="512"/>
      <w:r w:rsidRPr="00BA49D5">
        <w:t xml:space="preserve"> </w:t>
      </w:r>
      <w:r w:rsidRPr="00E80C9A">
        <w:t xml:space="preserve">Relationship between the probability of spawning (y-axis, 0-1) and </w:t>
      </w:r>
      <w:r w:rsidR="000A750C">
        <w:t>velocity</w:t>
      </w:r>
      <w:r w:rsidRPr="00E80C9A">
        <w:t xml:space="preserve"> (x-axis, </w:t>
      </w:r>
      <w:r w:rsidR="000A750C">
        <w:t>m/s</w:t>
      </w:r>
      <w:r w:rsidRPr="00E80C9A">
        <w:t xml:space="preserve">). Rows correspond to </w:t>
      </w:r>
      <w:r w:rsidR="000A750C">
        <w:t xml:space="preserve">results modelled at different temperatures. </w:t>
      </w:r>
      <w:r w:rsidRPr="00E80C9A">
        <w:t xml:space="preserve">Results are based on the occurrence model </w:t>
      </w:r>
      <w:r>
        <w:t>that uses</w:t>
      </w:r>
      <w:r w:rsidRPr="00E80C9A">
        <w:t xml:space="preserve"> </w:t>
      </w:r>
      <w:r w:rsidR="000A750C">
        <w:t>velocity</w:t>
      </w:r>
      <w:r w:rsidRPr="00E80C9A">
        <w:t xml:space="preserve"> as the main predictor</w:t>
      </w:r>
      <w:r w:rsidR="000A750C">
        <w:t xml:space="preserve"> and includes the 5-week antecedent flow effect</w:t>
      </w:r>
      <w:r w:rsidRPr="00E80C9A">
        <w:t>.</w:t>
      </w:r>
      <w:bookmarkEnd w:id="513"/>
      <w:bookmarkEnd w:id="514"/>
    </w:p>
    <w:p w14:paraId="70FEBAFD" w14:textId="77777777" w:rsidR="00724381" w:rsidRDefault="00724381" w:rsidP="00DB7E06">
      <w:pPr>
        <w:pStyle w:val="Caption"/>
        <w:jc w:val="center"/>
      </w:pPr>
    </w:p>
    <w:p w14:paraId="775880E8" w14:textId="140A5F5D" w:rsidR="00724381" w:rsidRDefault="000A750C" w:rsidP="00CF3769">
      <w:pPr>
        <w:pStyle w:val="Caption"/>
        <w:jc w:val="center"/>
      </w:pPr>
      <w:r w:rsidRPr="00F63749">
        <w:rPr>
          <w:noProof/>
        </w:rPr>
        <w:lastRenderedPageBreak/>
        <w:drawing>
          <wp:inline distT="0" distB="0" distL="0" distR="0" wp14:anchorId="6CF9213D" wp14:editId="2C7D12AE">
            <wp:extent cx="5463540" cy="3482423"/>
            <wp:effectExtent l="0" t="0" r="3810" b="3810"/>
            <wp:docPr id="475" name="Picture 475" descr="Chart, diagram,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diagram, box and whisker chart&#10;&#10;Description automatically generated"/>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468308" cy="3485462"/>
                    </a:xfrm>
                    <a:prstGeom prst="rect">
                      <a:avLst/>
                    </a:prstGeom>
                    <a:noFill/>
                    <a:ln>
                      <a:noFill/>
                    </a:ln>
                  </pic:spPr>
                </pic:pic>
              </a:graphicData>
            </a:graphic>
          </wp:inline>
        </w:drawing>
      </w:r>
    </w:p>
    <w:p w14:paraId="123D8AA1" w14:textId="7448AC73" w:rsidR="003D4281" w:rsidRPr="00BA2632" w:rsidRDefault="00724381" w:rsidP="00724381">
      <w:pPr>
        <w:pStyle w:val="Caption"/>
        <w:rPr>
          <w:lang w:eastAsia="en-AU"/>
        </w:rPr>
      </w:pPr>
      <w:bookmarkStart w:id="515" w:name="_Ref83790613"/>
      <w:bookmarkStart w:id="516" w:name="_Toc83907781"/>
      <w:bookmarkStart w:id="517" w:name="_Toc84475758"/>
      <w:r w:rsidRPr="00BA2632">
        <w:t xml:space="preserve">Figure </w:t>
      </w:r>
      <w:r w:rsidR="003F697A">
        <w:rPr>
          <w:noProof/>
        </w:rPr>
        <w:t>8</w:t>
      </w:r>
      <w:r w:rsidR="00B85158">
        <w:noBreakHyphen/>
      </w:r>
      <w:r w:rsidR="003F697A">
        <w:rPr>
          <w:noProof/>
        </w:rPr>
        <w:t>8</w:t>
      </w:r>
      <w:bookmarkEnd w:id="515"/>
      <w:r w:rsidRPr="00BA2632">
        <w:t xml:space="preserve"> Flow effect in four sites, based on the model of occurrence of spawning with 5-week antecedent flow effect, using </w:t>
      </w:r>
      <w:r w:rsidR="000A750C">
        <w:rPr>
          <w:lang w:val="en-GB"/>
        </w:rPr>
        <w:t>velocity</w:t>
      </w:r>
      <w:r w:rsidRPr="00BA2632">
        <w:t xml:space="preserve"> as the main predictor. Plots above the 0 line indicate that spawning is </w:t>
      </w:r>
      <w:r>
        <w:t>more</w:t>
      </w:r>
      <w:r w:rsidRPr="00BA2632">
        <w:t xml:space="preserve"> likely to occur in response to a high flow.</w:t>
      </w:r>
      <w:bookmarkEnd w:id="516"/>
      <w:bookmarkEnd w:id="517"/>
      <w:r w:rsidRPr="00BA2632">
        <w:t xml:space="preserve"> </w:t>
      </w:r>
    </w:p>
    <w:p w14:paraId="6E6E1A63" w14:textId="674C5B3C" w:rsidR="003D4281" w:rsidRPr="00BA2632" w:rsidRDefault="003D4281" w:rsidP="003D4281">
      <w:pPr>
        <w:pStyle w:val="Heading2"/>
      </w:pPr>
      <w:bookmarkStart w:id="518" w:name="_Toc84416115"/>
      <w:bookmarkStart w:id="519" w:name="_Toc84417405"/>
      <w:bookmarkStart w:id="520" w:name="_Toc84475702"/>
      <w:r w:rsidRPr="00BA2632">
        <w:t>Discussion</w:t>
      </w:r>
      <w:bookmarkEnd w:id="518"/>
      <w:bookmarkEnd w:id="519"/>
      <w:bookmarkEnd w:id="520"/>
    </w:p>
    <w:p w14:paraId="10F7294D" w14:textId="23089AA7" w:rsidR="003D4281" w:rsidRPr="00BA2632" w:rsidRDefault="003D4281" w:rsidP="00F00E8C">
      <w:pPr>
        <w:pStyle w:val="Heading3"/>
      </w:pPr>
      <w:bookmarkStart w:id="521" w:name="_Toc84417406"/>
      <w:r w:rsidRPr="00BA2632">
        <w:t>Annual population surveys (electrofishing and netting)</w:t>
      </w:r>
      <w:bookmarkEnd w:id="521"/>
    </w:p>
    <w:p w14:paraId="79D44810" w14:textId="1851D0BB" w:rsidR="00E73109" w:rsidRPr="008A01AD" w:rsidRDefault="00E73109" w:rsidP="00E73109">
      <w:pPr>
        <w:rPr>
          <w:lang w:eastAsia="en-AU"/>
        </w:rPr>
      </w:pPr>
      <w:bookmarkStart w:id="522" w:name="_Toc26772978"/>
      <w:bookmarkStart w:id="523" w:name="_Hlk17725609"/>
      <w:r w:rsidRPr="008A01AD">
        <w:rPr>
          <w:lang w:eastAsia="en-AU"/>
        </w:rPr>
        <w:t>The nationally threatened trout cod was collected in low numbers for the second consecutive year (2020 and 2021) in the annual surveys and has now been collected in four of the last seven years. Larvae of trout cod were also collected for the fourth consecutive year (2017-2020) in the drift surveys.</w:t>
      </w:r>
      <w:r w:rsidRPr="008A01AD">
        <w:rPr>
          <w:color w:val="000000" w:themeColor="text1"/>
          <w:lang w:eastAsia="en-US"/>
        </w:rPr>
        <w:t xml:space="preserve"> Results from VEFMAP sampling conducted by ARI show </w:t>
      </w:r>
      <w:r w:rsidR="00851548">
        <w:rPr>
          <w:color w:val="000000" w:themeColor="text1"/>
          <w:lang w:eastAsia="en-US"/>
        </w:rPr>
        <w:t>t</w:t>
      </w:r>
      <w:r w:rsidRPr="008A01AD">
        <w:rPr>
          <w:color w:val="000000" w:themeColor="text1"/>
          <w:lang w:eastAsia="en-US"/>
        </w:rPr>
        <w:t xml:space="preserve">rout </w:t>
      </w:r>
      <w:r w:rsidR="00851548">
        <w:rPr>
          <w:color w:val="000000" w:themeColor="text1"/>
          <w:lang w:eastAsia="en-US"/>
        </w:rPr>
        <w:t>c</w:t>
      </w:r>
      <w:r w:rsidRPr="008A01AD">
        <w:rPr>
          <w:color w:val="000000" w:themeColor="text1"/>
          <w:lang w:eastAsia="en-US"/>
        </w:rPr>
        <w:t>od are more common in the Goulburn River in upstream reaches near Murchison.</w:t>
      </w:r>
    </w:p>
    <w:p w14:paraId="5FDD7E5A" w14:textId="77777777" w:rsidR="00E73109" w:rsidRPr="008A01AD" w:rsidRDefault="00E73109" w:rsidP="00E73109">
      <w:pPr>
        <w:rPr>
          <w:lang w:eastAsia="en-AU"/>
        </w:rPr>
      </w:pPr>
      <w:r w:rsidRPr="008A01AD">
        <w:rPr>
          <w:lang w:eastAsia="en-AU"/>
        </w:rPr>
        <w:t xml:space="preserve">Abundance of Murray cod at our sampling sites in 2021 was </w:t>
      </w:r>
      <w:proofErr w:type="gramStart"/>
      <w:r w:rsidRPr="008A01AD">
        <w:rPr>
          <w:lang w:eastAsia="en-AU"/>
        </w:rPr>
        <w:t>similar to</w:t>
      </w:r>
      <w:proofErr w:type="gramEnd"/>
      <w:r w:rsidRPr="008A01AD">
        <w:rPr>
          <w:lang w:eastAsia="en-AU"/>
        </w:rPr>
        <w:t xml:space="preserve"> last year. Abundance in this reach remains lower than levels recorded prior to the 2017 blackwater event. Nevertheless, a considerable proportion of the population in the 2021 surveys was young-of-year fish. These individuals likely originated from recent natural spawning in the river, as otolith analysis indicates that the Murray cod population in the Goulburn River consists almost entirely of in situ recruitment. </w:t>
      </w:r>
    </w:p>
    <w:p w14:paraId="4F453C4E" w14:textId="77777777" w:rsidR="00E73109" w:rsidRPr="008A01AD" w:rsidRDefault="00E73109" w:rsidP="00E73109">
      <w:pPr>
        <w:rPr>
          <w:lang w:eastAsia="en-AU"/>
        </w:rPr>
      </w:pPr>
      <w:r w:rsidRPr="008A01AD">
        <w:rPr>
          <w:lang w:eastAsia="en-AU"/>
        </w:rPr>
        <w:t xml:space="preserve">A single young-of-year golden perch was collected in the annual surveys in 2021. It is probable that this individual was stocked. Otolith analysis indicates that the golden perch population in the Goulburn River consists mostly of stocked fish, although there is some </w:t>
      </w:r>
      <w:r w:rsidRPr="008A01AD">
        <w:rPr>
          <w:i/>
          <w:iCs/>
          <w:lang w:eastAsia="en-AU"/>
        </w:rPr>
        <w:t>in situ</w:t>
      </w:r>
      <w:r w:rsidRPr="008A01AD">
        <w:rPr>
          <w:lang w:eastAsia="en-AU"/>
        </w:rPr>
        <w:t xml:space="preserve"> recruitment, and immigration into the Goulburn River by fish originating from locations such as the Murray River.</w:t>
      </w:r>
      <w:r w:rsidRPr="008A01AD">
        <w:t xml:space="preserve"> </w:t>
      </w:r>
      <w:r w:rsidRPr="008A01AD">
        <w:rPr>
          <w:lang w:eastAsia="en-AU"/>
        </w:rPr>
        <w:t>Young-of-year golden perch are rarely collected in the annual population surveys, although this is likely because early life stages (eggs, larvae) drift downstream and into the Murray River.</w:t>
      </w:r>
      <w:r w:rsidRPr="008A01AD">
        <w:t xml:space="preserve"> M</w:t>
      </w:r>
      <w:r w:rsidRPr="008A01AD">
        <w:rPr>
          <w:lang w:eastAsia="en-AU"/>
        </w:rPr>
        <w:t>easuring or reporting recruitment outcomes at a reach or river scale in this region may be unsuitable for species such as golden perch with early life stages that can drift or disperse long distances away from spawning locations.</w:t>
      </w:r>
    </w:p>
    <w:p w14:paraId="2E274E9C" w14:textId="587AA786" w:rsidR="00E73109" w:rsidRPr="006633FC" w:rsidRDefault="00E73109" w:rsidP="00E73109">
      <w:pPr>
        <w:rPr>
          <w:lang w:eastAsia="en-US"/>
        </w:rPr>
      </w:pPr>
      <w:r w:rsidRPr="008A01AD">
        <w:rPr>
          <w:lang w:eastAsia="en-AU"/>
        </w:rPr>
        <w:t>Only low numbers of silver perch were collected in the 2021 surveys. This result possibly reflects numbers of silver perch migrating upstream in the mid-Murray River. Otolith analysis indicates that the silver perch population in the Goulburn River consists mostly of fish originating from the Murray River.</w:t>
      </w:r>
      <w:r w:rsidRPr="008A01AD">
        <w:rPr>
          <w:lang w:eastAsia="en-US"/>
        </w:rPr>
        <w:t xml:space="preserve"> Flows can be important in promoting immigration of silver perch into tributaries such as the Goulburn River </w:t>
      </w:r>
      <w:r w:rsidR="005F0888">
        <w:rPr>
          <w:noProof/>
          <w:lang w:eastAsia="en-US"/>
        </w:rPr>
        <w:t>(Koster et al. 2021)</w:t>
      </w:r>
      <w:r w:rsidR="00D92102">
        <w:rPr>
          <w:lang w:eastAsia="en-US"/>
        </w:rPr>
        <w:t>,</w:t>
      </w:r>
      <w:r w:rsidRPr="008A01AD">
        <w:rPr>
          <w:lang w:eastAsia="en-US"/>
        </w:rPr>
        <w:t xml:space="preserve"> notwithstanding the outcome will be dependent on the abundance of fish in the Murray River.</w:t>
      </w:r>
    </w:p>
    <w:p w14:paraId="34FF7B15" w14:textId="15C1551A" w:rsidR="00E73109" w:rsidRPr="008A01AD" w:rsidRDefault="00E73109" w:rsidP="00E73109">
      <w:pPr>
        <w:rPr>
          <w:lang w:eastAsia="en-AU"/>
        </w:rPr>
      </w:pPr>
      <w:r w:rsidRPr="008A01AD">
        <w:rPr>
          <w:lang w:eastAsia="en-AU"/>
        </w:rPr>
        <w:t>There was a considerable increase in abundance of Murray River rainbowfish in 2021, following a decrease in abundance from 2017 to 2019. Abundances recorded in 2021 were the highest recorded in the last seven years. Abundances of another native small-bodied fish, Australian smelt</w:t>
      </w:r>
      <w:r w:rsidR="00851548">
        <w:rPr>
          <w:lang w:eastAsia="en-AU"/>
        </w:rPr>
        <w:t>,</w:t>
      </w:r>
      <w:r w:rsidRPr="008A01AD">
        <w:rPr>
          <w:lang w:eastAsia="en-AU"/>
        </w:rPr>
        <w:t xml:space="preserve"> were also high relative to previous years. The causes of these fluctuations are unclear, but it is possible that a reduction in high flow conditions throughout summer 2021 relative to the previous few years (2018-2020) might have been more favourable to recruitment.</w:t>
      </w:r>
      <w:bookmarkStart w:id="524" w:name="_Hlk48224091"/>
    </w:p>
    <w:p w14:paraId="32B01A7A" w14:textId="77777777" w:rsidR="003D4281" w:rsidRPr="008A01AD" w:rsidRDefault="003D4281" w:rsidP="00F00E8C">
      <w:pPr>
        <w:pStyle w:val="Heading3"/>
      </w:pPr>
      <w:bookmarkStart w:id="525" w:name="_Toc84417407"/>
      <w:bookmarkEnd w:id="524"/>
      <w:r w:rsidRPr="008A01AD">
        <w:lastRenderedPageBreak/>
        <w:t>Spawning of golden perch and silver perch</w:t>
      </w:r>
      <w:bookmarkEnd w:id="522"/>
      <w:bookmarkEnd w:id="525"/>
    </w:p>
    <w:p w14:paraId="477574C8" w14:textId="790D28F0" w:rsidR="00E73109" w:rsidRDefault="00E73109" w:rsidP="00541DDD">
      <w:pPr>
        <w:rPr>
          <w:lang w:eastAsia="en-AU"/>
        </w:rPr>
      </w:pPr>
      <w:bookmarkStart w:id="526" w:name="_Hlk78357886"/>
      <w:bookmarkStart w:id="527" w:name="_Hlk78358101"/>
      <w:bookmarkEnd w:id="523"/>
      <w:r w:rsidRPr="008A01AD">
        <w:rPr>
          <w:lang w:eastAsia="en-AU"/>
        </w:rPr>
        <w:t xml:space="preserve">In 2020, spawning of golden perch was detected in drift sampling in late October during a natural within-channel flow pulse, and in mid-November coinciding with a targeted within-channel environmental flow pulse. Much greater numbers of eggs were collected in late November. This result is possibly related to factors such as warmer water temperatures in November compared to October </w:t>
      </w:r>
      <w:r w:rsidR="005F0888">
        <w:rPr>
          <w:noProof/>
          <w:lang w:eastAsia="en-AU"/>
        </w:rPr>
        <w:t>(King et al. 2016)</w:t>
      </w:r>
      <w:r w:rsidR="001F0B9C">
        <w:rPr>
          <w:lang w:eastAsia="en-AU"/>
        </w:rPr>
        <w:t>.</w:t>
      </w:r>
      <w:r w:rsidRPr="008A01AD">
        <w:rPr>
          <w:lang w:eastAsia="en-AU"/>
        </w:rPr>
        <w:t xml:space="preserve"> High flows that occurred earlier in the spawning season in October might also have improved reproductive condition and subsequent spawning output in November. Our analysis shows that the probability of spawning of golden perch in the Goulburn River was related to discharge, with greatly increased spawning probability at flows between about 3500–4000 ML</w:t>
      </w:r>
      <w:r w:rsidR="008A01AD">
        <w:rPr>
          <w:lang w:eastAsia="en-AU"/>
        </w:rPr>
        <w:t>/</w:t>
      </w:r>
      <w:r w:rsidRPr="008A01AD">
        <w:rPr>
          <w:lang w:eastAsia="en-AU"/>
        </w:rPr>
        <w:t xml:space="preserve">day when water temperature exceeded ~18.6°C. Our analysis also shows that increased flows prior to spawning were associated with increased spawning probability. </w:t>
      </w:r>
      <w:bookmarkEnd w:id="526"/>
      <w:r w:rsidRPr="008A01AD">
        <w:rPr>
          <w:lang w:eastAsia="en-AU"/>
        </w:rPr>
        <w:t>To achieve the management objective of spawning of golden perch in the Goulburn River</w:t>
      </w:r>
      <w:r w:rsidR="00E07991">
        <w:rPr>
          <w:lang w:eastAsia="en-AU"/>
        </w:rPr>
        <w:t xml:space="preserve"> </w:t>
      </w:r>
      <w:r w:rsidR="00E07991">
        <w:rPr>
          <w:noProof/>
          <w:lang w:eastAsia="en-AU"/>
        </w:rPr>
        <w:t>(GBCMA 2021)</w:t>
      </w:r>
      <w:r w:rsidR="005F0888">
        <w:rPr>
          <w:lang w:eastAsia="en-AU"/>
        </w:rPr>
        <w:t xml:space="preserve">, </w:t>
      </w:r>
      <w:r w:rsidRPr="008A01AD">
        <w:rPr>
          <w:lang w:eastAsia="en-AU"/>
        </w:rPr>
        <w:t>elevated flows throughout spring, coupled with flow pulses around at least 3500–4000 ML</w:t>
      </w:r>
      <w:r w:rsidR="008A01AD">
        <w:rPr>
          <w:lang w:eastAsia="en-AU"/>
        </w:rPr>
        <w:t>/</w:t>
      </w:r>
      <w:r w:rsidRPr="008A01AD">
        <w:rPr>
          <w:lang w:eastAsia="en-AU"/>
        </w:rPr>
        <w:t>day particularly around November, are needed. Spawning of silver perch was also detected in drift sampling in late November coinciding with a targeted within-channel enviro</w:t>
      </w:r>
      <w:r w:rsidRPr="008A01AD">
        <w:rPr>
          <w:rFonts w:hint="eastAsia"/>
          <w:lang w:eastAsia="en-AU"/>
        </w:rPr>
        <w:t xml:space="preserve">nmental flow pulse. </w:t>
      </w:r>
      <w:proofErr w:type="gramStart"/>
      <w:r w:rsidRPr="008A01AD">
        <w:rPr>
          <w:rFonts w:hint="eastAsia"/>
          <w:lang w:eastAsia="en-AU"/>
        </w:rPr>
        <w:t>Similar to</w:t>
      </w:r>
      <w:proofErr w:type="gramEnd"/>
      <w:r w:rsidRPr="008A01AD">
        <w:rPr>
          <w:rFonts w:hint="eastAsia"/>
          <w:lang w:eastAsia="en-AU"/>
        </w:rPr>
        <w:t xml:space="preserve"> golden perch, spawning of silver perch in the Goulburn River appears dependent on elevated flows in late spring-summer coupled with appropriate water temperature (</w:t>
      </w:r>
      <w:r w:rsidRPr="008A01AD">
        <w:rPr>
          <w:lang w:eastAsia="en-AU"/>
        </w:rPr>
        <w:t>&gt;</w:t>
      </w:r>
      <w:r w:rsidRPr="008A01AD">
        <w:rPr>
          <w:rFonts w:hint="eastAsia"/>
          <w:lang w:eastAsia="en-AU"/>
        </w:rPr>
        <w:t>~20</w:t>
      </w:r>
      <w:r w:rsidR="00851548" w:rsidRPr="008A01AD">
        <w:rPr>
          <w:lang w:eastAsia="en-AU"/>
        </w:rPr>
        <w:t>°</w:t>
      </w:r>
      <w:r w:rsidRPr="008A01AD">
        <w:rPr>
          <w:rFonts w:hint="eastAsia"/>
          <w:lang w:eastAsia="en-AU"/>
        </w:rPr>
        <w:t>C).</w:t>
      </w:r>
    </w:p>
    <w:bookmarkEnd w:id="527"/>
    <w:p w14:paraId="3B0C3E6B" w14:textId="5FC35454" w:rsidR="00B97F3C" w:rsidRDefault="00B97F3C" w:rsidP="00B97F3C">
      <w:pPr>
        <w:rPr>
          <w:lang w:eastAsia="en-US"/>
        </w:rPr>
      </w:pPr>
    </w:p>
    <w:p w14:paraId="638702F7" w14:textId="64D930EA" w:rsidR="00B97F3C" w:rsidRDefault="00B97F3C" w:rsidP="00B97F3C">
      <w:pPr>
        <w:rPr>
          <w:lang w:eastAsia="en-US"/>
        </w:rPr>
      </w:pPr>
    </w:p>
    <w:p w14:paraId="7B3676F1" w14:textId="77777777" w:rsidR="00B97F3C" w:rsidRPr="00B97F3C" w:rsidRDefault="00B97F3C" w:rsidP="00B97F3C">
      <w:pPr>
        <w:rPr>
          <w:lang w:eastAsia="en-US"/>
        </w:rPr>
      </w:pPr>
    </w:p>
    <w:p w14:paraId="3B7383EF" w14:textId="77777777" w:rsidR="00860DEA" w:rsidRDefault="00860DEA">
      <w:pPr>
        <w:rPr>
          <w:rFonts w:ascii="Georgia" w:eastAsia="SimHei" w:hAnsi="Georgia" w:cs="Times New Roman"/>
          <w:b/>
          <w:color w:val="094183"/>
          <w:sz w:val="32"/>
          <w:szCs w:val="32"/>
          <w:lang w:eastAsia="en-US"/>
        </w:rPr>
      </w:pPr>
      <w:r>
        <w:br w:type="page"/>
      </w:r>
    </w:p>
    <w:p w14:paraId="7CD5A42A" w14:textId="5CD4D2B6" w:rsidR="0073393B" w:rsidRPr="00BA2632" w:rsidRDefault="0073393B" w:rsidP="00272A33">
      <w:pPr>
        <w:pStyle w:val="Heading1"/>
      </w:pPr>
      <w:bookmarkStart w:id="528" w:name="_Ref83737607"/>
      <w:bookmarkStart w:id="529" w:name="_Toc84416116"/>
      <w:bookmarkStart w:id="530" w:name="_Toc84417408"/>
      <w:bookmarkStart w:id="531" w:name="_Toc84475703"/>
      <w:r w:rsidRPr="00BA2632">
        <w:lastRenderedPageBreak/>
        <w:t>Contingency Monitoring</w:t>
      </w:r>
      <w:r w:rsidR="002F1AC1">
        <w:t xml:space="preserve"> – Turf</w:t>
      </w:r>
      <w:r w:rsidR="00272A33">
        <w:t xml:space="preserve"> </w:t>
      </w:r>
      <w:r w:rsidR="002F1AC1">
        <w:t>Mats</w:t>
      </w:r>
      <w:bookmarkEnd w:id="528"/>
      <w:bookmarkEnd w:id="529"/>
      <w:bookmarkEnd w:id="530"/>
      <w:bookmarkEnd w:id="531"/>
    </w:p>
    <w:p w14:paraId="70DC480D" w14:textId="77777777" w:rsidR="00F54F74" w:rsidRPr="00BA2632" w:rsidRDefault="00F54F74" w:rsidP="00F54F74">
      <w:pPr>
        <w:rPr>
          <w:lang w:eastAsia="en-US"/>
        </w:rPr>
      </w:pPr>
      <w:r w:rsidRPr="00BA2632">
        <w:rPr>
          <w:lang w:eastAsia="en-US"/>
        </w:rPr>
        <w:t xml:space="preserve">The main contingency monitoring activity </w:t>
      </w:r>
      <w:r>
        <w:rPr>
          <w:lang w:eastAsia="en-US"/>
        </w:rPr>
        <w:t>across 2019-21</w:t>
      </w:r>
      <w:r w:rsidRPr="00BA2632">
        <w:rPr>
          <w:lang w:eastAsia="en-US"/>
        </w:rPr>
        <w:t xml:space="preserve"> </w:t>
      </w:r>
      <w:r>
        <w:rPr>
          <w:lang w:eastAsia="en-US"/>
        </w:rPr>
        <w:t>has been</w:t>
      </w:r>
      <w:r w:rsidRPr="00BA2632">
        <w:rPr>
          <w:lang w:eastAsia="en-US"/>
        </w:rPr>
        <w:t xml:space="preserve"> the assess</w:t>
      </w:r>
      <w:r>
        <w:rPr>
          <w:lang w:eastAsia="en-US"/>
        </w:rPr>
        <w:t>ment</w:t>
      </w:r>
      <w:r w:rsidRPr="00BA2632">
        <w:rPr>
          <w:lang w:eastAsia="en-US"/>
        </w:rPr>
        <w:t xml:space="preserve"> of sediment and seed deposition under </w:t>
      </w:r>
      <w:r>
        <w:rPr>
          <w:lang w:eastAsia="en-US"/>
        </w:rPr>
        <w:t xml:space="preserve">flows comparing </w:t>
      </w:r>
      <w:r w:rsidRPr="00BA2632">
        <w:rPr>
          <w:lang w:eastAsia="en-US"/>
        </w:rPr>
        <w:t xml:space="preserve">CEW and natural high flow events. </w:t>
      </w:r>
      <w:r>
        <w:rPr>
          <w:lang w:eastAsia="en-US"/>
        </w:rPr>
        <w:t>The assessment utilises turf mats, squares of artificial turf affixed on targeted sections of the riverbank, that are inundated by flows. The sediment and seeds are subsequently analysed within the laboratory and linked to characteristics of flow inundation.</w:t>
      </w:r>
      <w:r w:rsidRPr="00BA2632">
        <w:rPr>
          <w:lang w:eastAsia="en-US"/>
        </w:rPr>
        <w:t xml:space="preserve"> The outcomes of the turf mat monitoring are described in more detail below.</w:t>
      </w:r>
    </w:p>
    <w:p w14:paraId="5F228F29" w14:textId="1AE5354A" w:rsidR="00F54F74" w:rsidRPr="00BA2632" w:rsidRDefault="00F54F74" w:rsidP="00F54F74">
      <w:pPr>
        <w:pStyle w:val="Heading2"/>
      </w:pPr>
      <w:bookmarkStart w:id="532" w:name="_Toc51325423"/>
      <w:bookmarkStart w:id="533" w:name="_Toc84416117"/>
      <w:bookmarkStart w:id="534" w:name="_Toc84417409"/>
      <w:bookmarkStart w:id="535" w:name="_Toc84475704"/>
      <w:r w:rsidRPr="00BA2632">
        <w:t>Introduction</w:t>
      </w:r>
      <w:bookmarkEnd w:id="532"/>
      <w:bookmarkEnd w:id="533"/>
      <w:bookmarkEnd w:id="534"/>
      <w:bookmarkEnd w:id="535"/>
    </w:p>
    <w:p w14:paraId="4BDAF1BC" w14:textId="03AE27FF" w:rsidR="00F54F74" w:rsidRDefault="00F54F74" w:rsidP="00F54F74">
      <w:r w:rsidRPr="00BA2632">
        <w:t xml:space="preserve">Maintaining a healthy Goulburn River to support ecological and social values requires ensuring that the system is adequately resilient to changes in flows. Part of this resilience is related to the riverbank condition which can experience erosion and changes in vegetation. An important part of resilience is the recovery of the system, and for riverbanks this includes how a river might </w:t>
      </w:r>
      <w:r>
        <w:t xml:space="preserve">reduce excessive erosion through vegetation coverage. This requires </w:t>
      </w:r>
      <w:r w:rsidRPr="00BA2632">
        <w:t>seed</w:t>
      </w:r>
      <w:r>
        <w:t xml:space="preserve"> deposition</w:t>
      </w:r>
      <w:r w:rsidRPr="00BA2632">
        <w:t xml:space="preserve"> and regenerat</w:t>
      </w:r>
      <w:r>
        <w:t>ion of</w:t>
      </w:r>
      <w:r w:rsidRPr="00BA2632">
        <w:t xml:space="preserve"> bank vegetation following flow</w:t>
      </w:r>
      <w:r>
        <w:t xml:space="preserve"> event</w:t>
      </w:r>
      <w:r w:rsidRPr="00BA2632">
        <w:t>s</w:t>
      </w:r>
      <w:r>
        <w:t>, plus riverbank</w:t>
      </w:r>
      <w:r w:rsidRPr="00BA2632">
        <w:t xml:space="preserve"> repair through sediment drapes. Understanding these sediment and seed dynamics has been the focus of this study which commenced initially in 2018 to </w:t>
      </w:r>
      <w:r>
        <w:t>understand</w:t>
      </w:r>
      <w:r w:rsidRPr="00BA2632">
        <w:t xml:space="preserve"> sediment and seed response to flows for the </w:t>
      </w:r>
      <w:proofErr w:type="gramStart"/>
      <w:r>
        <w:t>Long Term</w:t>
      </w:r>
      <w:proofErr w:type="gramEnd"/>
      <w:r>
        <w:t xml:space="preserve"> Intervention Monitoring (</w:t>
      </w:r>
      <w:r w:rsidRPr="00BA2632">
        <w:t>LTIM</w:t>
      </w:r>
      <w:r>
        <w:t>)</w:t>
      </w:r>
      <w:r w:rsidRPr="00BA2632">
        <w:t xml:space="preserve"> </w:t>
      </w:r>
      <w:r>
        <w:t>P</w:t>
      </w:r>
      <w:r w:rsidRPr="00BA2632">
        <w:t>roject.</w:t>
      </w:r>
      <w:r>
        <w:t xml:space="preserve"> </w:t>
      </w:r>
    </w:p>
    <w:p w14:paraId="29788AF8" w14:textId="77777777" w:rsidR="00F54F74" w:rsidRPr="00BA2632" w:rsidRDefault="00F54F74" w:rsidP="00F54F74">
      <w:r>
        <w:t xml:space="preserve">The sediment and seed monitoring program requires a considerable timeframe for </w:t>
      </w:r>
      <w:proofErr w:type="gramStart"/>
      <w:r>
        <w:t>propagation, before</w:t>
      </w:r>
      <w:proofErr w:type="gramEnd"/>
      <w:r>
        <w:t xml:space="preserve"> data can be provided. This results in a lag to presentation of results. As a result, the seed data in this annual report focusses on findings from turf mat retrievals across the 2019 to early 2020 monitoring periods. </w:t>
      </w:r>
    </w:p>
    <w:p w14:paraId="1078257D" w14:textId="16C14F06" w:rsidR="00F54F74" w:rsidRPr="00BA2632" w:rsidRDefault="00F54F74" w:rsidP="00F54F74">
      <w:pPr>
        <w:pStyle w:val="Heading2"/>
      </w:pPr>
      <w:bookmarkStart w:id="536" w:name="_Toc51325425"/>
      <w:bookmarkStart w:id="537" w:name="_Toc84416118"/>
      <w:bookmarkStart w:id="538" w:name="_Toc84417410"/>
      <w:bookmarkStart w:id="539" w:name="_Toc84475705"/>
      <w:r w:rsidRPr="00BA2632">
        <w:t>Main findings from monitoring program</w:t>
      </w:r>
      <w:bookmarkEnd w:id="536"/>
      <w:bookmarkEnd w:id="537"/>
      <w:bookmarkEnd w:id="538"/>
      <w:bookmarkEnd w:id="539"/>
    </w:p>
    <w:p w14:paraId="6C42D445" w14:textId="77777777" w:rsidR="00F54F74" w:rsidRPr="00DC7481" w:rsidRDefault="00F54F74" w:rsidP="00F54F74">
      <w:pPr>
        <w:rPr>
          <w:b/>
          <w:bCs/>
          <w:i/>
          <w:iCs/>
        </w:rPr>
      </w:pPr>
      <w:r w:rsidRPr="00DC7481">
        <w:rPr>
          <w:b/>
          <w:bCs/>
          <w:i/>
          <w:iCs/>
        </w:rPr>
        <w:t>The main findings from the turf mat monitoring are:</w:t>
      </w:r>
    </w:p>
    <w:p w14:paraId="5AD64D2E" w14:textId="77777777" w:rsidR="00F54F74" w:rsidRDefault="00F54F74" w:rsidP="00DE6E94">
      <w:pPr>
        <w:pStyle w:val="ListParagraph"/>
        <w:numPr>
          <w:ilvl w:val="0"/>
          <w:numId w:val="81"/>
        </w:numPr>
      </w:pPr>
      <w:r>
        <w:t xml:space="preserve">In general, greater peak flow height and longer inundation duration results in the deposition of more sediment and greater </w:t>
      </w:r>
      <w:r w:rsidRPr="00BA2632">
        <w:t>seed abundance</w:t>
      </w:r>
      <w:r>
        <w:t xml:space="preserve"> and</w:t>
      </w:r>
      <w:r w:rsidRPr="00BA2632">
        <w:t xml:space="preserve"> </w:t>
      </w:r>
      <w:r>
        <w:t xml:space="preserve">species </w:t>
      </w:r>
      <w:r w:rsidRPr="00BA2632">
        <w:t>richness. Th</w:t>
      </w:r>
      <w:r>
        <w:t>ese results</w:t>
      </w:r>
      <w:r w:rsidRPr="00BA2632">
        <w:t xml:space="preserve"> support the </w:t>
      </w:r>
      <w:r>
        <w:t>role</w:t>
      </w:r>
      <w:r w:rsidRPr="00BA2632">
        <w:t xml:space="preserve"> for </w:t>
      </w:r>
      <w:r>
        <w:t xml:space="preserve">greater magnitude and longer duration </w:t>
      </w:r>
      <w:r w:rsidRPr="00BA2632">
        <w:t xml:space="preserve">freshes to support </w:t>
      </w:r>
      <w:r>
        <w:t xml:space="preserve">the </w:t>
      </w:r>
      <w:r w:rsidRPr="00BA2632">
        <w:t>recovery of banks affected by IVT flows.</w:t>
      </w:r>
      <w:r>
        <w:t xml:space="preserve"> </w:t>
      </w:r>
    </w:p>
    <w:p w14:paraId="6A5BD020" w14:textId="77777777" w:rsidR="00F54F74" w:rsidRDefault="00F54F74" w:rsidP="00DE6E94">
      <w:pPr>
        <w:pStyle w:val="ListParagraph"/>
        <w:numPr>
          <w:ilvl w:val="0"/>
          <w:numId w:val="81"/>
        </w:numPr>
      </w:pPr>
      <w:r>
        <w:t xml:space="preserve">Increased sediment mass (deposition) is linked to increased seed abundance. Seed diversity, however, is not always related. This depends on the location of the habitat feature. Relative to riverbanks, bars attracted more diversity in seeds in </w:t>
      </w:r>
      <w:proofErr w:type="gramStart"/>
      <w:r>
        <w:t>the majority of</w:t>
      </w:r>
      <w:proofErr w:type="gramEnd"/>
      <w:r>
        <w:t xml:space="preserve"> cases, and benches in some isolated cases.</w:t>
      </w:r>
    </w:p>
    <w:p w14:paraId="5F4C4379" w14:textId="77777777" w:rsidR="00F54F74" w:rsidRPr="00BA2632" w:rsidRDefault="00F54F74" w:rsidP="00DE6E94">
      <w:pPr>
        <w:pStyle w:val="ListParagraph"/>
        <w:numPr>
          <w:ilvl w:val="0"/>
          <w:numId w:val="81"/>
        </w:numPr>
      </w:pPr>
      <w:r>
        <w:t>The deposition on bars and benches</w:t>
      </w:r>
      <w:r w:rsidRPr="00BA2632">
        <w:t xml:space="preserve"> highlights the </w:t>
      </w:r>
      <w:r>
        <w:t>important role of</w:t>
      </w:r>
      <w:r w:rsidRPr="00BA2632">
        <w:t xml:space="preserve"> shallow profile </w:t>
      </w:r>
      <w:r>
        <w:t>features</w:t>
      </w:r>
      <w:r w:rsidRPr="00BA2632">
        <w:t xml:space="preserve"> on lower banks </w:t>
      </w:r>
      <w:r>
        <w:t>for vegetation recruitment</w:t>
      </w:r>
      <w:r w:rsidRPr="00BA2632">
        <w:t>.</w:t>
      </w:r>
    </w:p>
    <w:p w14:paraId="0BC56FB9" w14:textId="5A65B613" w:rsidR="00F54F74" w:rsidRPr="00BA2632" w:rsidRDefault="00F54F74" w:rsidP="00DE6E94">
      <w:pPr>
        <w:pStyle w:val="ListParagraph"/>
        <w:numPr>
          <w:ilvl w:val="0"/>
          <w:numId w:val="81"/>
        </w:numPr>
      </w:pPr>
      <w:r>
        <w:t>Tributary flow contributions (sediment and seeds) are difficult to discern from event size. The role that tributary flow percentage made could not be isolated from the influence of increased flow magnitude (</w:t>
      </w:r>
      <w:proofErr w:type="gramStart"/>
      <w:r>
        <w:t>i.e.</w:t>
      </w:r>
      <w:proofErr w:type="gramEnd"/>
      <w:r>
        <w:t xml:space="preserve"> when tributaries were flowing the event contributions from storages were also larger). This analysis will be more robust with the analysis of all retrievals (R5 – R9) at the end of the full study period. It also highlights the importance of providing a variety of </w:t>
      </w:r>
      <w:r w:rsidR="00160838">
        <w:t xml:space="preserve">sources </w:t>
      </w:r>
      <w:r>
        <w:t>flow (</w:t>
      </w:r>
      <w:proofErr w:type="gramStart"/>
      <w:r>
        <w:t>i.e.</w:t>
      </w:r>
      <w:proofErr w:type="gramEnd"/>
      <w:r>
        <w:t xml:space="preserve"> </w:t>
      </w:r>
      <w:r w:rsidR="004C1D0C">
        <w:t>including</w:t>
      </w:r>
      <w:r>
        <w:t xml:space="preserve"> tributary inflows without operational contributions).</w:t>
      </w:r>
    </w:p>
    <w:p w14:paraId="305BBBDD" w14:textId="77777777" w:rsidR="00F54F74" w:rsidRDefault="00F54F74" w:rsidP="00DE6E94">
      <w:pPr>
        <w:pStyle w:val="ListParagraph"/>
        <w:numPr>
          <w:ilvl w:val="0"/>
          <w:numId w:val="81"/>
        </w:numPr>
      </w:pPr>
      <w:r>
        <w:t xml:space="preserve">Over 60 plant species were identified in turf mat deposits. </w:t>
      </w:r>
      <w:r w:rsidRPr="00BA2632">
        <w:t>Increased seed taxonomic richness correlate</w:t>
      </w:r>
      <w:r>
        <w:t>d</w:t>
      </w:r>
      <w:r w:rsidRPr="00BA2632">
        <w:t xml:space="preserve"> </w:t>
      </w:r>
      <w:r>
        <w:t xml:space="preserve">well </w:t>
      </w:r>
      <w:r w:rsidRPr="00BA2632">
        <w:t xml:space="preserve">with inundation duration </w:t>
      </w:r>
      <w:r>
        <w:t>and mass of sediment deposited. Thus, longer duration freshes will promote sediment deposits with greater species diversity.</w:t>
      </w:r>
    </w:p>
    <w:p w14:paraId="4A42D4D7" w14:textId="77777777" w:rsidR="00F54F74" w:rsidRPr="00BA2632" w:rsidRDefault="00F54F74" w:rsidP="00DE6E94">
      <w:pPr>
        <w:pStyle w:val="ListParagraph"/>
        <w:numPr>
          <w:ilvl w:val="0"/>
          <w:numId w:val="81"/>
        </w:numPr>
      </w:pPr>
      <w:r>
        <w:t>While more species were typically deposited on b</w:t>
      </w:r>
      <w:r w:rsidRPr="00BA2632">
        <w:t>ar</w:t>
      </w:r>
      <w:r>
        <w:t xml:space="preserve">s, some species were preferentially deposited on higher bank features, such as </w:t>
      </w:r>
      <w:r w:rsidRPr="00003254">
        <w:t>Eucalyptus camaldulensis</w:t>
      </w:r>
      <w:r>
        <w:t xml:space="preserve"> (River Red Gum), and at different times of year. This ‘directed’ dispersal results from different propagule characteristics and </w:t>
      </w:r>
      <w:proofErr w:type="spellStart"/>
      <w:r>
        <w:t>phenologies</w:t>
      </w:r>
      <w:proofErr w:type="spellEnd"/>
      <w:r>
        <w:t xml:space="preserve"> and highlights the importance of </w:t>
      </w:r>
      <w:proofErr w:type="spellStart"/>
      <w:r>
        <w:t>hydrogeomophological</w:t>
      </w:r>
      <w:proofErr w:type="spellEnd"/>
      <w:r>
        <w:t xml:space="preserve"> variability for maintaining diverse riverine vegetation communities.</w:t>
      </w:r>
    </w:p>
    <w:p w14:paraId="00EC27DB" w14:textId="77777777" w:rsidR="00F54F74" w:rsidRPr="00DC7481" w:rsidRDefault="00F54F74" w:rsidP="00F54F74">
      <w:pPr>
        <w:rPr>
          <w:b/>
          <w:bCs/>
          <w:i/>
          <w:iCs/>
          <w:lang w:eastAsia="en-US"/>
        </w:rPr>
      </w:pPr>
      <w:r w:rsidRPr="00DC7481">
        <w:rPr>
          <w:b/>
          <w:bCs/>
          <w:i/>
          <w:iCs/>
          <w:lang w:eastAsia="en-US"/>
        </w:rPr>
        <w:t>Previous turf mat monitoring showed:</w:t>
      </w:r>
    </w:p>
    <w:p w14:paraId="7EC1B7AC" w14:textId="77777777" w:rsidR="00F54F74" w:rsidRPr="00BA2632" w:rsidRDefault="00F54F74" w:rsidP="00DE6E94">
      <w:pPr>
        <w:pStyle w:val="ListParagraph"/>
        <w:numPr>
          <w:ilvl w:val="0"/>
          <w:numId w:val="81"/>
        </w:numPr>
      </w:pPr>
      <w:bookmarkStart w:id="540" w:name="_Hlk51316805"/>
      <w:r w:rsidRPr="00BA2632">
        <w:t>Environmental flows (the winter and spring freshes) provided around half of the sediment and seeds deposited on inundated features at sites in the lower Goulburn River. The environmental flows were the primary contributor of sediment and seeds to riverbanks, providing three-quarters of sediment and seed deposition on banks.</w:t>
      </w:r>
    </w:p>
    <w:p w14:paraId="68B04DC0" w14:textId="77777777" w:rsidR="00F54F74" w:rsidRPr="00BA2632" w:rsidRDefault="00F54F74" w:rsidP="00DE6E94">
      <w:pPr>
        <w:pStyle w:val="ListParagraph"/>
        <w:numPr>
          <w:ilvl w:val="0"/>
          <w:numId w:val="81"/>
        </w:numPr>
      </w:pPr>
      <w:r w:rsidRPr="00BA2632">
        <w:t xml:space="preserve">Deposition has been identified as more prevalent during the colder months. </w:t>
      </w:r>
      <w:r>
        <w:t>T</w:t>
      </w:r>
      <w:r w:rsidRPr="00BA2632">
        <w:t>he 2018</w:t>
      </w:r>
      <w:r>
        <w:t>-</w:t>
      </w:r>
      <w:r w:rsidRPr="00BA2632">
        <w:t>19 finding</w:t>
      </w:r>
      <w:r>
        <w:t>s</w:t>
      </w:r>
      <w:r w:rsidRPr="00BA2632">
        <w:t xml:space="preserve"> reinforced</w:t>
      </w:r>
      <w:r>
        <w:t xml:space="preserve"> this, </w:t>
      </w:r>
      <w:r w:rsidRPr="00BA2632">
        <w:t>highlight</w:t>
      </w:r>
      <w:r>
        <w:t>ing</w:t>
      </w:r>
      <w:r w:rsidRPr="00BA2632">
        <w:t xml:space="preserve"> deposition of sediments on higher bank levels</w:t>
      </w:r>
      <w:r>
        <w:t xml:space="preserve"> being common due to high flows during</w:t>
      </w:r>
      <w:r w:rsidRPr="00BA2632">
        <w:t xml:space="preserve"> winter and spring fresh</w:t>
      </w:r>
      <w:r>
        <w:t>es</w:t>
      </w:r>
      <w:r w:rsidRPr="00BA2632">
        <w:t>. This may be linked to the role of tributary flows, though this hypothesis needs to be verified.</w:t>
      </w:r>
    </w:p>
    <w:p w14:paraId="27E94811" w14:textId="77777777" w:rsidR="00A277CC" w:rsidRDefault="00A277CC" w:rsidP="00F54F74">
      <w:pPr>
        <w:rPr>
          <w:b/>
          <w:bCs/>
          <w:i/>
          <w:lang w:eastAsia="en-US"/>
        </w:rPr>
      </w:pPr>
    </w:p>
    <w:p w14:paraId="4EA3A554" w14:textId="53095406" w:rsidR="00F54F74" w:rsidRPr="00DC7481" w:rsidRDefault="00F54F74" w:rsidP="00F54F74">
      <w:pPr>
        <w:rPr>
          <w:i/>
          <w:lang w:eastAsia="en-US"/>
        </w:rPr>
      </w:pPr>
      <w:r w:rsidRPr="00DC7481">
        <w:rPr>
          <w:b/>
          <w:bCs/>
          <w:i/>
          <w:lang w:eastAsia="en-US"/>
        </w:rPr>
        <w:lastRenderedPageBreak/>
        <w:t>Implications for new findings/investigation:</w:t>
      </w:r>
    </w:p>
    <w:p w14:paraId="770A548A" w14:textId="591762A5" w:rsidR="00F54F74" w:rsidRDefault="00F54F74" w:rsidP="00DE6E94">
      <w:pPr>
        <w:pStyle w:val="ListParagraph"/>
        <w:numPr>
          <w:ilvl w:val="0"/>
          <w:numId w:val="81"/>
        </w:numPr>
      </w:pPr>
      <w:r>
        <w:t>There is a direct link between flow magnitude (in addition to duration) between seed abundance and richness</w:t>
      </w:r>
      <w:r w:rsidR="00A277CC">
        <w:t>.</w:t>
      </w:r>
    </w:p>
    <w:p w14:paraId="625A27D8" w14:textId="77777777" w:rsidR="00F54F74" w:rsidRDefault="00F54F74" w:rsidP="00DE6E94">
      <w:pPr>
        <w:pStyle w:val="ListParagraph"/>
        <w:numPr>
          <w:ilvl w:val="0"/>
          <w:numId w:val="81"/>
        </w:numPr>
      </w:pPr>
      <w:r>
        <w:t>L</w:t>
      </w:r>
      <w:r w:rsidRPr="00003254">
        <w:t>onger inundation generally increases the diversity of propagules (both floating and non-floating), particularly for the important lower bank.</w:t>
      </w:r>
    </w:p>
    <w:p w14:paraId="37B77118" w14:textId="77777777" w:rsidR="00F54F74" w:rsidRDefault="00F54F74" w:rsidP="00DE6E94">
      <w:pPr>
        <w:pStyle w:val="ListParagraph"/>
        <w:numPr>
          <w:ilvl w:val="0"/>
          <w:numId w:val="81"/>
        </w:numPr>
      </w:pPr>
      <w:r>
        <w:t xml:space="preserve">The role that </w:t>
      </w:r>
      <w:proofErr w:type="gramStart"/>
      <w:r w:rsidRPr="00B70C0A">
        <w:t>dry</w:t>
      </w:r>
      <w:proofErr w:type="gramEnd"/>
      <w:r w:rsidRPr="00B70C0A">
        <w:t xml:space="preserve"> period</w:t>
      </w:r>
      <w:r>
        <w:t>s play, in both propagation and sediment consolidation, at this stage is unclear.</w:t>
      </w:r>
    </w:p>
    <w:p w14:paraId="137A8794" w14:textId="3DB0A8E8" w:rsidR="00F54F74" w:rsidRDefault="00F54F74" w:rsidP="00DE6E94">
      <w:pPr>
        <w:pStyle w:val="ListParagraph"/>
        <w:numPr>
          <w:ilvl w:val="0"/>
          <w:numId w:val="81"/>
        </w:numPr>
      </w:pPr>
      <w:r>
        <w:t>The data suggest that increased tributary flow proportion is leading to increased seed abundance and richness, but additional datasets are needed to confirm this hypothesis.</w:t>
      </w:r>
    </w:p>
    <w:p w14:paraId="5EAFF4C8" w14:textId="77777777" w:rsidR="00F54F74" w:rsidRDefault="00F54F74" w:rsidP="00DE6E94">
      <w:pPr>
        <w:pStyle w:val="ListParagraph"/>
        <w:numPr>
          <w:ilvl w:val="0"/>
          <w:numId w:val="81"/>
        </w:numPr>
      </w:pPr>
      <w:r>
        <w:t>Bars in general are attracting a higher diversity of seeds (more richness), correlated with</w:t>
      </w:r>
      <w:r w:rsidRPr="00003254">
        <w:t xml:space="preserve"> common species with buoyant seeds </w:t>
      </w:r>
      <w:r w:rsidRPr="00BA2632">
        <w:t>(</w:t>
      </w:r>
      <w:proofErr w:type="gramStart"/>
      <w:r w:rsidRPr="00BA2632">
        <w:t>e.g.</w:t>
      </w:r>
      <w:proofErr w:type="gramEnd"/>
      <w:r w:rsidRPr="00BA2632">
        <w:t xml:space="preserve"> </w:t>
      </w:r>
      <w:r w:rsidRPr="00A277CC">
        <w:rPr>
          <w:i/>
          <w:iCs/>
        </w:rPr>
        <w:t>Cyperus</w:t>
      </w:r>
      <w:r w:rsidRPr="00BA2632">
        <w:t xml:space="preserve"> and </w:t>
      </w:r>
      <w:r w:rsidRPr="00A277CC">
        <w:rPr>
          <w:i/>
          <w:iCs/>
        </w:rPr>
        <w:t>Juncus</w:t>
      </w:r>
      <w:r w:rsidRPr="00BA2632">
        <w:t xml:space="preserve"> spp.)</w:t>
      </w:r>
      <w:r>
        <w:t>, suggesting that channel complexity (in an otherwise homogenous channel) is important.</w:t>
      </w:r>
    </w:p>
    <w:p w14:paraId="1F4E8974" w14:textId="77777777" w:rsidR="00F54F74" w:rsidRDefault="00F54F74" w:rsidP="00DE6E94">
      <w:pPr>
        <w:pStyle w:val="ListParagraph"/>
        <w:numPr>
          <w:ilvl w:val="0"/>
          <w:numId w:val="81"/>
        </w:numPr>
      </w:pPr>
      <w:r>
        <w:t>Some anomalies exist and highlight external factors. For example, the Loch Garry bench habitat feature appears to be influenced by other factors (isolated tributary flows or overhanging trees perhaps) as seed abundance and richness increased with diminishing flow duration and magnitude.</w:t>
      </w:r>
    </w:p>
    <w:p w14:paraId="22FBF717" w14:textId="6518E544" w:rsidR="00F54F74" w:rsidRPr="00BA2632" w:rsidRDefault="00F54F74" w:rsidP="00DE6E94">
      <w:pPr>
        <w:pStyle w:val="ListParagraph"/>
        <w:numPr>
          <w:ilvl w:val="0"/>
          <w:numId w:val="81"/>
        </w:numPr>
      </w:pPr>
      <w:r>
        <w:t xml:space="preserve">There was a significant reduction in </w:t>
      </w:r>
      <w:r w:rsidR="00A277CC">
        <w:t>r</w:t>
      </w:r>
      <w:r>
        <w:t xml:space="preserve">iver </w:t>
      </w:r>
      <w:r w:rsidR="00A277CC">
        <w:t>r</w:t>
      </w:r>
      <w:r>
        <w:t>ed</w:t>
      </w:r>
      <w:r w:rsidR="00A277CC">
        <w:t xml:space="preserve"> </w:t>
      </w:r>
      <w:r>
        <w:t>gum seeds present in response to the 2020 spring fresh versus prior freshes. This will be monitored over the coming events.</w:t>
      </w:r>
    </w:p>
    <w:p w14:paraId="20610762" w14:textId="5B2F77C5" w:rsidR="00F54F74" w:rsidRDefault="00F54F74" w:rsidP="00F54F74">
      <w:pPr>
        <w:pStyle w:val="Caption"/>
        <w:keepNext/>
      </w:pPr>
      <w:bookmarkStart w:id="541" w:name="_Toc95391491"/>
      <w:bookmarkEnd w:id="540"/>
      <w:r>
        <w:t xml:space="preserve">Table </w:t>
      </w:r>
      <w:r w:rsidR="000B75AF">
        <w:rPr>
          <w:noProof/>
        </w:rPr>
        <w:t>9</w:t>
      </w:r>
      <w:r w:rsidR="000B75AF">
        <w:noBreakHyphen/>
      </w:r>
      <w:r w:rsidR="000B75AF">
        <w:rPr>
          <w:noProof/>
        </w:rPr>
        <w:t>1</w:t>
      </w:r>
      <w:r>
        <w:t xml:space="preserve"> </w:t>
      </w:r>
      <w:r w:rsidRPr="007850B3">
        <w:t>Summary of physical habitat findings relevant to evaluation questions.</w:t>
      </w:r>
      <w:bookmarkEnd w:id="541"/>
    </w:p>
    <w:tbl>
      <w:tblPr>
        <w:tblW w:w="997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tblCellMar>
        <w:tblLook w:val="04A0" w:firstRow="1" w:lastRow="0" w:firstColumn="1" w:lastColumn="0" w:noHBand="0" w:noVBand="1"/>
      </w:tblPr>
      <w:tblGrid>
        <w:gridCol w:w="1361"/>
        <w:gridCol w:w="1985"/>
        <w:gridCol w:w="4361"/>
        <w:gridCol w:w="2268"/>
      </w:tblGrid>
      <w:tr w:rsidR="00F54F74" w:rsidRPr="00BA2632" w14:paraId="79548D25" w14:textId="77777777" w:rsidTr="00CA0144">
        <w:trPr>
          <w:tblHeader/>
          <w:jc w:val="center"/>
        </w:trPr>
        <w:tc>
          <w:tcPr>
            <w:tcW w:w="1361" w:type="dxa"/>
            <w:tcBorders>
              <w:top w:val="single" w:sz="4" w:space="0" w:color="808080"/>
              <w:left w:val="single" w:sz="4" w:space="0" w:color="808080"/>
              <w:bottom w:val="single" w:sz="4" w:space="0" w:color="808080"/>
              <w:right w:val="single" w:sz="4" w:space="0" w:color="FFFFFF" w:themeColor="background1"/>
            </w:tcBorders>
            <w:shd w:val="clear" w:color="auto" w:fill="00338D"/>
            <w:hideMark/>
          </w:tcPr>
          <w:p w14:paraId="4564FDBD" w14:textId="77777777" w:rsidR="00F54F74" w:rsidRPr="00BA2632" w:rsidRDefault="00F54F74" w:rsidP="00E26D3C">
            <w:pPr>
              <w:rPr>
                <w:rFonts w:cstheme="minorHAnsi"/>
                <w:b/>
                <w:bCs/>
                <w:color w:val="FFFFFF"/>
                <w:sz w:val="18"/>
                <w:szCs w:val="18"/>
              </w:rPr>
            </w:pPr>
            <w:r w:rsidRPr="00BA2632">
              <w:rPr>
                <w:rFonts w:cstheme="minorHAnsi"/>
                <w:b/>
                <w:bCs/>
                <w:color w:val="FFFFFF"/>
                <w:sz w:val="18"/>
                <w:szCs w:val="18"/>
              </w:rPr>
              <w:t>Question</w:t>
            </w:r>
          </w:p>
        </w:tc>
        <w:tc>
          <w:tcPr>
            <w:tcW w:w="1985" w:type="dxa"/>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hideMark/>
          </w:tcPr>
          <w:p w14:paraId="4E670BE8" w14:textId="77777777" w:rsidR="00F54F74" w:rsidRPr="00BA2632" w:rsidRDefault="00F54F74" w:rsidP="00E26D3C">
            <w:pPr>
              <w:rPr>
                <w:rFonts w:cstheme="minorHAnsi"/>
                <w:b/>
                <w:bCs/>
                <w:color w:val="FFFFFF"/>
                <w:sz w:val="18"/>
                <w:szCs w:val="18"/>
              </w:rPr>
            </w:pPr>
            <w:r w:rsidRPr="00BA2632">
              <w:rPr>
                <w:rFonts w:cstheme="minorHAnsi"/>
                <w:b/>
                <w:bCs/>
                <w:color w:val="FFFFFF"/>
                <w:sz w:val="18"/>
                <w:szCs w:val="18"/>
              </w:rPr>
              <w:t>Were appropriate flows provided?</w:t>
            </w:r>
          </w:p>
        </w:tc>
        <w:tc>
          <w:tcPr>
            <w:tcW w:w="4361" w:type="dxa"/>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hideMark/>
          </w:tcPr>
          <w:p w14:paraId="6240B1B9" w14:textId="77777777" w:rsidR="00F54F74" w:rsidRPr="00BA2632" w:rsidRDefault="00F54F74" w:rsidP="00E26D3C">
            <w:pPr>
              <w:rPr>
                <w:rFonts w:cstheme="minorHAnsi"/>
                <w:b/>
                <w:bCs/>
                <w:color w:val="FFFFFF"/>
                <w:sz w:val="18"/>
                <w:szCs w:val="18"/>
              </w:rPr>
            </w:pPr>
            <w:r w:rsidRPr="00BA2632">
              <w:rPr>
                <w:rFonts w:cstheme="minorHAnsi"/>
                <w:b/>
                <w:bCs/>
                <w:color w:val="FFFFFF"/>
                <w:sz w:val="18"/>
                <w:szCs w:val="18"/>
              </w:rPr>
              <w:t>Effect of environmental flows</w:t>
            </w:r>
          </w:p>
        </w:tc>
        <w:tc>
          <w:tcPr>
            <w:tcW w:w="2268" w:type="dxa"/>
            <w:tcBorders>
              <w:top w:val="single" w:sz="4" w:space="0" w:color="808080"/>
              <w:left w:val="single" w:sz="4" w:space="0" w:color="FFFFFF" w:themeColor="background1"/>
              <w:bottom w:val="single" w:sz="4" w:space="0" w:color="808080"/>
              <w:right w:val="single" w:sz="4" w:space="0" w:color="808080"/>
            </w:tcBorders>
            <w:shd w:val="clear" w:color="auto" w:fill="00338D"/>
            <w:hideMark/>
          </w:tcPr>
          <w:p w14:paraId="66EEFC5E" w14:textId="77777777" w:rsidR="00F54F74" w:rsidRPr="00BA2632" w:rsidRDefault="00F54F74" w:rsidP="00E26D3C">
            <w:pPr>
              <w:rPr>
                <w:rFonts w:cstheme="minorHAnsi"/>
                <w:b/>
                <w:bCs/>
                <w:color w:val="FFFFFF"/>
                <w:sz w:val="18"/>
                <w:szCs w:val="18"/>
              </w:rPr>
            </w:pPr>
            <w:r w:rsidRPr="00BA2632">
              <w:rPr>
                <w:rFonts w:cstheme="minorHAnsi"/>
                <w:b/>
                <w:bCs/>
                <w:color w:val="FFFFFF"/>
                <w:sz w:val="18"/>
                <w:szCs w:val="18"/>
              </w:rPr>
              <w:t>What information was the evaluation based on?</w:t>
            </w:r>
          </w:p>
        </w:tc>
      </w:tr>
      <w:tr w:rsidR="00F54F74" w:rsidRPr="00BA2632" w14:paraId="50726EB1" w14:textId="77777777" w:rsidTr="00CA0144">
        <w:trPr>
          <w:jc w:val="center"/>
        </w:trPr>
        <w:tc>
          <w:tcPr>
            <w:tcW w:w="1361" w:type="dxa"/>
            <w:tcBorders>
              <w:top w:val="single" w:sz="4" w:space="0" w:color="808080"/>
              <w:left w:val="single" w:sz="4" w:space="0" w:color="808080"/>
              <w:bottom w:val="single" w:sz="4" w:space="0" w:color="808080"/>
              <w:right w:val="single" w:sz="4" w:space="0" w:color="808080"/>
            </w:tcBorders>
            <w:shd w:val="clear" w:color="auto" w:fill="FFFFFF" w:themeFill="background2"/>
            <w:hideMark/>
          </w:tcPr>
          <w:p w14:paraId="3BB7ACF8" w14:textId="77777777" w:rsidR="00F54F74" w:rsidRPr="00BA2632" w:rsidRDefault="00F54F74" w:rsidP="00E26D3C">
            <w:pPr>
              <w:pStyle w:val="Tablesmalltext"/>
              <w:jc w:val="left"/>
              <w:rPr>
                <w:rFonts w:asciiTheme="minorHAnsi" w:hAnsiTheme="minorHAnsi" w:cstheme="minorHAnsi"/>
                <w:b/>
                <w:bCs/>
                <w:sz w:val="18"/>
                <w:szCs w:val="18"/>
              </w:rPr>
            </w:pPr>
            <w:r w:rsidRPr="00BA2632">
              <w:rPr>
                <w:rFonts w:asciiTheme="minorHAnsi" w:hAnsiTheme="minorHAnsi" w:cstheme="minorHAnsi"/>
                <w:b/>
                <w:bCs/>
                <w:sz w:val="18"/>
                <w:szCs w:val="18"/>
              </w:rPr>
              <w:t>What did CEW contribute to riverbank sediment and seeds?</w:t>
            </w:r>
          </w:p>
        </w:tc>
        <w:tc>
          <w:tcPr>
            <w:tcW w:w="1985" w:type="dxa"/>
            <w:tcBorders>
              <w:top w:val="single" w:sz="4" w:space="0" w:color="808080"/>
              <w:left w:val="single" w:sz="4" w:space="0" w:color="808080"/>
              <w:bottom w:val="single" w:sz="4" w:space="0" w:color="808080"/>
              <w:right w:val="single" w:sz="4" w:space="0" w:color="808080"/>
            </w:tcBorders>
            <w:shd w:val="clear" w:color="auto" w:fill="FFFFFF" w:themeFill="background2"/>
            <w:hideMark/>
          </w:tcPr>
          <w:p w14:paraId="1073688F" w14:textId="28B22BB2" w:rsidR="00F54F74" w:rsidRPr="00BA2632" w:rsidRDefault="00F54F74" w:rsidP="00E26D3C">
            <w:pPr>
              <w:pStyle w:val="Tablesmalltext"/>
              <w:jc w:val="left"/>
              <w:rPr>
                <w:rFonts w:asciiTheme="minorHAnsi" w:hAnsiTheme="minorHAnsi"/>
                <w:sz w:val="18"/>
                <w:szCs w:val="18"/>
              </w:rPr>
            </w:pPr>
            <w:r>
              <w:rPr>
                <w:rFonts w:asciiTheme="minorHAnsi" w:hAnsiTheme="minorHAnsi"/>
                <w:sz w:val="18"/>
                <w:szCs w:val="18"/>
              </w:rPr>
              <w:t>Varied. All</w:t>
            </w:r>
            <w:r w:rsidRPr="00BA2632">
              <w:rPr>
                <w:rFonts w:asciiTheme="minorHAnsi" w:hAnsiTheme="minorHAnsi"/>
                <w:sz w:val="18"/>
                <w:szCs w:val="18"/>
              </w:rPr>
              <w:t xml:space="preserve"> </w:t>
            </w:r>
            <w:r>
              <w:rPr>
                <w:rFonts w:asciiTheme="minorHAnsi" w:hAnsiTheme="minorHAnsi"/>
                <w:sz w:val="18"/>
                <w:szCs w:val="18"/>
              </w:rPr>
              <w:t>f</w:t>
            </w:r>
            <w:r w:rsidRPr="00BA2632">
              <w:rPr>
                <w:rFonts w:asciiTheme="minorHAnsi" w:hAnsiTheme="minorHAnsi"/>
                <w:sz w:val="18"/>
                <w:szCs w:val="18"/>
              </w:rPr>
              <w:t>resh</w:t>
            </w:r>
            <w:r>
              <w:rPr>
                <w:rFonts w:asciiTheme="minorHAnsi" w:hAnsiTheme="minorHAnsi"/>
                <w:sz w:val="18"/>
                <w:szCs w:val="18"/>
              </w:rPr>
              <w:t>es</w:t>
            </w:r>
            <w:r w:rsidRPr="00BA2632">
              <w:rPr>
                <w:rFonts w:asciiTheme="minorHAnsi" w:hAnsiTheme="minorHAnsi"/>
                <w:sz w:val="18"/>
                <w:szCs w:val="18"/>
              </w:rPr>
              <w:t xml:space="preserve"> provided sediment and seeds, with bank and bench vegetation being best served by winter and spring freshes</w:t>
            </w:r>
            <w:r>
              <w:rPr>
                <w:rFonts w:asciiTheme="minorHAnsi" w:hAnsiTheme="minorHAnsi"/>
                <w:sz w:val="18"/>
                <w:szCs w:val="18"/>
              </w:rPr>
              <w:t xml:space="preserve"> with high peak flow volumes</w:t>
            </w:r>
            <w:r w:rsidRPr="00BA2632">
              <w:rPr>
                <w:rFonts w:asciiTheme="minorHAnsi" w:hAnsiTheme="minorHAnsi"/>
                <w:sz w:val="18"/>
                <w:szCs w:val="18"/>
              </w:rPr>
              <w:t>.</w:t>
            </w:r>
            <w:r>
              <w:rPr>
                <w:rFonts w:asciiTheme="minorHAnsi" w:hAnsiTheme="minorHAnsi"/>
                <w:sz w:val="18"/>
                <w:szCs w:val="18"/>
              </w:rPr>
              <w:t xml:space="preserve"> The lower magnitude flow during the 2020 spring fresh reduced the abundance and richness of sediment and seeds; this flow could have been larger ideally for this purpose.</w:t>
            </w:r>
          </w:p>
        </w:tc>
        <w:tc>
          <w:tcPr>
            <w:tcW w:w="4361" w:type="dxa"/>
            <w:tcBorders>
              <w:top w:val="single" w:sz="4" w:space="0" w:color="808080"/>
              <w:left w:val="single" w:sz="4" w:space="0" w:color="808080"/>
              <w:bottom w:val="single" w:sz="4" w:space="0" w:color="808080"/>
              <w:right w:val="single" w:sz="4" w:space="0" w:color="808080"/>
            </w:tcBorders>
            <w:shd w:val="clear" w:color="auto" w:fill="FFFFFF" w:themeFill="background2"/>
            <w:hideMark/>
          </w:tcPr>
          <w:p w14:paraId="367EEDD9" w14:textId="0B6B5CC7" w:rsidR="00F54F74" w:rsidRPr="00BA2632" w:rsidRDefault="00F54F74" w:rsidP="00E26D3C">
            <w:pPr>
              <w:pStyle w:val="Tablesmalltext"/>
              <w:jc w:val="left"/>
              <w:rPr>
                <w:rFonts w:asciiTheme="minorHAnsi" w:hAnsiTheme="minorHAnsi"/>
                <w:sz w:val="18"/>
                <w:szCs w:val="18"/>
              </w:rPr>
            </w:pPr>
            <w:r w:rsidRPr="00BA2632">
              <w:rPr>
                <w:rFonts w:asciiTheme="minorHAnsi" w:hAnsiTheme="minorHAnsi"/>
                <w:sz w:val="18"/>
                <w:szCs w:val="18"/>
              </w:rPr>
              <w:t xml:space="preserve">For </w:t>
            </w:r>
            <w:r>
              <w:rPr>
                <w:rFonts w:asciiTheme="minorHAnsi" w:hAnsiTheme="minorHAnsi"/>
                <w:sz w:val="18"/>
                <w:szCs w:val="18"/>
              </w:rPr>
              <w:t>all</w:t>
            </w:r>
            <w:r w:rsidRPr="00BA2632">
              <w:rPr>
                <w:rFonts w:asciiTheme="minorHAnsi" w:hAnsiTheme="minorHAnsi"/>
                <w:sz w:val="18"/>
                <w:szCs w:val="18"/>
              </w:rPr>
              <w:t xml:space="preserve"> environmental flows (the winter and spring freshes) there was a strong correlation between inundation duration and</w:t>
            </w:r>
            <w:r>
              <w:rPr>
                <w:rFonts w:asciiTheme="minorHAnsi" w:hAnsiTheme="minorHAnsi"/>
                <w:sz w:val="18"/>
                <w:szCs w:val="18"/>
              </w:rPr>
              <w:t xml:space="preserve"> magnitude of</w:t>
            </w:r>
            <w:r w:rsidRPr="00BA2632">
              <w:rPr>
                <w:rFonts w:asciiTheme="minorHAnsi" w:hAnsiTheme="minorHAnsi"/>
                <w:sz w:val="18"/>
                <w:szCs w:val="18"/>
              </w:rPr>
              <w:t xml:space="preserve"> seed abundance and taxonomic richness at all site</w:t>
            </w:r>
            <w:r>
              <w:rPr>
                <w:rFonts w:asciiTheme="minorHAnsi" w:hAnsiTheme="minorHAnsi"/>
                <w:sz w:val="18"/>
                <w:szCs w:val="18"/>
              </w:rPr>
              <w:t>s</w:t>
            </w:r>
            <w:r w:rsidRPr="00BA2632">
              <w:rPr>
                <w:rFonts w:asciiTheme="minorHAnsi" w:hAnsiTheme="minorHAnsi"/>
                <w:sz w:val="18"/>
                <w:szCs w:val="18"/>
              </w:rPr>
              <w:t xml:space="preserve"> </w:t>
            </w:r>
            <w:r>
              <w:rPr>
                <w:rFonts w:asciiTheme="minorHAnsi" w:hAnsiTheme="minorHAnsi"/>
                <w:sz w:val="18"/>
                <w:szCs w:val="18"/>
              </w:rPr>
              <w:t xml:space="preserve">(the </w:t>
            </w:r>
            <w:r w:rsidRPr="00BA2632">
              <w:rPr>
                <w:rFonts w:asciiTheme="minorHAnsi" w:hAnsiTheme="minorHAnsi"/>
                <w:sz w:val="18"/>
                <w:szCs w:val="18"/>
              </w:rPr>
              <w:t>except</w:t>
            </w:r>
            <w:r>
              <w:rPr>
                <w:rFonts w:asciiTheme="minorHAnsi" w:hAnsiTheme="minorHAnsi"/>
                <w:sz w:val="18"/>
                <w:szCs w:val="18"/>
              </w:rPr>
              <w:t>ion being</w:t>
            </w:r>
            <w:r w:rsidRPr="00BA2632">
              <w:rPr>
                <w:rFonts w:asciiTheme="minorHAnsi" w:hAnsiTheme="minorHAnsi"/>
                <w:sz w:val="18"/>
                <w:szCs w:val="18"/>
              </w:rPr>
              <w:t xml:space="preserve"> </w:t>
            </w:r>
            <w:r>
              <w:rPr>
                <w:rFonts w:asciiTheme="minorHAnsi" w:hAnsiTheme="minorHAnsi"/>
                <w:sz w:val="18"/>
                <w:szCs w:val="18"/>
              </w:rPr>
              <w:t>Loch Garry</w:t>
            </w:r>
            <w:r w:rsidRPr="00BA2632">
              <w:rPr>
                <w:rFonts w:asciiTheme="minorHAnsi" w:hAnsiTheme="minorHAnsi"/>
                <w:sz w:val="18"/>
                <w:szCs w:val="18"/>
              </w:rPr>
              <w:t xml:space="preserve"> where</w:t>
            </w:r>
            <w:r>
              <w:rPr>
                <w:rFonts w:asciiTheme="minorHAnsi" w:hAnsiTheme="minorHAnsi"/>
                <w:sz w:val="18"/>
                <w:szCs w:val="18"/>
              </w:rPr>
              <w:t xml:space="preserve"> the </w:t>
            </w:r>
            <w:r w:rsidRPr="00424F21">
              <w:rPr>
                <w:rFonts w:asciiTheme="minorHAnsi" w:hAnsiTheme="minorHAnsi"/>
                <w:i/>
                <w:iCs/>
                <w:sz w:val="18"/>
                <w:szCs w:val="18"/>
              </w:rPr>
              <w:t>bench</w:t>
            </w:r>
            <w:r>
              <w:rPr>
                <w:rFonts w:asciiTheme="minorHAnsi" w:hAnsiTheme="minorHAnsi"/>
                <w:sz w:val="18"/>
                <w:szCs w:val="18"/>
              </w:rPr>
              <w:t xml:space="preserve"> habitat feature had varying results)</w:t>
            </w:r>
            <w:r w:rsidRPr="00BA2632">
              <w:rPr>
                <w:rFonts w:asciiTheme="minorHAnsi" w:hAnsiTheme="minorHAnsi"/>
                <w:sz w:val="18"/>
                <w:szCs w:val="18"/>
              </w:rPr>
              <w:t>. Inundation duration</w:t>
            </w:r>
            <w:r>
              <w:rPr>
                <w:rFonts w:asciiTheme="minorHAnsi" w:hAnsiTheme="minorHAnsi"/>
                <w:sz w:val="18"/>
                <w:szCs w:val="18"/>
              </w:rPr>
              <w:t>/magnitude</w:t>
            </w:r>
            <w:r w:rsidRPr="00BA2632">
              <w:rPr>
                <w:rFonts w:asciiTheme="minorHAnsi" w:hAnsiTheme="minorHAnsi"/>
                <w:sz w:val="18"/>
                <w:szCs w:val="18"/>
              </w:rPr>
              <w:t xml:space="preserve"> also directly correlated to sediment mass volume across all habitat types and sites monitored. Conversely, maximum dry period, </w:t>
            </w:r>
            <w:r>
              <w:rPr>
                <w:rFonts w:asciiTheme="minorHAnsi" w:hAnsiTheme="minorHAnsi"/>
                <w:sz w:val="18"/>
                <w:szCs w:val="18"/>
              </w:rPr>
              <w:t>showed</w:t>
            </w:r>
            <w:r w:rsidRPr="00BA2632">
              <w:rPr>
                <w:rFonts w:asciiTheme="minorHAnsi" w:hAnsiTheme="minorHAnsi"/>
                <w:sz w:val="18"/>
                <w:szCs w:val="18"/>
              </w:rPr>
              <w:t xml:space="preserve"> </w:t>
            </w:r>
            <w:r>
              <w:rPr>
                <w:rFonts w:asciiTheme="minorHAnsi" w:hAnsiTheme="minorHAnsi"/>
                <w:sz w:val="18"/>
                <w:szCs w:val="18"/>
              </w:rPr>
              <w:t>in</w:t>
            </w:r>
            <w:r w:rsidRPr="00BA2632">
              <w:rPr>
                <w:rFonts w:asciiTheme="minorHAnsi" w:hAnsiTheme="minorHAnsi"/>
                <w:sz w:val="18"/>
                <w:szCs w:val="18"/>
              </w:rPr>
              <w:t>consisten</w:t>
            </w:r>
            <w:r>
              <w:rPr>
                <w:rFonts w:asciiTheme="minorHAnsi" w:hAnsiTheme="minorHAnsi"/>
                <w:sz w:val="18"/>
                <w:szCs w:val="18"/>
              </w:rPr>
              <w:t>cies for seed data but generally a</w:t>
            </w:r>
            <w:r w:rsidRPr="00BA2632">
              <w:rPr>
                <w:rFonts w:asciiTheme="minorHAnsi" w:hAnsiTheme="minorHAnsi"/>
                <w:sz w:val="18"/>
                <w:szCs w:val="18"/>
              </w:rPr>
              <w:t xml:space="preserve"> negative effect on sediment mass. Seed taxonomic diversity was relatively similar across the winter and spring freshes</w:t>
            </w:r>
            <w:r>
              <w:rPr>
                <w:rFonts w:asciiTheme="minorHAnsi" w:hAnsiTheme="minorHAnsi"/>
                <w:sz w:val="18"/>
                <w:szCs w:val="18"/>
              </w:rPr>
              <w:t xml:space="preserve"> of 2019</w:t>
            </w:r>
            <w:r w:rsidRPr="00BA2632">
              <w:rPr>
                <w:rFonts w:asciiTheme="minorHAnsi" w:hAnsiTheme="minorHAnsi"/>
                <w:sz w:val="18"/>
                <w:szCs w:val="18"/>
              </w:rPr>
              <w:t xml:space="preserve"> with 42, and 47 differen</w:t>
            </w:r>
            <w:r w:rsidR="00A87491">
              <w:rPr>
                <w:rFonts w:asciiTheme="minorHAnsi" w:hAnsiTheme="minorHAnsi"/>
                <w:sz w:val="18"/>
                <w:szCs w:val="18"/>
              </w:rPr>
              <w:t>t</w:t>
            </w:r>
            <w:r w:rsidRPr="00BA2632">
              <w:rPr>
                <w:rFonts w:asciiTheme="minorHAnsi" w:hAnsiTheme="minorHAnsi"/>
                <w:sz w:val="18"/>
                <w:szCs w:val="18"/>
              </w:rPr>
              <w:t xml:space="preserve"> species recorded respectively</w:t>
            </w:r>
            <w:r w:rsidR="00A87491">
              <w:rPr>
                <w:rFonts w:asciiTheme="minorHAnsi" w:hAnsiTheme="minorHAnsi"/>
                <w:sz w:val="18"/>
                <w:szCs w:val="18"/>
              </w:rPr>
              <w:t>.</w:t>
            </w:r>
            <w:r>
              <w:rPr>
                <w:rFonts w:asciiTheme="minorHAnsi" w:hAnsiTheme="minorHAnsi"/>
                <w:sz w:val="18"/>
                <w:szCs w:val="18"/>
              </w:rPr>
              <w:t xml:space="preserve"> </w:t>
            </w:r>
            <w:r w:rsidR="00A87491">
              <w:rPr>
                <w:rFonts w:asciiTheme="minorHAnsi" w:hAnsiTheme="minorHAnsi"/>
                <w:sz w:val="18"/>
                <w:szCs w:val="18"/>
              </w:rPr>
              <w:t>T</w:t>
            </w:r>
            <w:r>
              <w:rPr>
                <w:rFonts w:asciiTheme="minorHAnsi" w:hAnsiTheme="minorHAnsi"/>
                <w:sz w:val="18"/>
                <w:szCs w:val="18"/>
              </w:rPr>
              <w:t>his reduced in response to the 2020 Spring fresh, this event however was lower in magnitude (6,000 ML/d vs. 8,000 ML/d) and had a lower tributary flow contribution.</w:t>
            </w:r>
          </w:p>
          <w:p w14:paraId="3E7764A4" w14:textId="77777777" w:rsidR="00F54F74" w:rsidRPr="00BA2632" w:rsidRDefault="00F54F74" w:rsidP="00E26D3C">
            <w:pPr>
              <w:pStyle w:val="Tablesmalltext"/>
              <w:jc w:val="left"/>
              <w:rPr>
                <w:rFonts w:asciiTheme="minorHAnsi" w:hAnsiTheme="minorHAnsi"/>
                <w:sz w:val="18"/>
                <w:szCs w:val="18"/>
              </w:rPr>
            </w:pPr>
            <w:r w:rsidRPr="00BA2632">
              <w:rPr>
                <w:rFonts w:asciiTheme="minorHAnsi" w:hAnsiTheme="minorHAnsi"/>
                <w:sz w:val="18"/>
                <w:szCs w:val="18"/>
              </w:rPr>
              <w:t xml:space="preserve">No comparison of these results relative to IVT flow events was possible due to travel restrictions in place due to COVID-19. </w:t>
            </w:r>
          </w:p>
        </w:tc>
        <w:tc>
          <w:tcPr>
            <w:tcW w:w="2268" w:type="dxa"/>
            <w:tcBorders>
              <w:top w:val="single" w:sz="4" w:space="0" w:color="808080"/>
              <w:left w:val="single" w:sz="4" w:space="0" w:color="808080"/>
              <w:bottom w:val="single" w:sz="4" w:space="0" w:color="808080"/>
              <w:right w:val="single" w:sz="4" w:space="0" w:color="808080"/>
            </w:tcBorders>
            <w:shd w:val="clear" w:color="auto" w:fill="FFFFFF" w:themeFill="background2"/>
            <w:hideMark/>
          </w:tcPr>
          <w:p w14:paraId="055CB402" w14:textId="77777777" w:rsidR="00F54F74" w:rsidRPr="00BA2632" w:rsidRDefault="00F54F74" w:rsidP="00E26D3C">
            <w:pPr>
              <w:pStyle w:val="Tablesmalltext"/>
              <w:keepNext/>
              <w:jc w:val="left"/>
              <w:rPr>
                <w:rFonts w:asciiTheme="minorHAnsi" w:hAnsiTheme="minorHAnsi"/>
                <w:sz w:val="18"/>
                <w:szCs w:val="18"/>
              </w:rPr>
            </w:pPr>
            <w:r w:rsidRPr="00BA2632">
              <w:rPr>
                <w:rFonts w:asciiTheme="minorHAnsi" w:hAnsiTheme="minorHAnsi"/>
                <w:sz w:val="18"/>
                <w:szCs w:val="18"/>
              </w:rPr>
              <w:t>Artificial turf mats and analysis of deposited sediment and seeds under laboratory conditions</w:t>
            </w:r>
          </w:p>
        </w:tc>
      </w:tr>
    </w:tbl>
    <w:p w14:paraId="510D5E75" w14:textId="09B4E625" w:rsidR="00F54F74" w:rsidRPr="00BA2632" w:rsidRDefault="00F54F74" w:rsidP="00F54F74">
      <w:pPr>
        <w:pStyle w:val="Heading2"/>
      </w:pPr>
      <w:bookmarkStart w:id="542" w:name="_Toc84416119"/>
      <w:bookmarkStart w:id="543" w:name="_Toc84417411"/>
      <w:bookmarkStart w:id="544" w:name="_Toc84475706"/>
      <w:r w:rsidRPr="00BA2632">
        <w:t>Methods</w:t>
      </w:r>
      <w:bookmarkStart w:id="545" w:name="_Toc51325426"/>
      <w:bookmarkEnd w:id="542"/>
      <w:bookmarkEnd w:id="543"/>
      <w:bookmarkEnd w:id="544"/>
      <w:r w:rsidRPr="00BA2632">
        <w:t xml:space="preserve"> </w:t>
      </w:r>
      <w:bookmarkEnd w:id="545"/>
    </w:p>
    <w:p w14:paraId="08ED8666" w14:textId="77777777" w:rsidR="00F54F74" w:rsidRPr="00CA0144" w:rsidRDefault="00F54F74" w:rsidP="00F54F74">
      <w:pPr>
        <w:rPr>
          <w:b/>
          <w:i/>
          <w:iCs/>
        </w:rPr>
      </w:pPr>
      <w:r w:rsidRPr="00CA0144">
        <w:rPr>
          <w:b/>
          <w:i/>
          <w:iCs/>
        </w:rPr>
        <w:t xml:space="preserve">Field and laboratory protocol </w:t>
      </w:r>
    </w:p>
    <w:p w14:paraId="1B49AD01" w14:textId="15748A8D" w:rsidR="00F54F74" w:rsidRPr="00BA2632" w:rsidRDefault="00F54F74" w:rsidP="00F54F74">
      <w:r w:rsidRPr="00BA2632">
        <w:t xml:space="preserve">From 2018 onwards, turf mats have been used to quantify sediment transport and propagule assemblages dispersed by flow events in the lower Goulburn River. Small synthetic turf mats (36 x 24cm) </w:t>
      </w:r>
      <w:r>
        <w:t>are</w:t>
      </w:r>
      <w:r w:rsidRPr="00BA2632">
        <w:t xml:space="preserve"> fixed to the banks in groups of four (six during the 2018 monitoring) replicates per feature (</w:t>
      </w:r>
      <w:r w:rsidR="00CC2083" w:rsidRPr="00BA2632">
        <w:t xml:space="preserve">Figure </w:t>
      </w:r>
      <w:r w:rsidR="00CC2083">
        <w:rPr>
          <w:noProof/>
        </w:rPr>
        <w:t>9</w:t>
      </w:r>
      <w:r w:rsidR="00CC2083">
        <w:rPr>
          <w:noProof/>
        </w:rPr>
        <w:noBreakHyphen/>
        <w:t>1</w:t>
      </w:r>
      <w:r w:rsidRPr="00BA2632">
        <w:t xml:space="preserve">). Features were selected to capture a variety of geomorphic forms, including bars, banks, benches, and ledges. Mats were periodically retrieved during periods of low flow with seeds transported directly to the University of Melbourne, Burnley Campus nursery for germination and identification, and sediments assessed in the laboratory for dry mass and sediment size. </w:t>
      </w:r>
    </w:p>
    <w:p w14:paraId="747ED0CF" w14:textId="77777777" w:rsidR="00F54F74" w:rsidRPr="00BA2632" w:rsidRDefault="00F54F74" w:rsidP="00F54F74">
      <w:pPr>
        <w:jc w:val="center"/>
      </w:pPr>
      <w:r w:rsidRPr="00BA2632">
        <w:rPr>
          <w:noProof/>
          <w:lang w:val="en-GB"/>
        </w:rPr>
        <w:lastRenderedPageBreak/>
        <w:drawing>
          <wp:inline distT="0" distB="0" distL="0" distR="0" wp14:anchorId="0BD446FE" wp14:editId="52095C98">
            <wp:extent cx="4114800" cy="3221269"/>
            <wp:effectExtent l="0" t="0" r="0" b="0"/>
            <wp:docPr id="485" name="Picture 485" descr="A picture containing text, person,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A picture containing text, person, different&#10;&#10;Description automatically generated"/>
                    <pic:cNvPicPr/>
                  </pic:nvPicPr>
                  <pic:blipFill>
                    <a:blip r:embed="rId85" cstate="email">
                      <a:extLst>
                        <a:ext uri="{28A0092B-C50C-407E-A947-70E740481C1C}">
                          <a14:useLocalDpi xmlns:a14="http://schemas.microsoft.com/office/drawing/2010/main"/>
                        </a:ext>
                      </a:extLst>
                    </a:blip>
                    <a:stretch>
                      <a:fillRect/>
                    </a:stretch>
                  </pic:blipFill>
                  <pic:spPr>
                    <a:xfrm>
                      <a:off x="0" y="0"/>
                      <a:ext cx="4124459" cy="3228830"/>
                    </a:xfrm>
                    <a:prstGeom prst="rect">
                      <a:avLst/>
                    </a:prstGeom>
                  </pic:spPr>
                </pic:pic>
              </a:graphicData>
            </a:graphic>
          </wp:inline>
        </w:drawing>
      </w:r>
    </w:p>
    <w:p w14:paraId="401D800C" w14:textId="738DA9ED" w:rsidR="00F54F74" w:rsidRPr="00BA2632" w:rsidRDefault="00F54F74" w:rsidP="00F54F74">
      <w:pPr>
        <w:pStyle w:val="Caption"/>
      </w:pPr>
      <w:bookmarkStart w:id="546" w:name="_Ref51585596"/>
      <w:bookmarkStart w:id="547" w:name="_Toc83907782"/>
      <w:bookmarkStart w:id="548" w:name="_Toc84475759"/>
      <w:r w:rsidRPr="00BA2632">
        <w:t xml:space="preserve">Figure </w:t>
      </w:r>
      <w:r w:rsidR="00CC2083">
        <w:rPr>
          <w:noProof/>
        </w:rPr>
        <w:t>9</w:t>
      </w:r>
      <w:r w:rsidR="00B85158">
        <w:noBreakHyphen/>
      </w:r>
      <w:r w:rsidR="00CC2083">
        <w:rPr>
          <w:noProof/>
        </w:rPr>
        <w:t>1</w:t>
      </w:r>
      <w:bookmarkEnd w:id="546"/>
      <w:r w:rsidRPr="00BA2632">
        <w:t xml:space="preserve"> a) Sediment mats on low-level bars prior to inundation, b) mat collection following inundation, c) seedling growth in the nursery following collection, and d) sediment analysis.</w:t>
      </w:r>
      <w:bookmarkEnd w:id="547"/>
      <w:bookmarkEnd w:id="548"/>
    </w:p>
    <w:p w14:paraId="46C62719" w14:textId="77777777" w:rsidR="00F54F74" w:rsidRPr="00CA0144" w:rsidRDefault="00F54F74" w:rsidP="00F54F74">
      <w:pPr>
        <w:rPr>
          <w:b/>
          <w:i/>
          <w:iCs/>
        </w:rPr>
      </w:pPr>
      <w:r w:rsidRPr="00CA0144">
        <w:rPr>
          <w:b/>
          <w:i/>
          <w:iCs/>
        </w:rPr>
        <w:t>Modelling Overview</w:t>
      </w:r>
    </w:p>
    <w:p w14:paraId="3AD6C2A6" w14:textId="77777777" w:rsidR="00F54F74" w:rsidRPr="00BA2632" w:rsidRDefault="00F54F74" w:rsidP="00F54F74">
      <w:pPr>
        <w:rPr>
          <w:rFonts w:cstheme="minorHAnsi"/>
          <w:szCs w:val="20"/>
        </w:rPr>
      </w:pPr>
      <w:r w:rsidRPr="00BA2632">
        <w:rPr>
          <w:rFonts w:cstheme="minorHAnsi"/>
          <w:szCs w:val="20"/>
        </w:rPr>
        <w:t xml:space="preserve">The turf mat monitoring and modelling aims to test the following hypothesis: </w:t>
      </w:r>
    </w:p>
    <w:p w14:paraId="5BF6289A" w14:textId="77777777" w:rsidR="00F54F74" w:rsidRPr="00BA2632" w:rsidRDefault="00F54F74" w:rsidP="00F54F74">
      <w:pPr>
        <w:rPr>
          <w:rFonts w:cstheme="minorHAnsi"/>
          <w:szCs w:val="20"/>
        </w:rPr>
      </w:pPr>
      <w:r w:rsidRPr="00BA2632">
        <w:rPr>
          <w:rFonts w:cstheme="minorHAnsi"/>
          <w:szCs w:val="20"/>
        </w:rPr>
        <w:t>The transport of seeds/sediments in waterway is affected by streamflow, which differ</w:t>
      </w:r>
      <w:r w:rsidRPr="00BA2632">
        <w:rPr>
          <w:rFonts w:cstheme="minorHAnsi"/>
          <w:szCs w:val="20"/>
          <w:lang w:val="en-GB"/>
        </w:rPr>
        <w:t>s</w:t>
      </w:r>
      <w:r w:rsidRPr="00BA2632">
        <w:rPr>
          <w:rFonts w:cstheme="minorHAnsi"/>
          <w:szCs w:val="20"/>
        </w:rPr>
        <w:t xml:space="preserve"> by habitat type (bank, bar, </w:t>
      </w:r>
      <w:proofErr w:type="gramStart"/>
      <w:r w:rsidRPr="00BA2632">
        <w:rPr>
          <w:rFonts w:cstheme="minorHAnsi"/>
          <w:szCs w:val="20"/>
        </w:rPr>
        <w:t>bench</w:t>
      </w:r>
      <w:proofErr w:type="gramEnd"/>
      <w:r w:rsidRPr="00BA2632">
        <w:rPr>
          <w:rFonts w:cstheme="minorHAnsi"/>
          <w:szCs w:val="20"/>
        </w:rPr>
        <w:t xml:space="preserve"> or ledge) and time of the year. The time of year also affects the percentage of tributary contribution to flow at the sampling point. This corresponds to a hierarchical model described as:</w:t>
      </w:r>
    </w:p>
    <w:p w14:paraId="0D809508" w14:textId="52F96317" w:rsidR="00F54F74" w:rsidRPr="00BA2632" w:rsidRDefault="004D2D53" w:rsidP="00F54F74">
      <w:pPr>
        <w:pStyle w:val="Para1narrowarrow"/>
        <w:keepNext/>
        <w:ind w:left="0" w:firstLine="0"/>
        <w:jc w:val="right"/>
        <w:rPr>
          <w:rFonts w:asciiTheme="minorHAnsi" w:hAnsiTheme="minorHAnsi" w:cstheme="minorHAnsi"/>
          <w:szCs w:val="20"/>
        </w:rPr>
      </w:pPr>
      <m:oMath>
        <m:sSub>
          <m:sSubPr>
            <m:ctrlPr>
              <w:rPr>
                <w:rFonts w:ascii="Cambria Math" w:hAnsi="Cambria Math" w:cstheme="minorHAnsi"/>
                <w:i/>
              </w:rPr>
            </m:ctrlPr>
          </m:sSubPr>
          <m:e>
            <m:r>
              <w:rPr>
                <w:rFonts w:ascii="Cambria Math" w:hAnsi="Cambria Math" w:cstheme="minorHAnsi"/>
                <w:szCs w:val="20"/>
              </w:rPr>
              <m:t>y</m:t>
            </m:r>
          </m:e>
          <m:sub>
            <m:r>
              <w:rPr>
                <w:rFonts w:ascii="Cambria Math" w:hAnsi="Cambria Math" w:cstheme="minorHAnsi"/>
                <w:szCs w:val="20"/>
              </w:rPr>
              <m:t>t</m:t>
            </m:r>
          </m:sub>
        </m:sSub>
        <m:r>
          <w:rPr>
            <w:rFonts w:ascii="Cambria Math" w:hAnsi="Cambria Math" w:cstheme="minorHAnsi"/>
            <w:szCs w:val="20"/>
          </w:rPr>
          <m:t xml:space="preserve"> ~ </m:t>
        </m:r>
        <m:r>
          <w:rPr>
            <w:rFonts w:ascii="Cambria Math" w:hAnsi="Cambria Math" w:cstheme="minorHAnsi"/>
            <w:szCs w:val="20"/>
            <w:lang w:eastAsia="zh-CN"/>
          </w:rPr>
          <m:t>Normal</m:t>
        </m:r>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szCs w:val="20"/>
                  </w:rPr>
                  <m:t>mu</m:t>
                </m:r>
              </m:e>
              <m:sub>
                <m:r>
                  <w:rPr>
                    <w:rFonts w:ascii="Cambria Math" w:hAnsi="Cambria Math" w:cstheme="minorHAnsi"/>
                    <w:szCs w:val="20"/>
                  </w:rPr>
                  <m:t>ijs</m:t>
                </m:r>
              </m:sub>
            </m:sSub>
            <m:r>
              <w:rPr>
                <w:rFonts w:ascii="Cambria Math" w:hAnsi="Cambria Math" w:cstheme="minorHAnsi"/>
                <w:szCs w:val="20"/>
              </w:rPr>
              <m:t>, σ</m:t>
            </m:r>
          </m:e>
        </m:d>
      </m:oMath>
      <w:r w:rsidR="00F54F74" w:rsidRPr="00BA2632">
        <w:rPr>
          <w:rFonts w:asciiTheme="minorHAnsi" w:hAnsiTheme="minorHAnsi" w:cstheme="minorHAnsi"/>
          <w:szCs w:val="20"/>
        </w:rPr>
        <w:t xml:space="preserve">                             </w:t>
      </w:r>
      <w:r w:rsidR="009731B6">
        <w:rPr>
          <w:rFonts w:asciiTheme="minorHAnsi" w:hAnsiTheme="minorHAnsi" w:cstheme="minorHAnsi"/>
          <w:szCs w:val="20"/>
        </w:rPr>
        <w:t xml:space="preserve">                               </w:t>
      </w:r>
      <w:r w:rsidR="00F54F74" w:rsidRPr="00BA2632">
        <w:rPr>
          <w:rFonts w:asciiTheme="minorHAnsi" w:hAnsiTheme="minorHAnsi" w:cstheme="minorHAnsi"/>
          <w:szCs w:val="20"/>
        </w:rPr>
        <w:t xml:space="preserve">            Equation </w:t>
      </w:r>
      <w:r w:rsidR="00CA0144">
        <w:rPr>
          <w:rFonts w:asciiTheme="minorHAnsi" w:hAnsiTheme="minorHAnsi" w:cstheme="minorHAnsi"/>
          <w:szCs w:val="20"/>
        </w:rPr>
        <w:t>9-</w:t>
      </w:r>
      <w:r w:rsidR="00F54F74" w:rsidRPr="00BA2632">
        <w:rPr>
          <w:rFonts w:asciiTheme="minorHAnsi" w:hAnsiTheme="minorHAnsi" w:cstheme="minorHAnsi"/>
          <w:szCs w:val="20"/>
        </w:rPr>
        <w:t>1</w:t>
      </w:r>
    </w:p>
    <w:p w14:paraId="18E21BC4" w14:textId="1CF72FFF" w:rsidR="00F54F74" w:rsidRPr="00BA2632" w:rsidRDefault="004D2D53" w:rsidP="00F54F74">
      <w:pPr>
        <w:jc w:val="right"/>
        <w:rPr>
          <w:rFonts w:eastAsia="MS Mincho" w:cstheme="minorHAnsi"/>
          <w:szCs w:val="20"/>
          <w:lang w:val="en-GB" w:eastAsia="en-US"/>
        </w:rPr>
      </w:pPr>
      <m:oMath>
        <m:sSub>
          <m:sSubPr>
            <m:ctrlPr>
              <w:rPr>
                <w:rFonts w:ascii="Cambria Math" w:hAnsi="Cambria Math" w:cstheme="minorHAnsi"/>
                <w:i/>
              </w:rPr>
            </m:ctrlPr>
          </m:sSubPr>
          <m:e>
            <m:r>
              <w:rPr>
                <w:rFonts w:ascii="Cambria Math" w:hAnsi="Cambria Math" w:cstheme="minorHAnsi"/>
                <w:szCs w:val="20"/>
              </w:rPr>
              <m:t>mu</m:t>
            </m:r>
          </m:e>
          <m:sub>
            <m:r>
              <w:rPr>
                <w:rFonts w:ascii="Cambria Math" w:hAnsi="Cambria Math" w:cstheme="minorHAnsi"/>
                <w:szCs w:val="20"/>
              </w:rPr>
              <m:t>ijs</m:t>
            </m:r>
          </m:sub>
        </m:sSub>
        <m:r>
          <w:rPr>
            <w:rFonts w:ascii="Cambria Math" w:hAnsi="Cambria Math" w:cstheme="minorHAnsi"/>
            <w:szCs w:val="20"/>
          </w:rPr>
          <m:t>=int+</m:t>
        </m:r>
        <m:sSub>
          <m:sSubPr>
            <m:ctrlPr>
              <w:rPr>
                <w:rFonts w:ascii="Cambria Math" w:hAnsi="Cambria Math" w:cstheme="minorHAnsi"/>
                <w:i/>
              </w:rPr>
            </m:ctrlPr>
          </m:sSubPr>
          <m:e>
            <m:r>
              <w:rPr>
                <w:rFonts w:ascii="Cambria Math" w:hAnsi="Cambria Math" w:cstheme="minorHAnsi"/>
                <w:szCs w:val="20"/>
              </w:rPr>
              <m:t>eff.Q</m:t>
            </m:r>
          </m:e>
          <m:sub>
            <m:r>
              <w:rPr>
                <w:rFonts w:ascii="Cambria Math" w:hAnsi="Cambria Math" w:cstheme="minorHAnsi"/>
                <w:szCs w:val="20"/>
              </w:rPr>
              <m:t>is</m:t>
            </m:r>
          </m:sub>
        </m:sSub>
        <m:r>
          <w:rPr>
            <w:rFonts w:ascii="Cambria Math" w:hAnsi="Cambria Math" w:cstheme="minorHAnsi"/>
            <w:szCs w:val="20"/>
          </w:rPr>
          <m:t>×</m:t>
        </m:r>
        <m:sSub>
          <m:sSubPr>
            <m:ctrlPr>
              <w:rPr>
                <w:rFonts w:ascii="Cambria Math" w:hAnsi="Cambria Math" w:cstheme="minorHAnsi"/>
                <w:i/>
              </w:rPr>
            </m:ctrlPr>
          </m:sSubPr>
          <m:e>
            <m:r>
              <w:rPr>
                <w:rFonts w:ascii="Cambria Math" w:hAnsi="Cambria Math" w:cstheme="minorHAnsi"/>
                <w:szCs w:val="20"/>
              </w:rPr>
              <m:t>Q</m:t>
            </m:r>
          </m:e>
          <m:sub>
            <m:r>
              <w:rPr>
                <w:rFonts w:ascii="Cambria Math" w:hAnsi="Cambria Math" w:cstheme="minorHAnsi"/>
                <w:szCs w:val="20"/>
              </w:rPr>
              <m:t>ij</m:t>
            </m:r>
          </m:sub>
        </m:sSub>
        <m:r>
          <w:rPr>
            <w:rFonts w:ascii="Cambria Math" w:hAnsi="Cambria Math" w:cstheme="minorHAnsi"/>
            <w:szCs w:val="20"/>
          </w:rPr>
          <m:t xml:space="preserve"> </m:t>
        </m:r>
      </m:oMath>
      <w:r w:rsidR="00F54F74" w:rsidRPr="00BA2632">
        <w:rPr>
          <w:rFonts w:cstheme="minorHAnsi"/>
          <w:szCs w:val="20"/>
        </w:rPr>
        <w:t xml:space="preserve">                      </w:t>
      </w:r>
      <w:r w:rsidR="009731B6">
        <w:rPr>
          <w:rFonts w:cstheme="minorHAnsi"/>
          <w:szCs w:val="20"/>
        </w:rPr>
        <w:t xml:space="preserve">                                 </w:t>
      </w:r>
      <w:r w:rsidR="00F54F74" w:rsidRPr="00BA2632">
        <w:rPr>
          <w:rFonts w:cstheme="minorHAnsi"/>
          <w:szCs w:val="20"/>
        </w:rPr>
        <w:t xml:space="preserve">           </w:t>
      </w:r>
      <w:r w:rsidR="00F54F74" w:rsidRPr="00BA2632">
        <w:rPr>
          <w:rFonts w:eastAsia="MS Mincho" w:cstheme="minorHAnsi"/>
          <w:szCs w:val="20"/>
          <w:lang w:val="en-GB" w:eastAsia="en-US"/>
        </w:rPr>
        <w:t xml:space="preserve">Equation </w:t>
      </w:r>
      <w:r w:rsidR="00CA0144">
        <w:rPr>
          <w:rFonts w:eastAsia="MS Mincho" w:cstheme="minorHAnsi"/>
          <w:szCs w:val="20"/>
          <w:lang w:val="en-GB" w:eastAsia="en-US"/>
        </w:rPr>
        <w:t>9-</w:t>
      </w:r>
      <w:r w:rsidR="00F54F74" w:rsidRPr="00BA2632">
        <w:rPr>
          <w:rFonts w:eastAsia="MS Mincho" w:cstheme="minorHAnsi"/>
          <w:szCs w:val="20"/>
          <w:lang w:val="en-GB" w:eastAsia="en-US"/>
        </w:rPr>
        <w:t>2</w:t>
      </w:r>
    </w:p>
    <w:p w14:paraId="354FE919" w14:textId="229283E6" w:rsidR="00F54F74" w:rsidRPr="00BA2632" w:rsidRDefault="004D2D53" w:rsidP="00F54F74">
      <w:pPr>
        <w:jc w:val="right"/>
        <w:rPr>
          <w:rFonts w:eastAsia="MS Mincho" w:cstheme="minorHAnsi"/>
          <w:szCs w:val="20"/>
        </w:rPr>
      </w:pPr>
      <m:oMath>
        <m:sSub>
          <m:sSubPr>
            <m:ctrlPr>
              <w:rPr>
                <w:rFonts w:ascii="Cambria Math" w:hAnsi="Cambria Math" w:cstheme="minorHAnsi"/>
                <w:i/>
              </w:rPr>
            </m:ctrlPr>
          </m:sSubPr>
          <m:e>
            <m:r>
              <w:rPr>
                <w:rFonts w:ascii="Cambria Math" w:hAnsi="Cambria Math" w:cstheme="minorHAnsi"/>
                <w:szCs w:val="20"/>
              </w:rPr>
              <m:t>eff.Q</m:t>
            </m:r>
          </m:e>
          <m:sub>
            <m:r>
              <w:rPr>
                <w:rFonts w:ascii="Cambria Math" w:hAnsi="Cambria Math" w:cstheme="minorHAnsi"/>
                <w:szCs w:val="20"/>
              </w:rPr>
              <m:t>is</m:t>
            </m:r>
          </m:sub>
        </m:sSub>
        <m:r>
          <w:rPr>
            <w:rFonts w:ascii="Cambria Math" w:hAnsi="Cambria Math" w:cstheme="minorHAnsi"/>
            <w:szCs w:val="20"/>
          </w:rPr>
          <m:t xml:space="preserve"> ~ Normal(</m:t>
        </m:r>
        <m:sSub>
          <m:sSubPr>
            <m:ctrlPr>
              <w:rPr>
                <w:rFonts w:ascii="Cambria Math" w:hAnsi="Cambria Math" w:cstheme="minorHAnsi"/>
                <w:i/>
              </w:rPr>
            </m:ctrlPr>
          </m:sSubPr>
          <m:e>
            <m:r>
              <w:rPr>
                <w:rFonts w:ascii="Cambria Math" w:hAnsi="Cambria Math" w:cstheme="minorHAnsi"/>
                <w:szCs w:val="20"/>
              </w:rPr>
              <m:t>μ_effQ</m:t>
            </m:r>
          </m:e>
          <m:sub>
            <m:r>
              <w:rPr>
                <w:rFonts w:ascii="Cambria Math" w:hAnsi="Cambria Math" w:cstheme="minorHAnsi"/>
                <w:szCs w:val="20"/>
              </w:rPr>
              <m:t>is</m:t>
            </m:r>
          </m:sub>
        </m:sSub>
        <m:r>
          <w:rPr>
            <w:rFonts w:ascii="Cambria Math" w:hAnsi="Cambria Math" w:cstheme="minorHAnsi"/>
            <w:szCs w:val="20"/>
          </w:rPr>
          <m:t>,  σ_effQ)</m:t>
        </m:r>
      </m:oMath>
      <w:r w:rsidR="00F54F74" w:rsidRPr="00BA2632">
        <w:rPr>
          <w:rFonts w:eastAsia="MS Mincho" w:cstheme="minorHAnsi"/>
          <w:szCs w:val="20"/>
        </w:rPr>
        <w:t xml:space="preserve">                  </w:t>
      </w:r>
      <w:r w:rsidR="009731B6">
        <w:rPr>
          <w:rFonts w:eastAsia="MS Mincho" w:cstheme="minorHAnsi"/>
          <w:szCs w:val="20"/>
        </w:rPr>
        <w:t xml:space="preserve">                            </w:t>
      </w:r>
      <w:r w:rsidR="00F54F74" w:rsidRPr="00BA2632">
        <w:rPr>
          <w:rFonts w:eastAsia="MS Mincho" w:cstheme="minorHAnsi"/>
          <w:szCs w:val="20"/>
        </w:rPr>
        <w:t xml:space="preserve">          Equation </w:t>
      </w:r>
      <w:r w:rsidR="00CA0144">
        <w:rPr>
          <w:rFonts w:eastAsia="MS Mincho" w:cstheme="minorHAnsi"/>
          <w:szCs w:val="20"/>
        </w:rPr>
        <w:t>9-</w:t>
      </w:r>
      <w:r w:rsidR="00F54F74" w:rsidRPr="00BA2632">
        <w:rPr>
          <w:rFonts w:eastAsia="MS Mincho" w:cstheme="minorHAnsi"/>
          <w:szCs w:val="20"/>
        </w:rPr>
        <w:t>3</w:t>
      </w:r>
    </w:p>
    <w:p w14:paraId="55AE3514" w14:textId="62CE4BC4" w:rsidR="00F54F74" w:rsidRPr="00BA2632" w:rsidRDefault="004D2D53" w:rsidP="00F54F74">
      <w:pPr>
        <w:jc w:val="right"/>
        <w:rPr>
          <w:rFonts w:eastAsia="MS Mincho" w:cstheme="minorHAnsi"/>
          <w:szCs w:val="20"/>
          <w:lang w:val="en-GB" w:eastAsia="en-US"/>
        </w:rPr>
      </w:pPr>
      <m:oMath>
        <m:sSub>
          <m:sSubPr>
            <m:ctrlPr>
              <w:rPr>
                <w:rFonts w:ascii="Cambria Math" w:hAnsi="Cambria Math" w:cstheme="minorHAnsi"/>
                <w:i/>
              </w:rPr>
            </m:ctrlPr>
          </m:sSubPr>
          <m:e>
            <m:r>
              <w:rPr>
                <w:rFonts w:ascii="Cambria Math" w:hAnsi="Cambria Math" w:cstheme="minorHAnsi"/>
                <w:szCs w:val="20"/>
              </w:rPr>
              <m:t>μ_effQ</m:t>
            </m:r>
          </m:e>
          <m:sub>
            <m:r>
              <w:rPr>
                <w:rFonts w:ascii="Cambria Math" w:hAnsi="Cambria Math" w:cstheme="minorHAnsi"/>
                <w:szCs w:val="20"/>
              </w:rPr>
              <m:t>is</m:t>
            </m:r>
          </m:sub>
        </m:sSub>
        <m:r>
          <w:rPr>
            <w:rFonts w:ascii="Cambria Math" w:hAnsi="Cambria Math" w:cstheme="minorHAnsi"/>
            <w:szCs w:val="20"/>
          </w:rPr>
          <m:t>=in</m:t>
        </m:r>
        <m:sSub>
          <m:sSubPr>
            <m:ctrlPr>
              <w:rPr>
                <w:rFonts w:ascii="Cambria Math" w:hAnsi="Cambria Math" w:cstheme="minorHAnsi"/>
                <w:i/>
              </w:rPr>
            </m:ctrlPr>
          </m:sSubPr>
          <m:e>
            <m:r>
              <w:rPr>
                <w:rFonts w:ascii="Cambria Math" w:hAnsi="Cambria Math" w:cstheme="minorHAnsi"/>
                <w:szCs w:val="20"/>
              </w:rPr>
              <m:t>t</m:t>
            </m:r>
          </m:e>
          <m:sub>
            <m:r>
              <w:rPr>
                <w:rFonts w:ascii="Cambria Math" w:hAnsi="Cambria Math" w:cstheme="minorHAnsi"/>
                <w:szCs w:val="20"/>
              </w:rPr>
              <m:t>effQ</m:t>
            </m:r>
          </m:sub>
        </m:sSub>
        <m:r>
          <w:rPr>
            <w:rFonts w:ascii="Cambria Math" w:hAnsi="Cambria Math" w:cstheme="minorHAnsi"/>
            <w:szCs w:val="20"/>
          </w:rPr>
          <m:t>+eff.trib*</m:t>
        </m:r>
        <m:sSub>
          <m:sSubPr>
            <m:ctrlPr>
              <w:rPr>
                <w:rFonts w:ascii="Cambria Math" w:hAnsi="Cambria Math" w:cstheme="minorHAnsi"/>
                <w:i/>
              </w:rPr>
            </m:ctrlPr>
          </m:sSubPr>
          <m:e>
            <m:r>
              <w:rPr>
                <w:rFonts w:ascii="Cambria Math" w:hAnsi="Cambria Math" w:cstheme="minorHAnsi"/>
                <w:szCs w:val="20"/>
              </w:rPr>
              <m:t>trib</m:t>
            </m:r>
          </m:e>
          <m:sub>
            <m:r>
              <w:rPr>
                <w:rFonts w:ascii="Cambria Math" w:hAnsi="Cambria Math" w:cstheme="minorHAnsi"/>
                <w:szCs w:val="20"/>
              </w:rPr>
              <m:t>i</m:t>
            </m:r>
          </m:sub>
        </m:sSub>
        <m:r>
          <w:rPr>
            <w:rFonts w:ascii="Cambria Math" w:hAnsi="Cambria Math" w:cstheme="minorHAnsi"/>
            <w:szCs w:val="20"/>
          </w:rPr>
          <m:t>+eff.h</m:t>
        </m:r>
        <m:sSub>
          <m:sSubPr>
            <m:ctrlPr>
              <w:rPr>
                <w:rFonts w:ascii="Cambria Math" w:hAnsi="Cambria Math" w:cstheme="minorHAnsi"/>
                <w:i/>
              </w:rPr>
            </m:ctrlPr>
          </m:sSubPr>
          <m:e>
            <m:r>
              <w:rPr>
                <w:rFonts w:ascii="Cambria Math" w:hAnsi="Cambria Math" w:cstheme="minorHAnsi"/>
                <w:szCs w:val="20"/>
              </w:rPr>
              <m:t>abitat</m:t>
            </m:r>
          </m:e>
          <m:sub>
            <m:r>
              <w:rPr>
                <w:rFonts w:ascii="Cambria Math" w:hAnsi="Cambria Math" w:cstheme="minorHAnsi"/>
                <w:szCs w:val="20"/>
              </w:rPr>
              <m:t>s</m:t>
            </m:r>
          </m:sub>
        </m:sSub>
      </m:oMath>
      <w:r w:rsidR="00F54F74" w:rsidRPr="00BA2632">
        <w:rPr>
          <w:rFonts w:cstheme="minorHAnsi"/>
          <w:szCs w:val="20"/>
        </w:rPr>
        <w:t xml:space="preserve">               </w:t>
      </w:r>
      <w:r w:rsidR="009731B6">
        <w:rPr>
          <w:rFonts w:cstheme="minorHAnsi"/>
          <w:szCs w:val="20"/>
        </w:rPr>
        <w:t xml:space="preserve">              </w:t>
      </w:r>
      <w:r w:rsidR="00F54F74" w:rsidRPr="00BA2632">
        <w:rPr>
          <w:rFonts w:cstheme="minorHAnsi"/>
          <w:szCs w:val="20"/>
        </w:rPr>
        <w:t xml:space="preserve">          </w:t>
      </w:r>
      <w:r w:rsidR="00F54F74" w:rsidRPr="00BA2632">
        <w:rPr>
          <w:rFonts w:eastAsia="MS Mincho" w:cstheme="minorHAnsi"/>
          <w:szCs w:val="20"/>
          <w:lang w:val="en-GB" w:eastAsia="en-US"/>
        </w:rPr>
        <w:t xml:space="preserve">Equation </w:t>
      </w:r>
      <w:r w:rsidR="00CA0144">
        <w:rPr>
          <w:rFonts w:eastAsia="MS Mincho" w:cstheme="minorHAnsi"/>
          <w:szCs w:val="20"/>
          <w:lang w:val="en-GB" w:eastAsia="en-US"/>
        </w:rPr>
        <w:t>9-</w:t>
      </w:r>
      <w:r w:rsidR="00F54F74" w:rsidRPr="00BA2632">
        <w:rPr>
          <w:rFonts w:eastAsia="MS Mincho" w:cstheme="minorHAnsi"/>
          <w:szCs w:val="20"/>
          <w:lang w:val="en-GB" w:eastAsia="en-US"/>
        </w:rPr>
        <w:t>4</w:t>
      </w:r>
    </w:p>
    <w:p w14:paraId="173727AB" w14:textId="77777777" w:rsidR="00F54F74" w:rsidRPr="00BA2632" w:rsidRDefault="00F54F74" w:rsidP="00F54F74">
      <w:pPr>
        <w:rPr>
          <w:rFonts w:cstheme="minorHAnsi"/>
          <w:i/>
          <w:szCs w:val="20"/>
        </w:rPr>
      </w:pPr>
      <w:r w:rsidRPr="00BA2632">
        <w:rPr>
          <w:rFonts w:cstheme="minorHAnsi"/>
          <w:szCs w:val="20"/>
        </w:rPr>
        <w:t xml:space="preserve">Where </w:t>
      </w:r>
      <w:proofErr w:type="spellStart"/>
      <w:r w:rsidRPr="00BA2632">
        <w:rPr>
          <w:rFonts w:cstheme="minorHAnsi"/>
          <w:i/>
          <w:szCs w:val="20"/>
        </w:rPr>
        <w:t>i</w:t>
      </w:r>
      <w:proofErr w:type="spellEnd"/>
      <w:r w:rsidRPr="00BA2632">
        <w:rPr>
          <w:rFonts w:cstheme="minorHAnsi"/>
          <w:i/>
          <w:szCs w:val="20"/>
        </w:rPr>
        <w:t xml:space="preserve">, j </w:t>
      </w:r>
      <w:r w:rsidRPr="00BA2632">
        <w:rPr>
          <w:rFonts w:cstheme="minorHAnsi"/>
          <w:szCs w:val="20"/>
        </w:rPr>
        <w:t>and</w:t>
      </w:r>
      <w:r w:rsidRPr="00BA2632">
        <w:rPr>
          <w:rFonts w:cstheme="minorHAnsi"/>
          <w:i/>
          <w:szCs w:val="20"/>
        </w:rPr>
        <w:t xml:space="preserve"> s </w:t>
      </w:r>
      <w:r w:rsidRPr="00BA2632">
        <w:rPr>
          <w:rFonts w:cstheme="minorHAnsi"/>
          <w:szCs w:val="20"/>
        </w:rPr>
        <w:t>represent survey event (retrieval), site and habitat type, respectively.</w:t>
      </w:r>
      <w:r w:rsidRPr="00BA2632">
        <w:rPr>
          <w:rFonts w:cstheme="minorHAnsi"/>
          <w:i/>
          <w:szCs w:val="20"/>
        </w:rPr>
        <w:t xml:space="preserve"> </w:t>
      </w:r>
    </w:p>
    <w:p w14:paraId="39F99813" w14:textId="77777777" w:rsidR="00F54F74" w:rsidRPr="00BA2632" w:rsidRDefault="00F54F74" w:rsidP="00F54F74">
      <w:pPr>
        <w:rPr>
          <w:rFonts w:cstheme="minorHAnsi"/>
          <w:szCs w:val="20"/>
        </w:rPr>
      </w:pPr>
      <w:r w:rsidRPr="00BA2632">
        <w:rPr>
          <w:rFonts w:cstheme="minorHAnsi"/>
          <w:szCs w:val="20"/>
        </w:rPr>
        <w:t xml:space="preserve">For the seed analysis, </w:t>
      </w:r>
      <w:proofErr w:type="spellStart"/>
      <w:r w:rsidRPr="00BA2632">
        <w:rPr>
          <w:rFonts w:cstheme="minorHAnsi"/>
          <w:i/>
          <w:szCs w:val="20"/>
        </w:rPr>
        <w:t>y</w:t>
      </w:r>
      <w:r w:rsidRPr="00BA2632">
        <w:rPr>
          <w:rFonts w:cstheme="minorHAnsi"/>
          <w:i/>
          <w:szCs w:val="20"/>
          <w:vertAlign w:val="subscript"/>
        </w:rPr>
        <w:t>t</w:t>
      </w:r>
      <w:proofErr w:type="spellEnd"/>
      <w:r w:rsidRPr="00BA2632">
        <w:rPr>
          <w:rFonts w:cstheme="minorHAnsi"/>
          <w:i/>
          <w:szCs w:val="20"/>
          <w:vertAlign w:val="subscript"/>
        </w:rPr>
        <w:t xml:space="preserve"> </w:t>
      </w:r>
      <w:r w:rsidRPr="00BA2632">
        <w:rPr>
          <w:rFonts w:cstheme="minorHAnsi"/>
          <w:szCs w:val="20"/>
        </w:rPr>
        <w:t xml:space="preserve">represents the individual samples of seeds abundance captured by turf mats. </w:t>
      </w:r>
    </w:p>
    <w:p w14:paraId="374BD949" w14:textId="77777777" w:rsidR="00F54F74" w:rsidRPr="00BA2632" w:rsidRDefault="00F54F74" w:rsidP="00F54F74">
      <w:pPr>
        <w:rPr>
          <w:rFonts w:cstheme="minorHAnsi"/>
          <w:szCs w:val="20"/>
        </w:rPr>
      </w:pPr>
      <w:r w:rsidRPr="00BA2632">
        <w:rPr>
          <w:rFonts w:cstheme="minorHAnsi"/>
          <w:szCs w:val="20"/>
        </w:rPr>
        <w:t xml:space="preserve">The mean seed abundance (log-transformed) for a particular combination of survey, site and habitat type, </w:t>
      </w:r>
      <w:proofErr w:type="spellStart"/>
      <w:r w:rsidRPr="00BA2632">
        <w:rPr>
          <w:rFonts w:cstheme="minorHAnsi"/>
          <w:i/>
          <w:szCs w:val="20"/>
        </w:rPr>
        <w:t>mu</w:t>
      </w:r>
      <w:r w:rsidRPr="00BA2632">
        <w:rPr>
          <w:rFonts w:cstheme="minorHAnsi"/>
          <w:i/>
          <w:szCs w:val="20"/>
          <w:vertAlign w:val="subscript"/>
        </w:rPr>
        <w:t>ijs</w:t>
      </w:r>
      <w:proofErr w:type="spellEnd"/>
      <w:r w:rsidRPr="00BA2632">
        <w:rPr>
          <w:rFonts w:cstheme="minorHAnsi"/>
          <w:szCs w:val="20"/>
        </w:rPr>
        <w:t>, is affected by flow condition (</w:t>
      </w:r>
      <w:r w:rsidRPr="00BA2632">
        <w:rPr>
          <w:rFonts w:cstheme="minorHAnsi"/>
          <w:i/>
          <w:szCs w:val="20"/>
        </w:rPr>
        <w:t>Q</w:t>
      </w:r>
      <w:r w:rsidRPr="00BA2632">
        <w:rPr>
          <w:rFonts w:cstheme="minorHAnsi"/>
          <w:szCs w:val="20"/>
        </w:rPr>
        <w:t xml:space="preserve">) represented by one of a) </w:t>
      </w:r>
      <w:r w:rsidRPr="00BA2632">
        <w:rPr>
          <w:rFonts w:cstheme="minorHAnsi"/>
          <w:b/>
          <w:szCs w:val="20"/>
        </w:rPr>
        <w:t xml:space="preserve">peak inundation height </w:t>
      </w:r>
      <w:r w:rsidRPr="00BA2632">
        <w:rPr>
          <w:rFonts w:cstheme="minorHAnsi"/>
          <w:szCs w:val="20"/>
        </w:rPr>
        <w:t xml:space="preserve">over sampling point, b) </w:t>
      </w:r>
      <w:r w:rsidRPr="00BA2632">
        <w:rPr>
          <w:rFonts w:cstheme="minorHAnsi"/>
          <w:b/>
          <w:szCs w:val="20"/>
        </w:rPr>
        <w:t>number of days inundated</w:t>
      </w:r>
      <w:r w:rsidRPr="00BA2632">
        <w:rPr>
          <w:rFonts w:cstheme="minorHAnsi"/>
          <w:szCs w:val="20"/>
        </w:rPr>
        <w:t xml:space="preserve">, and c) </w:t>
      </w:r>
      <w:r w:rsidRPr="00BA2632">
        <w:rPr>
          <w:rFonts w:cstheme="minorHAnsi"/>
          <w:b/>
          <w:szCs w:val="20"/>
        </w:rPr>
        <w:t>maximum dry period</w:t>
      </w:r>
      <w:r w:rsidRPr="00BA2632">
        <w:rPr>
          <w:rFonts w:cstheme="minorHAnsi"/>
          <w:szCs w:val="20"/>
        </w:rPr>
        <w:t>, during the sampling period (</w:t>
      </w:r>
      <w:proofErr w:type="gramStart"/>
      <w:r w:rsidRPr="00BA2632">
        <w:rPr>
          <w:rFonts w:cstheme="minorHAnsi"/>
          <w:szCs w:val="20"/>
        </w:rPr>
        <w:t>i.e.</w:t>
      </w:r>
      <w:proofErr w:type="gramEnd"/>
      <w:r w:rsidRPr="00BA2632">
        <w:rPr>
          <w:rFonts w:cstheme="minorHAnsi"/>
          <w:szCs w:val="20"/>
        </w:rPr>
        <w:t xml:space="preserve"> between deployment and retrieval of each sample). Flow effects (</w:t>
      </w:r>
      <w:proofErr w:type="spellStart"/>
      <w:proofErr w:type="gramStart"/>
      <w:r w:rsidRPr="00BA2632">
        <w:rPr>
          <w:rFonts w:cstheme="minorHAnsi"/>
          <w:i/>
          <w:szCs w:val="20"/>
        </w:rPr>
        <w:t>eff.Q</w:t>
      </w:r>
      <w:r w:rsidRPr="00BA2632">
        <w:rPr>
          <w:rFonts w:cstheme="minorHAnsi"/>
          <w:i/>
          <w:szCs w:val="20"/>
          <w:vertAlign w:val="subscript"/>
        </w:rPr>
        <w:t>is</w:t>
      </w:r>
      <w:proofErr w:type="spellEnd"/>
      <w:proofErr w:type="gramEnd"/>
      <w:r w:rsidRPr="00BA2632">
        <w:rPr>
          <w:rFonts w:cstheme="minorHAnsi"/>
          <w:szCs w:val="20"/>
        </w:rPr>
        <w:t>) are modelled with the percentage tributary contribution corresponding to the particular survey event (</w:t>
      </w:r>
      <w:proofErr w:type="spellStart"/>
      <w:r w:rsidRPr="00BA2632">
        <w:rPr>
          <w:rFonts w:cstheme="minorHAnsi"/>
          <w:i/>
          <w:szCs w:val="20"/>
        </w:rPr>
        <w:t>trib</w:t>
      </w:r>
      <w:proofErr w:type="spellEnd"/>
      <w:r w:rsidRPr="00BA2632">
        <w:rPr>
          <w:rFonts w:cstheme="minorHAnsi"/>
          <w:szCs w:val="20"/>
        </w:rPr>
        <w:t xml:space="preserve">), with </w:t>
      </w:r>
      <w:proofErr w:type="spellStart"/>
      <w:r w:rsidRPr="00BA2632">
        <w:rPr>
          <w:rFonts w:cstheme="minorHAnsi"/>
          <w:i/>
          <w:szCs w:val="20"/>
        </w:rPr>
        <w:t>eff.trib</w:t>
      </w:r>
      <w:proofErr w:type="spellEnd"/>
      <w:r w:rsidRPr="00BA2632">
        <w:rPr>
          <w:rFonts w:cstheme="minorHAnsi"/>
          <w:szCs w:val="20"/>
        </w:rPr>
        <w:t xml:space="preserve"> representing the tributary contribution effects. </w:t>
      </w:r>
      <w:proofErr w:type="spellStart"/>
      <w:proofErr w:type="gramStart"/>
      <w:r w:rsidRPr="00BA2632">
        <w:rPr>
          <w:rFonts w:cstheme="minorHAnsi"/>
          <w:i/>
          <w:szCs w:val="20"/>
        </w:rPr>
        <w:t>eff.habitat</w:t>
      </w:r>
      <w:proofErr w:type="spellEnd"/>
      <w:proofErr w:type="gramEnd"/>
      <w:r w:rsidRPr="00BA2632">
        <w:rPr>
          <w:rFonts w:cstheme="minorHAnsi"/>
          <w:i/>
          <w:szCs w:val="20"/>
        </w:rPr>
        <w:t xml:space="preserve"> </w:t>
      </w:r>
      <w:r w:rsidRPr="00BA2632">
        <w:rPr>
          <w:rFonts w:cstheme="minorHAnsi"/>
          <w:szCs w:val="20"/>
        </w:rPr>
        <w:t xml:space="preserve">is a random effect to represent the influence of habitat type on the flow effects. </w:t>
      </w:r>
    </w:p>
    <w:p w14:paraId="73DB8AD3" w14:textId="77777777" w:rsidR="00F54F74" w:rsidRPr="00BA2632" w:rsidRDefault="00F54F74" w:rsidP="00F54F74">
      <w:pPr>
        <w:rPr>
          <w:rFonts w:cstheme="minorHAnsi"/>
          <w:szCs w:val="20"/>
        </w:rPr>
      </w:pPr>
      <w:r w:rsidRPr="00BA2632">
        <w:rPr>
          <w:rFonts w:cstheme="minorHAnsi"/>
          <w:szCs w:val="20"/>
        </w:rPr>
        <w:t xml:space="preserve">During the seed abundance sampling, some samples were taken at high elevations at McCoy’s Bridge, which were never inundated during the sampling period. The habitat type of these samples was thus denoted as ‘air </w:t>
      </w:r>
      <w:proofErr w:type="gramStart"/>
      <w:r w:rsidRPr="00BA2632">
        <w:rPr>
          <w:rFonts w:cstheme="minorHAnsi"/>
          <w:szCs w:val="20"/>
        </w:rPr>
        <w:t>samples’</w:t>
      </w:r>
      <w:proofErr w:type="gramEnd"/>
      <w:r w:rsidRPr="00BA2632">
        <w:rPr>
          <w:rFonts w:cstheme="minorHAnsi"/>
          <w:szCs w:val="20"/>
        </w:rPr>
        <w:t>. Preliminary analysis indicated that very few seeds were deposited on these mats, highlighting the importance of hydrochory (flow dispersal) for seeds deposited on other lower elevation mats. These air samples were not included for further analyses which focused on flow effects.</w:t>
      </w:r>
    </w:p>
    <w:p w14:paraId="4869C187" w14:textId="5ECD0BD3" w:rsidR="00F54F74" w:rsidRPr="00BA2632" w:rsidRDefault="00F54F74" w:rsidP="00F54F74">
      <w:pPr>
        <w:rPr>
          <w:rFonts w:cstheme="minorHAnsi"/>
          <w:szCs w:val="20"/>
        </w:rPr>
      </w:pPr>
      <w:r w:rsidRPr="00BA2632">
        <w:rPr>
          <w:rFonts w:cstheme="minorHAnsi"/>
          <w:szCs w:val="20"/>
        </w:rPr>
        <w:t>The sediment analysis was conducted focusing on impacts of the above mentioned three flow indicators on the total mass of sediments deposited (</w:t>
      </w:r>
      <w:proofErr w:type="spellStart"/>
      <w:r w:rsidRPr="00BA2632">
        <w:rPr>
          <w:rFonts w:cstheme="minorHAnsi"/>
          <w:i/>
          <w:szCs w:val="20"/>
        </w:rPr>
        <w:t>y</w:t>
      </w:r>
      <w:r w:rsidRPr="00BA2632">
        <w:rPr>
          <w:rFonts w:cstheme="minorHAnsi"/>
          <w:i/>
          <w:szCs w:val="20"/>
          <w:vertAlign w:val="subscript"/>
        </w:rPr>
        <w:t>t</w:t>
      </w:r>
      <w:proofErr w:type="spellEnd"/>
      <w:r w:rsidRPr="00BA2632">
        <w:rPr>
          <w:rFonts w:cstheme="minorHAnsi"/>
          <w:i/>
          <w:szCs w:val="20"/>
          <w:vertAlign w:val="subscript"/>
        </w:rPr>
        <w:t xml:space="preserve"> </w:t>
      </w:r>
      <w:r w:rsidRPr="00BA2632">
        <w:rPr>
          <w:rFonts w:cstheme="minorHAnsi"/>
          <w:szCs w:val="20"/>
        </w:rPr>
        <w:t xml:space="preserve">in </w:t>
      </w:r>
      <w:r w:rsidR="00E51AEE">
        <w:rPr>
          <w:rFonts w:cstheme="minorHAnsi"/>
          <w:szCs w:val="20"/>
        </w:rPr>
        <w:t>Equation 9-1</w:t>
      </w:r>
      <w:r w:rsidRPr="00BA2632">
        <w:rPr>
          <w:rFonts w:cstheme="minorHAnsi"/>
          <w:szCs w:val="20"/>
        </w:rPr>
        <w:t xml:space="preserve">). </w:t>
      </w:r>
    </w:p>
    <w:p w14:paraId="1C324212" w14:textId="77777777" w:rsidR="00F54F74" w:rsidRPr="00BA2632" w:rsidRDefault="00F54F74" w:rsidP="00F54F74">
      <w:pPr>
        <w:rPr>
          <w:rFonts w:cstheme="minorHAnsi"/>
          <w:szCs w:val="20"/>
        </w:rPr>
      </w:pPr>
    </w:p>
    <w:p w14:paraId="4F1D60D7" w14:textId="77777777" w:rsidR="00F54F74" w:rsidRDefault="00F54F74" w:rsidP="00F54F74">
      <w:pPr>
        <w:rPr>
          <w:b/>
        </w:rPr>
      </w:pPr>
      <w:r>
        <w:rPr>
          <w:b/>
        </w:rPr>
        <w:br w:type="page"/>
      </w:r>
    </w:p>
    <w:p w14:paraId="3518E9B4" w14:textId="070FAFC2" w:rsidR="00F54F74" w:rsidRDefault="00F54F74" w:rsidP="00F54F74">
      <w:pPr>
        <w:pStyle w:val="Heading2"/>
      </w:pPr>
      <w:bookmarkStart w:id="549" w:name="_Toc84416120"/>
      <w:bookmarkStart w:id="550" w:name="_Toc84417412"/>
      <w:bookmarkStart w:id="551" w:name="_Toc84475707"/>
      <w:r>
        <w:lastRenderedPageBreak/>
        <w:t>Sites and sample dates</w:t>
      </w:r>
      <w:bookmarkEnd w:id="549"/>
      <w:bookmarkEnd w:id="550"/>
      <w:bookmarkEnd w:id="551"/>
      <w:r>
        <w:t xml:space="preserve"> </w:t>
      </w:r>
    </w:p>
    <w:p w14:paraId="17CA70D1" w14:textId="13405615" w:rsidR="00F54F74" w:rsidRPr="00597025" w:rsidRDefault="00F54F74" w:rsidP="00F54F74">
      <w:r>
        <w:t xml:space="preserve">Turf mats have been deployed at three sites: Darcy’s Track, Loch </w:t>
      </w:r>
      <w:proofErr w:type="gramStart"/>
      <w:r>
        <w:t>Garry</w:t>
      </w:r>
      <w:proofErr w:type="gramEnd"/>
      <w:r>
        <w:t xml:space="preserve"> and McCoy’s Bridge (</w:t>
      </w:r>
      <w:r w:rsidR="00CC2083" w:rsidRPr="00BA2632">
        <w:t xml:space="preserve">Figure </w:t>
      </w:r>
      <w:r w:rsidR="00CC2083">
        <w:rPr>
          <w:noProof/>
        </w:rPr>
        <w:t>2</w:t>
      </w:r>
      <w:r w:rsidR="00CC2083">
        <w:noBreakHyphen/>
      </w:r>
      <w:r w:rsidR="00CC2083">
        <w:rPr>
          <w:noProof/>
        </w:rPr>
        <w:t>1</w:t>
      </w:r>
      <w:r>
        <w:t>). Five visits, capturing three events, were undertaken in 2019</w:t>
      </w:r>
      <w:r w:rsidR="00A277CC">
        <w:t>-20</w:t>
      </w:r>
      <w:r>
        <w:t xml:space="preserve"> (</w:t>
      </w:r>
      <w:r w:rsidR="00CC2083" w:rsidRPr="00BA2632">
        <w:t xml:space="preserve">Figure </w:t>
      </w:r>
      <w:r w:rsidR="00CC2083">
        <w:rPr>
          <w:noProof/>
        </w:rPr>
        <w:t>9</w:t>
      </w:r>
      <w:r w:rsidR="00CC2083">
        <w:rPr>
          <w:noProof/>
        </w:rPr>
        <w:noBreakHyphen/>
        <w:t>2</w:t>
      </w:r>
      <w:r>
        <w:t>) and 2020</w:t>
      </w:r>
      <w:r w:rsidR="00A277CC">
        <w:t>-21</w:t>
      </w:r>
      <w:r w:rsidRPr="00756C55">
        <w:t xml:space="preserve"> </w:t>
      </w:r>
      <w:r>
        <w:t>(</w:t>
      </w:r>
      <w:r w:rsidR="00CC2083">
        <w:t xml:space="preserve">Figure </w:t>
      </w:r>
      <w:r w:rsidR="00CC2083">
        <w:rPr>
          <w:noProof/>
        </w:rPr>
        <w:t>9</w:t>
      </w:r>
      <w:r w:rsidR="00CC2083">
        <w:rPr>
          <w:noProof/>
        </w:rPr>
        <w:noBreakHyphen/>
        <w:t>3</w:t>
      </w:r>
      <w:r>
        <w:t>)</w:t>
      </w:r>
      <w:r w:rsidRPr="00756C55">
        <w:t>.</w:t>
      </w:r>
    </w:p>
    <w:p w14:paraId="4C56ADE9" w14:textId="13888FAB" w:rsidR="00F54F74" w:rsidRDefault="00F54F74" w:rsidP="00F54F74">
      <w:r w:rsidRPr="00BA2632">
        <w:t>Following on from four retrievals in 2018</w:t>
      </w:r>
      <w:r>
        <w:t>-</w:t>
      </w:r>
      <w:r w:rsidRPr="00BA2632">
        <w:t xml:space="preserve">19, turf mats were </w:t>
      </w:r>
      <w:r>
        <w:t>re-</w:t>
      </w:r>
      <w:r w:rsidRPr="00BA2632">
        <w:t>deployed in mid-winter on the 27/6/2019. These mats were retrieved in early spring on the 12/9/2019</w:t>
      </w:r>
      <w:r>
        <w:t xml:space="preserve"> (retrieval event 5)</w:t>
      </w:r>
      <w:r w:rsidRPr="00BA2632">
        <w:t>, after a period of 77 days</w:t>
      </w:r>
      <w:r>
        <w:t xml:space="preserve">, predominantly a </w:t>
      </w:r>
      <w:r w:rsidRPr="00BA2632">
        <w:t>winter fresh</w:t>
      </w:r>
      <w:r>
        <w:t xml:space="preserve"> and small rise</w:t>
      </w:r>
      <w:r w:rsidRPr="00BA2632">
        <w:t>, and another set of mats deployed</w:t>
      </w:r>
      <w:r>
        <w:t xml:space="preserve"> (</w:t>
      </w:r>
      <w:r w:rsidR="00CC2083" w:rsidRPr="00BA2632">
        <w:t xml:space="preserve">Figure </w:t>
      </w:r>
      <w:r w:rsidR="00CC2083">
        <w:rPr>
          <w:noProof/>
        </w:rPr>
        <w:t>9</w:t>
      </w:r>
      <w:r w:rsidR="00CC2083">
        <w:noBreakHyphen/>
      </w:r>
      <w:r w:rsidR="00CC2083">
        <w:rPr>
          <w:noProof/>
        </w:rPr>
        <w:t>2</w:t>
      </w:r>
      <w:r>
        <w:t>)</w:t>
      </w:r>
      <w:r w:rsidRPr="00BA2632">
        <w:t xml:space="preserve">. </w:t>
      </w:r>
    </w:p>
    <w:p w14:paraId="345A8F06" w14:textId="13D4ABCD" w:rsidR="00F54F74" w:rsidRDefault="00F54F74" w:rsidP="00F54F74">
      <w:r w:rsidRPr="00BA2632">
        <w:t>Mats were again retrieved and replaced later in spring on the 30/10/2019 after a period of 48 days</w:t>
      </w:r>
      <w:r>
        <w:t xml:space="preserve">, predominantly a </w:t>
      </w:r>
      <w:r w:rsidRPr="00BA2632">
        <w:t>spring fresh</w:t>
      </w:r>
      <w:r>
        <w:t xml:space="preserve"> (retrieval event 6)</w:t>
      </w:r>
      <w:r w:rsidRPr="00BA2632">
        <w:t>. Between deployment and retrievals, similar flow peaks of ~8,000 ML/day occurred, labelled here as winter fresh and spring fresh, respectively (</w:t>
      </w:r>
      <w:r w:rsidR="00CC2083" w:rsidRPr="00BA2632">
        <w:t xml:space="preserve">Figure </w:t>
      </w:r>
      <w:r w:rsidR="00CC2083">
        <w:rPr>
          <w:noProof/>
        </w:rPr>
        <w:t>9</w:t>
      </w:r>
      <w:r w:rsidR="00CC2083">
        <w:rPr>
          <w:noProof/>
        </w:rPr>
        <w:noBreakHyphen/>
        <w:t>2</w:t>
      </w:r>
      <w:r w:rsidRPr="00BA2632">
        <w:t>).</w:t>
      </w:r>
      <w:r>
        <w:t xml:space="preserve">  </w:t>
      </w:r>
    </w:p>
    <w:p w14:paraId="112DA8AF" w14:textId="39881FDC" w:rsidR="00F54F74" w:rsidRDefault="00F54F74" w:rsidP="00F54F74">
      <w:pPr>
        <w:rPr>
          <w:color w:val="000000" w:themeColor="text1"/>
        </w:rPr>
      </w:pPr>
      <w:r w:rsidRPr="0056624E">
        <w:rPr>
          <w:color w:val="000000" w:themeColor="text1"/>
        </w:rPr>
        <w:t xml:space="preserve">An intended retrieval and redeployment in March 2020 </w:t>
      </w:r>
      <w:proofErr w:type="gramStart"/>
      <w:r w:rsidRPr="0056624E">
        <w:rPr>
          <w:color w:val="000000" w:themeColor="text1"/>
        </w:rPr>
        <w:t>was</w:t>
      </w:r>
      <w:proofErr w:type="gramEnd"/>
      <w:r w:rsidRPr="0056624E">
        <w:rPr>
          <w:color w:val="000000" w:themeColor="text1"/>
        </w:rPr>
        <w:t xml:space="preserve"> cancelled due to COVID-19 restrictions placed on fieldwork activities by The University</w:t>
      </w:r>
      <w:r w:rsidRPr="00B6194B">
        <w:rPr>
          <w:color w:val="000000" w:themeColor="text1"/>
        </w:rPr>
        <w:t xml:space="preserve"> of Melbourne. Due to these restrictions, the mats </w:t>
      </w:r>
      <w:r>
        <w:rPr>
          <w:color w:val="000000" w:themeColor="text1"/>
        </w:rPr>
        <w:t xml:space="preserve">were not </w:t>
      </w:r>
      <w:r w:rsidRPr="00B6194B">
        <w:rPr>
          <w:color w:val="000000" w:themeColor="text1"/>
        </w:rPr>
        <w:t>redeployed</w:t>
      </w:r>
      <w:r>
        <w:rPr>
          <w:color w:val="000000" w:themeColor="text1"/>
        </w:rPr>
        <w:t xml:space="preserve"> until November 2020, and thereafter retrieved/deployed in December 2020 (retrieval event 7) (</w:t>
      </w:r>
      <w:r w:rsidR="00CC2083">
        <w:t xml:space="preserve">Figure </w:t>
      </w:r>
      <w:r w:rsidR="00CC2083">
        <w:rPr>
          <w:noProof/>
        </w:rPr>
        <w:t>9</w:t>
      </w:r>
      <w:r w:rsidR="00CC2083">
        <w:noBreakHyphen/>
      </w:r>
      <w:r w:rsidR="00CC2083">
        <w:rPr>
          <w:noProof/>
        </w:rPr>
        <w:t>3</w:t>
      </w:r>
      <w:r>
        <w:rPr>
          <w:color w:val="000000" w:themeColor="text1"/>
        </w:rPr>
        <w:t>).</w:t>
      </w:r>
    </w:p>
    <w:p w14:paraId="1FACEA56" w14:textId="003E7366" w:rsidR="00F54F74" w:rsidRDefault="00F54F74" w:rsidP="00F54F74">
      <w:pPr>
        <w:rPr>
          <w:color w:val="000000" w:themeColor="text1"/>
        </w:rPr>
      </w:pPr>
      <w:r>
        <w:rPr>
          <w:color w:val="000000" w:themeColor="text1"/>
        </w:rPr>
        <w:t xml:space="preserve">Subsequent field work </w:t>
      </w:r>
      <w:r w:rsidR="00A277CC">
        <w:rPr>
          <w:color w:val="000000" w:themeColor="text1"/>
        </w:rPr>
        <w:t>retrievals in</w:t>
      </w:r>
      <w:r>
        <w:rPr>
          <w:color w:val="000000" w:themeColor="text1"/>
        </w:rPr>
        <w:t xml:space="preserve"> April 2021 (retrieval event 8) and May 2021 (retrieval event 9), are still in the propagation phase and thus are not analysed in this report. </w:t>
      </w:r>
      <w:r w:rsidRPr="00B6194B">
        <w:rPr>
          <w:color w:val="000000" w:themeColor="text1"/>
        </w:rPr>
        <w:t xml:space="preserve"> Likewise, processing of the soil samples collected from the mats for the winter and spring freshes</w:t>
      </w:r>
      <w:r>
        <w:rPr>
          <w:color w:val="000000" w:themeColor="text1"/>
        </w:rPr>
        <w:t xml:space="preserve"> of 2019 and subsequent events h</w:t>
      </w:r>
      <w:r w:rsidRPr="00B6194B">
        <w:rPr>
          <w:color w:val="000000" w:themeColor="text1"/>
        </w:rPr>
        <w:t xml:space="preserve">as been delayed due to restrictions on access to labs at the University of Melbourne. Thus, only data relating to </w:t>
      </w:r>
      <w:r w:rsidRPr="004865C1">
        <w:rPr>
          <w:color w:val="000000" w:themeColor="text1"/>
        </w:rPr>
        <w:t>retrieval 5 (Winter fresh</w:t>
      </w:r>
      <w:r>
        <w:rPr>
          <w:color w:val="000000" w:themeColor="text1"/>
        </w:rPr>
        <w:t>, 2019, R5</w:t>
      </w:r>
      <w:r w:rsidRPr="004865C1">
        <w:rPr>
          <w:color w:val="000000" w:themeColor="text1"/>
        </w:rPr>
        <w:t>)</w:t>
      </w:r>
      <w:r>
        <w:rPr>
          <w:color w:val="000000" w:themeColor="text1"/>
        </w:rPr>
        <w:t>,</w:t>
      </w:r>
      <w:r w:rsidRPr="004865C1">
        <w:rPr>
          <w:color w:val="000000" w:themeColor="text1"/>
        </w:rPr>
        <w:t xml:space="preserve"> retrieval 6 (Spring fresh</w:t>
      </w:r>
      <w:r>
        <w:rPr>
          <w:color w:val="000000" w:themeColor="text1"/>
        </w:rPr>
        <w:t>, 2019, R6</w:t>
      </w:r>
      <w:r w:rsidRPr="004865C1">
        <w:rPr>
          <w:color w:val="000000" w:themeColor="text1"/>
        </w:rPr>
        <w:t>)</w:t>
      </w:r>
      <w:r>
        <w:rPr>
          <w:color w:val="000000" w:themeColor="text1"/>
        </w:rPr>
        <w:t xml:space="preserve"> and retrieval 7 (Spring fresh 2020, R7)</w:t>
      </w:r>
      <w:r w:rsidRPr="004865C1">
        <w:rPr>
          <w:color w:val="000000" w:themeColor="text1"/>
        </w:rPr>
        <w:t xml:space="preserve"> are reported here.</w:t>
      </w:r>
      <w:r w:rsidRPr="00B6194B">
        <w:rPr>
          <w:color w:val="000000" w:themeColor="text1"/>
        </w:rPr>
        <w:t xml:space="preserve"> This includes propagule abundance, taxa richness and sediment mass for each flow event.</w:t>
      </w:r>
    </w:p>
    <w:p w14:paraId="47A6B7E3" w14:textId="77777777" w:rsidR="00F54F74" w:rsidRDefault="00F54F74" w:rsidP="00F54F74"/>
    <w:p w14:paraId="61E966B7" w14:textId="77777777" w:rsidR="00F54F74" w:rsidRPr="00BA2632" w:rsidRDefault="00F54F74" w:rsidP="00F54F74">
      <w:pPr>
        <w:keepNext/>
        <w:jc w:val="center"/>
      </w:pPr>
      <w:r w:rsidRPr="00080047">
        <w:rPr>
          <w:noProof/>
          <w:lang w:val="en-GB"/>
        </w:rPr>
        <w:drawing>
          <wp:inline distT="0" distB="0" distL="0" distR="0" wp14:anchorId="42AE6FDC" wp14:editId="77C49D24">
            <wp:extent cx="6097795" cy="2773680"/>
            <wp:effectExtent l="0" t="0" r="0" b="7620"/>
            <wp:docPr id="535" name="Picture 3" descr="Graphical user interface&#10;&#10;Description automatically generated">
              <a:extLst xmlns:a="http://schemas.openxmlformats.org/drawingml/2006/main">
                <a:ext uri="{FF2B5EF4-FFF2-40B4-BE49-F238E27FC236}">
                  <a16:creationId xmlns:a16="http://schemas.microsoft.com/office/drawing/2014/main" id="{24EF5AD3-F9A1-4466-BF38-142BEFD851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Graphical user interface&#10;&#10;Description automatically generated">
                      <a:extLst>
                        <a:ext uri="{FF2B5EF4-FFF2-40B4-BE49-F238E27FC236}">
                          <a16:creationId xmlns:a16="http://schemas.microsoft.com/office/drawing/2014/main" id="{24EF5AD3-F9A1-4466-BF38-142BEFD85193}"/>
                        </a:ext>
                      </a:extLst>
                    </pic:cNvPr>
                    <pic:cNvPicPr>
                      <a:picLocks noChangeAspect="1"/>
                    </pic:cNvPicPr>
                  </pic:nvPicPr>
                  <pic:blipFill>
                    <a:blip r:embed="rId86" cstate="email">
                      <a:extLst>
                        <a:ext uri="{28A0092B-C50C-407E-A947-70E740481C1C}">
                          <a14:useLocalDpi xmlns:a14="http://schemas.microsoft.com/office/drawing/2010/main"/>
                        </a:ext>
                      </a:extLst>
                    </a:blip>
                    <a:stretch>
                      <a:fillRect/>
                    </a:stretch>
                  </pic:blipFill>
                  <pic:spPr>
                    <a:xfrm>
                      <a:off x="0" y="0"/>
                      <a:ext cx="6111377" cy="2779858"/>
                    </a:xfrm>
                    <a:prstGeom prst="rect">
                      <a:avLst/>
                    </a:prstGeom>
                  </pic:spPr>
                </pic:pic>
              </a:graphicData>
            </a:graphic>
          </wp:inline>
        </w:drawing>
      </w:r>
    </w:p>
    <w:p w14:paraId="52165FDC" w14:textId="416A0A65" w:rsidR="00F54F74" w:rsidRDefault="00F54F74" w:rsidP="00F54F74">
      <w:pPr>
        <w:pStyle w:val="Caption"/>
      </w:pPr>
      <w:bookmarkStart w:id="552" w:name="_Ref42022166"/>
      <w:bookmarkStart w:id="553" w:name="_Toc83907783"/>
      <w:bookmarkStart w:id="554" w:name="_Toc84475760"/>
      <w:r w:rsidRPr="00BA2632">
        <w:t xml:space="preserve">Figure </w:t>
      </w:r>
      <w:r w:rsidR="00CC2083">
        <w:rPr>
          <w:noProof/>
        </w:rPr>
        <w:t>9</w:t>
      </w:r>
      <w:r w:rsidR="00B85158">
        <w:noBreakHyphen/>
      </w:r>
      <w:r w:rsidR="00CC2083">
        <w:rPr>
          <w:noProof/>
        </w:rPr>
        <w:t>2</w:t>
      </w:r>
      <w:bookmarkEnd w:id="552"/>
      <w:r w:rsidRPr="00BA2632">
        <w:t xml:space="preserve"> Hydrograph of flows in the Goulburn River at McCoy’s Bridge with dates of mat deployment (</w:t>
      </w:r>
      <w:r>
        <w:t>yellow</w:t>
      </w:r>
      <w:r w:rsidRPr="00BA2632">
        <w:t xml:space="preserve"> circle) and retrieval/deployment (red circles) indicated.</w:t>
      </w:r>
      <w:r>
        <w:t xml:space="preserve"> Date range 2019-20.</w:t>
      </w:r>
      <w:bookmarkEnd w:id="553"/>
      <w:bookmarkEnd w:id="554"/>
    </w:p>
    <w:p w14:paraId="3F684B8C" w14:textId="77777777" w:rsidR="00F54F74" w:rsidRDefault="00F54F74" w:rsidP="00F54F74">
      <w:pPr>
        <w:keepNext/>
        <w:jc w:val="center"/>
      </w:pPr>
      <w:r w:rsidRPr="006F22A4">
        <w:rPr>
          <w:noProof/>
          <w:lang w:val="en-GB"/>
        </w:rPr>
        <w:lastRenderedPageBreak/>
        <w:drawing>
          <wp:inline distT="0" distB="0" distL="0" distR="0" wp14:anchorId="3B360497" wp14:editId="1C29BACC">
            <wp:extent cx="6080756" cy="2647950"/>
            <wp:effectExtent l="19050" t="19050" r="15875" b="19050"/>
            <wp:docPr id="36" name="Picture 35" descr="Chart&#10;&#10;Description automatically generated">
              <a:extLst xmlns:a="http://schemas.openxmlformats.org/drawingml/2006/main">
                <a:ext uri="{FF2B5EF4-FFF2-40B4-BE49-F238E27FC236}">
                  <a16:creationId xmlns:a16="http://schemas.microsoft.com/office/drawing/2014/main" id="{22838166-1CED-4140-870A-BD263AB325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descr="Chart&#10;&#10;Description automatically generated">
                      <a:extLst>
                        <a:ext uri="{FF2B5EF4-FFF2-40B4-BE49-F238E27FC236}">
                          <a16:creationId xmlns:a16="http://schemas.microsoft.com/office/drawing/2014/main" id="{22838166-1CED-4140-870A-BD263AB325DC}"/>
                        </a:ext>
                      </a:extLst>
                    </pic:cNvPr>
                    <pic:cNvPicPr>
                      <a:picLocks noChangeAspect="1"/>
                    </pic:cNvPicPr>
                  </pic:nvPicPr>
                  <pic:blipFill>
                    <a:blip r:embed="rId87" cstate="email">
                      <a:extLst>
                        <a:ext uri="{28A0092B-C50C-407E-A947-70E740481C1C}">
                          <a14:useLocalDpi xmlns:a14="http://schemas.microsoft.com/office/drawing/2010/main"/>
                        </a:ext>
                      </a:extLst>
                    </a:blip>
                    <a:stretch>
                      <a:fillRect/>
                    </a:stretch>
                  </pic:blipFill>
                  <pic:spPr>
                    <a:xfrm>
                      <a:off x="0" y="0"/>
                      <a:ext cx="6105450" cy="2658703"/>
                    </a:xfrm>
                    <a:prstGeom prst="rect">
                      <a:avLst/>
                    </a:prstGeom>
                    <a:ln w="3175">
                      <a:solidFill>
                        <a:schemeClr val="tx1"/>
                      </a:solidFill>
                    </a:ln>
                  </pic:spPr>
                </pic:pic>
              </a:graphicData>
            </a:graphic>
          </wp:inline>
        </w:drawing>
      </w:r>
    </w:p>
    <w:p w14:paraId="1F26FE6C" w14:textId="2962B555" w:rsidR="00F54F74" w:rsidRPr="00604400" w:rsidRDefault="00F54F74" w:rsidP="00F54F74">
      <w:pPr>
        <w:pStyle w:val="Caption"/>
      </w:pPr>
      <w:bookmarkStart w:id="555" w:name="_Ref81807483"/>
      <w:bookmarkStart w:id="556" w:name="_Toc83907784"/>
      <w:bookmarkStart w:id="557" w:name="_Toc84475761"/>
      <w:r>
        <w:t xml:space="preserve">Figure </w:t>
      </w:r>
      <w:r w:rsidR="00CC2083">
        <w:rPr>
          <w:noProof/>
        </w:rPr>
        <w:t>9</w:t>
      </w:r>
      <w:r w:rsidR="00B85158">
        <w:noBreakHyphen/>
      </w:r>
      <w:r w:rsidR="00CC2083">
        <w:rPr>
          <w:noProof/>
        </w:rPr>
        <w:t>3</w:t>
      </w:r>
      <w:bookmarkEnd w:id="555"/>
      <w:r>
        <w:t xml:space="preserve"> </w:t>
      </w:r>
      <w:r w:rsidRPr="00BA2632">
        <w:t>Hydrograph of flows in the Goulburn River at McCoy’s Bridge with dates of mat deployment (</w:t>
      </w:r>
      <w:r>
        <w:t>yellow</w:t>
      </w:r>
      <w:r w:rsidRPr="00BA2632">
        <w:t xml:space="preserve"> circle) and retrieval/deployment (</w:t>
      </w:r>
      <w:r>
        <w:t>green</w:t>
      </w:r>
      <w:r w:rsidRPr="00BA2632">
        <w:t xml:space="preserve"> circle) indicated.</w:t>
      </w:r>
      <w:r>
        <w:t xml:space="preserve"> Date range 2020-21.</w:t>
      </w:r>
      <w:bookmarkEnd w:id="556"/>
      <w:bookmarkEnd w:id="557"/>
    </w:p>
    <w:p w14:paraId="35FB306E" w14:textId="03A34BAF" w:rsidR="00F54F74" w:rsidRPr="00BA2632" w:rsidRDefault="00F54F74" w:rsidP="00F54F74">
      <w:r w:rsidRPr="00BA2632">
        <w:t>Lower bank features were notably devoid of vegetation at the time of the winter fresh retrieval (</w:t>
      </w:r>
      <w:r w:rsidR="00CC2083" w:rsidRPr="00BA2632">
        <w:t xml:space="preserve">Figure </w:t>
      </w:r>
      <w:r w:rsidR="00CC2083">
        <w:rPr>
          <w:noProof/>
        </w:rPr>
        <w:t>9</w:t>
      </w:r>
      <w:r w:rsidR="00CC2083">
        <w:rPr>
          <w:noProof/>
        </w:rPr>
        <w:noBreakHyphen/>
        <w:t>4</w:t>
      </w:r>
      <w:r w:rsidRPr="00BA2632">
        <w:t>). During the retrieval following the spring fresh, several mats were missing, clearly due to theft (the tent pegs had been removed), as a result no samples were able to be collected for Bench and Bank features at Darcy’s Track for that retrieval.</w:t>
      </w:r>
    </w:p>
    <w:p w14:paraId="007DB279" w14:textId="77777777" w:rsidR="00F54F74" w:rsidRPr="00BA2632" w:rsidRDefault="00F54F74" w:rsidP="00F54F74">
      <w:pPr>
        <w:jc w:val="center"/>
      </w:pPr>
      <w:r w:rsidRPr="00BA2632">
        <w:rPr>
          <w:noProof/>
          <w:lang w:val="en-GB"/>
        </w:rPr>
        <w:drawing>
          <wp:inline distT="0" distB="0" distL="0" distR="0" wp14:anchorId="15BA91E2" wp14:editId="317B3C8E">
            <wp:extent cx="5049981" cy="3311078"/>
            <wp:effectExtent l="0" t="0" r="0" b="3810"/>
            <wp:docPr id="95" name="Picture 95" descr="A picture containing text, grass,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grass, outdoor, ground&#10;&#10;Description automatically generated"/>
                    <pic:cNvPicPr/>
                  </pic:nvPicPr>
                  <pic:blipFill>
                    <a:blip r:embed="rId88" cstate="email">
                      <a:extLst>
                        <a:ext uri="{28A0092B-C50C-407E-A947-70E740481C1C}">
                          <a14:useLocalDpi xmlns:a14="http://schemas.microsoft.com/office/drawing/2010/main"/>
                        </a:ext>
                      </a:extLst>
                    </a:blip>
                    <a:stretch>
                      <a:fillRect/>
                    </a:stretch>
                  </pic:blipFill>
                  <pic:spPr>
                    <a:xfrm>
                      <a:off x="0" y="0"/>
                      <a:ext cx="5053965" cy="3313690"/>
                    </a:xfrm>
                    <a:prstGeom prst="rect">
                      <a:avLst/>
                    </a:prstGeom>
                  </pic:spPr>
                </pic:pic>
              </a:graphicData>
            </a:graphic>
          </wp:inline>
        </w:drawing>
      </w:r>
    </w:p>
    <w:p w14:paraId="71347C82" w14:textId="7526B87D" w:rsidR="00F54F74" w:rsidRPr="00BA2632" w:rsidRDefault="00F54F74" w:rsidP="00F54F74">
      <w:pPr>
        <w:pStyle w:val="Caption"/>
      </w:pPr>
      <w:bookmarkStart w:id="558" w:name="_Ref51585775"/>
      <w:bookmarkStart w:id="559" w:name="_Toc83907785"/>
      <w:bookmarkStart w:id="560" w:name="_Toc84475762"/>
      <w:r w:rsidRPr="00BA2632">
        <w:t xml:space="preserve">Figure </w:t>
      </w:r>
      <w:r w:rsidR="00CC2083">
        <w:rPr>
          <w:noProof/>
        </w:rPr>
        <w:t>9</w:t>
      </w:r>
      <w:r w:rsidR="00B85158">
        <w:noBreakHyphen/>
      </w:r>
      <w:r w:rsidR="00CC2083">
        <w:rPr>
          <w:noProof/>
        </w:rPr>
        <w:t>4</w:t>
      </w:r>
      <w:bookmarkEnd w:id="558"/>
      <w:r w:rsidRPr="00BA2632">
        <w:t xml:space="preserve"> Mats redeployed on the bench (left) and bank (right) at Darcy’s Track after the winter fresh that were not present for retrieval after the spring fresh. Note these features were largely devoid of vegetation at the time of mat collection.</w:t>
      </w:r>
      <w:bookmarkEnd w:id="559"/>
      <w:bookmarkEnd w:id="560"/>
    </w:p>
    <w:p w14:paraId="6C3877E7" w14:textId="1B1B12AB" w:rsidR="00F54F74" w:rsidRPr="00BA2632" w:rsidRDefault="00F54F74" w:rsidP="00F54F74">
      <w:pPr>
        <w:pStyle w:val="Heading2"/>
      </w:pPr>
      <w:bookmarkStart w:id="561" w:name="_Toc51325427"/>
      <w:bookmarkStart w:id="562" w:name="_Toc84416121"/>
      <w:bookmarkStart w:id="563" w:name="_Toc84417413"/>
      <w:bookmarkStart w:id="564" w:name="_Toc84475708"/>
      <w:r w:rsidRPr="00BA2632">
        <w:t>Results</w:t>
      </w:r>
      <w:bookmarkEnd w:id="561"/>
      <w:r w:rsidRPr="00BA2632">
        <w:t xml:space="preserve"> and discussion</w:t>
      </w:r>
      <w:bookmarkEnd w:id="562"/>
      <w:bookmarkEnd w:id="563"/>
      <w:bookmarkEnd w:id="564"/>
    </w:p>
    <w:p w14:paraId="4D5CC4D0" w14:textId="0023FFA6" w:rsidR="00F54F74" w:rsidRPr="004C214E" w:rsidRDefault="00F54F74" w:rsidP="004C214E">
      <w:pPr>
        <w:pStyle w:val="Heading3"/>
      </w:pPr>
      <w:bookmarkStart w:id="565" w:name="_Toc84417414"/>
      <w:r w:rsidRPr="004C214E">
        <w:t>Seed and sediment mass</w:t>
      </w:r>
      <w:bookmarkEnd w:id="565"/>
    </w:p>
    <w:p w14:paraId="7AF74EFA" w14:textId="77777777" w:rsidR="00F54F74" w:rsidRPr="00BA2632" w:rsidRDefault="00F54F74" w:rsidP="00F54F74">
      <w:r w:rsidRPr="00BA2632">
        <w:t>The following provides a summary of results related to seed and sediment outcomes:</w:t>
      </w:r>
    </w:p>
    <w:p w14:paraId="7C9DD0D7" w14:textId="77777777" w:rsidR="00F54F74" w:rsidRPr="004C214E" w:rsidRDefault="00F54F74" w:rsidP="00F54F74">
      <w:pPr>
        <w:spacing w:after="160" w:line="256" w:lineRule="auto"/>
        <w:contextualSpacing/>
        <w:rPr>
          <w:rFonts w:cstheme="minorHAnsi"/>
          <w:b/>
          <w:i/>
        </w:rPr>
      </w:pPr>
      <w:r w:rsidRPr="004C214E">
        <w:rPr>
          <w:rFonts w:cstheme="minorHAnsi"/>
          <w:b/>
          <w:i/>
        </w:rPr>
        <w:t>Seed Abundance</w:t>
      </w:r>
    </w:p>
    <w:p w14:paraId="4D61CA68" w14:textId="03B5AE6C" w:rsidR="00F54F74" w:rsidRPr="00EA70E3" w:rsidRDefault="00F54F74" w:rsidP="001332C5">
      <w:pPr>
        <w:pStyle w:val="ListParagraph"/>
        <w:numPr>
          <w:ilvl w:val="0"/>
          <w:numId w:val="31"/>
        </w:numPr>
        <w:rPr>
          <w:rFonts w:cstheme="minorHAnsi"/>
        </w:rPr>
      </w:pPr>
      <w:r w:rsidRPr="00EA70E3">
        <w:rPr>
          <w:rFonts w:cstheme="minorHAnsi"/>
        </w:rPr>
        <w:t>An increase in peak inundation height generally lead</w:t>
      </w:r>
      <w:r>
        <w:rPr>
          <w:rFonts w:cstheme="minorHAnsi"/>
        </w:rPr>
        <w:t>s</w:t>
      </w:r>
      <w:r w:rsidRPr="00EA70E3">
        <w:rPr>
          <w:rFonts w:cstheme="minorHAnsi"/>
        </w:rPr>
        <w:t xml:space="preserve"> to increasing seed abundance at all habitat types including bar, bench, bank and ledge in Darcy’s Track and Loch Garry. Similar changing patterns can also be observed at </w:t>
      </w:r>
      <w:r w:rsidRPr="00EA70E3">
        <w:rPr>
          <w:rFonts w:cstheme="minorHAnsi"/>
        </w:rPr>
        <w:lastRenderedPageBreak/>
        <w:t>bench and ledge</w:t>
      </w:r>
      <w:r w:rsidR="00A277CC">
        <w:rPr>
          <w:rFonts w:cstheme="minorHAnsi"/>
        </w:rPr>
        <w:t xml:space="preserve"> habitat</w:t>
      </w:r>
      <w:r w:rsidRPr="00EA70E3">
        <w:rPr>
          <w:rFonts w:cstheme="minorHAnsi"/>
        </w:rPr>
        <w:t xml:space="preserve"> </w:t>
      </w:r>
      <w:r w:rsidR="00A277CC">
        <w:rPr>
          <w:rFonts w:cstheme="minorHAnsi"/>
        </w:rPr>
        <w:t>at</w:t>
      </w:r>
      <w:r w:rsidRPr="00EA70E3">
        <w:rPr>
          <w:rFonts w:cstheme="minorHAnsi"/>
        </w:rPr>
        <w:t xml:space="preserve"> McCoy’s Bridge. However, for bar and bank </w:t>
      </w:r>
      <w:r w:rsidR="00A277CC">
        <w:rPr>
          <w:rFonts w:cstheme="minorHAnsi"/>
        </w:rPr>
        <w:t>habitat at</w:t>
      </w:r>
      <w:r w:rsidRPr="00EA70E3">
        <w:rPr>
          <w:rFonts w:cstheme="minorHAnsi"/>
        </w:rPr>
        <w:t xml:space="preserve"> McCoy’s Bridge, peak height over sampling point has </w:t>
      </w:r>
      <w:r>
        <w:rPr>
          <w:rFonts w:cstheme="minorHAnsi"/>
        </w:rPr>
        <w:t>little</w:t>
      </w:r>
      <w:r w:rsidRPr="00EA70E3">
        <w:rPr>
          <w:rFonts w:cstheme="minorHAnsi"/>
        </w:rPr>
        <w:t xml:space="preserve"> effect on the total seed abundance (</w:t>
      </w:r>
      <w:r w:rsidR="00CC2083">
        <w:t xml:space="preserve">Figure </w:t>
      </w:r>
      <w:r w:rsidR="00CC2083">
        <w:rPr>
          <w:noProof/>
        </w:rPr>
        <w:t>9</w:t>
      </w:r>
      <w:r w:rsidR="00CC2083">
        <w:noBreakHyphen/>
      </w:r>
      <w:r w:rsidR="00CC2083">
        <w:rPr>
          <w:noProof/>
        </w:rPr>
        <w:t>5</w:t>
      </w:r>
      <w:r w:rsidRPr="00EA70E3">
        <w:rPr>
          <w:rFonts w:cstheme="minorHAnsi"/>
        </w:rPr>
        <w:t>).</w:t>
      </w:r>
    </w:p>
    <w:p w14:paraId="3B9ECCD3" w14:textId="002B5412" w:rsidR="00F54F74" w:rsidRPr="00EA70E3" w:rsidRDefault="00F54F74" w:rsidP="001332C5">
      <w:pPr>
        <w:pStyle w:val="ListParagraph"/>
        <w:numPr>
          <w:ilvl w:val="0"/>
          <w:numId w:val="31"/>
        </w:numPr>
        <w:rPr>
          <w:rFonts w:cstheme="minorHAnsi"/>
        </w:rPr>
      </w:pPr>
      <w:r w:rsidRPr="00EA70E3">
        <w:rPr>
          <w:rFonts w:cstheme="minorHAnsi"/>
        </w:rPr>
        <w:t xml:space="preserve">The influence of number of days inundated on total seed abundance is </w:t>
      </w:r>
      <w:proofErr w:type="gramStart"/>
      <w:r w:rsidRPr="00EA70E3">
        <w:rPr>
          <w:rFonts w:cstheme="minorHAnsi"/>
        </w:rPr>
        <w:t>similar to</w:t>
      </w:r>
      <w:proofErr w:type="gramEnd"/>
      <w:r w:rsidRPr="00EA70E3">
        <w:rPr>
          <w:rFonts w:cstheme="minorHAnsi"/>
        </w:rPr>
        <w:t xml:space="preserve"> that of peak inundation height, with an increasing trend of seed abundance observed across all habitat types </w:t>
      </w:r>
      <w:r>
        <w:rPr>
          <w:rFonts w:cstheme="minorHAnsi"/>
        </w:rPr>
        <w:t>at</w:t>
      </w:r>
      <w:r w:rsidRPr="00EA70E3">
        <w:rPr>
          <w:rFonts w:cstheme="minorHAnsi"/>
        </w:rPr>
        <w:t xml:space="preserve"> all sites. </w:t>
      </w:r>
      <w:r>
        <w:rPr>
          <w:rFonts w:cstheme="minorHAnsi"/>
        </w:rPr>
        <w:t>At</w:t>
      </w:r>
      <w:r w:rsidRPr="00EA70E3">
        <w:rPr>
          <w:rFonts w:cstheme="minorHAnsi"/>
        </w:rPr>
        <w:t xml:space="preserve"> McCoy’s Bridge, there is no obvious relationship with the number of inundation days and seed abundance </w:t>
      </w:r>
      <w:r>
        <w:rPr>
          <w:rFonts w:cstheme="minorHAnsi"/>
        </w:rPr>
        <w:t>on</w:t>
      </w:r>
      <w:r w:rsidRPr="00EA70E3">
        <w:rPr>
          <w:rFonts w:cstheme="minorHAnsi"/>
        </w:rPr>
        <w:t xml:space="preserve"> bar</w:t>
      </w:r>
      <w:r>
        <w:rPr>
          <w:rFonts w:cstheme="minorHAnsi"/>
        </w:rPr>
        <w:t>s</w:t>
      </w:r>
      <w:r w:rsidRPr="00EA70E3">
        <w:rPr>
          <w:rFonts w:cstheme="minorHAnsi"/>
        </w:rPr>
        <w:t xml:space="preserve">, and only a slight positive relationship </w:t>
      </w:r>
      <w:r>
        <w:rPr>
          <w:rFonts w:cstheme="minorHAnsi"/>
        </w:rPr>
        <w:t>for</w:t>
      </w:r>
      <w:r w:rsidRPr="00EA70E3">
        <w:rPr>
          <w:rFonts w:cstheme="minorHAnsi"/>
        </w:rPr>
        <w:t xml:space="preserve"> bank</w:t>
      </w:r>
      <w:r>
        <w:rPr>
          <w:rFonts w:cstheme="minorHAnsi"/>
        </w:rPr>
        <w:t>s</w:t>
      </w:r>
      <w:r w:rsidRPr="00EA70E3">
        <w:rPr>
          <w:rFonts w:cstheme="minorHAnsi"/>
        </w:rPr>
        <w:t xml:space="preserve"> (</w:t>
      </w:r>
      <w:r w:rsidR="00CC2083">
        <w:t xml:space="preserve">Figure </w:t>
      </w:r>
      <w:r w:rsidR="00CC2083">
        <w:rPr>
          <w:noProof/>
        </w:rPr>
        <w:t>9</w:t>
      </w:r>
      <w:r w:rsidR="00CC2083">
        <w:noBreakHyphen/>
      </w:r>
      <w:r w:rsidR="00CC2083">
        <w:rPr>
          <w:noProof/>
        </w:rPr>
        <w:t>6</w:t>
      </w:r>
      <w:r w:rsidRPr="00EA70E3">
        <w:rPr>
          <w:rFonts w:cstheme="minorHAnsi"/>
        </w:rPr>
        <w:t>).</w:t>
      </w:r>
    </w:p>
    <w:p w14:paraId="56249AB6" w14:textId="77777777" w:rsidR="00F54F74" w:rsidRPr="004C214E" w:rsidRDefault="00F54F74" w:rsidP="00F54F74">
      <w:pPr>
        <w:spacing w:after="160" w:line="256" w:lineRule="auto"/>
        <w:contextualSpacing/>
        <w:rPr>
          <w:rFonts w:cstheme="minorHAnsi"/>
          <w:b/>
          <w:i/>
        </w:rPr>
      </w:pPr>
      <w:r w:rsidRPr="004C214E">
        <w:rPr>
          <w:rFonts w:cstheme="minorHAnsi"/>
          <w:b/>
          <w:i/>
        </w:rPr>
        <w:t>Sediments</w:t>
      </w:r>
    </w:p>
    <w:p w14:paraId="55500CB6" w14:textId="25027222" w:rsidR="00F54F74" w:rsidRDefault="00F54F74" w:rsidP="001332C5">
      <w:pPr>
        <w:pStyle w:val="ListParagraph"/>
        <w:numPr>
          <w:ilvl w:val="0"/>
          <w:numId w:val="31"/>
        </w:numPr>
        <w:spacing w:after="160" w:line="256" w:lineRule="auto"/>
        <w:contextualSpacing/>
        <w:rPr>
          <w:rFonts w:cstheme="minorHAnsi"/>
        </w:rPr>
      </w:pPr>
      <w:r w:rsidRPr="00C80F8D">
        <w:rPr>
          <w:rFonts w:cstheme="minorHAnsi"/>
        </w:rPr>
        <w:t>Increases in both peak height and number of days inundated show consistent increasing effects on sediment mass across all habitat types in all three sites</w:t>
      </w:r>
      <w:r>
        <w:rPr>
          <w:rFonts w:cstheme="minorHAnsi"/>
        </w:rPr>
        <w:t xml:space="preserve"> (</w:t>
      </w:r>
      <w:r w:rsidR="00CC2083">
        <w:t xml:space="preserve">Figure </w:t>
      </w:r>
      <w:r w:rsidR="00CC2083">
        <w:rPr>
          <w:noProof/>
        </w:rPr>
        <w:t>9</w:t>
      </w:r>
      <w:r w:rsidR="00CC2083">
        <w:noBreakHyphen/>
      </w:r>
      <w:r w:rsidR="00CC2083">
        <w:rPr>
          <w:noProof/>
        </w:rPr>
        <w:t>7</w:t>
      </w:r>
      <w:r>
        <w:rPr>
          <w:rFonts w:cstheme="minorHAnsi"/>
        </w:rPr>
        <w:t xml:space="preserve"> &amp; </w:t>
      </w:r>
      <w:r w:rsidR="00CC2083">
        <w:t xml:space="preserve">Figure </w:t>
      </w:r>
      <w:r w:rsidR="00CC2083">
        <w:rPr>
          <w:noProof/>
        </w:rPr>
        <w:t>9</w:t>
      </w:r>
      <w:r w:rsidR="00CC2083">
        <w:noBreakHyphen/>
      </w:r>
      <w:r w:rsidR="00CC2083">
        <w:rPr>
          <w:noProof/>
        </w:rPr>
        <w:t>8</w:t>
      </w:r>
      <w:r>
        <w:rPr>
          <w:rFonts w:cstheme="minorHAnsi"/>
        </w:rPr>
        <w:t>)</w:t>
      </w:r>
      <w:r w:rsidRPr="00C80F8D">
        <w:rPr>
          <w:rFonts w:cstheme="minorHAnsi"/>
        </w:rPr>
        <w:t xml:space="preserve">. By contrast, maximum dry period has a consistent decreasing effect on sediment mass in all sites, except that sediment mass increases as maximum dry period increases </w:t>
      </w:r>
      <w:r>
        <w:rPr>
          <w:rFonts w:cstheme="minorHAnsi"/>
        </w:rPr>
        <w:t>on</w:t>
      </w:r>
      <w:r w:rsidRPr="00C80F8D">
        <w:rPr>
          <w:rFonts w:cstheme="minorHAnsi"/>
        </w:rPr>
        <w:t xml:space="preserve"> bar</w:t>
      </w:r>
      <w:r>
        <w:rPr>
          <w:rFonts w:cstheme="minorHAnsi"/>
        </w:rPr>
        <w:t>s at</w:t>
      </w:r>
      <w:r w:rsidRPr="00C80F8D">
        <w:rPr>
          <w:rFonts w:cstheme="minorHAnsi"/>
        </w:rPr>
        <w:t xml:space="preserve"> Darcy’s Track and Loch Garry for Retrieval 5.</w:t>
      </w:r>
    </w:p>
    <w:p w14:paraId="2897863C" w14:textId="77777777" w:rsidR="004C214E" w:rsidRDefault="004C214E" w:rsidP="004C214E">
      <w:pPr>
        <w:keepNext/>
        <w:spacing w:after="160" w:line="256" w:lineRule="auto"/>
        <w:contextualSpacing/>
        <w:jc w:val="center"/>
      </w:pPr>
      <w:r>
        <w:rPr>
          <w:noProof/>
          <w:lang w:val="en-GB"/>
        </w:rPr>
        <w:drawing>
          <wp:inline distT="0" distB="0" distL="0" distR="0" wp14:anchorId="62894210" wp14:editId="01C95BB6">
            <wp:extent cx="6050280" cy="4488180"/>
            <wp:effectExtent l="0" t="0" r="7620" b="7620"/>
            <wp:docPr id="536" name="Picture 536"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28" name="Picture 28" descr="Chart, line chart&#10;&#10;Description automatically generated"/>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6050280" cy="4488180"/>
                    </a:xfrm>
                    <a:prstGeom prst="rect">
                      <a:avLst/>
                    </a:prstGeom>
                    <a:noFill/>
                    <a:ln>
                      <a:noFill/>
                    </a:ln>
                  </pic:spPr>
                </pic:pic>
              </a:graphicData>
            </a:graphic>
          </wp:inline>
        </w:drawing>
      </w:r>
    </w:p>
    <w:p w14:paraId="58056890" w14:textId="44BF7403" w:rsidR="004C214E" w:rsidRDefault="00F54F74" w:rsidP="004C214E">
      <w:pPr>
        <w:pStyle w:val="Caption"/>
      </w:pPr>
      <w:bookmarkStart w:id="566" w:name="_Ref81917456"/>
      <w:bookmarkStart w:id="567" w:name="_Toc83907786"/>
      <w:bookmarkStart w:id="568" w:name="_Toc84475763"/>
      <w:r>
        <w:t xml:space="preserve">Figure </w:t>
      </w:r>
      <w:r w:rsidR="00CC2083">
        <w:rPr>
          <w:noProof/>
        </w:rPr>
        <w:t>9</w:t>
      </w:r>
      <w:r w:rsidR="00B85158">
        <w:noBreakHyphen/>
      </w:r>
      <w:r w:rsidR="00CC2083">
        <w:rPr>
          <w:noProof/>
        </w:rPr>
        <w:t>5</w:t>
      </w:r>
      <w:bookmarkEnd w:id="566"/>
      <w:r w:rsidR="004C214E">
        <w:t xml:space="preserve"> Simulated median total seed abundance against peak height over sampling point, by feature (bank, bar, </w:t>
      </w:r>
      <w:proofErr w:type="gramStart"/>
      <w:r w:rsidR="004C214E">
        <w:t>bench</w:t>
      </w:r>
      <w:proofErr w:type="gramEnd"/>
      <w:r w:rsidR="004C214E">
        <w:t xml:space="preserve"> and ledge, in rows) and different retrieval events (with different levels of tributary contribution as labelled, in columns).</w:t>
      </w:r>
      <w:bookmarkEnd w:id="567"/>
      <w:bookmarkEnd w:id="568"/>
    </w:p>
    <w:p w14:paraId="31857F35" w14:textId="77777777" w:rsidR="00F54F74" w:rsidRDefault="00F54F74" w:rsidP="00F54F74">
      <w:pPr>
        <w:rPr>
          <w:rFonts w:cstheme="minorHAnsi"/>
          <w:b/>
          <w:bCs/>
        </w:rPr>
      </w:pPr>
      <w:r>
        <w:rPr>
          <w:rFonts w:cstheme="minorHAnsi"/>
          <w:b/>
          <w:bCs/>
        </w:rPr>
        <w:br w:type="page"/>
      </w:r>
    </w:p>
    <w:p w14:paraId="38768A59" w14:textId="5047ABC2" w:rsidR="00F54F74" w:rsidRPr="009F6E10" w:rsidRDefault="00F54F74" w:rsidP="009F6E10">
      <w:pPr>
        <w:spacing w:after="160" w:line="256" w:lineRule="auto"/>
        <w:contextualSpacing/>
        <w:rPr>
          <w:rFonts w:cstheme="minorHAnsi"/>
          <w:b/>
        </w:rPr>
      </w:pPr>
    </w:p>
    <w:p w14:paraId="36A65C23" w14:textId="77777777" w:rsidR="00F54F74" w:rsidRDefault="00F54F74" w:rsidP="009F6E10">
      <w:pPr>
        <w:pStyle w:val="Caption"/>
        <w:keepNext/>
        <w:jc w:val="center"/>
      </w:pPr>
      <w:r>
        <w:rPr>
          <w:noProof/>
          <w:lang w:val="en-GB"/>
        </w:rPr>
        <w:drawing>
          <wp:inline distT="0" distB="0" distL="0" distR="0" wp14:anchorId="41689F04" wp14:editId="4582F9B7">
            <wp:extent cx="6050280" cy="4602480"/>
            <wp:effectExtent l="0" t="0" r="7620" b="7620"/>
            <wp:docPr id="537" name="Picture 537"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29" name="Picture 29" descr="Chart, line chart&#10;&#10;Description automatically generated"/>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6050280" cy="4602480"/>
                    </a:xfrm>
                    <a:prstGeom prst="rect">
                      <a:avLst/>
                    </a:prstGeom>
                    <a:noFill/>
                    <a:ln>
                      <a:noFill/>
                    </a:ln>
                  </pic:spPr>
                </pic:pic>
              </a:graphicData>
            </a:graphic>
          </wp:inline>
        </w:drawing>
      </w:r>
    </w:p>
    <w:p w14:paraId="163CFCC6" w14:textId="4B9ABF28" w:rsidR="00F54F74" w:rsidRPr="009F6E10" w:rsidRDefault="00F54F74" w:rsidP="009F6E10">
      <w:pPr>
        <w:pStyle w:val="Caption"/>
      </w:pPr>
      <w:bookmarkStart w:id="569" w:name="_Ref81917464"/>
      <w:bookmarkStart w:id="570" w:name="_Toc83907787"/>
      <w:bookmarkStart w:id="571" w:name="_Toc84475764"/>
      <w:r>
        <w:t xml:space="preserve">Figure </w:t>
      </w:r>
      <w:r w:rsidR="00B85158">
        <w:rPr>
          <w:noProof/>
        </w:rPr>
        <w:t>9</w:t>
      </w:r>
      <w:r w:rsidR="00B85158">
        <w:noBreakHyphen/>
      </w:r>
      <w:r w:rsidR="00CC2083">
        <w:rPr>
          <w:noProof/>
        </w:rPr>
        <w:t>6</w:t>
      </w:r>
      <w:bookmarkEnd w:id="569"/>
      <w:r>
        <w:t xml:space="preserve"> Simulated median total seed abundance against number of days inundated, by bank condition (bank, bar, </w:t>
      </w:r>
      <w:proofErr w:type="gramStart"/>
      <w:r>
        <w:t>bench</w:t>
      </w:r>
      <w:proofErr w:type="gramEnd"/>
      <w:r>
        <w:t xml:space="preserve"> and ledge, in rows) and different retrieval events (with different levels of tributary contribution as labelled, in columns).</w:t>
      </w:r>
      <w:bookmarkEnd w:id="570"/>
      <w:bookmarkEnd w:id="571"/>
    </w:p>
    <w:p w14:paraId="3CB9FA2B" w14:textId="77777777" w:rsidR="00F54F74" w:rsidRDefault="00F54F74" w:rsidP="00F54F74">
      <w:pPr>
        <w:spacing w:after="160" w:line="256" w:lineRule="auto"/>
        <w:contextualSpacing/>
        <w:rPr>
          <w:rFonts w:cstheme="minorHAnsi"/>
          <w:b/>
          <w:bCs/>
        </w:rPr>
      </w:pPr>
    </w:p>
    <w:p w14:paraId="45BF0CFA" w14:textId="77777777" w:rsidR="00F54F74" w:rsidRDefault="00F54F74" w:rsidP="00F54F74">
      <w:pPr>
        <w:spacing w:after="160" w:line="256" w:lineRule="auto"/>
        <w:contextualSpacing/>
        <w:rPr>
          <w:rFonts w:cstheme="minorHAnsi"/>
          <w:b/>
          <w:bCs/>
        </w:rPr>
      </w:pPr>
    </w:p>
    <w:p w14:paraId="4D61A5FD" w14:textId="77777777" w:rsidR="00F54F74" w:rsidRDefault="00F54F74" w:rsidP="00F54F74">
      <w:pPr>
        <w:spacing w:after="160" w:line="256" w:lineRule="auto"/>
        <w:contextualSpacing/>
        <w:rPr>
          <w:rFonts w:cstheme="minorHAnsi"/>
          <w:b/>
          <w:bCs/>
        </w:rPr>
      </w:pPr>
    </w:p>
    <w:p w14:paraId="3629CC94" w14:textId="77777777" w:rsidR="00F54F74" w:rsidRDefault="00F54F74" w:rsidP="00F54F74">
      <w:pPr>
        <w:spacing w:after="160" w:line="256" w:lineRule="auto"/>
        <w:contextualSpacing/>
        <w:rPr>
          <w:rFonts w:cstheme="minorHAnsi"/>
          <w:b/>
          <w:bCs/>
        </w:rPr>
      </w:pPr>
    </w:p>
    <w:p w14:paraId="7C9A124B" w14:textId="77777777" w:rsidR="00F54F74" w:rsidRDefault="00F54F74" w:rsidP="00F54F74">
      <w:pPr>
        <w:spacing w:after="160" w:line="256" w:lineRule="auto"/>
        <w:contextualSpacing/>
        <w:rPr>
          <w:rFonts w:cstheme="minorHAnsi"/>
          <w:b/>
          <w:bCs/>
        </w:rPr>
      </w:pPr>
    </w:p>
    <w:p w14:paraId="3DBCC0DB" w14:textId="77777777" w:rsidR="00F54F74" w:rsidRDefault="00F54F74" w:rsidP="00F54F74">
      <w:pPr>
        <w:spacing w:after="160" w:line="256" w:lineRule="auto"/>
        <w:contextualSpacing/>
        <w:rPr>
          <w:rFonts w:cstheme="minorHAnsi"/>
          <w:b/>
          <w:bCs/>
        </w:rPr>
      </w:pPr>
    </w:p>
    <w:p w14:paraId="0D3F63E9" w14:textId="77777777" w:rsidR="00F54F74" w:rsidRDefault="00F54F74" w:rsidP="00F54F74">
      <w:pPr>
        <w:spacing w:after="160" w:line="256" w:lineRule="auto"/>
        <w:contextualSpacing/>
        <w:rPr>
          <w:rFonts w:cstheme="minorHAnsi"/>
          <w:b/>
          <w:bCs/>
        </w:rPr>
      </w:pPr>
    </w:p>
    <w:p w14:paraId="53E886A9" w14:textId="77777777" w:rsidR="00F54F74" w:rsidRDefault="00F54F74" w:rsidP="00F54F74">
      <w:pPr>
        <w:spacing w:after="160" w:line="256" w:lineRule="auto"/>
        <w:contextualSpacing/>
        <w:rPr>
          <w:rFonts w:cstheme="minorHAnsi"/>
          <w:b/>
          <w:bCs/>
        </w:rPr>
      </w:pPr>
    </w:p>
    <w:p w14:paraId="1A82D0E5" w14:textId="77777777" w:rsidR="00F54F74" w:rsidRDefault="00F54F74" w:rsidP="00F54F74">
      <w:pPr>
        <w:spacing w:after="160" w:line="256" w:lineRule="auto"/>
        <w:contextualSpacing/>
        <w:rPr>
          <w:rFonts w:cstheme="minorHAnsi"/>
          <w:b/>
          <w:bCs/>
        </w:rPr>
      </w:pPr>
    </w:p>
    <w:p w14:paraId="2794B051" w14:textId="77777777" w:rsidR="00F54F74" w:rsidRDefault="00F54F74" w:rsidP="00F54F74">
      <w:pPr>
        <w:spacing w:after="160" w:line="256" w:lineRule="auto"/>
        <w:contextualSpacing/>
        <w:rPr>
          <w:rFonts w:cstheme="minorHAnsi"/>
          <w:b/>
          <w:bCs/>
        </w:rPr>
      </w:pPr>
    </w:p>
    <w:p w14:paraId="0E3CE613" w14:textId="77777777" w:rsidR="00F54F74" w:rsidRDefault="00F54F74" w:rsidP="00F54F74">
      <w:pPr>
        <w:spacing w:after="160" w:line="256" w:lineRule="auto"/>
        <w:contextualSpacing/>
        <w:rPr>
          <w:rFonts w:cstheme="minorHAnsi"/>
          <w:b/>
          <w:bCs/>
        </w:rPr>
      </w:pPr>
    </w:p>
    <w:p w14:paraId="515327CA" w14:textId="77777777" w:rsidR="00F54F74" w:rsidRDefault="00F54F74" w:rsidP="00F54F74">
      <w:pPr>
        <w:spacing w:after="160" w:line="256" w:lineRule="auto"/>
        <w:contextualSpacing/>
        <w:rPr>
          <w:rFonts w:cstheme="minorHAnsi"/>
          <w:b/>
          <w:bCs/>
        </w:rPr>
      </w:pPr>
    </w:p>
    <w:p w14:paraId="7E2A55C2" w14:textId="77777777" w:rsidR="00F54F74" w:rsidRDefault="00F54F74" w:rsidP="00F54F74">
      <w:pPr>
        <w:spacing w:after="160" w:line="256" w:lineRule="auto"/>
        <w:contextualSpacing/>
        <w:rPr>
          <w:rFonts w:cstheme="minorHAnsi"/>
          <w:b/>
          <w:bCs/>
        </w:rPr>
      </w:pPr>
    </w:p>
    <w:p w14:paraId="3928EA77" w14:textId="77777777" w:rsidR="00F54F74" w:rsidRDefault="00F54F74" w:rsidP="00F54F74">
      <w:pPr>
        <w:spacing w:after="160" w:line="256" w:lineRule="auto"/>
        <w:contextualSpacing/>
        <w:rPr>
          <w:rFonts w:cstheme="minorHAnsi"/>
          <w:b/>
          <w:bCs/>
        </w:rPr>
      </w:pPr>
    </w:p>
    <w:p w14:paraId="71B79BCA" w14:textId="77777777" w:rsidR="00F54F74" w:rsidRDefault="00F54F74" w:rsidP="00F54F74">
      <w:pPr>
        <w:spacing w:after="160" w:line="256" w:lineRule="auto"/>
        <w:contextualSpacing/>
        <w:rPr>
          <w:rFonts w:cstheme="minorHAnsi"/>
          <w:b/>
          <w:bCs/>
        </w:rPr>
      </w:pPr>
    </w:p>
    <w:p w14:paraId="2BE075F1" w14:textId="77777777" w:rsidR="00F54F74" w:rsidRDefault="00F54F74" w:rsidP="00F54F74">
      <w:pPr>
        <w:spacing w:after="160" w:line="256" w:lineRule="auto"/>
        <w:contextualSpacing/>
        <w:rPr>
          <w:rFonts w:cstheme="minorHAnsi"/>
          <w:b/>
          <w:bCs/>
        </w:rPr>
      </w:pPr>
    </w:p>
    <w:p w14:paraId="5D196535" w14:textId="77777777" w:rsidR="00F54F74" w:rsidRDefault="00F54F74" w:rsidP="00F54F74">
      <w:pPr>
        <w:spacing w:after="160" w:line="256" w:lineRule="auto"/>
        <w:contextualSpacing/>
        <w:rPr>
          <w:rFonts w:cstheme="minorHAnsi"/>
          <w:b/>
          <w:bCs/>
        </w:rPr>
      </w:pPr>
    </w:p>
    <w:p w14:paraId="324C871C" w14:textId="77777777" w:rsidR="00F54F74" w:rsidRDefault="00F54F74" w:rsidP="00F54F74">
      <w:pPr>
        <w:spacing w:after="160" w:line="256" w:lineRule="auto"/>
        <w:contextualSpacing/>
        <w:rPr>
          <w:rFonts w:cstheme="minorHAnsi"/>
          <w:b/>
          <w:bCs/>
        </w:rPr>
      </w:pPr>
    </w:p>
    <w:p w14:paraId="3CE80361" w14:textId="77777777" w:rsidR="00F54F74" w:rsidRDefault="00F54F74" w:rsidP="00F54F74">
      <w:pPr>
        <w:spacing w:after="160" w:line="256" w:lineRule="auto"/>
        <w:contextualSpacing/>
        <w:rPr>
          <w:rFonts w:cstheme="minorHAnsi"/>
          <w:b/>
          <w:bCs/>
        </w:rPr>
      </w:pPr>
    </w:p>
    <w:p w14:paraId="2BD681A6" w14:textId="77777777" w:rsidR="00F54F74" w:rsidRDefault="00F54F74" w:rsidP="00F54F74">
      <w:pPr>
        <w:spacing w:after="160" w:line="256" w:lineRule="auto"/>
        <w:contextualSpacing/>
        <w:rPr>
          <w:rFonts w:cstheme="minorHAnsi"/>
          <w:b/>
          <w:bCs/>
        </w:rPr>
      </w:pPr>
    </w:p>
    <w:p w14:paraId="5F3875E0" w14:textId="77777777" w:rsidR="00F54F74" w:rsidRDefault="00F54F74" w:rsidP="00F54F74">
      <w:pPr>
        <w:spacing w:after="160" w:line="256" w:lineRule="auto"/>
        <w:contextualSpacing/>
        <w:rPr>
          <w:rFonts w:cstheme="minorHAnsi"/>
          <w:b/>
          <w:bCs/>
        </w:rPr>
      </w:pPr>
    </w:p>
    <w:p w14:paraId="12820F13" w14:textId="77777777" w:rsidR="00F54F74" w:rsidRDefault="00F54F74" w:rsidP="009F6E10">
      <w:pPr>
        <w:keepNext/>
        <w:jc w:val="center"/>
      </w:pPr>
      <w:r>
        <w:rPr>
          <w:noProof/>
          <w:lang w:val="en-GB"/>
        </w:rPr>
        <w:lastRenderedPageBreak/>
        <w:drawing>
          <wp:inline distT="0" distB="0" distL="0" distR="0" wp14:anchorId="2838858C" wp14:editId="61ACFEB9">
            <wp:extent cx="6088380" cy="4008120"/>
            <wp:effectExtent l="0" t="0" r="7620" b="0"/>
            <wp:docPr id="538" name="Picture 538"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6088380" cy="4008120"/>
                    </a:xfrm>
                    <a:prstGeom prst="rect">
                      <a:avLst/>
                    </a:prstGeom>
                    <a:noFill/>
                    <a:ln>
                      <a:noFill/>
                    </a:ln>
                  </pic:spPr>
                </pic:pic>
              </a:graphicData>
            </a:graphic>
          </wp:inline>
        </w:drawing>
      </w:r>
    </w:p>
    <w:p w14:paraId="228903E0" w14:textId="1F865D60" w:rsidR="00F54F74" w:rsidRDefault="00F54F74" w:rsidP="00F54F74">
      <w:pPr>
        <w:pStyle w:val="Caption"/>
      </w:pPr>
      <w:bookmarkStart w:id="572" w:name="_Ref81804740"/>
      <w:bookmarkStart w:id="573" w:name="_Toc83907788"/>
      <w:bookmarkStart w:id="574" w:name="_Toc84475765"/>
      <w:r>
        <w:t xml:space="preserve">Figure </w:t>
      </w:r>
      <w:r w:rsidR="00CC2083">
        <w:rPr>
          <w:noProof/>
        </w:rPr>
        <w:t>9</w:t>
      </w:r>
      <w:r w:rsidR="00B85158">
        <w:noBreakHyphen/>
      </w:r>
      <w:r w:rsidR="00CC2083">
        <w:rPr>
          <w:noProof/>
        </w:rPr>
        <w:t>7</w:t>
      </w:r>
      <w:bookmarkEnd w:id="572"/>
      <w:r>
        <w:t xml:space="preserve"> Effect of flows on sediment mass in different sites, with peak inundation height as indicator</w:t>
      </w:r>
      <w:r w:rsidR="009F6E10">
        <w:t>.</w:t>
      </w:r>
      <w:bookmarkEnd w:id="573"/>
      <w:bookmarkEnd w:id="574"/>
    </w:p>
    <w:p w14:paraId="5ECF7E79" w14:textId="77777777" w:rsidR="00F54F74" w:rsidRDefault="00F54F74" w:rsidP="007C2AE0">
      <w:pPr>
        <w:keepNext/>
        <w:jc w:val="center"/>
      </w:pPr>
      <w:r>
        <w:rPr>
          <w:noProof/>
          <w:lang w:val="en-GB"/>
        </w:rPr>
        <w:drawing>
          <wp:inline distT="0" distB="0" distL="0" distR="0" wp14:anchorId="04B4BEA0" wp14:editId="38F2E4E9">
            <wp:extent cx="6057900" cy="4099560"/>
            <wp:effectExtent l="0" t="0" r="0" b="0"/>
            <wp:docPr id="539" name="Picture 539" descr="Chart, box and whisk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9" name="Picture 9" descr="Chart, box and whisker chart&#10;&#10;Description automatically generated"/>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6057900" cy="4099560"/>
                    </a:xfrm>
                    <a:prstGeom prst="rect">
                      <a:avLst/>
                    </a:prstGeom>
                    <a:noFill/>
                    <a:ln>
                      <a:noFill/>
                    </a:ln>
                  </pic:spPr>
                </pic:pic>
              </a:graphicData>
            </a:graphic>
          </wp:inline>
        </w:drawing>
      </w:r>
    </w:p>
    <w:p w14:paraId="5933CCBC" w14:textId="7BD05E35" w:rsidR="00F54F74" w:rsidRPr="00C5730D" w:rsidRDefault="00F54F74" w:rsidP="00F54F74">
      <w:pPr>
        <w:pStyle w:val="Caption"/>
      </w:pPr>
      <w:bookmarkStart w:id="575" w:name="_Ref81804743"/>
      <w:bookmarkStart w:id="576" w:name="_Toc83907789"/>
      <w:bookmarkStart w:id="577" w:name="_Toc84475766"/>
      <w:r>
        <w:t xml:space="preserve">Figure </w:t>
      </w:r>
      <w:r w:rsidR="00CC2083">
        <w:rPr>
          <w:noProof/>
        </w:rPr>
        <w:t>9</w:t>
      </w:r>
      <w:r w:rsidR="00B85158">
        <w:noBreakHyphen/>
      </w:r>
      <w:r w:rsidR="00CC2083">
        <w:rPr>
          <w:noProof/>
        </w:rPr>
        <w:t>8</w:t>
      </w:r>
      <w:bookmarkEnd w:id="575"/>
      <w:r>
        <w:t xml:space="preserve"> Effect of flows on sediment mass in different sites, with number of days inundated as indicator</w:t>
      </w:r>
      <w:r w:rsidR="007C2AE0">
        <w:t>.</w:t>
      </w:r>
      <w:bookmarkEnd w:id="576"/>
      <w:bookmarkEnd w:id="577"/>
    </w:p>
    <w:p w14:paraId="30412231" w14:textId="304008C2" w:rsidR="00F54F74" w:rsidRPr="003E38CA" w:rsidRDefault="00F54F74" w:rsidP="003E38CA">
      <w:pPr>
        <w:pStyle w:val="Heading3"/>
      </w:pPr>
      <w:bookmarkStart w:id="578" w:name="_Toc84417415"/>
      <w:r w:rsidRPr="003E38CA">
        <w:lastRenderedPageBreak/>
        <w:t>Propagule sample composition</w:t>
      </w:r>
      <w:bookmarkEnd w:id="578"/>
      <w:r w:rsidRPr="003E38CA">
        <w:t xml:space="preserve"> </w:t>
      </w:r>
    </w:p>
    <w:p w14:paraId="4DC96E1E" w14:textId="77777777" w:rsidR="00F54F74" w:rsidRPr="00BA2632" w:rsidRDefault="00F54F74" w:rsidP="00F54F74">
      <w:r w:rsidRPr="00BA2632">
        <w:t>A total of 8,266 (2,733/m</w:t>
      </w:r>
      <w:r w:rsidRPr="00BA2632">
        <w:rPr>
          <w:vertAlign w:val="superscript"/>
        </w:rPr>
        <w:t>2</w:t>
      </w:r>
      <w:r>
        <w:t xml:space="preserve">), </w:t>
      </w:r>
      <w:r w:rsidRPr="00BA2632">
        <w:t>10,811 (3,910/m</w:t>
      </w:r>
      <w:r w:rsidRPr="00BA2632">
        <w:rPr>
          <w:vertAlign w:val="superscript"/>
        </w:rPr>
        <w:t>2</w:t>
      </w:r>
      <w:r w:rsidRPr="00BA2632">
        <w:t xml:space="preserve">) </w:t>
      </w:r>
      <w:r>
        <w:t xml:space="preserve">and 4,798 </w:t>
      </w:r>
      <w:r w:rsidRPr="00BA2632">
        <w:t>(</w:t>
      </w:r>
      <w:r>
        <w:t>1,791</w:t>
      </w:r>
      <w:r w:rsidRPr="00BA2632">
        <w:t>/m</w:t>
      </w:r>
      <w:r w:rsidRPr="00BA2632">
        <w:rPr>
          <w:vertAlign w:val="superscript"/>
        </w:rPr>
        <w:t>2</w:t>
      </w:r>
      <w:r w:rsidRPr="00BA2632">
        <w:t>)</w:t>
      </w:r>
      <w:r>
        <w:t xml:space="preserve"> </w:t>
      </w:r>
      <w:r w:rsidRPr="00BA2632">
        <w:t xml:space="preserve">seedlings were counted from the mat samples </w:t>
      </w:r>
      <w:r>
        <w:t>for retrievals 5, 6 and 7</w:t>
      </w:r>
      <w:r w:rsidRPr="00BA2632">
        <w:t xml:space="preserve">, respectively. More than </w:t>
      </w:r>
      <w:r>
        <w:t>80%</w:t>
      </w:r>
      <w:r w:rsidRPr="00BA2632">
        <w:t xml:space="preserve"> of all seedlings were accounted for by </w:t>
      </w:r>
      <w:r>
        <w:t>five</w:t>
      </w:r>
      <w:r w:rsidRPr="00BA2632">
        <w:t xml:space="preserve"> </w:t>
      </w:r>
      <w:r>
        <w:t xml:space="preserve">monocot </w:t>
      </w:r>
      <w:r w:rsidRPr="00BA2632">
        <w:t>species</w:t>
      </w:r>
      <w:r>
        <w:t xml:space="preserve"> (asterisk indicate exotic species)</w:t>
      </w:r>
      <w:r w:rsidRPr="00BA2632">
        <w:t xml:space="preserve">: </w:t>
      </w:r>
      <w:r w:rsidRPr="00BA2632">
        <w:rPr>
          <w:i/>
        </w:rPr>
        <w:t xml:space="preserve">Cyperus </w:t>
      </w:r>
      <w:proofErr w:type="spellStart"/>
      <w:r w:rsidRPr="00BA2632">
        <w:rPr>
          <w:i/>
        </w:rPr>
        <w:t>eragrostis</w:t>
      </w:r>
      <w:proofErr w:type="spellEnd"/>
      <w:r w:rsidRPr="00BA2632">
        <w:t xml:space="preserve">*, </w:t>
      </w:r>
      <w:r w:rsidRPr="00BA2632">
        <w:rPr>
          <w:i/>
        </w:rPr>
        <w:t>Cyperus</w:t>
      </w:r>
      <w:r w:rsidRPr="00BA2632">
        <w:rPr>
          <w:i/>
          <w:iCs/>
        </w:rPr>
        <w:t xml:space="preserve"> </w:t>
      </w:r>
      <w:proofErr w:type="spellStart"/>
      <w:r w:rsidRPr="00BA2632">
        <w:rPr>
          <w:i/>
          <w:iCs/>
        </w:rPr>
        <w:t>exaltatus</w:t>
      </w:r>
      <w:proofErr w:type="spellEnd"/>
      <w:r w:rsidRPr="00BA2632">
        <w:t xml:space="preserve">, </w:t>
      </w:r>
      <w:proofErr w:type="spellStart"/>
      <w:r w:rsidRPr="00BA2632">
        <w:rPr>
          <w:i/>
          <w:iCs/>
        </w:rPr>
        <w:t>Eragrostis</w:t>
      </w:r>
      <w:proofErr w:type="spellEnd"/>
      <w:r w:rsidRPr="00BA2632">
        <w:rPr>
          <w:i/>
          <w:iCs/>
        </w:rPr>
        <w:t xml:space="preserve"> parviflora</w:t>
      </w:r>
      <w:r>
        <w:t xml:space="preserve">*, </w:t>
      </w:r>
      <w:r w:rsidRPr="00BA2632">
        <w:rPr>
          <w:i/>
        </w:rPr>
        <w:t>Juncus amabilis</w:t>
      </w:r>
      <w:r>
        <w:rPr>
          <w:i/>
        </w:rPr>
        <w:t xml:space="preserve"> </w:t>
      </w:r>
      <w:r>
        <w:t xml:space="preserve">and </w:t>
      </w:r>
      <w:r w:rsidRPr="00BA2632">
        <w:rPr>
          <w:i/>
        </w:rPr>
        <w:t xml:space="preserve">Juncus </w:t>
      </w:r>
      <w:proofErr w:type="spellStart"/>
      <w:r>
        <w:rPr>
          <w:i/>
        </w:rPr>
        <w:t>usitatus</w:t>
      </w:r>
      <w:proofErr w:type="spellEnd"/>
      <w:r w:rsidRPr="00BA2632">
        <w:t>. River Red Gum (</w:t>
      </w:r>
      <w:r w:rsidRPr="00BA2632">
        <w:rPr>
          <w:i/>
          <w:iCs/>
        </w:rPr>
        <w:t>Eucalyptus camaldulensis</w:t>
      </w:r>
      <w:r w:rsidRPr="00BA2632">
        <w:t>) seedlings were also relatively common in both the winter and spring fresh samples</w:t>
      </w:r>
      <w:r>
        <w:t xml:space="preserve"> of 2019 (R5 and R6), but not the early spring fresh of 2020 (R7)</w:t>
      </w:r>
      <w:r w:rsidRPr="00BA2632">
        <w:t xml:space="preserve">. </w:t>
      </w:r>
    </w:p>
    <w:p w14:paraId="43925734" w14:textId="2CFA5084" w:rsidR="00F54F74" w:rsidRPr="00BA2632" w:rsidRDefault="00F54F74" w:rsidP="00F54F74">
      <w:r w:rsidRPr="00BA2632">
        <w:t>While greater abundances of propagules were generally observed for Bar samples at Darcy’s Track and McCoy’s Bridge, largest abundances of propagules were observed for Bench samples at Loch Garry (</w:t>
      </w:r>
      <w:r w:rsidR="00CC2083" w:rsidRPr="00BA2632">
        <w:t xml:space="preserve">Figure </w:t>
      </w:r>
      <w:r w:rsidR="00CC2083">
        <w:rPr>
          <w:noProof/>
        </w:rPr>
        <w:t>9</w:t>
      </w:r>
      <w:r w:rsidR="00CC2083">
        <w:rPr>
          <w:noProof/>
        </w:rPr>
        <w:noBreakHyphen/>
        <w:t>9</w:t>
      </w:r>
      <w:r w:rsidRPr="00BA2632">
        <w:t xml:space="preserve">). </w:t>
      </w:r>
    </w:p>
    <w:p w14:paraId="60284BB7" w14:textId="77777777" w:rsidR="00F54F74" w:rsidRPr="00BA2632" w:rsidRDefault="00F54F74" w:rsidP="000812D8">
      <w:pPr>
        <w:keepNext/>
        <w:jc w:val="center"/>
      </w:pPr>
      <w:r w:rsidRPr="004D4470">
        <w:rPr>
          <w:noProof/>
          <w:lang w:val="en-GB"/>
        </w:rPr>
        <w:drawing>
          <wp:inline distT="0" distB="0" distL="0" distR="0" wp14:anchorId="4FA1321B" wp14:editId="3093EBE1">
            <wp:extent cx="6080127" cy="4053840"/>
            <wp:effectExtent l="0" t="0" r="0" b="3810"/>
            <wp:docPr id="11" name="Picture 5" descr="Diagram&#10;&#10;Description automatically generated with medium confidence">
              <a:extLst xmlns:a="http://schemas.openxmlformats.org/drawingml/2006/main">
                <a:ext uri="{FF2B5EF4-FFF2-40B4-BE49-F238E27FC236}">
                  <a16:creationId xmlns:a16="http://schemas.microsoft.com/office/drawing/2014/main" id="{B5CCE90B-01A0-428E-9C7D-729EE76B06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Diagram&#10;&#10;Description automatically generated with medium confidence">
                      <a:extLst>
                        <a:ext uri="{FF2B5EF4-FFF2-40B4-BE49-F238E27FC236}">
                          <a16:creationId xmlns:a16="http://schemas.microsoft.com/office/drawing/2014/main" id="{B5CCE90B-01A0-428E-9C7D-729EE76B067C}"/>
                        </a:ext>
                      </a:extLst>
                    </pic:cNvPr>
                    <pic:cNvPicPr>
                      <a:picLocks noChangeAspect="1"/>
                    </pic:cNvPicPr>
                  </pic:nvPicPr>
                  <pic:blipFill>
                    <a:blip r:embed="rId93" cstate="email">
                      <a:extLst>
                        <a:ext uri="{28A0092B-C50C-407E-A947-70E740481C1C}">
                          <a14:useLocalDpi xmlns:a14="http://schemas.microsoft.com/office/drawing/2010/main"/>
                        </a:ext>
                      </a:extLst>
                    </a:blip>
                    <a:stretch>
                      <a:fillRect/>
                    </a:stretch>
                  </pic:blipFill>
                  <pic:spPr>
                    <a:xfrm>
                      <a:off x="0" y="0"/>
                      <a:ext cx="6093608" cy="4062828"/>
                    </a:xfrm>
                    <a:prstGeom prst="rect">
                      <a:avLst/>
                    </a:prstGeom>
                  </pic:spPr>
                </pic:pic>
              </a:graphicData>
            </a:graphic>
          </wp:inline>
        </w:drawing>
      </w:r>
    </w:p>
    <w:p w14:paraId="04EDA5EB" w14:textId="38070C78" w:rsidR="00F54F74" w:rsidRPr="00BA2632" w:rsidRDefault="00F54F74" w:rsidP="00F54F74">
      <w:pPr>
        <w:pStyle w:val="Caption"/>
      </w:pPr>
      <w:bookmarkStart w:id="579" w:name="_Ref51675042"/>
      <w:bookmarkStart w:id="580" w:name="_Toc52277297"/>
      <w:bookmarkStart w:id="581" w:name="_Toc83907790"/>
      <w:bookmarkStart w:id="582" w:name="_Toc84475767"/>
      <w:r w:rsidRPr="00BA2632">
        <w:t xml:space="preserve">Figure </w:t>
      </w:r>
      <w:r w:rsidR="00CC2083">
        <w:rPr>
          <w:noProof/>
        </w:rPr>
        <w:t>9</w:t>
      </w:r>
      <w:r w:rsidR="00B85158">
        <w:noBreakHyphen/>
      </w:r>
      <w:r w:rsidR="00CC2083">
        <w:rPr>
          <w:noProof/>
        </w:rPr>
        <w:t>9</w:t>
      </w:r>
      <w:bookmarkEnd w:id="579"/>
      <w:r w:rsidRPr="00BA2632">
        <w:t xml:space="preserve"> Seed abundance of material deposited on turf mats across different geomorphic features (Bar, Bench, Ledge, Bank, Air) at three sites, </w:t>
      </w:r>
      <w:r>
        <w:t>DT</w:t>
      </w:r>
      <w:r>
        <w:rPr>
          <w:rFonts w:cstheme="minorHAnsi"/>
        </w:rPr>
        <w:t>—</w:t>
      </w:r>
      <w:r w:rsidRPr="00BA2632">
        <w:t xml:space="preserve">Darcy’s Track, </w:t>
      </w:r>
      <w:r>
        <w:t>LG</w:t>
      </w:r>
      <w:r>
        <w:rPr>
          <w:rFonts w:cstheme="minorHAnsi"/>
        </w:rPr>
        <w:t>—</w:t>
      </w:r>
      <w:r w:rsidRPr="00BA2632">
        <w:t xml:space="preserve">Loch Garry and </w:t>
      </w:r>
      <w:r>
        <w:t>MC</w:t>
      </w:r>
      <w:r>
        <w:rPr>
          <w:rFonts w:cstheme="minorHAnsi"/>
        </w:rPr>
        <w:t>—</w:t>
      </w:r>
      <w:r w:rsidRPr="00BA2632">
        <w:t>McCoy’s Bridge for retrievals following a winter and spring fresh in 2019</w:t>
      </w:r>
      <w:r>
        <w:t xml:space="preserve"> (R5 and R6) and a spring fresh in 2020 (R7)</w:t>
      </w:r>
      <w:r w:rsidRPr="00BA2632">
        <w:t>.</w:t>
      </w:r>
      <w:bookmarkEnd w:id="580"/>
      <w:r>
        <w:t xml:space="preserve"> </w:t>
      </w:r>
      <w:r w:rsidRPr="00BA2632">
        <w:t xml:space="preserve">Mats were stolen and thus no samples were collected for </w:t>
      </w:r>
      <w:r>
        <w:t>some</w:t>
      </w:r>
      <w:r w:rsidRPr="00BA2632">
        <w:t xml:space="preserve"> features at Darcy’s Track following </w:t>
      </w:r>
      <w:r>
        <w:t>R6 and R7</w:t>
      </w:r>
      <w:r w:rsidRPr="00BA2632">
        <w:t>.</w:t>
      </w:r>
      <w:bookmarkEnd w:id="581"/>
      <w:bookmarkEnd w:id="582"/>
    </w:p>
    <w:p w14:paraId="2C02D435" w14:textId="22319384" w:rsidR="00F54F74" w:rsidRPr="00BA2632" w:rsidRDefault="00F54F74" w:rsidP="00F54F74">
      <w:r>
        <w:t xml:space="preserve">A total of 42, </w:t>
      </w:r>
      <w:r w:rsidRPr="00BA2632">
        <w:t>4</w:t>
      </w:r>
      <w:r>
        <w:t>6</w:t>
      </w:r>
      <w:r w:rsidRPr="00BA2632">
        <w:t xml:space="preserve"> </w:t>
      </w:r>
      <w:r>
        <w:t xml:space="preserve">and 51 </w:t>
      </w:r>
      <w:r w:rsidRPr="00BA2632">
        <w:t xml:space="preserve">different </w:t>
      </w:r>
      <w:r>
        <w:t xml:space="preserve">plant </w:t>
      </w:r>
      <w:r w:rsidRPr="00BA2632">
        <w:t xml:space="preserve">taxa germinated from the mat samples </w:t>
      </w:r>
      <w:r>
        <w:t>for retrievals 5, 6 and 7</w:t>
      </w:r>
      <w:r w:rsidRPr="00BA2632">
        <w:t xml:space="preserve">, respectively (species list provided in Appendix </w:t>
      </w:r>
      <w:r w:rsidR="002F258A">
        <w:rPr>
          <w:lang w:val="en-GB"/>
        </w:rPr>
        <w:t>J</w:t>
      </w:r>
      <w:r w:rsidRPr="00BA2632">
        <w:t>). Bar samples tended to have the greatest taxa richness, except at Loch Garry where similar taxa richness was observed across all features (</w:t>
      </w:r>
      <w:r w:rsidR="00CC2083" w:rsidRPr="00BA2632">
        <w:t xml:space="preserve">Figure </w:t>
      </w:r>
      <w:r w:rsidR="00CC2083">
        <w:rPr>
          <w:noProof/>
        </w:rPr>
        <w:t>9</w:t>
      </w:r>
      <w:r w:rsidR="00CC2083">
        <w:rPr>
          <w:noProof/>
        </w:rPr>
        <w:noBreakHyphen/>
        <w:t>10</w:t>
      </w:r>
      <w:r w:rsidRPr="00BA2632">
        <w:t xml:space="preserve">). </w:t>
      </w:r>
      <w:r>
        <w:t xml:space="preserve">Indicator species analyses (not presented here) showed that while most species were </w:t>
      </w:r>
      <w:proofErr w:type="gramStart"/>
      <w:r>
        <w:t>found most commonly</w:t>
      </w:r>
      <w:proofErr w:type="gramEnd"/>
      <w:r>
        <w:t xml:space="preserve"> in Bar samples,</w:t>
      </w:r>
      <w:r w:rsidRPr="00BA2632">
        <w:t xml:space="preserve"> </w:t>
      </w:r>
      <w:r w:rsidRPr="00F84E09">
        <w:rPr>
          <w:i/>
          <w:iCs/>
        </w:rPr>
        <w:t>Juncus amabilis</w:t>
      </w:r>
      <w:r>
        <w:t xml:space="preserve"> and </w:t>
      </w:r>
      <w:proofErr w:type="spellStart"/>
      <w:r w:rsidRPr="0024647A">
        <w:rPr>
          <w:i/>
          <w:iCs/>
        </w:rPr>
        <w:t>Persicaria</w:t>
      </w:r>
      <w:proofErr w:type="spellEnd"/>
      <w:r>
        <w:t xml:space="preserve"> </w:t>
      </w:r>
      <w:r w:rsidRPr="00910275">
        <w:rPr>
          <w:i/>
          <w:iCs/>
        </w:rPr>
        <w:t>hydropiper</w:t>
      </w:r>
      <w:r>
        <w:t xml:space="preserve"> were associated with Bench samples, and </w:t>
      </w:r>
      <w:r w:rsidRPr="00BA2632">
        <w:rPr>
          <w:i/>
          <w:iCs/>
        </w:rPr>
        <w:t>Eucalyptus camaldulensis</w:t>
      </w:r>
      <w:r>
        <w:t xml:space="preserve"> seeds with Bank samples. </w:t>
      </w:r>
    </w:p>
    <w:p w14:paraId="0393B2B3" w14:textId="77777777" w:rsidR="00F54F74" w:rsidRPr="00BA2632" w:rsidRDefault="00F54F74" w:rsidP="00F54F74">
      <w:pPr>
        <w:keepNext/>
        <w:jc w:val="center"/>
      </w:pPr>
      <w:r w:rsidRPr="00E86785">
        <w:rPr>
          <w:noProof/>
          <w:lang w:val="en-GB"/>
        </w:rPr>
        <w:lastRenderedPageBreak/>
        <w:drawing>
          <wp:inline distT="0" distB="0" distL="0" distR="0" wp14:anchorId="4790472D" wp14:editId="20D62861">
            <wp:extent cx="6005735" cy="4000500"/>
            <wp:effectExtent l="0" t="0" r="0" b="0"/>
            <wp:docPr id="540" name="Picture 7" descr="Chart, bar chart&#10;&#10;Description automatically generated">
              <a:extLst xmlns:a="http://schemas.openxmlformats.org/drawingml/2006/main">
                <a:ext uri="{FF2B5EF4-FFF2-40B4-BE49-F238E27FC236}">
                  <a16:creationId xmlns:a16="http://schemas.microsoft.com/office/drawing/2014/main" id="{B8893ED8-67C6-4677-98B0-F356197FE7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7" descr="Chart, bar chart&#10;&#10;Description automatically generated">
                      <a:extLst>
                        <a:ext uri="{FF2B5EF4-FFF2-40B4-BE49-F238E27FC236}">
                          <a16:creationId xmlns:a16="http://schemas.microsoft.com/office/drawing/2014/main" id="{B8893ED8-67C6-4677-98B0-F356197FE769}"/>
                        </a:ext>
                      </a:extLst>
                    </pic:cNvPr>
                    <pic:cNvPicPr>
                      <a:picLocks noChangeAspect="1"/>
                    </pic:cNvPicPr>
                  </pic:nvPicPr>
                  <pic:blipFill>
                    <a:blip r:embed="rId94" cstate="email">
                      <a:extLst>
                        <a:ext uri="{28A0092B-C50C-407E-A947-70E740481C1C}">
                          <a14:useLocalDpi xmlns:a14="http://schemas.microsoft.com/office/drawing/2010/main"/>
                        </a:ext>
                      </a:extLst>
                    </a:blip>
                    <a:stretch>
                      <a:fillRect/>
                    </a:stretch>
                  </pic:blipFill>
                  <pic:spPr>
                    <a:xfrm>
                      <a:off x="0" y="0"/>
                      <a:ext cx="6013639" cy="4005765"/>
                    </a:xfrm>
                    <a:prstGeom prst="rect">
                      <a:avLst/>
                    </a:prstGeom>
                  </pic:spPr>
                </pic:pic>
              </a:graphicData>
            </a:graphic>
          </wp:inline>
        </w:drawing>
      </w:r>
    </w:p>
    <w:p w14:paraId="543B2E67" w14:textId="4506B9B7" w:rsidR="00F54F74" w:rsidRPr="00BA2632" w:rsidRDefault="00F54F74" w:rsidP="00F54F74">
      <w:pPr>
        <w:pStyle w:val="Caption"/>
      </w:pPr>
      <w:bookmarkStart w:id="583" w:name="_Ref42024315"/>
      <w:bookmarkStart w:id="584" w:name="_Toc52277298"/>
      <w:bookmarkStart w:id="585" w:name="_Toc83907791"/>
      <w:bookmarkStart w:id="586" w:name="_Toc84475768"/>
      <w:r w:rsidRPr="00BA2632">
        <w:t xml:space="preserve">Figure </w:t>
      </w:r>
      <w:r w:rsidR="00CC2083">
        <w:rPr>
          <w:noProof/>
        </w:rPr>
        <w:t>9</w:t>
      </w:r>
      <w:r w:rsidR="00B85158">
        <w:noBreakHyphen/>
      </w:r>
      <w:r w:rsidR="00CC2083">
        <w:rPr>
          <w:noProof/>
        </w:rPr>
        <w:t>10</w:t>
      </w:r>
      <w:bookmarkEnd w:id="583"/>
      <w:r w:rsidRPr="00BA2632">
        <w:t xml:space="preserve"> Taxa richness of material deposited on turf mats across different geomorphic features (Bar, Bench, Ledge, Bank, Air) at three sites, Darcy’s Track, Loch </w:t>
      </w:r>
      <w:proofErr w:type="gramStart"/>
      <w:r w:rsidRPr="00BA2632">
        <w:t>Garry</w:t>
      </w:r>
      <w:proofErr w:type="gramEnd"/>
      <w:r w:rsidRPr="00BA2632">
        <w:t xml:space="preserve"> and McCoy’s Bridge for retrievals following a winter and spring fresh in 2019</w:t>
      </w:r>
      <w:r>
        <w:t xml:space="preserve"> (R5 and R6, respectively) and a spring fresh in 2020 (R7)</w:t>
      </w:r>
      <w:r w:rsidRPr="00BA2632">
        <w:t xml:space="preserve">. Mats were stolen and thus no samples were collected for </w:t>
      </w:r>
      <w:r>
        <w:t>some</w:t>
      </w:r>
      <w:r w:rsidRPr="00BA2632">
        <w:t xml:space="preserve"> features at Darcy’s Track </w:t>
      </w:r>
      <w:r>
        <w:t>for</w:t>
      </w:r>
      <w:r w:rsidRPr="00BA2632">
        <w:t xml:space="preserve"> </w:t>
      </w:r>
      <w:r>
        <w:t>R6 and R7</w:t>
      </w:r>
      <w:r w:rsidRPr="00BA2632">
        <w:t>.</w:t>
      </w:r>
      <w:bookmarkEnd w:id="584"/>
      <w:bookmarkEnd w:id="585"/>
      <w:bookmarkEnd w:id="586"/>
    </w:p>
    <w:p w14:paraId="7D701A27" w14:textId="4C01E394" w:rsidR="00F54F74" w:rsidRPr="00BA2632" w:rsidRDefault="00F54F74" w:rsidP="00F54F74">
      <w:r>
        <w:t xml:space="preserve">As indicated by the overall models, </w:t>
      </w:r>
      <w:r w:rsidRPr="00BA2632">
        <w:t>the</w:t>
      </w:r>
      <w:r>
        <w:t>re was a positive</w:t>
      </w:r>
      <w:r w:rsidRPr="00BA2632">
        <w:t xml:space="preserve"> relationship between inundation duration and abundance of seeds deposited (</w:t>
      </w:r>
      <w:r w:rsidR="00CC2083" w:rsidRPr="00BA2632">
        <w:t xml:space="preserve">Figure </w:t>
      </w:r>
      <w:r w:rsidR="00CC2083">
        <w:rPr>
          <w:noProof/>
        </w:rPr>
        <w:t>9</w:t>
      </w:r>
      <w:r w:rsidR="00CC2083">
        <w:rPr>
          <w:noProof/>
        </w:rPr>
        <w:noBreakHyphen/>
        <w:t>11</w:t>
      </w:r>
      <w:r w:rsidRPr="00BA2632">
        <w:t xml:space="preserve">). </w:t>
      </w:r>
      <w:r>
        <w:t>However, this relationship was not a strong one (R</w:t>
      </w:r>
      <w:r w:rsidRPr="00602E11">
        <w:rPr>
          <w:vertAlign w:val="superscript"/>
        </w:rPr>
        <w:t>2</w:t>
      </w:r>
      <w:r>
        <w:t xml:space="preserve"> = 3%), with s</w:t>
      </w:r>
      <w:r w:rsidRPr="00BA2632">
        <w:t>ome features inundated for l</w:t>
      </w:r>
      <w:r>
        <w:t>ong periods (</w:t>
      </w:r>
      <w:proofErr w:type="gramStart"/>
      <w:r>
        <w:t>e.g.</w:t>
      </w:r>
      <w:proofErr w:type="gramEnd"/>
      <w:r>
        <w:t xml:space="preserve"> bars) receiving</w:t>
      </w:r>
      <w:r w:rsidRPr="00BA2632">
        <w:t xml:space="preserve"> similar abundances of propagules to those inundated for shorter periods (e.g. banks). Conversely, some features that were inundated for relatively short periods received high abundances of seeds (</w:t>
      </w:r>
      <w:proofErr w:type="gramStart"/>
      <w:r w:rsidRPr="00BA2632">
        <w:t>e.g.</w:t>
      </w:r>
      <w:proofErr w:type="gramEnd"/>
      <w:r w:rsidRPr="00BA2632">
        <w:t xml:space="preserve"> </w:t>
      </w:r>
      <w:r>
        <w:t>B</w:t>
      </w:r>
      <w:r w:rsidRPr="00BA2632">
        <w:t>enches at Loc</w:t>
      </w:r>
      <w:r>
        <w:t>h</w:t>
      </w:r>
      <w:r w:rsidRPr="00BA2632">
        <w:t xml:space="preserve"> Garry). </w:t>
      </w:r>
    </w:p>
    <w:p w14:paraId="50A84A38" w14:textId="77777777" w:rsidR="00F54F74" w:rsidRPr="00BA2632" w:rsidRDefault="00F54F74" w:rsidP="00F54F74"/>
    <w:p w14:paraId="63343084" w14:textId="77777777" w:rsidR="00F54F74" w:rsidRPr="00BA2632" w:rsidRDefault="00F54F74" w:rsidP="00F54F74">
      <w:pPr>
        <w:keepNext/>
        <w:jc w:val="center"/>
      </w:pPr>
      <w:r w:rsidRPr="002C1346">
        <w:rPr>
          <w:noProof/>
          <w:lang w:val="en-GB"/>
        </w:rPr>
        <w:drawing>
          <wp:inline distT="0" distB="0" distL="0" distR="0" wp14:anchorId="0666C645" wp14:editId="660B636E">
            <wp:extent cx="6057900" cy="2017265"/>
            <wp:effectExtent l="0" t="0" r="0" b="2540"/>
            <wp:docPr id="541" name="Picture 541" descr="C:\Users\greetj\Dropbox\Shared\GoulburnRiver\data\results\retrieval5&amp;6&amp;7_seedsbyday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reetj\Dropbox\Shared\GoulburnRiver\data\results\retrieval5&amp;6&amp;7_seedsbydays.tiff"/>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6067137" cy="2020341"/>
                    </a:xfrm>
                    <a:prstGeom prst="rect">
                      <a:avLst/>
                    </a:prstGeom>
                    <a:noFill/>
                    <a:ln>
                      <a:noFill/>
                    </a:ln>
                  </pic:spPr>
                </pic:pic>
              </a:graphicData>
            </a:graphic>
          </wp:inline>
        </w:drawing>
      </w:r>
    </w:p>
    <w:p w14:paraId="6436208D" w14:textId="6223BB2C" w:rsidR="00F54F74" w:rsidRPr="00BA2632" w:rsidRDefault="00F54F74" w:rsidP="00F54F74">
      <w:pPr>
        <w:pStyle w:val="Caption"/>
      </w:pPr>
      <w:bookmarkStart w:id="587" w:name="_Ref50043419"/>
      <w:bookmarkStart w:id="588" w:name="_Toc52277299"/>
      <w:bookmarkStart w:id="589" w:name="_Toc83907792"/>
      <w:bookmarkStart w:id="590" w:name="_Toc84475769"/>
      <w:r w:rsidRPr="00BA2632">
        <w:t xml:space="preserve">Figure </w:t>
      </w:r>
      <w:r w:rsidR="00CC2083">
        <w:rPr>
          <w:noProof/>
        </w:rPr>
        <w:t>9</w:t>
      </w:r>
      <w:r w:rsidR="00B85158">
        <w:noBreakHyphen/>
      </w:r>
      <w:r w:rsidR="00CC2083">
        <w:rPr>
          <w:noProof/>
        </w:rPr>
        <w:t>11</w:t>
      </w:r>
      <w:bookmarkEnd w:id="587"/>
      <w:r w:rsidRPr="00BA2632">
        <w:t xml:space="preserve"> Relationship between inundation duration and abundance of seeds deposited on mats across different geomorphic features (Bar, Bench, Ledge, Bank, Air) pooling across all three sites and events.</w:t>
      </w:r>
      <w:bookmarkEnd w:id="588"/>
      <w:bookmarkEnd w:id="589"/>
      <w:bookmarkEnd w:id="590"/>
      <w:r w:rsidRPr="00BA2632">
        <w:t xml:space="preserve"> </w:t>
      </w:r>
    </w:p>
    <w:p w14:paraId="0B8BB0F2" w14:textId="06FDFCDE" w:rsidR="00F54F74" w:rsidRPr="00BA2632" w:rsidRDefault="00F54F74" w:rsidP="00F54F74">
      <w:pPr>
        <w:rPr>
          <w:color w:val="000000"/>
        </w:rPr>
      </w:pPr>
      <w:r w:rsidRPr="00BA2632">
        <w:t xml:space="preserve">In contrast, the taxonomic richness of deposited seeds showed a </w:t>
      </w:r>
      <w:r>
        <w:t>better</w:t>
      </w:r>
      <w:r w:rsidRPr="00BA2632">
        <w:t xml:space="preserve"> correlation </w:t>
      </w:r>
      <w:r>
        <w:t>with</w:t>
      </w:r>
      <w:r w:rsidRPr="00BA2632">
        <w:t xml:space="preserve"> inundation duration (</w:t>
      </w:r>
      <w:r w:rsidR="00CC2083" w:rsidRPr="00BA2632">
        <w:t xml:space="preserve">Figure </w:t>
      </w:r>
      <w:r w:rsidR="00CC2083">
        <w:rPr>
          <w:noProof/>
        </w:rPr>
        <w:t>9</w:t>
      </w:r>
      <w:r w:rsidR="00CC2083">
        <w:rPr>
          <w:noProof/>
        </w:rPr>
        <w:noBreakHyphen/>
        <w:t>12</w:t>
      </w:r>
      <w:r w:rsidRPr="00BA2632">
        <w:t>). These divergent relationships are in part a result of the tendency of some of the commonly observed species (</w:t>
      </w:r>
      <w:proofErr w:type="gramStart"/>
      <w:r w:rsidRPr="00BA2632">
        <w:t>e.g.</w:t>
      </w:r>
      <w:proofErr w:type="gramEnd"/>
      <w:r w:rsidRPr="00BA2632">
        <w:t xml:space="preserve"> </w:t>
      </w:r>
      <w:r w:rsidRPr="00BA2632">
        <w:rPr>
          <w:i/>
        </w:rPr>
        <w:t>Cyperus</w:t>
      </w:r>
      <w:r w:rsidRPr="00BA2632">
        <w:t xml:space="preserve"> and </w:t>
      </w:r>
      <w:r w:rsidRPr="00BA2632">
        <w:rPr>
          <w:i/>
        </w:rPr>
        <w:t>Juncus</w:t>
      </w:r>
      <w:r w:rsidRPr="00BA2632">
        <w:t xml:space="preserve"> spp.) to produce large abundances of light buoyant seeds that are deposited along ‘strandlines’. Thus, </w:t>
      </w:r>
      <w:r w:rsidRPr="00BA2632">
        <w:rPr>
          <w:color w:val="000000"/>
        </w:rPr>
        <w:t xml:space="preserve">longer inundation generally increases the diversity of propagules (both floating and non-floating) arriving at a site, but not the </w:t>
      </w:r>
      <w:r w:rsidRPr="00BA2632">
        <w:rPr>
          <w:color w:val="000000"/>
        </w:rPr>
        <w:lastRenderedPageBreak/>
        <w:t>abundance of propagules, because large numbers of floating seeds are deposited along 'strandlines' where inundation periods are relatively short.</w:t>
      </w:r>
    </w:p>
    <w:p w14:paraId="090FE0BA" w14:textId="77777777" w:rsidR="00F54F74" w:rsidRPr="00BA2632" w:rsidRDefault="00F54F74" w:rsidP="00F54F74">
      <w:pPr>
        <w:pStyle w:val="Caption"/>
        <w:keepNext/>
        <w:jc w:val="center"/>
      </w:pPr>
      <w:r w:rsidRPr="002C1346">
        <w:rPr>
          <w:noProof/>
          <w:lang w:val="en-GB"/>
        </w:rPr>
        <w:drawing>
          <wp:inline distT="0" distB="0" distL="0" distR="0" wp14:anchorId="7F5A3879" wp14:editId="123F17D8">
            <wp:extent cx="6042660" cy="2012190"/>
            <wp:effectExtent l="0" t="0" r="0" b="7620"/>
            <wp:docPr id="542" name="Picture 542" descr="C:\Users\greetj\Dropbox\Shared\GoulburnRiver\data\results\retrieval5&amp;6&amp;7_taxabyday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reetj\Dropbox\Shared\GoulburnRiver\data\results\retrieval5&amp;6&amp;7_taxabydays.tiff"/>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6057598" cy="2017164"/>
                    </a:xfrm>
                    <a:prstGeom prst="rect">
                      <a:avLst/>
                    </a:prstGeom>
                    <a:noFill/>
                    <a:ln>
                      <a:noFill/>
                    </a:ln>
                  </pic:spPr>
                </pic:pic>
              </a:graphicData>
            </a:graphic>
          </wp:inline>
        </w:drawing>
      </w:r>
    </w:p>
    <w:p w14:paraId="412CE483" w14:textId="63CBA81C" w:rsidR="00F54F74" w:rsidRPr="00BA2632" w:rsidRDefault="00F54F74" w:rsidP="00F54F74">
      <w:pPr>
        <w:pStyle w:val="Caption"/>
      </w:pPr>
      <w:bookmarkStart w:id="591" w:name="_Ref50044049"/>
      <w:bookmarkStart w:id="592" w:name="_Toc52277300"/>
      <w:bookmarkStart w:id="593" w:name="_Toc83907793"/>
      <w:bookmarkStart w:id="594" w:name="_Toc84475770"/>
      <w:r w:rsidRPr="00BA2632">
        <w:t xml:space="preserve">Figure </w:t>
      </w:r>
      <w:r w:rsidR="00CC2083">
        <w:rPr>
          <w:noProof/>
        </w:rPr>
        <w:t>9</w:t>
      </w:r>
      <w:r w:rsidR="00B85158">
        <w:noBreakHyphen/>
      </w:r>
      <w:r w:rsidR="00CC2083">
        <w:rPr>
          <w:noProof/>
        </w:rPr>
        <w:t>12</w:t>
      </w:r>
      <w:bookmarkEnd w:id="591"/>
      <w:r w:rsidRPr="00BA2632">
        <w:t xml:space="preserve"> Relationship between inundation duration and taxa richness of seeds deposited on mats across different geomorphic features (Bar, Bench, Ledge, Bank, Air) pooling across all three sites and events.</w:t>
      </w:r>
      <w:bookmarkEnd w:id="592"/>
      <w:bookmarkEnd w:id="593"/>
      <w:bookmarkEnd w:id="594"/>
      <w:r w:rsidRPr="00BA2632">
        <w:t xml:space="preserve"> </w:t>
      </w:r>
    </w:p>
    <w:p w14:paraId="72473E1E" w14:textId="210CDE19" w:rsidR="00F54F74" w:rsidRPr="00BA2632" w:rsidRDefault="00F54F74" w:rsidP="00F54F74">
      <w:r w:rsidRPr="00BA2632">
        <w:t xml:space="preserve">Comparing the daily rates of </w:t>
      </w:r>
      <w:r>
        <w:t>sediment and seed</w:t>
      </w:r>
      <w:r w:rsidRPr="00BA2632">
        <w:t xml:space="preserve"> deposition and numbers of taxa recorded across all sites for the </w:t>
      </w:r>
      <w:r>
        <w:t>three</w:t>
      </w:r>
      <w:r w:rsidRPr="00BA2632">
        <w:t xml:space="preserve"> events </w:t>
      </w:r>
      <w:r>
        <w:t>reported on here</w:t>
      </w:r>
      <w:r w:rsidRPr="00BA2632">
        <w:t xml:space="preserve">, the </w:t>
      </w:r>
      <w:r>
        <w:t>spring</w:t>
      </w:r>
      <w:r w:rsidRPr="00BA2632">
        <w:t xml:space="preserve"> fresh event in </w:t>
      </w:r>
      <w:r>
        <w:t>2020</w:t>
      </w:r>
      <w:r w:rsidRPr="00BA2632">
        <w:t xml:space="preserve"> is notable for the </w:t>
      </w:r>
      <w:r>
        <w:t>large volumes o</w:t>
      </w:r>
      <w:r w:rsidR="000217C0">
        <w:t>f</w:t>
      </w:r>
      <w:r>
        <w:t xml:space="preserve"> sediment and </w:t>
      </w:r>
      <w:r w:rsidRPr="00BA2632">
        <w:t>abundances of seeds deposited</w:t>
      </w:r>
      <w:r>
        <w:t xml:space="preserve"> across all features</w:t>
      </w:r>
      <w:r w:rsidRPr="00BA2632">
        <w:t xml:space="preserve"> (</w:t>
      </w:r>
      <w:r w:rsidR="00CC2083" w:rsidRPr="00BA2632">
        <w:t xml:space="preserve">Figure </w:t>
      </w:r>
      <w:r w:rsidR="00CC2083">
        <w:rPr>
          <w:noProof/>
        </w:rPr>
        <w:t>9</w:t>
      </w:r>
      <w:r w:rsidR="00CC2083">
        <w:rPr>
          <w:noProof/>
        </w:rPr>
        <w:noBreakHyphen/>
        <w:t>13</w:t>
      </w:r>
      <w:r w:rsidRPr="00BA2632">
        <w:t xml:space="preserve">). </w:t>
      </w:r>
      <w:r>
        <w:t xml:space="preserve">Indicator species analyses indicate that large numbers of </w:t>
      </w:r>
      <w:r w:rsidRPr="003D4490">
        <w:rPr>
          <w:i/>
          <w:iCs/>
        </w:rPr>
        <w:t xml:space="preserve">Juncus </w:t>
      </w:r>
      <w:proofErr w:type="spellStart"/>
      <w:r w:rsidRPr="003D4490">
        <w:rPr>
          <w:i/>
          <w:iCs/>
        </w:rPr>
        <w:t>usitatus</w:t>
      </w:r>
      <w:proofErr w:type="spellEnd"/>
      <w:r>
        <w:t xml:space="preserve"> seeds were associated with this event. </w:t>
      </w:r>
      <w:r w:rsidRPr="00BA2632">
        <w:t xml:space="preserve">Conversely, plant taxonomic richness of deposited material has remained </w:t>
      </w:r>
      <w:proofErr w:type="gramStart"/>
      <w:r w:rsidRPr="00BA2632">
        <w:t>fairly consistent</w:t>
      </w:r>
      <w:proofErr w:type="gramEnd"/>
      <w:r w:rsidRPr="00BA2632">
        <w:t xml:space="preserve"> across events. </w:t>
      </w:r>
    </w:p>
    <w:p w14:paraId="3226FE82" w14:textId="77777777" w:rsidR="00F54F74" w:rsidRPr="00BA2632" w:rsidRDefault="00F54F74" w:rsidP="00F54F74">
      <w:pPr>
        <w:keepNext/>
        <w:jc w:val="center"/>
      </w:pPr>
      <w:r w:rsidRPr="0050032F">
        <w:rPr>
          <w:noProof/>
          <w:lang w:val="en-GB"/>
        </w:rPr>
        <w:drawing>
          <wp:inline distT="0" distB="0" distL="0" distR="0" wp14:anchorId="771D774F" wp14:editId="4627BD91">
            <wp:extent cx="6048876" cy="4366260"/>
            <wp:effectExtent l="0" t="0" r="9525" b="0"/>
            <wp:docPr id="14" name="Picture 5" descr="Chart, bar chart&#10;&#10;Description automatically generated">
              <a:extLst xmlns:a="http://schemas.openxmlformats.org/drawingml/2006/main">
                <a:ext uri="{FF2B5EF4-FFF2-40B4-BE49-F238E27FC236}">
                  <a16:creationId xmlns:a16="http://schemas.microsoft.com/office/drawing/2014/main" id="{F3E786B1-5501-4E0E-9DD1-6469E14061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descr="Chart, bar chart&#10;&#10;Description automatically generated">
                      <a:extLst>
                        <a:ext uri="{FF2B5EF4-FFF2-40B4-BE49-F238E27FC236}">
                          <a16:creationId xmlns:a16="http://schemas.microsoft.com/office/drawing/2014/main" id="{F3E786B1-5501-4E0E-9DD1-6469E140617C}"/>
                        </a:ext>
                      </a:extLst>
                    </pic:cNvPr>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0" y="0"/>
                      <a:ext cx="6071823" cy="4382824"/>
                    </a:xfrm>
                    <a:prstGeom prst="rect">
                      <a:avLst/>
                    </a:prstGeom>
                  </pic:spPr>
                </pic:pic>
              </a:graphicData>
            </a:graphic>
          </wp:inline>
        </w:drawing>
      </w:r>
    </w:p>
    <w:p w14:paraId="1CFE9393" w14:textId="0C2CF1BE" w:rsidR="00F54F74" w:rsidRDefault="00F54F74" w:rsidP="00F54F74">
      <w:pPr>
        <w:pStyle w:val="Caption"/>
      </w:pPr>
      <w:bookmarkStart w:id="595" w:name="_Ref49955762"/>
      <w:bookmarkStart w:id="596" w:name="_Toc52277301"/>
      <w:bookmarkStart w:id="597" w:name="_Toc83907794"/>
      <w:bookmarkStart w:id="598" w:name="_Toc84475771"/>
      <w:r w:rsidRPr="00BA2632">
        <w:t xml:space="preserve">Figure </w:t>
      </w:r>
      <w:r w:rsidR="00CC2083">
        <w:rPr>
          <w:noProof/>
        </w:rPr>
        <w:t>9</w:t>
      </w:r>
      <w:r w:rsidR="00B85158">
        <w:noBreakHyphen/>
      </w:r>
      <w:r w:rsidR="00CC2083">
        <w:rPr>
          <w:noProof/>
        </w:rPr>
        <w:t>13</w:t>
      </w:r>
      <w:bookmarkEnd w:id="595"/>
      <w:r w:rsidRPr="00BA2632">
        <w:t xml:space="preserve"> Sediment (g/day), seed abundance (seeds/day) and taxa richness of material deposited on turf mats across different geomorphic features (Bar, Bench, Ledge, Bank) across all three sites, for the </w:t>
      </w:r>
      <w:r>
        <w:t>three</w:t>
      </w:r>
      <w:r w:rsidRPr="00BA2632">
        <w:t xml:space="preserve"> events </w:t>
      </w:r>
      <w:r>
        <w:t>reported on here</w:t>
      </w:r>
      <w:r w:rsidRPr="00BA2632">
        <w:t xml:space="preserve"> (</w:t>
      </w:r>
      <w:r>
        <w:t>R5</w:t>
      </w:r>
      <w:r>
        <w:rPr>
          <w:rFonts w:cstheme="minorHAnsi"/>
        </w:rPr>
        <w:t>–</w:t>
      </w:r>
      <w:r>
        <w:t>7</w:t>
      </w:r>
      <w:r w:rsidRPr="00BA2632">
        <w:t xml:space="preserve">). N.B. </w:t>
      </w:r>
      <w:r>
        <w:t>R8 and R9 propagules</w:t>
      </w:r>
      <w:r w:rsidRPr="00BA2632">
        <w:t xml:space="preserve"> samples have </w:t>
      </w:r>
      <w:r>
        <w:t xml:space="preserve">yet to </w:t>
      </w:r>
      <w:r w:rsidRPr="00BA2632">
        <w:t xml:space="preserve">be </w:t>
      </w:r>
      <w:r>
        <w:t>fully</w:t>
      </w:r>
      <w:r w:rsidRPr="00BA2632">
        <w:t xml:space="preserve"> processed.</w:t>
      </w:r>
      <w:bookmarkEnd w:id="596"/>
      <w:bookmarkEnd w:id="597"/>
      <w:bookmarkEnd w:id="598"/>
    </w:p>
    <w:p w14:paraId="05657D29" w14:textId="4D661F4F" w:rsidR="00F54F74" w:rsidRPr="00D639AA" w:rsidRDefault="00F54F74" w:rsidP="00F54F74">
      <w:r>
        <w:lastRenderedPageBreak/>
        <w:t>Across all events, in general, the more sediment that is deposited the more seeds and taxa present within the samples (</w:t>
      </w:r>
      <w:r w:rsidR="00CC2083">
        <w:t xml:space="preserve">Figure </w:t>
      </w:r>
      <w:r w:rsidR="00CC2083">
        <w:rPr>
          <w:noProof/>
        </w:rPr>
        <w:t>9</w:t>
      </w:r>
      <w:r w:rsidR="00CC2083">
        <w:noBreakHyphen/>
      </w:r>
      <w:r w:rsidR="00CC2083">
        <w:rPr>
          <w:noProof/>
        </w:rPr>
        <w:t>14</w:t>
      </w:r>
      <w:r>
        <w:t>). This relationship is clearer for taxa (R</w:t>
      </w:r>
      <w:r w:rsidRPr="00602E11">
        <w:rPr>
          <w:vertAlign w:val="superscript"/>
        </w:rPr>
        <w:t>2</w:t>
      </w:r>
      <w:r>
        <w:t xml:space="preserve"> = 27%; </w:t>
      </w:r>
      <w:r w:rsidR="00CC2083">
        <w:t xml:space="preserve">Figure </w:t>
      </w:r>
      <w:r w:rsidR="00CC2083">
        <w:rPr>
          <w:noProof/>
        </w:rPr>
        <w:t>9</w:t>
      </w:r>
      <w:r w:rsidR="00CC2083">
        <w:noBreakHyphen/>
      </w:r>
      <w:r w:rsidR="00CC2083">
        <w:rPr>
          <w:noProof/>
        </w:rPr>
        <w:t>14</w:t>
      </w:r>
      <w:r>
        <w:t>) than for seeds (R</w:t>
      </w:r>
      <w:r w:rsidRPr="00602E11">
        <w:rPr>
          <w:vertAlign w:val="superscript"/>
        </w:rPr>
        <w:t>2</w:t>
      </w:r>
      <w:r>
        <w:t xml:space="preserve"> = 10%; </w:t>
      </w:r>
      <w:r w:rsidR="00CC2083">
        <w:t xml:space="preserve">Figure </w:t>
      </w:r>
      <w:r w:rsidR="00CC2083">
        <w:rPr>
          <w:noProof/>
        </w:rPr>
        <w:t>9</w:t>
      </w:r>
      <w:r w:rsidR="00CC2083">
        <w:noBreakHyphen/>
      </w:r>
      <w:r w:rsidR="00CC2083">
        <w:rPr>
          <w:noProof/>
        </w:rPr>
        <w:t>14</w:t>
      </w:r>
      <w:r>
        <w:t>), again, probably because of the predominance of a few species in the seeds deposited, particularly for events/samples with high seed abundances.</w:t>
      </w:r>
    </w:p>
    <w:p w14:paraId="217F36BC" w14:textId="77777777" w:rsidR="00F54F74" w:rsidRDefault="00F54F74" w:rsidP="0017479C">
      <w:pPr>
        <w:keepNext/>
        <w:jc w:val="center"/>
      </w:pPr>
      <w:r w:rsidRPr="00063538">
        <w:rPr>
          <w:noProof/>
          <w:lang w:val="en-GB"/>
        </w:rPr>
        <w:drawing>
          <wp:inline distT="0" distB="0" distL="0" distR="0" wp14:anchorId="31AC0B77" wp14:editId="39DF3CE1">
            <wp:extent cx="6120130" cy="4417058"/>
            <wp:effectExtent l="0" t="0" r="0" b="3175"/>
            <wp:docPr id="543" name="Picture 543" descr="C:\Users\greetj\Dropbox\Shared\GoulburnRiver\data\results\compall.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reetj\Dropbox\Shared\GoulburnRiver\data\results\compall.tiff"/>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6120130" cy="4417058"/>
                    </a:xfrm>
                    <a:prstGeom prst="rect">
                      <a:avLst/>
                    </a:prstGeom>
                    <a:noFill/>
                    <a:ln>
                      <a:noFill/>
                    </a:ln>
                  </pic:spPr>
                </pic:pic>
              </a:graphicData>
            </a:graphic>
          </wp:inline>
        </w:drawing>
      </w:r>
    </w:p>
    <w:p w14:paraId="28637D8D" w14:textId="3E873165" w:rsidR="00F54F74" w:rsidRDefault="00F54F74" w:rsidP="00F54F74">
      <w:pPr>
        <w:pStyle w:val="Caption"/>
      </w:pPr>
      <w:bookmarkStart w:id="599" w:name="_Ref81917769"/>
      <w:bookmarkStart w:id="600" w:name="_Toc83907795"/>
      <w:bookmarkStart w:id="601" w:name="_Toc84475772"/>
      <w:r>
        <w:t xml:space="preserve">Figure </w:t>
      </w:r>
      <w:r w:rsidR="00CC2083">
        <w:rPr>
          <w:noProof/>
        </w:rPr>
        <w:t>9</w:t>
      </w:r>
      <w:r w:rsidR="00B85158">
        <w:noBreakHyphen/>
      </w:r>
      <w:r w:rsidR="00CC2083">
        <w:rPr>
          <w:noProof/>
        </w:rPr>
        <w:t>14</w:t>
      </w:r>
      <w:bookmarkEnd w:id="599"/>
      <w:r>
        <w:t xml:space="preserve"> Relationship between sediment deposition and, A) seed abundance, or B) taxa richness of material </w:t>
      </w:r>
      <w:r w:rsidRPr="00BA2632">
        <w:t xml:space="preserve">deposited on turf mats across different geomorphic features (Bar, Bench, Ledge, Bank) across all three sites, for the </w:t>
      </w:r>
      <w:r>
        <w:t>three</w:t>
      </w:r>
      <w:r w:rsidRPr="00BA2632">
        <w:t xml:space="preserve"> events </w:t>
      </w:r>
      <w:r>
        <w:t>reported on here</w:t>
      </w:r>
      <w:r w:rsidRPr="00BA2632">
        <w:t xml:space="preserve"> (</w:t>
      </w:r>
      <w:r>
        <w:t>R5</w:t>
      </w:r>
      <w:r>
        <w:rPr>
          <w:rFonts w:cstheme="minorHAnsi"/>
        </w:rPr>
        <w:t>–</w:t>
      </w:r>
      <w:r>
        <w:t>7</w:t>
      </w:r>
      <w:r w:rsidRPr="00BA2632">
        <w:t>).</w:t>
      </w:r>
      <w:bookmarkEnd w:id="600"/>
      <w:bookmarkEnd w:id="601"/>
    </w:p>
    <w:p w14:paraId="57756C5F" w14:textId="77777777" w:rsidR="00E0026E" w:rsidRDefault="00E0026E">
      <w:pPr>
        <w:rPr>
          <w:rFonts w:ascii="Georgia" w:eastAsia="SimHei" w:hAnsi="Georgia" w:cs="Times New Roman"/>
          <w:b/>
          <w:color w:val="094183"/>
          <w:sz w:val="32"/>
          <w:szCs w:val="32"/>
          <w:lang w:eastAsia="en-US"/>
        </w:rPr>
      </w:pPr>
      <w:r>
        <w:br w:type="page"/>
      </w:r>
    </w:p>
    <w:p w14:paraId="1C53A38A" w14:textId="1B145E72" w:rsidR="00CA3EBC" w:rsidRDefault="00CA3EBC" w:rsidP="00272A33">
      <w:pPr>
        <w:pStyle w:val="Heading1"/>
      </w:pPr>
      <w:bookmarkStart w:id="602" w:name="_Ref83801520"/>
      <w:bookmarkStart w:id="603" w:name="_Toc84416122"/>
      <w:bookmarkStart w:id="604" w:name="_Toc84417416"/>
      <w:bookmarkStart w:id="605" w:name="_Toc84475709"/>
      <w:r w:rsidRPr="00BA2632">
        <w:lastRenderedPageBreak/>
        <w:t>Contingency Monitoring</w:t>
      </w:r>
      <w:r>
        <w:t xml:space="preserve"> – Pelagic Metabolism</w:t>
      </w:r>
      <w:bookmarkEnd w:id="602"/>
      <w:bookmarkEnd w:id="603"/>
      <w:bookmarkEnd w:id="604"/>
      <w:bookmarkEnd w:id="605"/>
    </w:p>
    <w:p w14:paraId="0C0D06B6" w14:textId="04F45EDB" w:rsidR="0091459A" w:rsidRDefault="0091459A" w:rsidP="00886D21">
      <w:pPr>
        <w:pStyle w:val="Heading2"/>
        <w:tabs>
          <w:tab w:val="left" w:pos="709"/>
        </w:tabs>
        <w:spacing w:before="240" w:after="120" w:line="240" w:lineRule="atLeast"/>
        <w:ind w:left="1418" w:hanging="1418"/>
        <w:jc w:val="left"/>
      </w:pPr>
      <w:bookmarkStart w:id="606" w:name="_Toc84416123"/>
      <w:bookmarkStart w:id="607" w:name="_Toc84417417"/>
      <w:bookmarkStart w:id="608" w:name="_Toc84475710"/>
      <w:r w:rsidRPr="00BA2632">
        <w:t>Introduction</w:t>
      </w:r>
      <w:bookmarkEnd w:id="606"/>
      <w:bookmarkEnd w:id="607"/>
      <w:bookmarkEnd w:id="608"/>
    </w:p>
    <w:p w14:paraId="6AC7196E" w14:textId="6E6EBA42" w:rsidR="0091459A" w:rsidRDefault="0091459A" w:rsidP="0091459A">
      <w:pPr>
        <w:rPr>
          <w:lang w:eastAsia="en-US"/>
        </w:rPr>
      </w:pPr>
      <w:r>
        <w:rPr>
          <w:lang w:eastAsia="en-US"/>
        </w:rPr>
        <w:t xml:space="preserve">As described above (Section </w:t>
      </w:r>
      <w:r w:rsidR="00CC2083">
        <w:rPr>
          <w:lang w:eastAsia="en-US"/>
        </w:rPr>
        <w:t>5</w:t>
      </w:r>
      <w:r>
        <w:rPr>
          <w:lang w:eastAsia="en-US"/>
        </w:rPr>
        <w:t xml:space="preserve">), stream metabolism is the production of organic carbon by photosynthesis and the consumption of that carbon through respiration (see Section </w:t>
      </w:r>
      <w:r w:rsidR="00CC2083">
        <w:rPr>
          <w:lang w:eastAsia="en-US"/>
        </w:rPr>
        <w:t>5</w:t>
      </w:r>
      <w:r>
        <w:rPr>
          <w:lang w:eastAsia="en-US"/>
        </w:rPr>
        <w:t xml:space="preserve"> for more detail). Within any body of water, metabolic processes can take place in two main locations. </w:t>
      </w:r>
      <w:r>
        <w:rPr>
          <w:i/>
          <w:iCs/>
          <w:lang w:eastAsia="en-US"/>
        </w:rPr>
        <w:t xml:space="preserve">Pelagic </w:t>
      </w:r>
      <w:r>
        <w:rPr>
          <w:lang w:eastAsia="en-US"/>
        </w:rPr>
        <w:t xml:space="preserve">metabolism occurs within the water column. Photosynthesis occurs through water-borne phytoplankton; respiration occurs through these phytoplankton and through other pelagic consumers such as micro-invertebrates (zooplankton) and bacteria. </w:t>
      </w:r>
      <w:r>
        <w:rPr>
          <w:i/>
          <w:iCs/>
          <w:lang w:eastAsia="en-US"/>
        </w:rPr>
        <w:t xml:space="preserve">Benthic </w:t>
      </w:r>
      <w:r w:rsidRPr="009179C6">
        <w:rPr>
          <w:lang w:eastAsia="en-US"/>
        </w:rPr>
        <w:t>metabolism occurs on the bed and hard surfaces within</w:t>
      </w:r>
      <w:r>
        <w:rPr>
          <w:i/>
          <w:iCs/>
          <w:lang w:eastAsia="en-US"/>
        </w:rPr>
        <w:t xml:space="preserve"> </w:t>
      </w:r>
      <w:r>
        <w:rPr>
          <w:lang w:eastAsia="en-US"/>
        </w:rPr>
        <w:t xml:space="preserve">the water body. Photosynthesis will occur in diatoms within biofilms, in macroalgae and in plants (macrophytes) on the stream bed. Hard surfaces like large woody debris and rocky substrates are ideal for the formation of biofilms. Respiration will occur within these same organisms </w:t>
      </w:r>
      <w:proofErr w:type="gramStart"/>
      <w:r>
        <w:rPr>
          <w:lang w:eastAsia="en-US"/>
        </w:rPr>
        <w:t>and also</w:t>
      </w:r>
      <w:proofErr w:type="gramEnd"/>
      <w:r>
        <w:rPr>
          <w:lang w:eastAsia="en-US"/>
        </w:rPr>
        <w:t xml:space="preserve"> in benthic bacteria and animals.</w:t>
      </w:r>
    </w:p>
    <w:p w14:paraId="73277C55" w14:textId="64F59B87" w:rsidR="0091459A" w:rsidRDefault="0091459A" w:rsidP="0091459A">
      <w:pPr>
        <w:rPr>
          <w:lang w:eastAsia="en-US"/>
        </w:rPr>
      </w:pPr>
      <w:r>
        <w:rPr>
          <w:lang w:eastAsia="en-US"/>
        </w:rPr>
        <w:t xml:space="preserve">The core monitoring program is measuring whole-stream metabolism across these two compartments in the Goulburn River (Section </w:t>
      </w:r>
      <w:r w:rsidR="00CC2083">
        <w:rPr>
          <w:lang w:eastAsia="en-US"/>
        </w:rPr>
        <w:t>5</w:t>
      </w:r>
      <w:r>
        <w:rPr>
          <w:lang w:eastAsia="en-US"/>
        </w:rPr>
        <w:t>), but it is useful to understand the relative contributions of benthic and pelagic environment</w:t>
      </w:r>
      <w:r w:rsidR="00A10307">
        <w:rPr>
          <w:lang w:eastAsia="en-US"/>
        </w:rPr>
        <w:t>s</w:t>
      </w:r>
      <w:r>
        <w:rPr>
          <w:lang w:eastAsia="en-US"/>
        </w:rPr>
        <w:t xml:space="preserve">, particularly with regards to organic carbon produced through photosynthesis. For pelagic production occurring in the water column, the organic carbon produced by photosynthesis is incorporated into the cells of new phytoplankton. These phytoplankton will remain in the water column and a great proportion will be exported from the Goulburn into the Murray River. That carbon is not ‘lost’, but it will primarily be a food source for organisms in the lower Murray River and potentially down into the Lower Lakes and Coorong. Conversely, organic carbon produced on the bed on the benthic surfaces of the Goulburn River will be incorporated into new diatoms in biofilms, and new macroalgal and plant biomass. This provides a food resource for local ‘scraper’ and ‘grazer’ invertebrates, which in turn provide a food source for larger invertebrates and small fish, and so on to the apex species such as Murray cod and golden perch. Put simply, the organic carbon produced by benthic photosynthesis will become a food source for higher-order consumers </w:t>
      </w:r>
      <w:r w:rsidRPr="003C3A00">
        <w:rPr>
          <w:i/>
          <w:iCs/>
          <w:lang w:eastAsia="en-US"/>
        </w:rPr>
        <w:t>within</w:t>
      </w:r>
      <w:r>
        <w:rPr>
          <w:lang w:eastAsia="en-US"/>
        </w:rPr>
        <w:t xml:space="preserve"> the lower Goulburn system.</w:t>
      </w:r>
    </w:p>
    <w:p w14:paraId="4CD9ADF5" w14:textId="115D315D" w:rsidR="0091459A" w:rsidRPr="009179C6" w:rsidRDefault="0091459A" w:rsidP="0091459A">
      <w:pPr>
        <w:rPr>
          <w:lang w:eastAsia="en-US"/>
        </w:rPr>
      </w:pPr>
      <w:r>
        <w:rPr>
          <w:lang w:eastAsia="en-US"/>
        </w:rPr>
        <w:t>Therefore, investigating the relative contributions of benthic and pelagic metabolism provides finer-grade information regarding the metabolic processes of the Goulburn River and importantly a better sense of whether the system might be food-limited. This is an important consideration when assessing the beneficial effects of environmental flows. In this contingency monitoring project, we set out to disentangle the two compartments of stream metabolism – primarily focusing on primary production – in the lower Goulburn River. We used the light-dark bottle method</w:t>
      </w:r>
      <w:r w:rsidR="00C539CE">
        <w:rPr>
          <w:lang w:eastAsia="en-US"/>
        </w:rPr>
        <w:t xml:space="preserve"> </w:t>
      </w:r>
      <w:r w:rsidR="00AC34E7">
        <w:rPr>
          <w:noProof/>
          <w:lang w:eastAsia="en-US"/>
        </w:rPr>
        <w:t>(Grace &amp; Imberger 2006)</w:t>
      </w:r>
      <w:r>
        <w:rPr>
          <w:lang w:eastAsia="en-US"/>
        </w:rPr>
        <w:t xml:space="preserve"> to measure </w:t>
      </w:r>
      <w:r w:rsidR="00A10307">
        <w:rPr>
          <w:lang w:eastAsia="en-US"/>
        </w:rPr>
        <w:t>pelagic</w:t>
      </w:r>
      <w:r>
        <w:rPr>
          <w:lang w:eastAsia="en-US"/>
        </w:rPr>
        <w:t xml:space="preserve"> production and respiration and then computed benthic metabolism by subtracting this amount from the whole stream metabolism being measured by the core program. This project was </w:t>
      </w:r>
      <w:r w:rsidR="00A10307">
        <w:rPr>
          <w:lang w:eastAsia="en-US"/>
        </w:rPr>
        <w:t>undertaken</w:t>
      </w:r>
      <w:r>
        <w:rPr>
          <w:lang w:eastAsia="en-US"/>
        </w:rPr>
        <w:t xml:space="preserve"> as a final year research project by Master of Engineering students at the university of Melbourne. The final report is included as </w:t>
      </w:r>
      <w:r w:rsidRPr="003D3E53">
        <w:rPr>
          <w:lang w:eastAsia="en-US"/>
        </w:rPr>
        <w:t xml:space="preserve">Appendix </w:t>
      </w:r>
      <w:r w:rsidR="0097756A">
        <w:rPr>
          <w:lang w:eastAsia="en-US"/>
        </w:rPr>
        <w:t>K</w:t>
      </w:r>
      <w:r>
        <w:rPr>
          <w:lang w:eastAsia="en-US"/>
        </w:rPr>
        <w:t xml:space="preserve">. This chapter will provide a brief overview of methods and results, with some being repeated from the report document. Full details are reported in </w:t>
      </w:r>
      <w:r w:rsidRPr="003D3E53">
        <w:rPr>
          <w:lang w:eastAsia="en-US"/>
        </w:rPr>
        <w:t xml:space="preserve">Appendix </w:t>
      </w:r>
      <w:r w:rsidR="0097756A">
        <w:rPr>
          <w:lang w:eastAsia="en-US"/>
        </w:rPr>
        <w:t>K</w:t>
      </w:r>
      <w:r>
        <w:rPr>
          <w:lang w:eastAsia="en-US"/>
        </w:rPr>
        <w:t>.</w:t>
      </w:r>
    </w:p>
    <w:p w14:paraId="55F36B31" w14:textId="508DBE1E" w:rsidR="0091459A" w:rsidRDefault="0091459A" w:rsidP="0091459A">
      <w:pPr>
        <w:pStyle w:val="Heading2"/>
      </w:pPr>
      <w:bookmarkStart w:id="609" w:name="_Toc84416124"/>
      <w:bookmarkStart w:id="610" w:name="_Toc84417418"/>
      <w:bookmarkStart w:id="611" w:name="_Toc84475711"/>
      <w:r w:rsidRPr="00BA2632">
        <w:t>Main findings from monitoring program</w:t>
      </w:r>
      <w:bookmarkEnd w:id="609"/>
      <w:bookmarkEnd w:id="610"/>
      <w:bookmarkEnd w:id="611"/>
    </w:p>
    <w:p w14:paraId="766412CF" w14:textId="77777777" w:rsidR="0091459A" w:rsidRDefault="0091459A" w:rsidP="0091459A">
      <w:pPr>
        <w:rPr>
          <w:lang w:eastAsia="en-US"/>
        </w:rPr>
      </w:pPr>
      <w:r>
        <w:rPr>
          <w:lang w:eastAsia="en-US"/>
        </w:rPr>
        <w:t>The main findings from the pelagic metabolism monitoring are:</w:t>
      </w:r>
    </w:p>
    <w:p w14:paraId="7832917F" w14:textId="77777777" w:rsidR="0091459A" w:rsidRDefault="0091459A" w:rsidP="00DE6E94">
      <w:pPr>
        <w:pStyle w:val="ListParagraph"/>
        <w:numPr>
          <w:ilvl w:val="0"/>
          <w:numId w:val="59"/>
        </w:numPr>
        <w:rPr>
          <w:lang w:eastAsia="en-US"/>
        </w:rPr>
      </w:pPr>
      <w:r>
        <w:rPr>
          <w:lang w:eastAsia="en-US"/>
        </w:rPr>
        <w:t>Most primary production in the lower Goulburn River is occurring on benthic surfaces. Across seven field visits, the proportion of whole-stream metabolism taking place in the benthic compartment varied between 75 and 99%.</w:t>
      </w:r>
    </w:p>
    <w:p w14:paraId="4704B08B" w14:textId="77777777" w:rsidR="0091459A" w:rsidRDefault="0091459A" w:rsidP="00DE6E94">
      <w:pPr>
        <w:pStyle w:val="ListParagraph"/>
        <w:numPr>
          <w:ilvl w:val="0"/>
          <w:numId w:val="59"/>
        </w:numPr>
        <w:rPr>
          <w:lang w:eastAsia="en-US"/>
        </w:rPr>
      </w:pPr>
      <w:r>
        <w:rPr>
          <w:lang w:eastAsia="en-US"/>
        </w:rPr>
        <w:t>Therefore, most of the organic carbon by photosynthesis in the lower Goulburn River produced is available to consumers in the immediate local area.</w:t>
      </w:r>
    </w:p>
    <w:p w14:paraId="19F5A4A2" w14:textId="77777777" w:rsidR="0091459A" w:rsidRDefault="0091459A" w:rsidP="00DE6E94">
      <w:pPr>
        <w:pStyle w:val="ListParagraph"/>
        <w:numPr>
          <w:ilvl w:val="0"/>
          <w:numId w:val="59"/>
        </w:numPr>
        <w:rPr>
          <w:lang w:eastAsia="en-US"/>
        </w:rPr>
      </w:pPr>
      <w:r>
        <w:rPr>
          <w:lang w:eastAsia="en-US"/>
        </w:rPr>
        <w:t>There is a strong relationship between pelagic primary production and light availability. The turbid waters of the lower Goulburn River mean that benthic primary production is depth limited.</w:t>
      </w:r>
    </w:p>
    <w:p w14:paraId="7FB9900C" w14:textId="77777777" w:rsidR="0091459A" w:rsidRDefault="0091459A" w:rsidP="00DE6E94">
      <w:pPr>
        <w:pStyle w:val="ListParagraph"/>
        <w:numPr>
          <w:ilvl w:val="0"/>
          <w:numId w:val="59"/>
        </w:numPr>
        <w:rPr>
          <w:lang w:eastAsia="en-US"/>
        </w:rPr>
      </w:pPr>
      <w:r>
        <w:rPr>
          <w:lang w:eastAsia="en-US"/>
        </w:rPr>
        <w:t xml:space="preserve">We did not detect a strong influence of temperature on the rate of pelagic metabolism, but this may reflect the restricted </w:t>
      </w:r>
      <w:proofErr w:type="gramStart"/>
      <w:r>
        <w:rPr>
          <w:lang w:eastAsia="en-US"/>
        </w:rPr>
        <w:t>time period</w:t>
      </w:r>
      <w:proofErr w:type="gramEnd"/>
      <w:r>
        <w:rPr>
          <w:lang w:eastAsia="en-US"/>
        </w:rPr>
        <w:t xml:space="preserve"> (5 months) and resulting narrow range of water temperatures over which data were collected.</w:t>
      </w:r>
    </w:p>
    <w:p w14:paraId="0CD81B37" w14:textId="77777777" w:rsidR="0091459A" w:rsidRDefault="0091459A" w:rsidP="00DE6E94">
      <w:pPr>
        <w:pStyle w:val="ListParagraph"/>
        <w:numPr>
          <w:ilvl w:val="0"/>
          <w:numId w:val="59"/>
        </w:numPr>
        <w:rPr>
          <w:lang w:eastAsia="en-US"/>
        </w:rPr>
      </w:pPr>
      <w:r>
        <w:rPr>
          <w:lang w:eastAsia="en-US"/>
        </w:rPr>
        <w:t>We did not detect any strong relationship between rates of production and nutrient availability. This result likely reflects the low nutrient status of the Goulburn River, typical of lowland Australian rivers.</w:t>
      </w:r>
    </w:p>
    <w:p w14:paraId="5998D463" w14:textId="77777777" w:rsidR="0091459A" w:rsidRDefault="0091459A" w:rsidP="00DE6E94">
      <w:pPr>
        <w:pStyle w:val="ListParagraph"/>
        <w:numPr>
          <w:ilvl w:val="0"/>
          <w:numId w:val="59"/>
        </w:numPr>
        <w:rPr>
          <w:lang w:eastAsia="en-US"/>
        </w:rPr>
      </w:pPr>
      <w:r>
        <w:rPr>
          <w:lang w:eastAsia="en-US"/>
        </w:rPr>
        <w:t xml:space="preserve">We did not detect any strong relationship between rates of production and pelagic chlorophyll levels. This is surprising, given that chlorophyll is an indicator of the </w:t>
      </w:r>
      <w:proofErr w:type="gramStart"/>
      <w:r>
        <w:rPr>
          <w:lang w:eastAsia="en-US"/>
        </w:rPr>
        <w:t>amount</w:t>
      </w:r>
      <w:proofErr w:type="gramEnd"/>
      <w:r>
        <w:rPr>
          <w:lang w:eastAsia="en-US"/>
        </w:rPr>
        <w:t xml:space="preserve"> of pelagic phytoplankton. This result is likely explained by the strong relationship between production and light availability – the mere presence of phytoplankton does not necessarily imply that it is photosynthesizing if there is light limitation.</w:t>
      </w:r>
    </w:p>
    <w:p w14:paraId="5718B7C6" w14:textId="77777777" w:rsidR="0091459A" w:rsidRDefault="0091459A" w:rsidP="0091459A">
      <w:pPr>
        <w:rPr>
          <w:lang w:eastAsia="en-US"/>
        </w:rPr>
      </w:pPr>
      <w:r>
        <w:rPr>
          <w:lang w:eastAsia="en-US"/>
        </w:rPr>
        <w:lastRenderedPageBreak/>
        <w:t>Implications of these findings for flow management of the lower Goulburn River</w:t>
      </w:r>
    </w:p>
    <w:p w14:paraId="6A4F10A7" w14:textId="6EFE190B" w:rsidR="0091459A" w:rsidRDefault="0091459A" w:rsidP="00DE6E94">
      <w:pPr>
        <w:pStyle w:val="ListParagraph"/>
        <w:numPr>
          <w:ilvl w:val="0"/>
          <w:numId w:val="59"/>
        </w:numPr>
        <w:rPr>
          <w:lang w:eastAsia="en-US"/>
        </w:rPr>
      </w:pPr>
      <w:r>
        <w:rPr>
          <w:lang w:eastAsia="en-US"/>
        </w:rPr>
        <w:t>With most primary production occurring in the warmer months of the year (</w:t>
      </w:r>
      <w:r w:rsidR="000217C0">
        <w:rPr>
          <w:lang w:eastAsia="en-US"/>
        </w:rPr>
        <w:t xml:space="preserve">determined </w:t>
      </w:r>
      <w:r>
        <w:rPr>
          <w:lang w:eastAsia="en-US"/>
        </w:rPr>
        <w:t>from the whole-stream metabolism monitoring), and with the strong dependence of benthic primary production on light availability, the best way to boost benthic primary production is to maintain low flows during the warmer months. Any periods of high flow should be short.</w:t>
      </w:r>
    </w:p>
    <w:p w14:paraId="763EBBD1" w14:textId="096C65C7" w:rsidR="0091459A" w:rsidRPr="006A5AE7" w:rsidRDefault="0091459A" w:rsidP="00DE6E94">
      <w:pPr>
        <w:pStyle w:val="ListParagraph"/>
        <w:numPr>
          <w:ilvl w:val="0"/>
          <w:numId w:val="59"/>
        </w:numPr>
        <w:rPr>
          <w:lang w:eastAsia="en-US"/>
        </w:rPr>
      </w:pPr>
      <w:r>
        <w:rPr>
          <w:lang w:eastAsia="en-US"/>
        </w:rPr>
        <w:t xml:space="preserve">Given the primacy of benthic primary production, whole stream primary production may be enhanced by increasing the availability of hard surfaces suitable for </w:t>
      </w:r>
      <w:proofErr w:type="spellStart"/>
      <w:r>
        <w:rPr>
          <w:lang w:eastAsia="en-US"/>
        </w:rPr>
        <w:t>biomfilm</w:t>
      </w:r>
      <w:proofErr w:type="spellEnd"/>
      <w:r>
        <w:rPr>
          <w:lang w:eastAsia="en-US"/>
        </w:rPr>
        <w:t xml:space="preserve"> formation in the lower Goulburn River. This includes the type of habitat augmentation being undertaken in the integrated research project (Section</w:t>
      </w:r>
      <w:r w:rsidR="003E6DA4">
        <w:rPr>
          <w:lang w:eastAsia="en-US"/>
        </w:rPr>
        <w:t xml:space="preserve"> </w:t>
      </w:r>
      <w:r w:rsidR="00CC2083">
        <w:rPr>
          <w:lang w:eastAsia="en-US"/>
        </w:rPr>
        <w:t>12</w:t>
      </w:r>
      <w:r>
        <w:rPr>
          <w:lang w:eastAsia="en-US"/>
        </w:rPr>
        <w:t>).</w:t>
      </w:r>
    </w:p>
    <w:p w14:paraId="5FB8495E" w14:textId="1AEE84D4" w:rsidR="0091459A" w:rsidRDefault="0091459A" w:rsidP="0091459A">
      <w:pPr>
        <w:pStyle w:val="Heading2"/>
      </w:pPr>
      <w:bookmarkStart w:id="612" w:name="_Toc84416125"/>
      <w:bookmarkStart w:id="613" w:name="_Toc84417419"/>
      <w:bookmarkStart w:id="614" w:name="_Toc84475712"/>
      <w:r>
        <w:t>Methods</w:t>
      </w:r>
      <w:bookmarkEnd w:id="612"/>
      <w:bookmarkEnd w:id="613"/>
      <w:bookmarkEnd w:id="614"/>
    </w:p>
    <w:p w14:paraId="3BE39283" w14:textId="5006C727" w:rsidR="0091459A" w:rsidRDefault="0091459A" w:rsidP="0091459A">
      <w:pPr>
        <w:rPr>
          <w:lang w:eastAsia="en-US"/>
        </w:rPr>
      </w:pPr>
      <w:r>
        <w:rPr>
          <w:lang w:eastAsia="en-US"/>
        </w:rPr>
        <w:t xml:space="preserve">We used the ‘light and dark bottle method’ </w:t>
      </w:r>
      <w:r w:rsidR="00AC34E7">
        <w:rPr>
          <w:noProof/>
          <w:lang w:eastAsia="en-US"/>
        </w:rPr>
        <w:t>(Grace &amp; Imberger 2006)</w:t>
      </w:r>
      <w:r>
        <w:rPr>
          <w:lang w:eastAsia="en-US"/>
        </w:rPr>
        <w:t xml:space="preserve"> to determine pelagic primary production and respiration. W</w:t>
      </w:r>
      <w:r w:rsidRPr="00475D77">
        <w:rPr>
          <w:lang w:eastAsia="en-US"/>
        </w:rPr>
        <w:t>ater samples are collected in transparent (light) and opaque (dark) bottles. The bottles are then suspended at different depths in the water column (</w:t>
      </w:r>
      <w:r w:rsidR="00CC2083">
        <w:t xml:space="preserve">Figure </w:t>
      </w:r>
      <w:r w:rsidR="00CC2083">
        <w:rPr>
          <w:noProof/>
        </w:rPr>
        <w:t>10</w:t>
      </w:r>
      <w:r w:rsidR="00CC2083">
        <w:noBreakHyphen/>
      </w:r>
      <w:proofErr w:type="gramStart"/>
      <w:r w:rsidR="00CC2083">
        <w:rPr>
          <w:noProof/>
        </w:rPr>
        <w:t>1</w:t>
      </w:r>
      <w:r>
        <w:rPr>
          <w:lang w:eastAsia="en-US"/>
        </w:rPr>
        <w:t xml:space="preserve"> </w:t>
      </w:r>
      <w:r w:rsidRPr="00475D77">
        <w:rPr>
          <w:lang w:eastAsia="en-US"/>
        </w:rPr>
        <w:t>)</w:t>
      </w:r>
      <w:proofErr w:type="gramEnd"/>
      <w:r w:rsidRPr="00475D77">
        <w:rPr>
          <w:lang w:eastAsia="en-US"/>
        </w:rPr>
        <w:t xml:space="preserve"> to </w:t>
      </w:r>
      <w:r>
        <w:rPr>
          <w:lang w:eastAsia="en-US"/>
        </w:rPr>
        <w:t>assess</w:t>
      </w:r>
      <w:r w:rsidRPr="00475D77">
        <w:rPr>
          <w:lang w:eastAsia="en-US"/>
        </w:rPr>
        <w:t xml:space="preserve"> the effect of light penetration on photosynthesis through measuring the concentration of dissolved oxygen</w:t>
      </w:r>
      <w:r>
        <w:rPr>
          <w:lang w:eastAsia="en-US"/>
        </w:rPr>
        <w:t xml:space="preserve"> (DO)</w:t>
      </w:r>
      <w:r w:rsidRPr="00475D77">
        <w:rPr>
          <w:lang w:eastAsia="en-US"/>
        </w:rPr>
        <w:t xml:space="preserve">. The water column DO is measured before deployment and the bottle DO is measured after deployment to identify the change in DO at various depths. From the DO change in the dark bottles, we can identify the respiration rate, while the light bottles </w:t>
      </w:r>
      <w:r>
        <w:rPr>
          <w:lang w:eastAsia="en-US"/>
        </w:rPr>
        <w:t>experience both</w:t>
      </w:r>
      <w:r w:rsidRPr="00475D77">
        <w:rPr>
          <w:lang w:eastAsia="en-US"/>
        </w:rPr>
        <w:t xml:space="preserve"> respiration and photosynthesis</w:t>
      </w:r>
      <w:r>
        <w:rPr>
          <w:lang w:eastAsia="en-US"/>
        </w:rPr>
        <w:t xml:space="preserve">. </w:t>
      </w:r>
    </w:p>
    <w:p w14:paraId="24786CA1" w14:textId="77777777" w:rsidR="0091459A" w:rsidRDefault="0091459A" w:rsidP="003666B1">
      <w:pPr>
        <w:jc w:val="center"/>
        <w:rPr>
          <w:lang w:eastAsia="en-US"/>
        </w:rPr>
      </w:pPr>
      <w:r>
        <w:rPr>
          <w:noProof/>
          <w:lang w:val="en-GB"/>
        </w:rPr>
        <w:drawing>
          <wp:inline distT="0" distB="0" distL="0" distR="0" wp14:anchorId="625A60E6" wp14:editId="3F0B21D2">
            <wp:extent cx="6120130" cy="2063115"/>
            <wp:effectExtent l="0" t="0" r="0" b="0"/>
            <wp:docPr id="5" name="Picture 5"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diagram&#10;&#10;Description automatically generated"/>
                    <pic:cNvPicPr/>
                  </pic:nvPicPr>
                  <pic:blipFill>
                    <a:blip r:embed="rId99" cstate="email">
                      <a:extLst>
                        <a:ext uri="{28A0092B-C50C-407E-A947-70E740481C1C}">
                          <a14:useLocalDpi xmlns:a14="http://schemas.microsoft.com/office/drawing/2010/main"/>
                        </a:ext>
                      </a:extLst>
                    </a:blip>
                    <a:stretch>
                      <a:fillRect/>
                    </a:stretch>
                  </pic:blipFill>
                  <pic:spPr>
                    <a:xfrm>
                      <a:off x="0" y="0"/>
                      <a:ext cx="6120130" cy="2063115"/>
                    </a:xfrm>
                    <a:prstGeom prst="rect">
                      <a:avLst/>
                    </a:prstGeom>
                  </pic:spPr>
                </pic:pic>
              </a:graphicData>
            </a:graphic>
          </wp:inline>
        </w:drawing>
      </w:r>
    </w:p>
    <w:p w14:paraId="3AEC2971" w14:textId="12032446" w:rsidR="0091459A" w:rsidRDefault="0091459A" w:rsidP="0091459A">
      <w:pPr>
        <w:pStyle w:val="Caption"/>
      </w:pPr>
      <w:bookmarkStart w:id="615" w:name="_Ref80887330"/>
      <w:bookmarkStart w:id="616" w:name="_Toc83907796"/>
      <w:bookmarkStart w:id="617" w:name="_Toc84475773"/>
      <w:r>
        <w:t xml:space="preserve">Figure </w:t>
      </w:r>
      <w:r w:rsidR="00CC2083">
        <w:rPr>
          <w:noProof/>
        </w:rPr>
        <w:t>10</w:t>
      </w:r>
      <w:r w:rsidR="00B85158">
        <w:noBreakHyphen/>
      </w:r>
      <w:r w:rsidR="00CC2083">
        <w:rPr>
          <w:noProof/>
        </w:rPr>
        <w:t>1</w:t>
      </w:r>
      <w:bookmarkEnd w:id="615"/>
      <w:r>
        <w:t xml:space="preserve"> Schematic diagram of the light-dark bottle setup in the river.</w:t>
      </w:r>
      <w:bookmarkEnd w:id="616"/>
      <w:bookmarkEnd w:id="617"/>
    </w:p>
    <w:p w14:paraId="10FE9C6F" w14:textId="65B53D64" w:rsidR="0091459A" w:rsidRDefault="0091459A" w:rsidP="0091459A">
      <w:r>
        <w:t>The light (clear) and dark (opaque) bottles were filled using surface water from the middle of the river. Three identical bottle chains were formed with the light bottles suspended at the surface and depths of 1 m and 2 m, and one dark bottle (the bottle was wrapped with gaffer tape) attached to the chain near the stream bed (</w:t>
      </w:r>
      <w:r w:rsidR="00CC2083">
        <w:t xml:space="preserve">Figure </w:t>
      </w:r>
      <w:r w:rsidR="00CC2083">
        <w:rPr>
          <w:noProof/>
        </w:rPr>
        <w:t>10</w:t>
      </w:r>
      <w:r w:rsidR="00CC2083">
        <w:noBreakHyphen/>
      </w:r>
      <w:r w:rsidR="00CC2083">
        <w:rPr>
          <w:noProof/>
        </w:rPr>
        <w:t>1</w:t>
      </w:r>
      <w:r>
        <w:t>). A buoy was attached to the bottle chains to keep it afloat, and a 2-kg weight was suspended at the bottom to prevent the chains from moving. Three light and temperature loggers (HOBO MX2202 Temp/Light) were attached to one bottle chain at the same depths as the light bottles. The bottle chains were left in the water column for a minimum of an hour and thirty minutes.</w:t>
      </w:r>
    </w:p>
    <w:p w14:paraId="12C413A3" w14:textId="77777777" w:rsidR="0091459A" w:rsidRDefault="0091459A" w:rsidP="0091459A">
      <w:r>
        <w:t xml:space="preserve">From the same section of the river, a YSI multiprobe </w:t>
      </w:r>
      <w:proofErr w:type="spellStart"/>
      <w:r>
        <w:t>ProDSS</w:t>
      </w:r>
      <w:proofErr w:type="spellEnd"/>
      <w:r>
        <w:t xml:space="preserve"> was used to determine the temperature, turbidity, conductivity, pH, and dissolved oxygen levels of the river water.</w:t>
      </w:r>
    </w:p>
    <w:p w14:paraId="0732085E" w14:textId="77777777" w:rsidR="0091459A" w:rsidRDefault="0091459A" w:rsidP="0091459A">
      <w:r>
        <w:t>A sample of water was taken for chlorophyll analysis after rinsing a bucket with the same water. A syringe was used to filter approximately 800 ml (with the exact amount being recorded) of the water sample through a 0.7-micron filter paper. The filter paper with the residue was wrapped in aluminium foil and stored in a cooler to be sent for laboratory analysis of Chlorophyll-a levels.</w:t>
      </w:r>
    </w:p>
    <w:p w14:paraId="2577C1D0" w14:textId="37C0CD83" w:rsidR="0091459A" w:rsidRPr="00475D77" w:rsidRDefault="0091459A" w:rsidP="0091459A">
      <w:r>
        <w:t>The bottle chains were retrieved from the river after an hour and thirty minutes and the exact time of removal was recorded for each bottle chain. The dissolved oxygen level in each bottle was measured using the DO YSI Probe and 80</w:t>
      </w:r>
      <w:r w:rsidR="00A10307">
        <w:t xml:space="preserve"> </w:t>
      </w:r>
      <w:r>
        <w:t>ml of water sample</w:t>
      </w:r>
      <w:r w:rsidR="00A10307">
        <w:t>d</w:t>
      </w:r>
      <w:r>
        <w:t xml:space="preserve"> from five bottles randomly chosen in the bottle chain was filtered through a 0.2-micron filter separately into five 65 ml clear plastic bottles. The bottles were stored in a cooler with ice, to be taken back to the lab for nutrient </w:t>
      </w:r>
      <w:r w:rsidR="00A35B48">
        <w:t xml:space="preserve">concentration </w:t>
      </w:r>
      <w:r>
        <w:t>analysis. Chemical and chlorophyll analyses were undertaken at the NATA-accredited Water Studies Centre laboratory that is also used for other water quality measurements in the lower Goulburn MER Program.</w:t>
      </w:r>
    </w:p>
    <w:p w14:paraId="7E52FCDC" w14:textId="2095FB18" w:rsidR="0091459A" w:rsidRDefault="0091459A" w:rsidP="0091459A">
      <w:pPr>
        <w:pStyle w:val="Heading2"/>
      </w:pPr>
      <w:bookmarkStart w:id="618" w:name="_Toc84416126"/>
      <w:bookmarkStart w:id="619" w:name="_Toc84417420"/>
      <w:bookmarkStart w:id="620" w:name="_Toc84475713"/>
      <w:r>
        <w:lastRenderedPageBreak/>
        <w:t>Sites and sample dates</w:t>
      </w:r>
      <w:bookmarkEnd w:id="618"/>
      <w:bookmarkEnd w:id="619"/>
      <w:bookmarkEnd w:id="620"/>
      <w:r>
        <w:t xml:space="preserve"> </w:t>
      </w:r>
    </w:p>
    <w:p w14:paraId="50BB7BE2" w14:textId="2EC14E6D" w:rsidR="0091459A" w:rsidRDefault="0091459A" w:rsidP="0091459A">
      <w:pPr>
        <w:rPr>
          <w:lang w:eastAsia="en-US"/>
        </w:rPr>
      </w:pPr>
      <w:r>
        <w:rPr>
          <w:lang w:eastAsia="en-US"/>
        </w:rPr>
        <w:t xml:space="preserve">Monitoring was undertaken at sites: Darcy’s Track, Loch </w:t>
      </w:r>
      <w:proofErr w:type="gramStart"/>
      <w:r>
        <w:rPr>
          <w:lang w:eastAsia="en-US"/>
        </w:rPr>
        <w:t>Garry</w:t>
      </w:r>
      <w:proofErr w:type="gramEnd"/>
      <w:r>
        <w:rPr>
          <w:lang w:eastAsia="en-US"/>
        </w:rPr>
        <w:t xml:space="preserve"> and McCoy’s Bridge. These sites are fully described in other chapters of this report (see </w:t>
      </w:r>
      <w:r w:rsidR="00CC2083" w:rsidRPr="00BA2632">
        <w:t xml:space="preserve">Figure </w:t>
      </w:r>
      <w:r w:rsidR="00CC2083">
        <w:rPr>
          <w:noProof/>
        </w:rPr>
        <w:t>2</w:t>
      </w:r>
      <w:r w:rsidR="00CC2083">
        <w:noBreakHyphen/>
      </w:r>
      <w:r w:rsidR="00CC2083">
        <w:rPr>
          <w:noProof/>
        </w:rPr>
        <w:t>1</w:t>
      </w:r>
      <w:r>
        <w:rPr>
          <w:lang w:eastAsia="en-US"/>
        </w:rPr>
        <w:t>).</w:t>
      </w:r>
    </w:p>
    <w:p w14:paraId="438C5F99" w14:textId="0C353DCF" w:rsidR="0091459A" w:rsidRDefault="0091459A" w:rsidP="0091459A">
      <w:pPr>
        <w:rPr>
          <w:lang w:eastAsia="en-US"/>
        </w:rPr>
      </w:pPr>
      <w:r>
        <w:rPr>
          <w:lang w:eastAsia="en-US"/>
        </w:rPr>
        <w:t xml:space="preserve">We undertook seven field trips (22 December 2020, 11 January 2021, 27 January 2021, 8 February 2021, 28 February 2021, 14 March 2021, </w:t>
      </w:r>
      <w:r w:rsidR="00A10307">
        <w:rPr>
          <w:lang w:eastAsia="en-US"/>
        </w:rPr>
        <w:t xml:space="preserve">7 </w:t>
      </w:r>
      <w:r>
        <w:rPr>
          <w:lang w:eastAsia="en-US"/>
        </w:rPr>
        <w:t>April 2021). Each trip began on the day listed and ran for two days. Generally, we completed monitoring at two sites on the first day and then the third site on the second day.</w:t>
      </w:r>
    </w:p>
    <w:p w14:paraId="7B3C49E5" w14:textId="2774FDB7" w:rsidR="0091459A" w:rsidRDefault="0091459A" w:rsidP="0091459A">
      <w:pPr>
        <w:pStyle w:val="Heading2"/>
      </w:pPr>
      <w:bookmarkStart w:id="621" w:name="_Toc84416127"/>
      <w:bookmarkStart w:id="622" w:name="_Toc84417421"/>
      <w:bookmarkStart w:id="623" w:name="_Toc84475714"/>
      <w:r>
        <w:t>Data analysis</w:t>
      </w:r>
      <w:bookmarkEnd w:id="621"/>
      <w:bookmarkEnd w:id="622"/>
      <w:bookmarkEnd w:id="623"/>
    </w:p>
    <w:p w14:paraId="52EBC3D0" w14:textId="00260DFC" w:rsidR="0091459A" w:rsidRDefault="0091459A" w:rsidP="0091459A">
      <w:pPr>
        <w:rPr>
          <w:lang w:eastAsia="en-US"/>
        </w:rPr>
      </w:pPr>
      <w:r>
        <w:rPr>
          <w:lang w:eastAsia="en-US"/>
        </w:rPr>
        <w:t xml:space="preserve">Data analyses are described fully in Appendix </w:t>
      </w:r>
      <w:r w:rsidR="0097756A">
        <w:rPr>
          <w:lang w:eastAsia="en-US"/>
        </w:rPr>
        <w:t>K</w:t>
      </w:r>
      <w:r>
        <w:rPr>
          <w:lang w:eastAsia="en-US"/>
        </w:rPr>
        <w:t>. Importantly, it should be noted.</w:t>
      </w:r>
    </w:p>
    <w:p w14:paraId="39C3D283" w14:textId="77777777" w:rsidR="0091459A" w:rsidRDefault="0091459A" w:rsidP="00DE6E94">
      <w:pPr>
        <w:pStyle w:val="ListParagraph"/>
        <w:numPr>
          <w:ilvl w:val="0"/>
          <w:numId w:val="59"/>
        </w:numPr>
        <w:rPr>
          <w:lang w:eastAsia="en-US"/>
        </w:rPr>
      </w:pPr>
      <w:r>
        <w:rPr>
          <w:lang w:eastAsia="en-US"/>
        </w:rPr>
        <w:t>High variability meant that estimates of production and respiration were averaged at the different depths at each site and for each visit.</w:t>
      </w:r>
    </w:p>
    <w:p w14:paraId="286FBE2A" w14:textId="77777777" w:rsidR="0091459A" w:rsidRDefault="0091459A" w:rsidP="00DE6E94">
      <w:pPr>
        <w:pStyle w:val="ListParagraph"/>
        <w:numPr>
          <w:ilvl w:val="0"/>
          <w:numId w:val="59"/>
        </w:numPr>
        <w:rPr>
          <w:lang w:eastAsia="en-US"/>
        </w:rPr>
      </w:pPr>
      <w:r>
        <w:rPr>
          <w:lang w:eastAsia="en-US"/>
        </w:rPr>
        <w:t>Similarly, nutrient and chlorophyll concentrations were also averaged.</w:t>
      </w:r>
    </w:p>
    <w:p w14:paraId="61DF0B2D" w14:textId="77777777" w:rsidR="0091459A" w:rsidRDefault="0091459A" w:rsidP="00DE6E94">
      <w:pPr>
        <w:pStyle w:val="ListParagraph"/>
        <w:numPr>
          <w:ilvl w:val="0"/>
          <w:numId w:val="59"/>
        </w:numPr>
        <w:rPr>
          <w:lang w:eastAsia="en-US"/>
        </w:rPr>
      </w:pPr>
      <w:r w:rsidRPr="00B64C02">
        <w:rPr>
          <w:lang w:eastAsia="en-US"/>
        </w:rPr>
        <w:t xml:space="preserve">Even after averaging, oxygen concentrations for the different depths were still very variable, precluding a direct approach to estimating a pelagic metabolism at each site x time combination. Instead, pelagic metabolism was determined using a combination of modelling and extrapolation. First, we plotted measured </w:t>
      </w:r>
      <w:r>
        <w:rPr>
          <w:lang w:eastAsia="en-US"/>
        </w:rPr>
        <w:t>production</w:t>
      </w:r>
      <w:r w:rsidRPr="00B64C02">
        <w:rPr>
          <w:lang w:eastAsia="en-US"/>
        </w:rPr>
        <w:t xml:space="preserve"> against light, pooling all data from all trips, and determining the relationship. Another relationship was then substituted for light based on the light vs</w:t>
      </w:r>
      <w:r>
        <w:rPr>
          <w:lang w:eastAsia="en-US"/>
        </w:rPr>
        <w:t>.</w:t>
      </w:r>
      <w:r w:rsidRPr="00B64C02">
        <w:rPr>
          <w:lang w:eastAsia="en-US"/>
        </w:rPr>
        <w:t xml:space="preserve"> depth relationship for each site visit. This gave a relationship for GPP based on the depth of the water column</w:t>
      </w:r>
      <w:r>
        <w:rPr>
          <w:lang w:eastAsia="en-US"/>
        </w:rPr>
        <w:t xml:space="preserve"> for that site x time combination</w:t>
      </w:r>
      <w:r w:rsidRPr="00B64C02">
        <w:rPr>
          <w:lang w:eastAsia="en-US"/>
        </w:rPr>
        <w:t xml:space="preserve">. This relationship was then used to model the rate of pelagic metabolism for the entire cross-section of the river at each site where sampling had taken place (cross-section data were provided by </w:t>
      </w:r>
      <w:proofErr w:type="spellStart"/>
      <w:r w:rsidRPr="00B64C02">
        <w:rPr>
          <w:lang w:eastAsia="en-US"/>
        </w:rPr>
        <w:t>Streamology</w:t>
      </w:r>
      <w:proofErr w:type="spellEnd"/>
      <w:r w:rsidRPr="00B64C02">
        <w:rPr>
          <w:lang w:eastAsia="en-US"/>
        </w:rPr>
        <w:t>). These cross-sectional values of pelagic GPP formed the basis of analysis against all other measured parameters.</w:t>
      </w:r>
    </w:p>
    <w:p w14:paraId="44BCA6D9" w14:textId="636C1D81" w:rsidR="0091459A" w:rsidRDefault="0091459A" w:rsidP="00DE6E94">
      <w:pPr>
        <w:pStyle w:val="ListParagraph"/>
        <w:numPr>
          <w:ilvl w:val="0"/>
          <w:numId w:val="59"/>
        </w:numPr>
        <w:rPr>
          <w:lang w:eastAsia="en-US"/>
        </w:rPr>
      </w:pPr>
      <w:r>
        <w:rPr>
          <w:lang w:eastAsia="en-US"/>
        </w:rPr>
        <w:t xml:space="preserve">Additional operations were used to make whole-stream metabolism data comparable to the pelagic metabolism data on the days of pelagic sampling. This involved some smoothing and interpolation around values that did not meet the ‘good fit’ criterion employed in the whole-stream metabolism program (Appendix </w:t>
      </w:r>
      <w:r w:rsidR="0097756A">
        <w:rPr>
          <w:lang w:eastAsia="en-US"/>
        </w:rPr>
        <w:t>K</w:t>
      </w:r>
      <w:r>
        <w:rPr>
          <w:lang w:eastAsia="en-US"/>
        </w:rPr>
        <w:t>).</w:t>
      </w:r>
    </w:p>
    <w:p w14:paraId="1459A315" w14:textId="77777777" w:rsidR="0091459A" w:rsidRDefault="0091459A" w:rsidP="00DE6E94">
      <w:pPr>
        <w:pStyle w:val="ListParagraph"/>
        <w:numPr>
          <w:ilvl w:val="0"/>
          <w:numId w:val="59"/>
        </w:numPr>
        <w:rPr>
          <w:lang w:eastAsia="en-US"/>
        </w:rPr>
      </w:pPr>
      <w:r>
        <w:rPr>
          <w:lang w:eastAsia="en-US"/>
        </w:rPr>
        <w:t>Euphotic depth (depth where light intensity is reduced to 1% of the surface value and the point at which photosynthesis is assumed to cease) were determined using the recorded depth vs light relationship.</w:t>
      </w:r>
    </w:p>
    <w:p w14:paraId="4DD224B6" w14:textId="68A7A0B3" w:rsidR="0091459A" w:rsidRPr="00AB5BCA" w:rsidRDefault="0091459A" w:rsidP="00DE6E94">
      <w:pPr>
        <w:pStyle w:val="ListParagraph"/>
        <w:numPr>
          <w:ilvl w:val="0"/>
          <w:numId w:val="59"/>
        </w:numPr>
        <w:rPr>
          <w:lang w:eastAsia="en-US"/>
        </w:rPr>
      </w:pPr>
      <w:r>
        <w:rPr>
          <w:lang w:eastAsia="en-US"/>
        </w:rPr>
        <w:t xml:space="preserve">The percentage of riverbed above the euphotic depth was determined using the cross-sectional data provided by </w:t>
      </w:r>
      <w:proofErr w:type="spellStart"/>
      <w:r>
        <w:rPr>
          <w:lang w:eastAsia="en-US"/>
        </w:rPr>
        <w:t>Streamology</w:t>
      </w:r>
      <w:proofErr w:type="spellEnd"/>
      <w:r>
        <w:rPr>
          <w:lang w:eastAsia="en-US"/>
        </w:rPr>
        <w:t xml:space="preserve"> and the river level data, publicly available via the Department of Environment, Land, Water, and Planning (DELWP, </w:t>
      </w:r>
      <w:r w:rsidRPr="00946134">
        <w:rPr>
          <w:lang w:eastAsia="en-US"/>
        </w:rPr>
        <w:t>https://data.water.vic.gov.au/</w:t>
      </w:r>
      <w:r>
        <w:rPr>
          <w:lang w:eastAsia="en-US"/>
        </w:rPr>
        <w:t>). The percentage value was calculated as the cross-sectional length of the riverbed above the euphotic depth.</w:t>
      </w:r>
    </w:p>
    <w:p w14:paraId="11D729EB" w14:textId="72D70635" w:rsidR="0091459A" w:rsidRDefault="0091459A" w:rsidP="0091459A">
      <w:pPr>
        <w:pStyle w:val="Heading2"/>
      </w:pPr>
      <w:bookmarkStart w:id="624" w:name="_Toc84416128"/>
      <w:bookmarkStart w:id="625" w:name="_Toc84417422"/>
      <w:bookmarkStart w:id="626" w:name="_Toc84475715"/>
      <w:r>
        <w:t>Results</w:t>
      </w:r>
      <w:bookmarkEnd w:id="624"/>
      <w:bookmarkEnd w:id="625"/>
      <w:bookmarkEnd w:id="626"/>
    </w:p>
    <w:p w14:paraId="066FE102" w14:textId="4CE8A4CB" w:rsidR="0091459A" w:rsidRDefault="0091459A" w:rsidP="0091459A">
      <w:pPr>
        <w:rPr>
          <w:lang w:eastAsia="en-US"/>
        </w:rPr>
      </w:pPr>
      <w:r>
        <w:rPr>
          <w:lang w:eastAsia="en-US"/>
        </w:rPr>
        <w:t xml:space="preserve">There was a clear exponential relationship between light intensity and GPP when </w:t>
      </w:r>
      <w:proofErr w:type="gramStart"/>
      <w:r>
        <w:rPr>
          <w:lang w:eastAsia="en-US"/>
        </w:rPr>
        <w:t>all of</w:t>
      </w:r>
      <w:proofErr w:type="gramEnd"/>
      <w:r>
        <w:rPr>
          <w:lang w:eastAsia="en-US"/>
        </w:rPr>
        <w:t xml:space="preserve"> the depth-averaged data were pooled (</w:t>
      </w:r>
      <w:r w:rsidR="00CC2083">
        <w:t xml:space="preserve">Figure </w:t>
      </w:r>
      <w:r w:rsidR="00CC2083">
        <w:rPr>
          <w:noProof/>
        </w:rPr>
        <w:t>10</w:t>
      </w:r>
      <w:r w:rsidR="00CC2083">
        <w:noBreakHyphen/>
      </w:r>
      <w:r w:rsidR="00CC2083">
        <w:rPr>
          <w:noProof/>
        </w:rPr>
        <w:t>2</w:t>
      </w:r>
      <w:r>
        <w:rPr>
          <w:lang w:eastAsia="en-US"/>
        </w:rPr>
        <w:t>). This provided a strong basis for modelling the amount of GPP across all depths with light availability for the different field trips.</w:t>
      </w:r>
    </w:p>
    <w:p w14:paraId="0D17CBE4" w14:textId="77777777" w:rsidR="0091459A" w:rsidRDefault="0091459A" w:rsidP="0091459A">
      <w:pPr>
        <w:jc w:val="center"/>
        <w:rPr>
          <w:lang w:eastAsia="en-US"/>
        </w:rPr>
      </w:pPr>
      <w:r>
        <w:rPr>
          <w:noProof/>
          <w:lang w:val="en-GB"/>
        </w:rPr>
        <w:lastRenderedPageBreak/>
        <w:drawing>
          <wp:inline distT="0" distB="0" distL="0" distR="0" wp14:anchorId="13ABFB6B" wp14:editId="47343B11">
            <wp:extent cx="4892634" cy="2908777"/>
            <wp:effectExtent l="0" t="0" r="3810" b="6350"/>
            <wp:docPr id="6" name="Picture 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scatter chart&#10;&#10;Description automatically generated"/>
                    <pic:cNvPicPr/>
                  </pic:nvPicPr>
                  <pic:blipFill>
                    <a:blip r:embed="rId100" cstate="email">
                      <a:extLst>
                        <a:ext uri="{28A0092B-C50C-407E-A947-70E740481C1C}">
                          <a14:useLocalDpi xmlns:a14="http://schemas.microsoft.com/office/drawing/2010/main"/>
                        </a:ext>
                      </a:extLst>
                    </a:blip>
                    <a:stretch>
                      <a:fillRect/>
                    </a:stretch>
                  </pic:blipFill>
                  <pic:spPr>
                    <a:xfrm>
                      <a:off x="0" y="0"/>
                      <a:ext cx="4901935" cy="2914307"/>
                    </a:xfrm>
                    <a:prstGeom prst="rect">
                      <a:avLst/>
                    </a:prstGeom>
                  </pic:spPr>
                </pic:pic>
              </a:graphicData>
            </a:graphic>
          </wp:inline>
        </w:drawing>
      </w:r>
    </w:p>
    <w:p w14:paraId="64F5AC36" w14:textId="74225AA7" w:rsidR="0091459A" w:rsidRDefault="0091459A" w:rsidP="0091459A">
      <w:pPr>
        <w:pStyle w:val="Caption"/>
      </w:pPr>
      <w:bookmarkStart w:id="627" w:name="_Ref81565696"/>
      <w:bookmarkStart w:id="628" w:name="_Toc83907797"/>
      <w:bookmarkStart w:id="629" w:name="_Toc84475774"/>
      <w:r>
        <w:t xml:space="preserve">Figure </w:t>
      </w:r>
      <w:r w:rsidR="00B07DDF">
        <w:rPr>
          <w:noProof/>
        </w:rPr>
        <w:t>10</w:t>
      </w:r>
      <w:r w:rsidR="00B85158">
        <w:noBreakHyphen/>
      </w:r>
      <w:r w:rsidR="00B07DDF">
        <w:rPr>
          <w:noProof/>
        </w:rPr>
        <w:t>2</w:t>
      </w:r>
      <w:bookmarkEnd w:id="627"/>
      <w:r>
        <w:t xml:space="preserve"> Depth-averaged GPP versus light availability with data from all sites and sampling trips pooled together.</w:t>
      </w:r>
      <w:bookmarkEnd w:id="628"/>
      <w:bookmarkEnd w:id="629"/>
    </w:p>
    <w:p w14:paraId="3FDC9146" w14:textId="56B5B0C0" w:rsidR="0091459A" w:rsidRDefault="0091459A" w:rsidP="0091459A">
      <w:r>
        <w:t>Compared to whole-stream GPP monitored at the same time, pelagic GPP ranged from 1-25% of the daily primary productivity at the sites (</w:t>
      </w:r>
      <w:r w:rsidR="00B07DDF">
        <w:t xml:space="preserve">Table </w:t>
      </w:r>
      <w:r w:rsidR="00B07DDF">
        <w:rPr>
          <w:noProof/>
        </w:rPr>
        <w:t>10</w:t>
      </w:r>
      <w:r w:rsidR="00B07DDF">
        <w:noBreakHyphen/>
      </w:r>
      <w:r w:rsidR="00B07DDF">
        <w:rPr>
          <w:noProof/>
        </w:rPr>
        <w:t>1</w:t>
      </w:r>
      <w:r>
        <w:t>), demonstrating that the great majority of whole stream primary production was occurring in the benthic compartment. However, whole-stream primary production figures were much more variable than those for pelagic primary production meaning that as the whole-stream estimate increased, the percentage of this estimate explained by pelagic metabolism decreased (</w:t>
      </w:r>
      <w:r w:rsidR="00B07DDF">
        <w:t>Figure 10</w:t>
      </w:r>
      <w:r w:rsidR="00B07DDF">
        <w:noBreakHyphen/>
        <w:t>3</w:t>
      </w:r>
      <w:r>
        <w:t>).</w:t>
      </w:r>
    </w:p>
    <w:p w14:paraId="117A967A" w14:textId="5339CE78" w:rsidR="0091459A" w:rsidRPr="00297112" w:rsidRDefault="0091459A" w:rsidP="006A4979">
      <w:pPr>
        <w:pStyle w:val="Caption"/>
      </w:pPr>
      <w:bookmarkStart w:id="630" w:name="_Ref81566729"/>
      <w:bookmarkStart w:id="631" w:name="_Toc95391492"/>
      <w:r>
        <w:t xml:space="preserve">Table </w:t>
      </w:r>
      <w:r w:rsidR="000B75AF">
        <w:rPr>
          <w:noProof/>
        </w:rPr>
        <w:t>10</w:t>
      </w:r>
      <w:r w:rsidR="000B75AF">
        <w:noBreakHyphen/>
      </w:r>
      <w:r w:rsidR="000B75AF">
        <w:rPr>
          <w:noProof/>
        </w:rPr>
        <w:t>1</w:t>
      </w:r>
      <w:bookmarkEnd w:id="630"/>
      <w:r>
        <w:t xml:space="preserve"> Pelagic gross primary productivity versus whole-stream primary production. Pelagic and whole-stream (WS) GPP figures are in mg O</w:t>
      </w:r>
      <w:r w:rsidRPr="009A7573">
        <w:rPr>
          <w:vertAlign w:val="subscript"/>
        </w:rPr>
        <w:t>2</w:t>
      </w:r>
      <w:r>
        <w:t xml:space="preserve"> / L / hr. All results reported to three significant figures.</w:t>
      </w:r>
      <w:bookmarkEnd w:id="631"/>
    </w:p>
    <w:tbl>
      <w:tblPr>
        <w:tblStyle w:val="TableGrid"/>
        <w:tblW w:w="0" w:type="auto"/>
        <w:jc w:val="center"/>
        <w:tblLook w:val="04A0" w:firstRow="1" w:lastRow="0" w:firstColumn="1" w:lastColumn="0" w:noHBand="0" w:noVBand="1"/>
      </w:tblPr>
      <w:tblGrid>
        <w:gridCol w:w="835"/>
        <w:gridCol w:w="655"/>
        <w:gridCol w:w="462"/>
        <w:gridCol w:w="462"/>
        <w:gridCol w:w="655"/>
        <w:gridCol w:w="553"/>
        <w:gridCol w:w="462"/>
        <w:gridCol w:w="655"/>
        <w:gridCol w:w="553"/>
        <w:gridCol w:w="462"/>
      </w:tblGrid>
      <w:tr w:rsidR="0091459A" w14:paraId="3B91243F" w14:textId="77777777" w:rsidTr="00E26D3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6EB87CF" w14:textId="77777777" w:rsidR="0091459A" w:rsidRPr="006A4979" w:rsidRDefault="0091459A" w:rsidP="00E26D3C">
            <w:pPr>
              <w:rPr>
                <w:rFonts w:cstheme="minorHAnsi"/>
                <w:sz w:val="18"/>
                <w:szCs w:val="18"/>
              </w:rPr>
            </w:pPr>
          </w:p>
        </w:tc>
        <w:tc>
          <w:tcPr>
            <w:tcW w:w="0" w:type="auto"/>
            <w:gridSpan w:val="3"/>
          </w:tcPr>
          <w:p w14:paraId="34C5E099" w14:textId="77777777" w:rsidR="0091459A" w:rsidRPr="006A4979" w:rsidRDefault="0091459A" w:rsidP="00E26D3C">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A4979">
              <w:rPr>
                <w:rFonts w:cstheme="minorHAnsi"/>
                <w:sz w:val="18"/>
                <w:szCs w:val="18"/>
              </w:rPr>
              <w:t>Darcy’s Track</w:t>
            </w:r>
          </w:p>
        </w:tc>
        <w:tc>
          <w:tcPr>
            <w:tcW w:w="0" w:type="auto"/>
            <w:gridSpan w:val="3"/>
          </w:tcPr>
          <w:p w14:paraId="2646239A" w14:textId="77777777" w:rsidR="0091459A" w:rsidRPr="006A4979" w:rsidRDefault="0091459A" w:rsidP="00E26D3C">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A4979">
              <w:rPr>
                <w:rFonts w:cstheme="minorHAnsi"/>
                <w:sz w:val="18"/>
                <w:szCs w:val="18"/>
              </w:rPr>
              <w:t>Loch Garry</w:t>
            </w:r>
          </w:p>
        </w:tc>
        <w:tc>
          <w:tcPr>
            <w:tcW w:w="0" w:type="auto"/>
            <w:gridSpan w:val="3"/>
          </w:tcPr>
          <w:p w14:paraId="6BD09280" w14:textId="77777777" w:rsidR="0091459A" w:rsidRPr="006A4979" w:rsidRDefault="0091459A" w:rsidP="00E26D3C">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A4979">
              <w:rPr>
                <w:rFonts w:cstheme="minorHAnsi"/>
                <w:sz w:val="18"/>
                <w:szCs w:val="18"/>
              </w:rPr>
              <w:t>McCoy’s Bridge</w:t>
            </w:r>
          </w:p>
        </w:tc>
      </w:tr>
      <w:tr w:rsidR="0091459A" w14:paraId="02CF1EC0" w14:textId="77777777" w:rsidTr="00E26D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A286685" w14:textId="77777777" w:rsidR="0091459A" w:rsidRPr="006A4979" w:rsidRDefault="0091459A" w:rsidP="00E26D3C">
            <w:pPr>
              <w:rPr>
                <w:rFonts w:cstheme="minorHAnsi"/>
                <w:sz w:val="18"/>
                <w:szCs w:val="18"/>
              </w:rPr>
            </w:pPr>
            <w:r w:rsidRPr="006A4979">
              <w:rPr>
                <w:rFonts w:cstheme="minorHAnsi"/>
                <w:sz w:val="18"/>
                <w:szCs w:val="18"/>
              </w:rPr>
              <w:t>Field Trip</w:t>
            </w:r>
          </w:p>
        </w:tc>
        <w:tc>
          <w:tcPr>
            <w:tcW w:w="0" w:type="auto"/>
          </w:tcPr>
          <w:p w14:paraId="0AF1C9CC"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sz w:val="18"/>
                <w:szCs w:val="18"/>
              </w:rPr>
              <w:t>Pelagic</w:t>
            </w:r>
          </w:p>
        </w:tc>
        <w:tc>
          <w:tcPr>
            <w:tcW w:w="0" w:type="auto"/>
          </w:tcPr>
          <w:p w14:paraId="78D7438A"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sz w:val="18"/>
                <w:szCs w:val="18"/>
              </w:rPr>
              <w:t>WS</w:t>
            </w:r>
          </w:p>
        </w:tc>
        <w:tc>
          <w:tcPr>
            <w:tcW w:w="0" w:type="auto"/>
          </w:tcPr>
          <w:p w14:paraId="7546FA51"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sz w:val="18"/>
                <w:szCs w:val="18"/>
              </w:rPr>
              <w:t>%</w:t>
            </w:r>
          </w:p>
        </w:tc>
        <w:tc>
          <w:tcPr>
            <w:tcW w:w="0" w:type="auto"/>
          </w:tcPr>
          <w:p w14:paraId="3EFDF8ED"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sz w:val="18"/>
                <w:szCs w:val="18"/>
              </w:rPr>
              <w:t>Pelagic</w:t>
            </w:r>
          </w:p>
        </w:tc>
        <w:tc>
          <w:tcPr>
            <w:tcW w:w="0" w:type="auto"/>
          </w:tcPr>
          <w:p w14:paraId="30436D8C"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sz w:val="18"/>
                <w:szCs w:val="18"/>
              </w:rPr>
              <w:t>WS</w:t>
            </w:r>
          </w:p>
        </w:tc>
        <w:tc>
          <w:tcPr>
            <w:tcW w:w="0" w:type="auto"/>
          </w:tcPr>
          <w:p w14:paraId="25CE5859"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sz w:val="18"/>
                <w:szCs w:val="18"/>
              </w:rPr>
              <w:t>%</w:t>
            </w:r>
          </w:p>
        </w:tc>
        <w:tc>
          <w:tcPr>
            <w:tcW w:w="0" w:type="auto"/>
          </w:tcPr>
          <w:p w14:paraId="7820028E"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sz w:val="18"/>
                <w:szCs w:val="18"/>
              </w:rPr>
              <w:t>Pelagic</w:t>
            </w:r>
          </w:p>
        </w:tc>
        <w:tc>
          <w:tcPr>
            <w:tcW w:w="0" w:type="auto"/>
          </w:tcPr>
          <w:p w14:paraId="7F0EF293"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sz w:val="18"/>
                <w:szCs w:val="18"/>
              </w:rPr>
              <w:t>WS</w:t>
            </w:r>
          </w:p>
        </w:tc>
        <w:tc>
          <w:tcPr>
            <w:tcW w:w="0" w:type="auto"/>
          </w:tcPr>
          <w:p w14:paraId="7B7CEE4E"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sz w:val="18"/>
                <w:szCs w:val="18"/>
              </w:rPr>
              <w:t>%</w:t>
            </w:r>
          </w:p>
        </w:tc>
      </w:tr>
      <w:tr w:rsidR="0091459A" w14:paraId="416AE751" w14:textId="77777777" w:rsidTr="00E26D3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EDB5B54" w14:textId="77777777" w:rsidR="0091459A" w:rsidRPr="006A4979" w:rsidRDefault="0091459A" w:rsidP="00E26D3C">
            <w:pPr>
              <w:rPr>
                <w:rFonts w:cstheme="minorHAnsi"/>
                <w:sz w:val="18"/>
                <w:szCs w:val="18"/>
              </w:rPr>
            </w:pPr>
            <w:r w:rsidRPr="006A4979">
              <w:rPr>
                <w:rFonts w:cstheme="minorHAnsi"/>
                <w:color w:val="000000"/>
                <w:sz w:val="18"/>
                <w:szCs w:val="18"/>
                <w:lang w:eastAsia="en-AU"/>
              </w:rPr>
              <w:t>22-Dec</w:t>
            </w:r>
          </w:p>
        </w:tc>
        <w:tc>
          <w:tcPr>
            <w:tcW w:w="0" w:type="auto"/>
          </w:tcPr>
          <w:p w14:paraId="204B8C79"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0.129</w:t>
            </w:r>
          </w:p>
        </w:tc>
        <w:tc>
          <w:tcPr>
            <w:tcW w:w="0" w:type="auto"/>
          </w:tcPr>
          <w:p w14:paraId="0D58B81B"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1.95</w:t>
            </w:r>
          </w:p>
        </w:tc>
        <w:tc>
          <w:tcPr>
            <w:tcW w:w="0" w:type="auto"/>
          </w:tcPr>
          <w:p w14:paraId="1F9B957D"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6.61</w:t>
            </w:r>
          </w:p>
        </w:tc>
        <w:tc>
          <w:tcPr>
            <w:tcW w:w="0" w:type="auto"/>
          </w:tcPr>
          <w:p w14:paraId="2EC2A04C"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0.142</w:t>
            </w:r>
          </w:p>
        </w:tc>
        <w:tc>
          <w:tcPr>
            <w:tcW w:w="0" w:type="auto"/>
          </w:tcPr>
          <w:p w14:paraId="7B8C4CD0"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2.69</w:t>
            </w:r>
          </w:p>
        </w:tc>
        <w:tc>
          <w:tcPr>
            <w:tcW w:w="0" w:type="auto"/>
          </w:tcPr>
          <w:p w14:paraId="506BB329"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5.27</w:t>
            </w:r>
          </w:p>
        </w:tc>
        <w:tc>
          <w:tcPr>
            <w:tcW w:w="0" w:type="auto"/>
          </w:tcPr>
          <w:p w14:paraId="4EC4FF70"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0.149</w:t>
            </w:r>
          </w:p>
        </w:tc>
        <w:tc>
          <w:tcPr>
            <w:tcW w:w="0" w:type="auto"/>
          </w:tcPr>
          <w:p w14:paraId="768859D4"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2.31</w:t>
            </w:r>
          </w:p>
        </w:tc>
        <w:tc>
          <w:tcPr>
            <w:tcW w:w="0" w:type="auto"/>
          </w:tcPr>
          <w:p w14:paraId="67EB1AAA"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6.45</w:t>
            </w:r>
          </w:p>
        </w:tc>
      </w:tr>
      <w:tr w:rsidR="0091459A" w14:paraId="4C159E3C" w14:textId="77777777" w:rsidTr="00E26D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D38D60F" w14:textId="77777777" w:rsidR="0091459A" w:rsidRPr="006A4979" w:rsidRDefault="0091459A" w:rsidP="00E26D3C">
            <w:pPr>
              <w:rPr>
                <w:rFonts w:cstheme="minorHAnsi"/>
                <w:sz w:val="18"/>
                <w:szCs w:val="18"/>
              </w:rPr>
            </w:pPr>
            <w:r w:rsidRPr="006A4979">
              <w:rPr>
                <w:rFonts w:cstheme="minorHAnsi"/>
                <w:color w:val="000000"/>
                <w:sz w:val="18"/>
                <w:szCs w:val="18"/>
                <w:lang w:eastAsia="en-AU"/>
              </w:rPr>
              <w:t>11-Jan</w:t>
            </w:r>
          </w:p>
        </w:tc>
        <w:tc>
          <w:tcPr>
            <w:tcW w:w="0" w:type="auto"/>
          </w:tcPr>
          <w:p w14:paraId="4878C9CD"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0.133</w:t>
            </w:r>
          </w:p>
        </w:tc>
        <w:tc>
          <w:tcPr>
            <w:tcW w:w="0" w:type="auto"/>
          </w:tcPr>
          <w:p w14:paraId="5CE29AD5"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6.17</w:t>
            </w:r>
          </w:p>
        </w:tc>
        <w:tc>
          <w:tcPr>
            <w:tcW w:w="0" w:type="auto"/>
          </w:tcPr>
          <w:p w14:paraId="7C5AC3A7"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2.16</w:t>
            </w:r>
          </w:p>
        </w:tc>
        <w:tc>
          <w:tcPr>
            <w:tcW w:w="0" w:type="auto"/>
          </w:tcPr>
          <w:p w14:paraId="4110DB8C"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0.142</w:t>
            </w:r>
          </w:p>
        </w:tc>
        <w:tc>
          <w:tcPr>
            <w:tcW w:w="0" w:type="auto"/>
          </w:tcPr>
          <w:p w14:paraId="3EC369B1"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6.57</w:t>
            </w:r>
          </w:p>
        </w:tc>
        <w:tc>
          <w:tcPr>
            <w:tcW w:w="0" w:type="auto"/>
          </w:tcPr>
          <w:p w14:paraId="69BA915A"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2.16</w:t>
            </w:r>
          </w:p>
        </w:tc>
        <w:tc>
          <w:tcPr>
            <w:tcW w:w="0" w:type="auto"/>
          </w:tcPr>
          <w:p w14:paraId="356712AC"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0.154</w:t>
            </w:r>
          </w:p>
        </w:tc>
        <w:tc>
          <w:tcPr>
            <w:tcW w:w="0" w:type="auto"/>
          </w:tcPr>
          <w:p w14:paraId="4E441651"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2.73</w:t>
            </w:r>
          </w:p>
        </w:tc>
        <w:tc>
          <w:tcPr>
            <w:tcW w:w="0" w:type="auto"/>
          </w:tcPr>
          <w:p w14:paraId="2519065B"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5.64</w:t>
            </w:r>
          </w:p>
        </w:tc>
      </w:tr>
      <w:tr w:rsidR="0091459A" w14:paraId="3BBDDC8C" w14:textId="77777777" w:rsidTr="00E26D3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4644114" w14:textId="77777777" w:rsidR="0091459A" w:rsidRPr="006A4979" w:rsidRDefault="0091459A" w:rsidP="00E26D3C">
            <w:pPr>
              <w:rPr>
                <w:rFonts w:cstheme="minorHAnsi"/>
                <w:sz w:val="18"/>
                <w:szCs w:val="18"/>
              </w:rPr>
            </w:pPr>
            <w:r w:rsidRPr="006A4979">
              <w:rPr>
                <w:rFonts w:cstheme="minorHAnsi"/>
                <w:color w:val="000000"/>
                <w:sz w:val="18"/>
                <w:szCs w:val="18"/>
                <w:lang w:eastAsia="en-AU"/>
              </w:rPr>
              <w:t>27-Jan</w:t>
            </w:r>
          </w:p>
        </w:tc>
        <w:tc>
          <w:tcPr>
            <w:tcW w:w="0" w:type="auto"/>
          </w:tcPr>
          <w:p w14:paraId="4521A1F0"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0.139</w:t>
            </w:r>
          </w:p>
        </w:tc>
        <w:tc>
          <w:tcPr>
            <w:tcW w:w="0" w:type="auto"/>
          </w:tcPr>
          <w:p w14:paraId="364E4FD3"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4.25</w:t>
            </w:r>
          </w:p>
        </w:tc>
        <w:tc>
          <w:tcPr>
            <w:tcW w:w="0" w:type="auto"/>
          </w:tcPr>
          <w:p w14:paraId="7559311C"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3.27</w:t>
            </w:r>
          </w:p>
        </w:tc>
        <w:tc>
          <w:tcPr>
            <w:tcW w:w="0" w:type="auto"/>
          </w:tcPr>
          <w:p w14:paraId="79BDE8BE"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0.131</w:t>
            </w:r>
          </w:p>
        </w:tc>
        <w:tc>
          <w:tcPr>
            <w:tcW w:w="0" w:type="auto"/>
          </w:tcPr>
          <w:p w14:paraId="0596BEAF"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0.680</w:t>
            </w:r>
          </w:p>
        </w:tc>
        <w:tc>
          <w:tcPr>
            <w:tcW w:w="0" w:type="auto"/>
          </w:tcPr>
          <w:p w14:paraId="031DE438"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19.2</w:t>
            </w:r>
          </w:p>
        </w:tc>
        <w:tc>
          <w:tcPr>
            <w:tcW w:w="0" w:type="auto"/>
          </w:tcPr>
          <w:p w14:paraId="2CC8E501"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0.156</w:t>
            </w:r>
          </w:p>
        </w:tc>
        <w:tc>
          <w:tcPr>
            <w:tcW w:w="0" w:type="auto"/>
          </w:tcPr>
          <w:p w14:paraId="320614BC"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9.24</w:t>
            </w:r>
          </w:p>
        </w:tc>
        <w:tc>
          <w:tcPr>
            <w:tcW w:w="0" w:type="auto"/>
          </w:tcPr>
          <w:p w14:paraId="2E5631B6"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1.68</w:t>
            </w:r>
          </w:p>
        </w:tc>
      </w:tr>
      <w:tr w:rsidR="0091459A" w14:paraId="57CA40A8" w14:textId="77777777" w:rsidTr="00E26D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DC2C0FF" w14:textId="77777777" w:rsidR="0091459A" w:rsidRPr="006A4979" w:rsidRDefault="0091459A" w:rsidP="00E26D3C">
            <w:pPr>
              <w:rPr>
                <w:rFonts w:cstheme="minorHAnsi"/>
                <w:sz w:val="18"/>
                <w:szCs w:val="18"/>
              </w:rPr>
            </w:pPr>
            <w:r w:rsidRPr="006A4979">
              <w:rPr>
                <w:rFonts w:cstheme="minorHAnsi"/>
                <w:color w:val="000000"/>
                <w:sz w:val="18"/>
                <w:szCs w:val="18"/>
                <w:lang w:eastAsia="en-AU"/>
              </w:rPr>
              <w:t>9-Feb</w:t>
            </w:r>
          </w:p>
        </w:tc>
        <w:tc>
          <w:tcPr>
            <w:tcW w:w="0" w:type="auto"/>
          </w:tcPr>
          <w:p w14:paraId="3372E42F"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0.145</w:t>
            </w:r>
          </w:p>
        </w:tc>
        <w:tc>
          <w:tcPr>
            <w:tcW w:w="0" w:type="auto"/>
          </w:tcPr>
          <w:p w14:paraId="59A8A821"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1.10</w:t>
            </w:r>
          </w:p>
        </w:tc>
        <w:tc>
          <w:tcPr>
            <w:tcW w:w="0" w:type="auto"/>
          </w:tcPr>
          <w:p w14:paraId="3646D7A6"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13.1</w:t>
            </w:r>
          </w:p>
        </w:tc>
        <w:tc>
          <w:tcPr>
            <w:tcW w:w="0" w:type="auto"/>
          </w:tcPr>
          <w:p w14:paraId="56CBD717"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0.100</w:t>
            </w:r>
          </w:p>
        </w:tc>
        <w:tc>
          <w:tcPr>
            <w:tcW w:w="0" w:type="auto"/>
          </w:tcPr>
          <w:p w14:paraId="65077AC0"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3.71</w:t>
            </w:r>
          </w:p>
        </w:tc>
        <w:tc>
          <w:tcPr>
            <w:tcW w:w="0" w:type="auto"/>
          </w:tcPr>
          <w:p w14:paraId="6AFCF914"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2.69</w:t>
            </w:r>
          </w:p>
        </w:tc>
        <w:tc>
          <w:tcPr>
            <w:tcW w:w="0" w:type="auto"/>
          </w:tcPr>
          <w:p w14:paraId="05EC7299"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0.0993</w:t>
            </w:r>
          </w:p>
        </w:tc>
        <w:tc>
          <w:tcPr>
            <w:tcW w:w="0" w:type="auto"/>
          </w:tcPr>
          <w:p w14:paraId="5AF514A6"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0.650</w:t>
            </w:r>
          </w:p>
        </w:tc>
        <w:tc>
          <w:tcPr>
            <w:tcW w:w="0" w:type="auto"/>
          </w:tcPr>
          <w:p w14:paraId="0725FF92"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15.3</w:t>
            </w:r>
          </w:p>
        </w:tc>
      </w:tr>
      <w:tr w:rsidR="0091459A" w14:paraId="01BAA624" w14:textId="77777777" w:rsidTr="00E26D3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51F44DA" w14:textId="77777777" w:rsidR="0091459A" w:rsidRPr="006A4979" w:rsidRDefault="0091459A" w:rsidP="00E26D3C">
            <w:pPr>
              <w:rPr>
                <w:rFonts w:cstheme="minorHAnsi"/>
                <w:sz w:val="18"/>
                <w:szCs w:val="18"/>
              </w:rPr>
            </w:pPr>
            <w:r w:rsidRPr="006A4979">
              <w:rPr>
                <w:rFonts w:cstheme="minorHAnsi"/>
                <w:color w:val="000000"/>
                <w:sz w:val="18"/>
                <w:szCs w:val="18"/>
                <w:lang w:eastAsia="en-AU"/>
              </w:rPr>
              <w:t>1-Mar</w:t>
            </w:r>
          </w:p>
        </w:tc>
        <w:tc>
          <w:tcPr>
            <w:tcW w:w="0" w:type="auto"/>
          </w:tcPr>
          <w:p w14:paraId="1BA10E2E"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0.132</w:t>
            </w:r>
          </w:p>
        </w:tc>
        <w:tc>
          <w:tcPr>
            <w:tcW w:w="0" w:type="auto"/>
          </w:tcPr>
          <w:p w14:paraId="0CA9A9EB"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1.83</w:t>
            </w:r>
          </w:p>
        </w:tc>
        <w:tc>
          <w:tcPr>
            <w:tcW w:w="0" w:type="auto"/>
          </w:tcPr>
          <w:p w14:paraId="63E8607B"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7.21</w:t>
            </w:r>
          </w:p>
        </w:tc>
        <w:tc>
          <w:tcPr>
            <w:tcW w:w="0" w:type="auto"/>
          </w:tcPr>
          <w:p w14:paraId="64CA2CCB"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0.156</w:t>
            </w:r>
          </w:p>
        </w:tc>
        <w:tc>
          <w:tcPr>
            <w:tcW w:w="0" w:type="auto"/>
          </w:tcPr>
          <w:p w14:paraId="3B2546FB"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1.38</w:t>
            </w:r>
          </w:p>
        </w:tc>
        <w:tc>
          <w:tcPr>
            <w:tcW w:w="0" w:type="auto"/>
          </w:tcPr>
          <w:p w14:paraId="2020DFDB"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11.3</w:t>
            </w:r>
          </w:p>
        </w:tc>
        <w:tc>
          <w:tcPr>
            <w:tcW w:w="0" w:type="auto"/>
          </w:tcPr>
          <w:p w14:paraId="283891C7"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0.177</w:t>
            </w:r>
          </w:p>
        </w:tc>
        <w:tc>
          <w:tcPr>
            <w:tcW w:w="0" w:type="auto"/>
          </w:tcPr>
          <w:p w14:paraId="1D3D4222"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3.94</w:t>
            </w:r>
          </w:p>
        </w:tc>
        <w:tc>
          <w:tcPr>
            <w:tcW w:w="0" w:type="auto"/>
          </w:tcPr>
          <w:p w14:paraId="521EC6BA"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4.49</w:t>
            </w:r>
          </w:p>
        </w:tc>
      </w:tr>
      <w:tr w:rsidR="0091459A" w14:paraId="54C76411" w14:textId="77777777" w:rsidTr="00E26D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0845B03" w14:textId="77777777" w:rsidR="0091459A" w:rsidRPr="006A4979" w:rsidRDefault="0091459A" w:rsidP="00E26D3C">
            <w:pPr>
              <w:rPr>
                <w:rFonts w:cstheme="minorHAnsi"/>
                <w:sz w:val="18"/>
                <w:szCs w:val="18"/>
              </w:rPr>
            </w:pPr>
            <w:r w:rsidRPr="006A4979">
              <w:rPr>
                <w:rFonts w:cstheme="minorHAnsi"/>
                <w:color w:val="000000"/>
                <w:sz w:val="18"/>
                <w:szCs w:val="18"/>
                <w:lang w:eastAsia="en-AU"/>
              </w:rPr>
              <w:t>15-Mar</w:t>
            </w:r>
          </w:p>
        </w:tc>
        <w:tc>
          <w:tcPr>
            <w:tcW w:w="0" w:type="auto"/>
          </w:tcPr>
          <w:p w14:paraId="20A47B2E"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0.162</w:t>
            </w:r>
          </w:p>
        </w:tc>
        <w:tc>
          <w:tcPr>
            <w:tcW w:w="0" w:type="auto"/>
          </w:tcPr>
          <w:p w14:paraId="61164C48"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1.39</w:t>
            </w:r>
          </w:p>
        </w:tc>
        <w:tc>
          <w:tcPr>
            <w:tcW w:w="0" w:type="auto"/>
          </w:tcPr>
          <w:p w14:paraId="2F794551"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11.7</w:t>
            </w:r>
          </w:p>
        </w:tc>
        <w:tc>
          <w:tcPr>
            <w:tcW w:w="0" w:type="auto"/>
          </w:tcPr>
          <w:p w14:paraId="5A650220"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0.210</w:t>
            </w:r>
          </w:p>
        </w:tc>
        <w:tc>
          <w:tcPr>
            <w:tcW w:w="0" w:type="auto"/>
          </w:tcPr>
          <w:p w14:paraId="700F6D53"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0.820</w:t>
            </w:r>
          </w:p>
        </w:tc>
        <w:tc>
          <w:tcPr>
            <w:tcW w:w="0" w:type="auto"/>
          </w:tcPr>
          <w:p w14:paraId="1AE1F1FB"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25.6</w:t>
            </w:r>
          </w:p>
        </w:tc>
        <w:tc>
          <w:tcPr>
            <w:tcW w:w="0" w:type="auto"/>
          </w:tcPr>
          <w:p w14:paraId="690CE227"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0.222</w:t>
            </w:r>
          </w:p>
        </w:tc>
        <w:tc>
          <w:tcPr>
            <w:tcW w:w="0" w:type="auto"/>
          </w:tcPr>
          <w:p w14:paraId="2E4CE64F"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1.42</w:t>
            </w:r>
          </w:p>
        </w:tc>
        <w:tc>
          <w:tcPr>
            <w:tcW w:w="0" w:type="auto"/>
          </w:tcPr>
          <w:p w14:paraId="572C2D01" w14:textId="77777777" w:rsidR="0091459A" w:rsidRPr="006A4979" w:rsidRDefault="0091459A" w:rsidP="00E26D3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A4979">
              <w:rPr>
                <w:rFonts w:cstheme="minorHAnsi"/>
                <w:color w:val="000000"/>
                <w:sz w:val="18"/>
                <w:szCs w:val="18"/>
                <w:lang w:eastAsia="en-AU"/>
              </w:rPr>
              <w:t>15.6</w:t>
            </w:r>
          </w:p>
        </w:tc>
      </w:tr>
      <w:tr w:rsidR="0091459A" w14:paraId="02259704" w14:textId="77777777" w:rsidTr="00E26D3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056BED0" w14:textId="77777777" w:rsidR="0091459A" w:rsidRPr="006A4979" w:rsidRDefault="0091459A" w:rsidP="00E26D3C">
            <w:pPr>
              <w:rPr>
                <w:rFonts w:cstheme="minorHAnsi"/>
                <w:sz w:val="18"/>
                <w:szCs w:val="18"/>
              </w:rPr>
            </w:pPr>
            <w:r w:rsidRPr="006A4979">
              <w:rPr>
                <w:rFonts w:cstheme="minorHAnsi"/>
                <w:color w:val="000000"/>
                <w:sz w:val="18"/>
                <w:szCs w:val="18"/>
                <w:lang w:eastAsia="en-AU"/>
              </w:rPr>
              <w:t>8-Apr</w:t>
            </w:r>
          </w:p>
        </w:tc>
        <w:tc>
          <w:tcPr>
            <w:tcW w:w="0" w:type="auto"/>
          </w:tcPr>
          <w:p w14:paraId="1AE2F4DA"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0.164</w:t>
            </w:r>
          </w:p>
        </w:tc>
        <w:tc>
          <w:tcPr>
            <w:tcW w:w="0" w:type="auto"/>
          </w:tcPr>
          <w:p w14:paraId="0FD80706"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1.72</w:t>
            </w:r>
          </w:p>
        </w:tc>
        <w:tc>
          <w:tcPr>
            <w:tcW w:w="0" w:type="auto"/>
          </w:tcPr>
          <w:p w14:paraId="6D92190A"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9.56</w:t>
            </w:r>
          </w:p>
        </w:tc>
        <w:tc>
          <w:tcPr>
            <w:tcW w:w="0" w:type="auto"/>
          </w:tcPr>
          <w:p w14:paraId="18D786C0"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0.139</w:t>
            </w:r>
          </w:p>
        </w:tc>
        <w:tc>
          <w:tcPr>
            <w:tcW w:w="0" w:type="auto"/>
          </w:tcPr>
          <w:p w14:paraId="1F593FCE"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0.850</w:t>
            </w:r>
          </w:p>
        </w:tc>
        <w:tc>
          <w:tcPr>
            <w:tcW w:w="0" w:type="auto"/>
          </w:tcPr>
          <w:p w14:paraId="3DF18353"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16.3</w:t>
            </w:r>
          </w:p>
        </w:tc>
        <w:tc>
          <w:tcPr>
            <w:tcW w:w="0" w:type="auto"/>
          </w:tcPr>
          <w:p w14:paraId="7547D78C"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0.237</w:t>
            </w:r>
          </w:p>
        </w:tc>
        <w:tc>
          <w:tcPr>
            <w:tcW w:w="0" w:type="auto"/>
          </w:tcPr>
          <w:p w14:paraId="6025123D"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1.77</w:t>
            </w:r>
          </w:p>
        </w:tc>
        <w:tc>
          <w:tcPr>
            <w:tcW w:w="0" w:type="auto"/>
          </w:tcPr>
          <w:p w14:paraId="09399C15" w14:textId="77777777" w:rsidR="0091459A" w:rsidRPr="006A4979" w:rsidRDefault="0091459A" w:rsidP="00E26D3C">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A4979">
              <w:rPr>
                <w:rFonts w:cstheme="minorHAnsi"/>
                <w:color w:val="000000"/>
                <w:sz w:val="18"/>
                <w:szCs w:val="18"/>
                <w:lang w:eastAsia="en-AU"/>
              </w:rPr>
              <w:t>13.4</w:t>
            </w:r>
          </w:p>
        </w:tc>
      </w:tr>
    </w:tbl>
    <w:p w14:paraId="771F2F92" w14:textId="77777777" w:rsidR="0091459A" w:rsidRDefault="0091459A" w:rsidP="0091459A"/>
    <w:p w14:paraId="00B835D2" w14:textId="77777777" w:rsidR="00205DBC" w:rsidRDefault="0091459A" w:rsidP="00205DBC">
      <w:pPr>
        <w:keepNext/>
        <w:jc w:val="center"/>
      </w:pPr>
      <w:r>
        <w:rPr>
          <w:noProof/>
          <w:lang w:val="en-GB"/>
        </w:rPr>
        <w:lastRenderedPageBreak/>
        <w:drawing>
          <wp:inline distT="0" distB="0" distL="0" distR="0" wp14:anchorId="2AC9E135" wp14:editId="4D4BAEB2">
            <wp:extent cx="4572000" cy="2733675"/>
            <wp:effectExtent l="0" t="0" r="0" b="9525"/>
            <wp:docPr id="10" name="Chart 10">
              <a:extLst xmlns:a="http://schemas.openxmlformats.org/drawingml/2006/main">
                <a:ext uri="{FF2B5EF4-FFF2-40B4-BE49-F238E27FC236}">
                  <a16:creationId xmlns:a16="http://schemas.microsoft.com/office/drawing/2014/main" id="{4383B788-3F43-4BA9-AED7-F190D1AB35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3E65E4AB" w14:textId="7589A6CB" w:rsidR="0091459A" w:rsidRDefault="00205DBC" w:rsidP="00205DBC">
      <w:pPr>
        <w:pStyle w:val="Caption"/>
        <w:jc w:val="center"/>
      </w:pPr>
      <w:bookmarkStart w:id="632" w:name="_Ref83823477"/>
      <w:bookmarkStart w:id="633" w:name="_Toc83907798"/>
      <w:bookmarkStart w:id="634" w:name="_Toc84475775"/>
      <w:r>
        <w:t xml:space="preserve">Figure </w:t>
      </w:r>
      <w:r w:rsidR="00B07DDF">
        <w:rPr>
          <w:noProof/>
        </w:rPr>
        <w:t>10</w:t>
      </w:r>
      <w:r w:rsidR="00B85158">
        <w:noBreakHyphen/>
      </w:r>
      <w:r w:rsidR="00B07DDF">
        <w:rPr>
          <w:noProof/>
        </w:rPr>
        <w:t>3</w:t>
      </w:r>
      <w:bookmarkEnd w:id="632"/>
      <w:r>
        <w:t xml:space="preserve"> Whole-stream primary production versus % pelagic primary production.</w:t>
      </w:r>
      <w:bookmarkEnd w:id="633"/>
      <w:bookmarkEnd w:id="634"/>
    </w:p>
    <w:p w14:paraId="6C4C538B" w14:textId="22D32C0A" w:rsidR="0091459A" w:rsidRPr="00205C8F" w:rsidRDefault="0091459A" w:rsidP="0091459A">
      <w:r>
        <w:t xml:space="preserve">We found no evidence of any relationship between GPP (either pelagic or whole stream) and any of the other measured </w:t>
      </w:r>
      <w:proofErr w:type="spellStart"/>
      <w:r>
        <w:t>physico</w:t>
      </w:r>
      <w:proofErr w:type="spellEnd"/>
      <w:r>
        <w:t xml:space="preserve">-chemical variables (DOC, TP, TN, NH3, FRP, NOx, Chlorophyll-a, temperature; </w:t>
      </w:r>
      <w:r w:rsidRPr="00CC2083">
        <w:t>Table 8</w:t>
      </w:r>
      <w:r>
        <w:t xml:space="preserve"> in Appendix </w:t>
      </w:r>
      <w:r w:rsidR="00F86BB6">
        <w:t>J</w:t>
      </w:r>
      <w:r w:rsidR="0097756A">
        <w:t>K</w:t>
      </w:r>
      <w:r>
        <w:t>). We believe this further demonstrates the importance of light limitation for both pelagic and benthic metabolism in the lower Goulburn River.</w:t>
      </w:r>
    </w:p>
    <w:p w14:paraId="472DF867" w14:textId="21D45FA7" w:rsidR="0091459A" w:rsidRDefault="0091459A" w:rsidP="0091459A">
      <w:pPr>
        <w:pStyle w:val="Heading2"/>
      </w:pPr>
      <w:bookmarkStart w:id="635" w:name="_Toc84416129"/>
      <w:bookmarkStart w:id="636" w:name="_Toc84417423"/>
      <w:bookmarkStart w:id="637" w:name="_Toc84475716"/>
      <w:r>
        <w:t>D</w:t>
      </w:r>
      <w:r w:rsidRPr="00BA2632">
        <w:t>iscussion</w:t>
      </w:r>
      <w:bookmarkEnd w:id="635"/>
      <w:bookmarkEnd w:id="636"/>
      <w:bookmarkEnd w:id="637"/>
    </w:p>
    <w:p w14:paraId="499F5977" w14:textId="77777777" w:rsidR="0091459A" w:rsidRDefault="0091459A" w:rsidP="0091459A">
      <w:pPr>
        <w:rPr>
          <w:lang w:eastAsia="en-US"/>
        </w:rPr>
      </w:pPr>
      <w:r>
        <w:rPr>
          <w:lang w:eastAsia="en-US"/>
        </w:rPr>
        <w:t xml:space="preserve">The results show that </w:t>
      </w:r>
      <w:r w:rsidRPr="00573140">
        <w:rPr>
          <w:lang w:eastAsia="en-US"/>
        </w:rPr>
        <w:t>benthic areas of</w:t>
      </w:r>
      <w:r>
        <w:rPr>
          <w:lang w:eastAsia="en-US"/>
        </w:rPr>
        <w:t xml:space="preserve"> </w:t>
      </w:r>
      <w:r w:rsidRPr="00573140">
        <w:rPr>
          <w:lang w:eastAsia="en-US"/>
        </w:rPr>
        <w:t>the</w:t>
      </w:r>
      <w:r>
        <w:rPr>
          <w:lang w:eastAsia="en-US"/>
        </w:rPr>
        <w:t xml:space="preserve"> lower </w:t>
      </w:r>
      <w:r w:rsidRPr="00573140">
        <w:rPr>
          <w:lang w:eastAsia="en-US"/>
        </w:rPr>
        <w:t>Goulburn</w:t>
      </w:r>
      <w:r>
        <w:rPr>
          <w:lang w:eastAsia="en-US"/>
        </w:rPr>
        <w:t xml:space="preserve"> </w:t>
      </w:r>
      <w:r w:rsidRPr="00573140">
        <w:rPr>
          <w:lang w:eastAsia="en-US"/>
        </w:rPr>
        <w:t>River</w:t>
      </w:r>
      <w:r>
        <w:rPr>
          <w:lang w:eastAsia="en-US"/>
        </w:rPr>
        <w:t xml:space="preserve"> </w:t>
      </w:r>
      <w:r w:rsidRPr="00573140">
        <w:rPr>
          <w:lang w:eastAsia="en-US"/>
        </w:rPr>
        <w:t>are the</w:t>
      </w:r>
      <w:r>
        <w:rPr>
          <w:lang w:eastAsia="en-US"/>
        </w:rPr>
        <w:t xml:space="preserve"> </w:t>
      </w:r>
      <w:r w:rsidRPr="00573140">
        <w:rPr>
          <w:lang w:eastAsia="en-US"/>
        </w:rPr>
        <w:t>primary</w:t>
      </w:r>
      <w:r>
        <w:rPr>
          <w:lang w:eastAsia="en-US"/>
        </w:rPr>
        <w:t xml:space="preserve"> </w:t>
      </w:r>
      <w:r w:rsidRPr="00573140">
        <w:rPr>
          <w:lang w:eastAsia="en-US"/>
        </w:rPr>
        <w:t>contributors</w:t>
      </w:r>
      <w:r>
        <w:rPr>
          <w:lang w:eastAsia="en-US"/>
        </w:rPr>
        <w:t xml:space="preserve"> </w:t>
      </w:r>
      <w:r w:rsidRPr="00573140">
        <w:rPr>
          <w:lang w:eastAsia="en-US"/>
        </w:rPr>
        <w:t xml:space="preserve">to </w:t>
      </w:r>
      <w:r>
        <w:rPr>
          <w:lang w:eastAsia="en-US"/>
        </w:rPr>
        <w:t>primary</w:t>
      </w:r>
      <w:r w:rsidRPr="00573140">
        <w:rPr>
          <w:lang w:eastAsia="en-US"/>
        </w:rPr>
        <w:t xml:space="preserve"> production.</w:t>
      </w:r>
      <w:r>
        <w:rPr>
          <w:lang w:eastAsia="en-US"/>
        </w:rPr>
        <w:t xml:space="preserve"> </w:t>
      </w:r>
      <w:r w:rsidRPr="00573140">
        <w:rPr>
          <w:lang w:eastAsia="en-US"/>
        </w:rPr>
        <w:t>Benthic metabolism</w:t>
      </w:r>
      <w:r>
        <w:rPr>
          <w:lang w:eastAsia="en-US"/>
        </w:rPr>
        <w:t xml:space="preserve"> </w:t>
      </w:r>
      <w:r w:rsidRPr="00573140">
        <w:rPr>
          <w:lang w:eastAsia="en-US"/>
        </w:rPr>
        <w:t>is beneficial to river health</w:t>
      </w:r>
      <w:r>
        <w:rPr>
          <w:lang w:eastAsia="en-US"/>
        </w:rPr>
        <w:t xml:space="preserve"> </w:t>
      </w:r>
      <w:r w:rsidRPr="00573140">
        <w:rPr>
          <w:lang w:eastAsia="en-US"/>
        </w:rPr>
        <w:t>as</w:t>
      </w:r>
      <w:r>
        <w:rPr>
          <w:lang w:eastAsia="en-US"/>
        </w:rPr>
        <w:t xml:space="preserve"> </w:t>
      </w:r>
      <w:r w:rsidRPr="00573140">
        <w:rPr>
          <w:lang w:eastAsia="en-US"/>
        </w:rPr>
        <w:t>it provides food to organisms in the local area, providing</w:t>
      </w:r>
      <w:r>
        <w:rPr>
          <w:lang w:eastAsia="en-US"/>
        </w:rPr>
        <w:t xml:space="preserve"> </w:t>
      </w:r>
      <w:r w:rsidRPr="00573140">
        <w:rPr>
          <w:lang w:eastAsia="en-US"/>
        </w:rPr>
        <w:t>benefit and growth</w:t>
      </w:r>
      <w:r>
        <w:rPr>
          <w:lang w:eastAsia="en-US"/>
        </w:rPr>
        <w:t xml:space="preserve"> </w:t>
      </w:r>
      <w:r w:rsidRPr="00573140">
        <w:rPr>
          <w:lang w:eastAsia="en-US"/>
        </w:rPr>
        <w:t>to larger locally based organisms and wildlife</w:t>
      </w:r>
      <w:r>
        <w:rPr>
          <w:lang w:eastAsia="en-US"/>
        </w:rPr>
        <w:t xml:space="preserve"> </w:t>
      </w:r>
      <w:r w:rsidRPr="00573140">
        <w:rPr>
          <w:lang w:eastAsia="en-US"/>
        </w:rPr>
        <w:t>in the river.</w:t>
      </w:r>
      <w:r>
        <w:rPr>
          <w:lang w:eastAsia="en-US"/>
        </w:rPr>
        <w:t xml:space="preserve"> </w:t>
      </w:r>
    </w:p>
    <w:p w14:paraId="0138001A" w14:textId="368394E9" w:rsidR="0091459A" w:rsidRDefault="0091459A" w:rsidP="0091459A">
      <w:pPr>
        <w:rPr>
          <w:lang w:eastAsia="en-US"/>
        </w:rPr>
      </w:pPr>
      <w:r w:rsidRPr="00573140">
        <w:rPr>
          <w:lang w:eastAsia="en-US"/>
        </w:rPr>
        <w:t>Generally, a</w:t>
      </w:r>
      <w:r>
        <w:rPr>
          <w:lang w:eastAsia="en-US"/>
        </w:rPr>
        <w:t xml:space="preserve"> </w:t>
      </w:r>
      <w:r w:rsidRPr="00573140">
        <w:rPr>
          <w:lang w:eastAsia="en-US"/>
        </w:rPr>
        <w:t>decrease</w:t>
      </w:r>
      <w:r>
        <w:rPr>
          <w:lang w:eastAsia="en-US"/>
        </w:rPr>
        <w:t xml:space="preserve"> </w:t>
      </w:r>
      <w:r w:rsidRPr="00573140">
        <w:rPr>
          <w:lang w:eastAsia="en-US"/>
        </w:rPr>
        <w:t>in temperature results</w:t>
      </w:r>
      <w:r>
        <w:rPr>
          <w:lang w:eastAsia="en-US"/>
        </w:rPr>
        <w:t xml:space="preserve"> </w:t>
      </w:r>
      <w:r w:rsidRPr="00573140">
        <w:rPr>
          <w:lang w:eastAsia="en-US"/>
        </w:rPr>
        <w:t>in a</w:t>
      </w:r>
      <w:r>
        <w:rPr>
          <w:lang w:eastAsia="en-US"/>
        </w:rPr>
        <w:t xml:space="preserve"> </w:t>
      </w:r>
      <w:r w:rsidRPr="00573140">
        <w:rPr>
          <w:lang w:eastAsia="en-US"/>
        </w:rPr>
        <w:t>decrease</w:t>
      </w:r>
      <w:r>
        <w:rPr>
          <w:lang w:eastAsia="en-US"/>
        </w:rPr>
        <w:t xml:space="preserve"> </w:t>
      </w:r>
      <w:r w:rsidRPr="00573140">
        <w:rPr>
          <w:lang w:eastAsia="en-US"/>
        </w:rPr>
        <w:t>in</w:t>
      </w:r>
      <w:r>
        <w:rPr>
          <w:lang w:eastAsia="en-US"/>
        </w:rPr>
        <w:t xml:space="preserve"> </w:t>
      </w:r>
      <w:r w:rsidRPr="00573140">
        <w:rPr>
          <w:lang w:eastAsia="en-US"/>
        </w:rPr>
        <w:t>both primary</w:t>
      </w:r>
      <w:r>
        <w:rPr>
          <w:lang w:eastAsia="en-US"/>
        </w:rPr>
        <w:t xml:space="preserve"> </w:t>
      </w:r>
      <w:r w:rsidRPr="00573140">
        <w:rPr>
          <w:lang w:eastAsia="en-US"/>
        </w:rPr>
        <w:t>production</w:t>
      </w:r>
      <w:r>
        <w:rPr>
          <w:lang w:eastAsia="en-US"/>
        </w:rPr>
        <w:t xml:space="preserve"> </w:t>
      </w:r>
      <w:r w:rsidRPr="00573140">
        <w:rPr>
          <w:lang w:eastAsia="en-US"/>
        </w:rPr>
        <w:t>and ecosystem respiration, thereby resulting in a decrease in stream metabolism</w:t>
      </w:r>
      <w:r w:rsidR="00B07DDF">
        <w:rPr>
          <w:lang w:eastAsia="en-US"/>
        </w:rPr>
        <w:t xml:space="preserve"> </w:t>
      </w:r>
      <w:r w:rsidR="00B07DDF">
        <w:rPr>
          <w:noProof/>
          <w:lang w:eastAsia="en-US"/>
        </w:rPr>
        <w:t>(Roberts &amp; Mulholland 2007)</w:t>
      </w:r>
      <w:r w:rsidRPr="00573140">
        <w:rPr>
          <w:lang w:eastAsia="en-US"/>
        </w:rPr>
        <w:t xml:space="preserve">. </w:t>
      </w:r>
      <w:r>
        <w:rPr>
          <w:lang w:eastAsia="en-US"/>
        </w:rPr>
        <w:t>However, we did not find such a relationship over the study period</w:t>
      </w:r>
      <w:r w:rsidRPr="00573140">
        <w:rPr>
          <w:lang w:eastAsia="en-US"/>
        </w:rPr>
        <w:t>.</w:t>
      </w:r>
      <w:r>
        <w:rPr>
          <w:lang w:eastAsia="en-US"/>
        </w:rPr>
        <w:t xml:space="preserve"> </w:t>
      </w:r>
      <w:r w:rsidRPr="00573140">
        <w:rPr>
          <w:lang w:eastAsia="en-US"/>
        </w:rPr>
        <w:t>Possible reasons for this could</w:t>
      </w:r>
      <w:r>
        <w:rPr>
          <w:lang w:eastAsia="en-US"/>
        </w:rPr>
        <w:t xml:space="preserve"> </w:t>
      </w:r>
      <w:r w:rsidRPr="00573140">
        <w:rPr>
          <w:lang w:eastAsia="en-US"/>
        </w:rPr>
        <w:t>be</w:t>
      </w:r>
      <w:r>
        <w:rPr>
          <w:lang w:eastAsia="en-US"/>
        </w:rPr>
        <w:t xml:space="preserve"> </w:t>
      </w:r>
      <w:r w:rsidRPr="00573140">
        <w:rPr>
          <w:lang w:eastAsia="en-US"/>
        </w:rPr>
        <w:t>that</w:t>
      </w:r>
      <w:r>
        <w:rPr>
          <w:lang w:eastAsia="en-US"/>
        </w:rPr>
        <w:t xml:space="preserve"> </w:t>
      </w:r>
      <w:r w:rsidRPr="00573140">
        <w:rPr>
          <w:lang w:eastAsia="en-US"/>
        </w:rPr>
        <w:t>sunlight</w:t>
      </w:r>
      <w:r>
        <w:rPr>
          <w:lang w:eastAsia="en-US"/>
        </w:rPr>
        <w:t xml:space="preserve"> </w:t>
      </w:r>
      <w:r w:rsidRPr="00573140">
        <w:rPr>
          <w:lang w:eastAsia="en-US"/>
        </w:rPr>
        <w:t>and</w:t>
      </w:r>
      <w:r>
        <w:rPr>
          <w:lang w:eastAsia="en-US"/>
        </w:rPr>
        <w:t xml:space="preserve"> </w:t>
      </w:r>
      <w:r w:rsidRPr="00573140">
        <w:rPr>
          <w:lang w:eastAsia="en-US"/>
        </w:rPr>
        <w:t>nutrients</w:t>
      </w:r>
      <w:r>
        <w:rPr>
          <w:lang w:eastAsia="en-US"/>
        </w:rPr>
        <w:t xml:space="preserve"> </w:t>
      </w:r>
      <w:r w:rsidRPr="00573140">
        <w:rPr>
          <w:lang w:eastAsia="en-US"/>
        </w:rPr>
        <w:t>are</w:t>
      </w:r>
      <w:r>
        <w:rPr>
          <w:lang w:eastAsia="en-US"/>
        </w:rPr>
        <w:t xml:space="preserve"> </w:t>
      </w:r>
      <w:r w:rsidRPr="00573140">
        <w:rPr>
          <w:lang w:eastAsia="en-US"/>
        </w:rPr>
        <w:t>limit</w:t>
      </w:r>
      <w:r>
        <w:rPr>
          <w:lang w:eastAsia="en-US"/>
        </w:rPr>
        <w:t xml:space="preserve">ing </w:t>
      </w:r>
      <w:r w:rsidRPr="00573140">
        <w:rPr>
          <w:lang w:eastAsia="en-US"/>
        </w:rPr>
        <w:t>and hence</w:t>
      </w:r>
      <w:r>
        <w:rPr>
          <w:lang w:eastAsia="en-US"/>
        </w:rPr>
        <w:t xml:space="preserve"> </w:t>
      </w:r>
      <w:r w:rsidRPr="00573140">
        <w:rPr>
          <w:lang w:eastAsia="en-US"/>
        </w:rPr>
        <w:t>water</w:t>
      </w:r>
      <w:r>
        <w:rPr>
          <w:lang w:eastAsia="en-US"/>
        </w:rPr>
        <w:t xml:space="preserve"> </w:t>
      </w:r>
      <w:r w:rsidRPr="00573140">
        <w:rPr>
          <w:lang w:eastAsia="en-US"/>
        </w:rPr>
        <w:t>temperature does</w:t>
      </w:r>
      <w:r>
        <w:rPr>
          <w:lang w:eastAsia="en-US"/>
        </w:rPr>
        <w:t xml:space="preserve"> </w:t>
      </w:r>
      <w:r w:rsidRPr="00573140">
        <w:rPr>
          <w:lang w:eastAsia="en-US"/>
        </w:rPr>
        <w:t>not have a great effect.</w:t>
      </w:r>
      <w:r>
        <w:rPr>
          <w:lang w:eastAsia="en-US"/>
        </w:rPr>
        <w:t xml:space="preserve"> </w:t>
      </w:r>
      <w:r w:rsidRPr="00573140">
        <w:rPr>
          <w:lang w:eastAsia="en-US"/>
        </w:rPr>
        <w:t>Alternatively, the relationship given</w:t>
      </w:r>
      <w:r>
        <w:rPr>
          <w:lang w:eastAsia="en-US"/>
        </w:rPr>
        <w:t xml:space="preserve"> </w:t>
      </w:r>
      <w:r w:rsidRPr="00573140">
        <w:rPr>
          <w:lang w:eastAsia="en-US"/>
        </w:rPr>
        <w:t>by our results may</w:t>
      </w:r>
      <w:r>
        <w:rPr>
          <w:lang w:eastAsia="en-US"/>
        </w:rPr>
        <w:t xml:space="preserve"> </w:t>
      </w:r>
      <w:r w:rsidRPr="00573140">
        <w:rPr>
          <w:lang w:eastAsia="en-US"/>
        </w:rPr>
        <w:t>not be indicative</w:t>
      </w:r>
      <w:r>
        <w:rPr>
          <w:lang w:eastAsia="en-US"/>
        </w:rPr>
        <w:t xml:space="preserve"> </w:t>
      </w:r>
      <w:r w:rsidRPr="00573140">
        <w:rPr>
          <w:lang w:eastAsia="en-US"/>
        </w:rPr>
        <w:t>of actual trends. When analysing</w:t>
      </w:r>
      <w:r>
        <w:rPr>
          <w:lang w:eastAsia="en-US"/>
        </w:rPr>
        <w:t xml:space="preserve"> </w:t>
      </w:r>
      <w:r w:rsidRPr="00573140">
        <w:rPr>
          <w:lang w:eastAsia="en-US"/>
        </w:rPr>
        <w:t>the effect of temperature, units used should be in degrees Kelvin</w:t>
      </w:r>
      <w:r>
        <w:rPr>
          <w:lang w:eastAsia="en-US"/>
        </w:rPr>
        <w:t xml:space="preserve"> rather than Celsius</w:t>
      </w:r>
      <w:r w:rsidRPr="00573140">
        <w:rPr>
          <w:lang w:eastAsia="en-US"/>
        </w:rPr>
        <w:t xml:space="preserve">. This </w:t>
      </w:r>
      <w:r>
        <w:rPr>
          <w:lang w:eastAsia="en-US"/>
        </w:rPr>
        <w:t>means that the observed difference in temperature across the period of this study equates to only a</w:t>
      </w:r>
      <w:r w:rsidRPr="00573140">
        <w:rPr>
          <w:lang w:eastAsia="en-US"/>
        </w:rPr>
        <w:t xml:space="preserve"> 2.7%</w:t>
      </w:r>
      <w:r>
        <w:rPr>
          <w:lang w:eastAsia="en-US"/>
        </w:rPr>
        <w:t xml:space="preserve"> difference </w:t>
      </w:r>
      <w:r w:rsidRPr="00573140">
        <w:rPr>
          <w:lang w:eastAsia="en-US"/>
        </w:rPr>
        <w:t>across the project</w:t>
      </w:r>
      <w:r>
        <w:rPr>
          <w:lang w:eastAsia="en-US"/>
        </w:rPr>
        <w:t xml:space="preserve"> period</w:t>
      </w:r>
      <w:r w:rsidRPr="00573140">
        <w:rPr>
          <w:lang w:eastAsia="en-US"/>
        </w:rPr>
        <w:t xml:space="preserve">. To be able to </w:t>
      </w:r>
      <w:r>
        <w:rPr>
          <w:lang w:eastAsia="en-US"/>
        </w:rPr>
        <w:t xml:space="preserve">draw stronger </w:t>
      </w:r>
      <w:r w:rsidRPr="00573140">
        <w:rPr>
          <w:lang w:eastAsia="en-US"/>
        </w:rPr>
        <w:t>conclu</w:t>
      </w:r>
      <w:r>
        <w:rPr>
          <w:lang w:eastAsia="en-US"/>
        </w:rPr>
        <w:t xml:space="preserve">sions about </w:t>
      </w:r>
      <w:r w:rsidRPr="00573140">
        <w:rPr>
          <w:lang w:eastAsia="en-US"/>
        </w:rPr>
        <w:t xml:space="preserve">the effects of temperature on metabolism, </w:t>
      </w:r>
      <w:r>
        <w:rPr>
          <w:lang w:eastAsia="en-US"/>
        </w:rPr>
        <w:t xml:space="preserve">more </w:t>
      </w:r>
      <w:r w:rsidRPr="00573140">
        <w:rPr>
          <w:lang w:eastAsia="en-US"/>
        </w:rPr>
        <w:t xml:space="preserve">data would be needed over </w:t>
      </w:r>
      <w:r>
        <w:rPr>
          <w:lang w:eastAsia="en-US"/>
        </w:rPr>
        <w:t xml:space="preserve">a </w:t>
      </w:r>
      <w:r w:rsidRPr="00573140">
        <w:rPr>
          <w:lang w:eastAsia="en-US"/>
        </w:rPr>
        <w:t xml:space="preserve">greater </w:t>
      </w:r>
      <w:r>
        <w:rPr>
          <w:lang w:eastAsia="en-US"/>
        </w:rPr>
        <w:t xml:space="preserve">range </w:t>
      </w:r>
      <w:r w:rsidRPr="00573140">
        <w:rPr>
          <w:lang w:eastAsia="en-US"/>
        </w:rPr>
        <w:t>in temperature.</w:t>
      </w:r>
      <w:r>
        <w:rPr>
          <w:lang w:eastAsia="en-US"/>
        </w:rPr>
        <w:t xml:space="preserve"> </w:t>
      </w:r>
    </w:p>
    <w:p w14:paraId="5C689F10" w14:textId="0A9A9C2E" w:rsidR="0091459A" w:rsidRPr="00B07DDF" w:rsidRDefault="0091459A" w:rsidP="0091459A">
      <w:pPr>
        <w:rPr>
          <w:lang w:eastAsia="en-US"/>
        </w:rPr>
      </w:pPr>
      <w:r w:rsidRPr="00B07DDF">
        <w:rPr>
          <w:lang w:eastAsia="en-US"/>
        </w:rPr>
        <w:t>We found no correlation of primary production with nutrient concentration. Since the Goulburn River is characterized by high turbidity and low nutrient concentration</w:t>
      </w:r>
      <w:r w:rsidR="0087434E">
        <w:rPr>
          <w:lang w:eastAsia="en-US"/>
        </w:rPr>
        <w:t xml:space="preserve"> </w:t>
      </w:r>
      <w:r w:rsidR="0087434E">
        <w:rPr>
          <w:noProof/>
          <w:lang w:eastAsia="en-US"/>
        </w:rPr>
        <w:t>(Pollino et al. 2004)</w:t>
      </w:r>
      <w:r w:rsidR="0087434E">
        <w:rPr>
          <w:lang w:eastAsia="en-US"/>
        </w:rPr>
        <w:t xml:space="preserve">, </w:t>
      </w:r>
      <w:r w:rsidRPr="00B07DDF">
        <w:rPr>
          <w:lang w:eastAsia="en-US"/>
        </w:rPr>
        <w:t>primary productivity is low. The low nutrient values may maximize the impact of measurement errors that obscure relationships between the indicators. The nutrients TP, TN, NH</w:t>
      </w:r>
      <w:r w:rsidRPr="004538ED">
        <w:rPr>
          <w:vertAlign w:val="subscript"/>
          <w:lang w:eastAsia="en-US"/>
        </w:rPr>
        <w:t>3</w:t>
      </w:r>
      <w:r w:rsidRPr="00B07DDF">
        <w:rPr>
          <w:lang w:eastAsia="en-US"/>
        </w:rPr>
        <w:t>, FRP, and NOx are all forms of nitrogen or phosphorous and can be highly correlated if they come from the decomposition of plant and animal detritus. The low pelagic metabolism rates at Loch Garry and McCoy’s Bridge on the 8</w:t>
      </w:r>
      <w:r w:rsidRPr="00B07DDF">
        <w:rPr>
          <w:vertAlign w:val="superscript"/>
          <w:lang w:eastAsia="en-US"/>
        </w:rPr>
        <w:t>th</w:t>
      </w:r>
      <w:r w:rsidRPr="00B07DDF">
        <w:rPr>
          <w:lang w:eastAsia="en-US"/>
        </w:rPr>
        <w:t xml:space="preserve"> of February occurred after a significant storm/rainfall event. While water turbidity levels showed no substantial differences to previous field trips, visual observations on-site showed more material (leaves, branches) flowing down the river. This observation was reflected by the euphotic depth on this day being much shallower than any other day during the study period. The decrease in pelagic metabolism rates is thus implied to be caused by the reduction in euphotic depth. The storm also caused higher flow</w:t>
      </w:r>
      <w:r w:rsidR="004538ED">
        <w:rPr>
          <w:lang w:eastAsia="en-US"/>
        </w:rPr>
        <w:t xml:space="preserve"> </w:t>
      </w:r>
      <w:r w:rsidRPr="00B07DDF">
        <w:rPr>
          <w:lang w:eastAsia="en-US"/>
        </w:rPr>
        <w:t>rates which can cause scouring of biofilms, suppressing primary production.</w:t>
      </w:r>
    </w:p>
    <w:p w14:paraId="34AB1CCE" w14:textId="2C86C5C3" w:rsidR="0091459A" w:rsidRDefault="0091459A" w:rsidP="0091459A">
      <w:pPr>
        <w:rPr>
          <w:lang w:eastAsia="en-US"/>
        </w:rPr>
      </w:pPr>
      <w:r w:rsidRPr="00B07DDF">
        <w:rPr>
          <w:lang w:eastAsia="en-US"/>
        </w:rPr>
        <w:t xml:space="preserve">Our data results lead to the primary conclusion that both benthic and whole-stream metabolism in the lower Goulburn River </w:t>
      </w:r>
      <w:r w:rsidR="00826C1A" w:rsidRPr="00B07DDF">
        <w:rPr>
          <w:lang w:eastAsia="en-US"/>
        </w:rPr>
        <w:t>is</w:t>
      </w:r>
      <w:r w:rsidRPr="00B07DDF">
        <w:rPr>
          <w:lang w:eastAsia="en-US"/>
        </w:rPr>
        <w:t xml:space="preserve"> primarily limited by light. Therefore, ensuring a lower flow in summer would increase light penetration to the stream bed and promote benthic primary production. This conclusion provides further evidence of the impacts of </w:t>
      </w:r>
      <w:proofErr w:type="spellStart"/>
      <w:r w:rsidRPr="00B07DDF">
        <w:rPr>
          <w:lang w:eastAsia="en-US"/>
        </w:rPr>
        <w:t>aseasonal</w:t>
      </w:r>
      <w:proofErr w:type="spellEnd"/>
      <w:r w:rsidRPr="00B07DDF">
        <w:rPr>
          <w:lang w:eastAsia="en-US"/>
        </w:rPr>
        <w:t xml:space="preserve"> IVT flows in the lower Goulburn River; those high flows will be limiting the amount of benthic primary production over the summer months</w:t>
      </w:r>
      <w:r w:rsidR="00AC28F3">
        <w:rPr>
          <w:lang w:eastAsia="en-US"/>
        </w:rPr>
        <w:t>.</w:t>
      </w:r>
    </w:p>
    <w:p w14:paraId="237CD0AC" w14:textId="536D42D5" w:rsidR="0091459A" w:rsidRDefault="0091459A" w:rsidP="0091459A">
      <w:pPr>
        <w:rPr>
          <w:lang w:eastAsia="en-US"/>
        </w:rPr>
      </w:pPr>
      <w:r>
        <w:rPr>
          <w:lang w:eastAsia="en-US"/>
        </w:rPr>
        <w:t>Finally, benthic primary production will be higher on hard substrates on the riverbed. These allow the formation of biofilms and are much more stable than loose sediments. Another</w:t>
      </w:r>
      <w:r w:rsidRPr="00573140">
        <w:rPr>
          <w:lang w:eastAsia="en-US"/>
        </w:rPr>
        <w:t xml:space="preserve"> management action</w:t>
      </w:r>
      <w:r>
        <w:rPr>
          <w:lang w:eastAsia="en-US"/>
        </w:rPr>
        <w:t xml:space="preserve"> that could improve benthic primary </w:t>
      </w:r>
      <w:r>
        <w:rPr>
          <w:lang w:eastAsia="en-US"/>
        </w:rPr>
        <w:lastRenderedPageBreak/>
        <w:t xml:space="preserve">production would be to </w:t>
      </w:r>
      <w:r w:rsidRPr="00573140">
        <w:rPr>
          <w:lang w:eastAsia="en-US"/>
        </w:rPr>
        <w:t>increas</w:t>
      </w:r>
      <w:r>
        <w:rPr>
          <w:lang w:eastAsia="en-US"/>
        </w:rPr>
        <w:t xml:space="preserve">e the amount of </w:t>
      </w:r>
      <w:r w:rsidRPr="00573140">
        <w:rPr>
          <w:lang w:eastAsia="en-US"/>
        </w:rPr>
        <w:t>benthic hard surfaces</w:t>
      </w:r>
      <w:r>
        <w:rPr>
          <w:lang w:eastAsia="en-US"/>
        </w:rPr>
        <w:t xml:space="preserve"> in </w:t>
      </w:r>
      <w:r w:rsidRPr="00573140">
        <w:rPr>
          <w:lang w:eastAsia="en-US"/>
        </w:rPr>
        <w:t>the rive</w:t>
      </w:r>
      <w:r>
        <w:rPr>
          <w:lang w:eastAsia="en-US"/>
        </w:rPr>
        <w:t>r. The integrated research project (Section</w:t>
      </w:r>
      <w:r w:rsidR="0087434E">
        <w:rPr>
          <w:lang w:eastAsia="en-US"/>
        </w:rPr>
        <w:t xml:space="preserve"> 12</w:t>
      </w:r>
      <w:r>
        <w:rPr>
          <w:lang w:eastAsia="en-US"/>
        </w:rPr>
        <w:t xml:space="preserve">) is investigating the benefit of habitat augmentation with wooden stakes for the trapping of organic matter and provision of habitat. With these stakes being placed in shallow, </w:t>
      </w:r>
      <w:proofErr w:type="gramStart"/>
      <w:r>
        <w:rPr>
          <w:lang w:eastAsia="en-US"/>
        </w:rPr>
        <w:t>slow-flowing</w:t>
      </w:r>
      <w:proofErr w:type="gramEnd"/>
      <w:r>
        <w:rPr>
          <w:lang w:eastAsia="en-US"/>
        </w:rPr>
        <w:t xml:space="preserve"> ‘</w:t>
      </w:r>
      <w:proofErr w:type="spellStart"/>
      <w:r>
        <w:rPr>
          <w:lang w:eastAsia="en-US"/>
        </w:rPr>
        <w:t>slackwaters</w:t>
      </w:r>
      <w:proofErr w:type="spellEnd"/>
      <w:r>
        <w:rPr>
          <w:lang w:eastAsia="en-US"/>
        </w:rPr>
        <w:t xml:space="preserve">’, our results here suggest that such areas would also be hotspots for benthic primary production and provide an alternative line of evidence for the benefit of undertaking such habitat restoration works.  </w:t>
      </w:r>
    </w:p>
    <w:p w14:paraId="065E150E" w14:textId="7F3009DB" w:rsidR="00272A33" w:rsidRDefault="00272A33">
      <w:pPr>
        <w:rPr>
          <w:lang w:eastAsia="en-US"/>
        </w:rPr>
      </w:pPr>
      <w:r>
        <w:rPr>
          <w:lang w:eastAsia="en-US"/>
        </w:rPr>
        <w:br w:type="page"/>
      </w:r>
    </w:p>
    <w:p w14:paraId="4FB5AF3C" w14:textId="268331CA" w:rsidR="00CA3EBC" w:rsidRDefault="00CA3EBC" w:rsidP="00790090">
      <w:pPr>
        <w:pStyle w:val="Heading1"/>
      </w:pPr>
      <w:bookmarkStart w:id="638" w:name="_Ref83801215"/>
      <w:bookmarkStart w:id="639" w:name="_Toc84416130"/>
      <w:bookmarkStart w:id="640" w:name="_Toc84417424"/>
      <w:bookmarkStart w:id="641" w:name="_Toc84475717"/>
      <w:r w:rsidRPr="00BA2632">
        <w:lastRenderedPageBreak/>
        <w:t>Contingency Monitoring</w:t>
      </w:r>
      <w:r>
        <w:t xml:space="preserve"> – Murray Fish Larvae</w:t>
      </w:r>
      <w:bookmarkEnd w:id="638"/>
      <w:bookmarkEnd w:id="639"/>
      <w:bookmarkEnd w:id="640"/>
      <w:bookmarkEnd w:id="641"/>
    </w:p>
    <w:p w14:paraId="68DD4A8A" w14:textId="2101C736" w:rsidR="006A637E" w:rsidRDefault="006B358D" w:rsidP="006A637E">
      <w:pPr>
        <w:pStyle w:val="Heading2"/>
      </w:pPr>
      <w:bookmarkStart w:id="642" w:name="_Toc84416131"/>
      <w:bookmarkStart w:id="643" w:name="_Toc84417425"/>
      <w:bookmarkStart w:id="644" w:name="_Toc84475718"/>
      <w:r>
        <w:t xml:space="preserve"> </w:t>
      </w:r>
      <w:r w:rsidR="006A637E" w:rsidRPr="00BA2632">
        <w:t>Introduction</w:t>
      </w:r>
      <w:bookmarkEnd w:id="642"/>
      <w:bookmarkEnd w:id="643"/>
      <w:bookmarkEnd w:id="644"/>
    </w:p>
    <w:p w14:paraId="0C816E3F" w14:textId="4B8E6890" w:rsidR="006A637E" w:rsidRDefault="006A637E" w:rsidP="006A637E">
      <w:pPr>
        <w:rPr>
          <w:lang w:eastAsia="en-US"/>
        </w:rPr>
      </w:pPr>
      <w:r w:rsidRPr="00925D6D">
        <w:rPr>
          <w:lang w:eastAsia="en-US"/>
        </w:rPr>
        <w:t>Young-of-year golden perch are rarely collected in the annual population surveys</w:t>
      </w:r>
      <w:r>
        <w:rPr>
          <w:lang w:eastAsia="en-US"/>
        </w:rPr>
        <w:t xml:space="preserve"> in the Goulburn River. This</w:t>
      </w:r>
      <w:r w:rsidRPr="00925D6D">
        <w:rPr>
          <w:lang w:eastAsia="en-US"/>
        </w:rPr>
        <w:t xml:space="preserve"> is likely because early life stages (eggs, larvae) drift downstream and into the Murray River. </w:t>
      </w:r>
      <w:r>
        <w:rPr>
          <w:lang w:eastAsia="en-US"/>
        </w:rPr>
        <w:t>Indeed, r</w:t>
      </w:r>
      <w:r w:rsidRPr="00B57C9C">
        <w:rPr>
          <w:lang w:eastAsia="en-US"/>
        </w:rPr>
        <w:t xml:space="preserve">ecent analysis of otolith strontium shows that golden perch spawned in the Goulburn River act as a source of fish to the Murray </w:t>
      </w:r>
      <w:r>
        <w:rPr>
          <w:lang w:eastAsia="en-US"/>
        </w:rPr>
        <w:t>R</w:t>
      </w:r>
      <w:r w:rsidRPr="00B57C9C">
        <w:rPr>
          <w:lang w:eastAsia="en-US"/>
        </w:rPr>
        <w:t xml:space="preserve">iver. However, information on the contribution of golden perch </w:t>
      </w:r>
      <w:r>
        <w:rPr>
          <w:lang w:eastAsia="en-US"/>
        </w:rPr>
        <w:t>(and silver perch)</w:t>
      </w:r>
      <w:r w:rsidRPr="00B57C9C">
        <w:rPr>
          <w:lang w:eastAsia="en-US"/>
        </w:rPr>
        <w:t xml:space="preserve"> spawning</w:t>
      </w:r>
      <w:r>
        <w:rPr>
          <w:lang w:eastAsia="en-US"/>
        </w:rPr>
        <w:t xml:space="preserve"> </w:t>
      </w:r>
      <w:r w:rsidRPr="00B57C9C">
        <w:rPr>
          <w:lang w:eastAsia="en-US"/>
        </w:rPr>
        <w:t xml:space="preserve">in the Goulburn to the Murray River is limited. The aim of this project is to compare catches of golden perch </w:t>
      </w:r>
      <w:r>
        <w:rPr>
          <w:lang w:eastAsia="en-US"/>
        </w:rPr>
        <w:t xml:space="preserve">and silver perch </w:t>
      </w:r>
      <w:r w:rsidRPr="00B57C9C">
        <w:rPr>
          <w:lang w:eastAsia="en-US"/>
        </w:rPr>
        <w:t>eggs/larvae between the lower Goulburn and Murray rivers</w:t>
      </w:r>
      <w:r>
        <w:rPr>
          <w:lang w:eastAsia="en-US"/>
        </w:rPr>
        <w:t xml:space="preserve">. </w:t>
      </w:r>
      <w:proofErr w:type="gramStart"/>
      <w:r>
        <w:rPr>
          <w:lang w:eastAsia="en-US"/>
        </w:rPr>
        <w:t>In particular, we</w:t>
      </w:r>
      <w:proofErr w:type="gramEnd"/>
      <w:r>
        <w:rPr>
          <w:lang w:eastAsia="en-US"/>
        </w:rPr>
        <w:t xml:space="preserve"> aim to assess whether </w:t>
      </w:r>
      <w:r w:rsidRPr="00CB5488">
        <w:rPr>
          <w:lang w:eastAsia="en-US"/>
        </w:rPr>
        <w:t xml:space="preserve">catches of eggs in the Murray River </w:t>
      </w:r>
      <w:r>
        <w:rPr>
          <w:lang w:eastAsia="en-US"/>
        </w:rPr>
        <w:t xml:space="preserve">increase </w:t>
      </w:r>
      <w:r w:rsidRPr="00CB5488">
        <w:rPr>
          <w:lang w:eastAsia="en-US"/>
        </w:rPr>
        <w:t xml:space="preserve">following spawning </w:t>
      </w:r>
      <w:r>
        <w:rPr>
          <w:lang w:eastAsia="en-US"/>
        </w:rPr>
        <w:t xml:space="preserve">events </w:t>
      </w:r>
      <w:r w:rsidRPr="00CB5488">
        <w:rPr>
          <w:lang w:eastAsia="en-US"/>
        </w:rPr>
        <w:t>in the Goulburn River</w:t>
      </w:r>
      <w:r w:rsidRPr="00B57C9C">
        <w:rPr>
          <w:lang w:eastAsia="en-US"/>
        </w:rPr>
        <w:t>.</w:t>
      </w:r>
    </w:p>
    <w:p w14:paraId="5C6F1FC2" w14:textId="5C44138B" w:rsidR="006A637E" w:rsidRPr="000961AB" w:rsidRDefault="006B358D" w:rsidP="006A637E">
      <w:pPr>
        <w:pStyle w:val="Heading2"/>
      </w:pPr>
      <w:bookmarkStart w:id="645" w:name="_Toc84416132"/>
      <w:bookmarkStart w:id="646" w:name="_Toc84417426"/>
      <w:bookmarkStart w:id="647" w:name="_Toc84475719"/>
      <w:r>
        <w:t xml:space="preserve"> </w:t>
      </w:r>
      <w:r w:rsidR="006A637E" w:rsidRPr="000961AB">
        <w:t>Main findings from monitoring program</w:t>
      </w:r>
      <w:bookmarkEnd w:id="645"/>
      <w:bookmarkEnd w:id="646"/>
      <w:bookmarkEnd w:id="647"/>
    </w:p>
    <w:p w14:paraId="2E222A26" w14:textId="77777777" w:rsidR="006A637E" w:rsidRDefault="006A637E" w:rsidP="00DE6E94">
      <w:pPr>
        <w:pStyle w:val="ListParagraph"/>
        <w:numPr>
          <w:ilvl w:val="0"/>
          <w:numId w:val="60"/>
        </w:numPr>
        <w:rPr>
          <w:lang w:eastAsia="en-US"/>
        </w:rPr>
      </w:pPr>
      <w:r w:rsidRPr="000961AB">
        <w:rPr>
          <w:lang w:eastAsia="en-US"/>
        </w:rPr>
        <w:t>There was no noticeable increase in the catches of golden perch eggs in the Murray River following spawning in the Goulburn River</w:t>
      </w:r>
      <w:r>
        <w:rPr>
          <w:lang w:eastAsia="en-US"/>
        </w:rPr>
        <w:t>.</w:t>
      </w:r>
    </w:p>
    <w:p w14:paraId="6FB7B105" w14:textId="77777777" w:rsidR="006A637E" w:rsidRDefault="006A637E" w:rsidP="00DE6E94">
      <w:pPr>
        <w:pStyle w:val="ListParagraph"/>
        <w:numPr>
          <w:ilvl w:val="0"/>
          <w:numId w:val="60"/>
        </w:numPr>
        <w:rPr>
          <w:lang w:eastAsia="en-US"/>
        </w:rPr>
      </w:pPr>
      <w:r w:rsidRPr="000961AB">
        <w:rPr>
          <w:lang w:eastAsia="en-US"/>
        </w:rPr>
        <w:t xml:space="preserve">Catches of silver perch eggs in the Murray River downstream of the junction increased </w:t>
      </w:r>
      <w:r>
        <w:rPr>
          <w:lang w:eastAsia="en-US"/>
        </w:rPr>
        <w:t>slightly</w:t>
      </w:r>
      <w:r w:rsidRPr="000961AB">
        <w:rPr>
          <w:lang w:eastAsia="en-US"/>
        </w:rPr>
        <w:t xml:space="preserve"> in late November, </w:t>
      </w:r>
      <w:r>
        <w:rPr>
          <w:lang w:eastAsia="en-US"/>
        </w:rPr>
        <w:t>coinciding with</w:t>
      </w:r>
      <w:r w:rsidRPr="000961AB">
        <w:rPr>
          <w:lang w:eastAsia="en-US"/>
        </w:rPr>
        <w:t xml:space="preserve"> spawning </w:t>
      </w:r>
      <w:r>
        <w:rPr>
          <w:lang w:eastAsia="en-US"/>
        </w:rPr>
        <w:t>being</w:t>
      </w:r>
      <w:r w:rsidRPr="000961AB">
        <w:rPr>
          <w:lang w:eastAsia="en-US"/>
        </w:rPr>
        <w:t xml:space="preserve"> detected in the lower Goulburn River</w:t>
      </w:r>
      <w:r>
        <w:rPr>
          <w:lang w:eastAsia="en-US"/>
        </w:rPr>
        <w:t>.</w:t>
      </w:r>
    </w:p>
    <w:p w14:paraId="750EF603" w14:textId="77777777" w:rsidR="006A637E" w:rsidRPr="006A5AE7" w:rsidRDefault="006A637E" w:rsidP="00DE6E94">
      <w:pPr>
        <w:pStyle w:val="ListParagraph"/>
        <w:numPr>
          <w:ilvl w:val="0"/>
          <w:numId w:val="60"/>
        </w:numPr>
        <w:rPr>
          <w:lang w:eastAsia="en-US"/>
        </w:rPr>
      </w:pPr>
      <w:r>
        <w:rPr>
          <w:lang w:eastAsia="en-US"/>
        </w:rPr>
        <w:t>Spawning of golden perch and silver perch in the Murray River occurs over a broader time frame compared to the Goulburn River.</w:t>
      </w:r>
    </w:p>
    <w:p w14:paraId="5A00D231" w14:textId="3AAEACCA" w:rsidR="006A637E" w:rsidRDefault="006B358D" w:rsidP="006A637E">
      <w:pPr>
        <w:pStyle w:val="Heading2"/>
      </w:pPr>
      <w:bookmarkStart w:id="648" w:name="_Toc84416133"/>
      <w:bookmarkStart w:id="649" w:name="_Toc84417427"/>
      <w:bookmarkStart w:id="650" w:name="_Toc84475720"/>
      <w:r>
        <w:t xml:space="preserve"> </w:t>
      </w:r>
      <w:r w:rsidR="006A637E">
        <w:t>Methods</w:t>
      </w:r>
      <w:bookmarkEnd w:id="648"/>
      <w:bookmarkEnd w:id="649"/>
      <w:bookmarkEnd w:id="650"/>
    </w:p>
    <w:p w14:paraId="6C8C7A70" w14:textId="77777777" w:rsidR="006A637E" w:rsidRDefault="006A637E" w:rsidP="006A637E">
      <w:r>
        <w:rPr>
          <w:lang w:eastAsia="en-US"/>
        </w:rPr>
        <w:t xml:space="preserve">Fish eggs and larvae were sampled using drift nets at </w:t>
      </w:r>
      <w:r w:rsidRPr="00C71A96">
        <w:rPr>
          <w:lang w:eastAsia="en-US"/>
        </w:rPr>
        <w:t xml:space="preserve">three sites around the Goulburn-Murray junction: </w:t>
      </w:r>
      <w:r>
        <w:rPr>
          <w:lang w:eastAsia="en-US"/>
        </w:rPr>
        <w:t xml:space="preserve">the </w:t>
      </w:r>
      <w:r w:rsidRPr="00C71A96">
        <w:rPr>
          <w:lang w:eastAsia="en-US"/>
        </w:rPr>
        <w:t xml:space="preserve">Murray River immediately upstream and downstream of </w:t>
      </w:r>
      <w:r>
        <w:rPr>
          <w:lang w:eastAsia="en-US"/>
        </w:rPr>
        <w:t xml:space="preserve">the </w:t>
      </w:r>
      <w:r w:rsidRPr="00C71A96">
        <w:rPr>
          <w:lang w:eastAsia="en-US"/>
        </w:rPr>
        <w:t>Goulburn River junction, and in the Goulburn River immediately upstream of the Murray River</w:t>
      </w:r>
      <w:r>
        <w:rPr>
          <w:lang w:eastAsia="en-US"/>
        </w:rPr>
        <w:t xml:space="preserve"> confluence</w:t>
      </w:r>
      <w:r w:rsidRPr="00C71A96">
        <w:rPr>
          <w:lang w:eastAsia="en-US"/>
        </w:rPr>
        <w:t xml:space="preserve">. This sampling was conducted on five occasions at weekly intervals from around late October to </w:t>
      </w:r>
      <w:r>
        <w:rPr>
          <w:lang w:eastAsia="en-US"/>
        </w:rPr>
        <w:t>late November</w:t>
      </w:r>
      <w:r w:rsidRPr="00C71A96">
        <w:rPr>
          <w:lang w:eastAsia="en-US"/>
        </w:rPr>
        <w:t xml:space="preserve"> 2020.</w:t>
      </w:r>
      <w:r>
        <w:rPr>
          <w:lang w:eastAsia="en-US"/>
        </w:rPr>
        <w:t xml:space="preserve"> Drift nets were of 500-µm mesh, 150 cm long with a 50 cm mouth diameter, and had flow meters (General Oceanics, Florida, USA) fitted to the mouth of the net to measure the volume of water filtered. Nets were set in late afternoon (1500–1900 hours) and retrieved the following morning (0800–1200 hours). Drift samples were inspected briefly in the field to obtain fertilised eggs so that these could be taken to the laboratory for hatching to assist identification. The remainder of the samples were preserved in 90% ethanol and taken to the laboratory for processing and identification.</w:t>
      </w:r>
      <w:r w:rsidRPr="00C71A96">
        <w:t xml:space="preserve"> </w:t>
      </w:r>
      <w:r>
        <w:t>These methods are the same as those used for the core larval monitoring program.</w:t>
      </w:r>
    </w:p>
    <w:p w14:paraId="64421651" w14:textId="5A278D6F" w:rsidR="006A637E" w:rsidRDefault="006B358D" w:rsidP="006A637E">
      <w:pPr>
        <w:pStyle w:val="Heading2"/>
      </w:pPr>
      <w:bookmarkStart w:id="651" w:name="_Toc84416134"/>
      <w:bookmarkStart w:id="652" w:name="_Toc84417428"/>
      <w:bookmarkStart w:id="653" w:name="_Toc84475721"/>
      <w:r>
        <w:t xml:space="preserve"> </w:t>
      </w:r>
      <w:r w:rsidR="006A637E">
        <w:t xml:space="preserve">Results </w:t>
      </w:r>
      <w:r w:rsidR="00361692">
        <w:t>and</w:t>
      </w:r>
      <w:r w:rsidR="006A637E">
        <w:t xml:space="preserve"> </w:t>
      </w:r>
      <w:r w:rsidR="00361692">
        <w:t>d</w:t>
      </w:r>
      <w:r w:rsidR="006A637E">
        <w:t>iscussion</w:t>
      </w:r>
      <w:bookmarkEnd w:id="651"/>
      <w:bookmarkEnd w:id="652"/>
      <w:bookmarkEnd w:id="653"/>
    </w:p>
    <w:p w14:paraId="565F168A" w14:textId="72A2CC72" w:rsidR="006A637E" w:rsidRDefault="006A637E" w:rsidP="006A637E">
      <w:pPr>
        <w:rPr>
          <w:lang w:eastAsia="en-AU"/>
        </w:rPr>
      </w:pPr>
      <w:r w:rsidRPr="00447713">
        <w:rPr>
          <w:lang w:eastAsia="en-AU"/>
        </w:rPr>
        <w:t xml:space="preserve">Over </w:t>
      </w:r>
      <w:r>
        <w:rPr>
          <w:lang w:eastAsia="en-AU"/>
        </w:rPr>
        <w:t>3200</w:t>
      </w:r>
      <w:r w:rsidRPr="00447713">
        <w:rPr>
          <w:lang w:eastAsia="en-AU"/>
        </w:rPr>
        <w:t xml:space="preserve"> individuals (eggs and larvae) representing </w:t>
      </w:r>
      <w:r>
        <w:rPr>
          <w:lang w:eastAsia="en-AU"/>
        </w:rPr>
        <w:t>five native and one exotic</w:t>
      </w:r>
      <w:r w:rsidRPr="00447713">
        <w:rPr>
          <w:lang w:eastAsia="en-AU"/>
        </w:rPr>
        <w:t xml:space="preserve"> species were collected from the drift sampling </w:t>
      </w:r>
      <w:r>
        <w:rPr>
          <w:lang w:eastAsia="en-AU"/>
        </w:rPr>
        <w:t>around the junction of the Goulburn and Murray rivers</w:t>
      </w:r>
      <w:r w:rsidRPr="00447713">
        <w:rPr>
          <w:lang w:eastAsia="en-AU"/>
        </w:rPr>
        <w:t xml:space="preserve"> </w:t>
      </w:r>
      <w:r>
        <w:rPr>
          <w:lang w:eastAsia="en-AU"/>
        </w:rPr>
        <w:t>(</w:t>
      </w:r>
      <w:r w:rsidR="00D772A3" w:rsidRPr="008E6AF9">
        <w:t xml:space="preserve">Table </w:t>
      </w:r>
      <w:r w:rsidR="00D772A3">
        <w:rPr>
          <w:noProof/>
        </w:rPr>
        <w:t>11</w:t>
      </w:r>
      <w:r w:rsidR="00D772A3">
        <w:rPr>
          <w:noProof/>
        </w:rPr>
        <w:noBreakHyphen/>
        <w:t>1</w:t>
      </w:r>
      <w:r w:rsidRPr="00773797">
        <w:rPr>
          <w:lang w:eastAsia="en-AU"/>
        </w:rPr>
        <w:t>).</w:t>
      </w:r>
      <w:r w:rsidRPr="00447713">
        <w:rPr>
          <w:lang w:eastAsia="en-AU"/>
        </w:rPr>
        <w:t xml:space="preserve"> </w:t>
      </w:r>
      <w:r>
        <w:rPr>
          <w:lang w:eastAsia="en-AU"/>
        </w:rPr>
        <w:t>Golden perch</w:t>
      </w:r>
      <w:r w:rsidRPr="00447713">
        <w:rPr>
          <w:lang w:eastAsia="en-AU"/>
        </w:rPr>
        <w:t xml:space="preserve"> was the most abundant species collected, comprising </w:t>
      </w:r>
      <w:r>
        <w:rPr>
          <w:lang w:eastAsia="en-AU"/>
        </w:rPr>
        <w:t>67</w:t>
      </w:r>
      <w:r w:rsidRPr="00447713">
        <w:rPr>
          <w:lang w:eastAsia="en-AU"/>
        </w:rPr>
        <w:t xml:space="preserve">% of the total abundance for all species, </w:t>
      </w:r>
      <w:r>
        <w:rPr>
          <w:lang w:eastAsia="en-AU"/>
        </w:rPr>
        <w:t>followed by silver perch (24%).</w:t>
      </w:r>
    </w:p>
    <w:p w14:paraId="18F0824E" w14:textId="77777777" w:rsidR="006A637E" w:rsidRDefault="006A637E" w:rsidP="006A637E">
      <w:pPr>
        <w:rPr>
          <w:lang w:eastAsia="en-AU"/>
        </w:rPr>
      </w:pPr>
      <w:r>
        <w:rPr>
          <w:lang w:eastAsia="en-AU"/>
        </w:rPr>
        <w:t xml:space="preserve">Spawning of golden perch was detected in the lower Goulburn River </w:t>
      </w:r>
      <w:r>
        <w:t xml:space="preserve">in late </w:t>
      </w:r>
      <w:r>
        <w:rPr>
          <w:lang w:eastAsia="en-AU"/>
        </w:rPr>
        <w:t>November</w:t>
      </w:r>
      <w:r w:rsidRPr="00D9749C">
        <w:rPr>
          <w:lang w:eastAsia="en-AU"/>
        </w:rPr>
        <w:t xml:space="preserve"> </w:t>
      </w:r>
      <w:r>
        <w:rPr>
          <w:lang w:eastAsia="en-AU"/>
        </w:rPr>
        <w:t>coinciding</w:t>
      </w:r>
      <w:r w:rsidRPr="00DA2354">
        <w:rPr>
          <w:lang w:eastAsia="en-AU"/>
        </w:rPr>
        <w:t xml:space="preserve"> with </w:t>
      </w:r>
      <w:r>
        <w:rPr>
          <w:lang w:eastAsia="en-AU"/>
        </w:rPr>
        <w:t xml:space="preserve">a </w:t>
      </w:r>
      <w:r w:rsidRPr="00DA2354">
        <w:rPr>
          <w:lang w:eastAsia="en-AU"/>
        </w:rPr>
        <w:t>within-channel</w:t>
      </w:r>
      <w:r>
        <w:rPr>
          <w:lang w:eastAsia="en-AU"/>
        </w:rPr>
        <w:t xml:space="preserve"> environmental flow</w:t>
      </w:r>
      <w:r w:rsidRPr="00DA2354">
        <w:rPr>
          <w:lang w:eastAsia="en-AU"/>
        </w:rPr>
        <w:t xml:space="preserve"> pulse. </w:t>
      </w:r>
      <w:r>
        <w:rPr>
          <w:lang w:eastAsia="en-AU"/>
        </w:rPr>
        <w:t>Spawning of golden perch was detected in the Murray River both</w:t>
      </w:r>
      <w:r w:rsidRPr="003866F2">
        <w:rPr>
          <w:lang w:eastAsia="en-AU"/>
        </w:rPr>
        <w:t xml:space="preserve"> </w:t>
      </w:r>
      <w:r>
        <w:rPr>
          <w:lang w:eastAsia="en-AU"/>
        </w:rPr>
        <w:t>upstream and downstream of the junction over a longer time frame encompassing late October to late November. However, there was no noticeable increase in the c</w:t>
      </w:r>
      <w:r w:rsidRPr="00B07DD3">
        <w:rPr>
          <w:lang w:eastAsia="en-AU"/>
        </w:rPr>
        <w:t xml:space="preserve">atches of </w:t>
      </w:r>
      <w:r>
        <w:rPr>
          <w:lang w:eastAsia="en-AU"/>
        </w:rPr>
        <w:t>golden</w:t>
      </w:r>
      <w:r w:rsidRPr="00B07DD3">
        <w:rPr>
          <w:lang w:eastAsia="en-AU"/>
        </w:rPr>
        <w:t xml:space="preserve"> perch eggs in the Murray River </w:t>
      </w:r>
      <w:r>
        <w:rPr>
          <w:lang w:eastAsia="en-AU"/>
        </w:rPr>
        <w:t xml:space="preserve">following spawning in the Goulburn River. </w:t>
      </w:r>
    </w:p>
    <w:p w14:paraId="5DC39977" w14:textId="77777777" w:rsidR="006A637E" w:rsidRDefault="006A637E" w:rsidP="006A637E">
      <w:pPr>
        <w:rPr>
          <w:lang w:eastAsia="en-AU"/>
        </w:rPr>
      </w:pPr>
      <w:r>
        <w:rPr>
          <w:lang w:eastAsia="en-AU"/>
        </w:rPr>
        <w:t xml:space="preserve">Spawning of silver perch was detected </w:t>
      </w:r>
      <w:r w:rsidRPr="00496A71">
        <w:rPr>
          <w:lang w:eastAsia="en-AU"/>
        </w:rPr>
        <w:t>in the lower Goulburn River</w:t>
      </w:r>
      <w:r w:rsidRPr="00496A71">
        <w:t xml:space="preserve"> </w:t>
      </w:r>
      <w:r w:rsidRPr="00496A71">
        <w:rPr>
          <w:lang w:eastAsia="en-AU"/>
        </w:rPr>
        <w:t>in late November coinciding with a within-channel environmental flow pulse</w:t>
      </w:r>
      <w:r>
        <w:rPr>
          <w:lang w:eastAsia="en-AU"/>
        </w:rPr>
        <w:t>. Spawning of silver perch</w:t>
      </w:r>
      <w:r w:rsidRPr="00496A71">
        <w:rPr>
          <w:lang w:eastAsia="en-AU"/>
        </w:rPr>
        <w:t xml:space="preserve"> </w:t>
      </w:r>
      <w:r>
        <w:rPr>
          <w:lang w:eastAsia="en-AU"/>
        </w:rPr>
        <w:t>was detected in the Murray River upstream of the junction in early November, and downstream of the junction over a longer time frame encompassing early to late November. Catches of silver perch eggs in the Murray River downstream of the junction increased slightly in late November, coinciding with s</w:t>
      </w:r>
      <w:r w:rsidRPr="00B07DD3">
        <w:rPr>
          <w:lang w:eastAsia="en-AU"/>
        </w:rPr>
        <w:t xml:space="preserve">pawning in the </w:t>
      </w:r>
      <w:r>
        <w:rPr>
          <w:lang w:eastAsia="en-AU"/>
        </w:rPr>
        <w:t>lower Goulburn</w:t>
      </w:r>
      <w:r w:rsidRPr="00B07DD3">
        <w:rPr>
          <w:lang w:eastAsia="en-AU"/>
        </w:rPr>
        <w:t xml:space="preserve"> </w:t>
      </w:r>
      <w:r w:rsidRPr="000961AB">
        <w:rPr>
          <w:lang w:eastAsia="en-AU"/>
        </w:rPr>
        <w:t>River.</w:t>
      </w:r>
      <w:r w:rsidRPr="000961AB">
        <w:t xml:space="preserve"> </w:t>
      </w:r>
    </w:p>
    <w:p w14:paraId="322A0787" w14:textId="314E454A" w:rsidR="006A637E" w:rsidRDefault="006A637E" w:rsidP="006A637E">
      <w:pPr>
        <w:rPr>
          <w:lang w:eastAsia="en-AU"/>
        </w:rPr>
      </w:pPr>
      <w:r w:rsidRPr="000961AB">
        <w:rPr>
          <w:lang w:eastAsia="en-AU"/>
        </w:rPr>
        <w:t>Spawning of golden perch and silver perch in the Murray River occurs over a broader time frame compared to the Goulburn River.</w:t>
      </w:r>
      <w:r>
        <w:rPr>
          <w:lang w:eastAsia="en-AU"/>
        </w:rPr>
        <w:t xml:space="preserve"> This finding may reflect differences in flow conditions between the rivers. For instance, in the Murray River there is often a sustained high discharge throughout the late spring-summer spawning period due to irrigation demand, whereas in the lower Goulburn River discharge is often relatively low</w:t>
      </w:r>
      <w:r w:rsidRPr="00FB7439">
        <w:rPr>
          <w:lang w:eastAsia="en-AU"/>
        </w:rPr>
        <w:t xml:space="preserve"> </w:t>
      </w:r>
      <w:r>
        <w:rPr>
          <w:lang w:eastAsia="en-AU"/>
        </w:rPr>
        <w:t xml:space="preserve">throughout the spawning period </w:t>
      </w:r>
      <w:proofErr w:type="gramStart"/>
      <w:r>
        <w:rPr>
          <w:lang w:eastAsia="en-AU"/>
        </w:rPr>
        <w:t>with the exception of</w:t>
      </w:r>
      <w:proofErr w:type="gramEnd"/>
      <w:r>
        <w:rPr>
          <w:lang w:eastAsia="en-AU"/>
        </w:rPr>
        <w:t xml:space="preserve"> short duration targeted environmental flow pulses. Further research is needed to comprehensibly assess the extent to which</w:t>
      </w:r>
      <w:r w:rsidRPr="000961AB">
        <w:t xml:space="preserve"> </w:t>
      </w:r>
      <w:r w:rsidRPr="000961AB">
        <w:rPr>
          <w:lang w:eastAsia="en-AU"/>
        </w:rPr>
        <w:t xml:space="preserve">golden perch </w:t>
      </w:r>
      <w:r>
        <w:rPr>
          <w:lang w:eastAsia="en-AU"/>
        </w:rPr>
        <w:t xml:space="preserve">and silver perch </w:t>
      </w:r>
      <w:r w:rsidRPr="000961AB">
        <w:rPr>
          <w:lang w:eastAsia="en-AU"/>
        </w:rPr>
        <w:t>spawned in the Goulburn River act as a source of fish to the Murray River</w:t>
      </w:r>
      <w:r>
        <w:rPr>
          <w:lang w:eastAsia="en-AU"/>
        </w:rPr>
        <w:t>.</w:t>
      </w:r>
    </w:p>
    <w:p w14:paraId="22C4EDB8" w14:textId="77E06A68" w:rsidR="0060379B" w:rsidRDefault="0060379B" w:rsidP="006A637E">
      <w:pPr>
        <w:rPr>
          <w:lang w:eastAsia="en-AU"/>
        </w:rPr>
      </w:pPr>
    </w:p>
    <w:p w14:paraId="775F0B51" w14:textId="77777777" w:rsidR="0060379B" w:rsidRDefault="0060379B" w:rsidP="006A637E">
      <w:pPr>
        <w:rPr>
          <w:lang w:eastAsia="en-AU"/>
        </w:rPr>
      </w:pPr>
    </w:p>
    <w:p w14:paraId="116FA4E8" w14:textId="0144E6FC" w:rsidR="006A637E" w:rsidRPr="00FE663F" w:rsidRDefault="006A637E" w:rsidP="006A637E">
      <w:pPr>
        <w:pStyle w:val="Caption"/>
        <w:rPr>
          <w:lang w:eastAsia="en-AU"/>
        </w:rPr>
      </w:pPr>
      <w:bookmarkStart w:id="654" w:name="_Ref78363927"/>
      <w:bookmarkStart w:id="655" w:name="_Toc95391493"/>
      <w:r w:rsidRPr="008E6AF9">
        <w:lastRenderedPageBreak/>
        <w:t xml:space="preserve">Table </w:t>
      </w:r>
      <w:r w:rsidR="000B75AF">
        <w:rPr>
          <w:noProof/>
        </w:rPr>
        <w:t>11</w:t>
      </w:r>
      <w:r w:rsidR="000B75AF">
        <w:noBreakHyphen/>
      </w:r>
      <w:r w:rsidR="000B75AF">
        <w:rPr>
          <w:noProof/>
        </w:rPr>
        <w:t>1</w:t>
      </w:r>
      <w:bookmarkEnd w:id="654"/>
      <w:r w:rsidRPr="00773797">
        <w:t xml:space="preserve"> Numbers</w:t>
      </w:r>
      <w:r w:rsidRPr="008E6AF9">
        <w:t xml:space="preserve"> of eggs (E) and larvae (L) of fish species collected in drift net surveys from the </w:t>
      </w:r>
      <w:r>
        <w:t>Murray/</w:t>
      </w:r>
      <w:r w:rsidRPr="008E6AF9">
        <w:t xml:space="preserve">Goulburn </w:t>
      </w:r>
      <w:r>
        <w:t>junction sampling in 2</w:t>
      </w:r>
      <w:r w:rsidRPr="008E6AF9">
        <w:t>020. Species with asterisk are exotic species.</w:t>
      </w:r>
      <w:bookmarkEnd w:id="655"/>
    </w:p>
    <w:tbl>
      <w:tblPr>
        <w:tblStyle w:val="TableGrid3"/>
        <w:tblpPr w:leftFromText="180" w:rightFromText="180" w:vertAnchor="text" w:horzAnchor="margin" w:tblpXSpec="center" w:tblpY="20"/>
        <w:tblW w:w="5003" w:type="pct"/>
        <w:tblInd w:w="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85" w:type="dxa"/>
          <w:right w:w="85" w:type="dxa"/>
        </w:tblCellMar>
        <w:tblLook w:val="04A0" w:firstRow="1" w:lastRow="0" w:firstColumn="1" w:lastColumn="0" w:noHBand="0" w:noVBand="1"/>
      </w:tblPr>
      <w:tblGrid>
        <w:gridCol w:w="2038"/>
        <w:gridCol w:w="1124"/>
        <w:gridCol w:w="1126"/>
        <w:gridCol w:w="1125"/>
        <w:gridCol w:w="1127"/>
        <w:gridCol w:w="1125"/>
        <w:gridCol w:w="1127"/>
        <w:gridCol w:w="1125"/>
      </w:tblGrid>
      <w:tr w:rsidR="00141713" w:rsidRPr="00BA2632" w14:paraId="3632C033" w14:textId="77777777" w:rsidTr="00B36E2A">
        <w:trPr>
          <w:cantSplit/>
          <w:tblHeader/>
        </w:trPr>
        <w:tc>
          <w:tcPr>
            <w:tcW w:w="1028" w:type="pct"/>
            <w:tcBorders>
              <w:top w:val="single" w:sz="4" w:space="0" w:color="808080"/>
              <w:left w:val="single" w:sz="4" w:space="0" w:color="808080"/>
              <w:bottom w:val="single" w:sz="4" w:space="0" w:color="808080"/>
              <w:right w:val="single" w:sz="4" w:space="0" w:color="FFFFFF" w:themeColor="background1"/>
            </w:tcBorders>
            <w:shd w:val="clear" w:color="auto" w:fill="00338D"/>
            <w:hideMark/>
          </w:tcPr>
          <w:p w14:paraId="03160A1D" w14:textId="77777777" w:rsidR="006A637E" w:rsidRPr="00B36E2A" w:rsidRDefault="006A637E" w:rsidP="00E26D3C">
            <w:pPr>
              <w:spacing w:before="40" w:after="40"/>
              <w:rPr>
                <w:rFonts w:cstheme="minorHAnsi"/>
                <w:sz w:val="18"/>
                <w:szCs w:val="18"/>
              </w:rPr>
            </w:pPr>
            <w:r w:rsidRPr="00B36E2A">
              <w:rPr>
                <w:rFonts w:cstheme="minorHAnsi"/>
                <w:sz w:val="18"/>
                <w:szCs w:val="18"/>
              </w:rPr>
              <w:t>Site</w:t>
            </w:r>
          </w:p>
        </w:tc>
        <w:tc>
          <w:tcPr>
            <w:tcW w:w="567"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hideMark/>
          </w:tcPr>
          <w:p w14:paraId="7F8EA5FD" w14:textId="77777777" w:rsidR="006A637E" w:rsidRPr="00B36E2A" w:rsidRDefault="006A637E" w:rsidP="00E26D3C">
            <w:pPr>
              <w:spacing w:before="40" w:after="40"/>
              <w:rPr>
                <w:rFonts w:cstheme="minorHAnsi"/>
                <w:sz w:val="18"/>
                <w:szCs w:val="18"/>
              </w:rPr>
            </w:pPr>
            <w:r w:rsidRPr="00B36E2A">
              <w:rPr>
                <w:rFonts w:cstheme="minorHAnsi"/>
                <w:sz w:val="18"/>
                <w:szCs w:val="18"/>
              </w:rPr>
              <w:t>Golden perch</w:t>
            </w:r>
          </w:p>
        </w:tc>
        <w:tc>
          <w:tcPr>
            <w:tcW w:w="568"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hideMark/>
          </w:tcPr>
          <w:p w14:paraId="1E82E89B" w14:textId="77777777" w:rsidR="006A637E" w:rsidRPr="00B36E2A" w:rsidRDefault="006A637E" w:rsidP="00E26D3C">
            <w:pPr>
              <w:spacing w:before="40" w:after="40"/>
              <w:rPr>
                <w:rFonts w:cstheme="minorHAnsi"/>
                <w:sz w:val="18"/>
                <w:szCs w:val="18"/>
              </w:rPr>
            </w:pPr>
            <w:r w:rsidRPr="00B36E2A">
              <w:rPr>
                <w:rFonts w:cstheme="minorHAnsi"/>
                <w:sz w:val="18"/>
                <w:szCs w:val="18"/>
              </w:rPr>
              <w:t>Silver perch</w:t>
            </w:r>
          </w:p>
        </w:tc>
        <w:tc>
          <w:tcPr>
            <w:tcW w:w="567"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hideMark/>
          </w:tcPr>
          <w:p w14:paraId="1F2238EF" w14:textId="77777777" w:rsidR="006A637E" w:rsidRPr="00B36E2A" w:rsidRDefault="006A637E" w:rsidP="00E26D3C">
            <w:pPr>
              <w:spacing w:before="40" w:after="40"/>
              <w:rPr>
                <w:rFonts w:cstheme="minorHAnsi"/>
                <w:sz w:val="18"/>
                <w:szCs w:val="18"/>
              </w:rPr>
            </w:pPr>
            <w:r w:rsidRPr="00B36E2A">
              <w:rPr>
                <w:rFonts w:cstheme="minorHAnsi"/>
                <w:sz w:val="18"/>
                <w:szCs w:val="18"/>
              </w:rPr>
              <w:t>Murray cod</w:t>
            </w:r>
          </w:p>
        </w:tc>
        <w:tc>
          <w:tcPr>
            <w:tcW w:w="568"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hideMark/>
          </w:tcPr>
          <w:p w14:paraId="7EEEEC42" w14:textId="77777777" w:rsidR="006A637E" w:rsidRPr="00B36E2A" w:rsidRDefault="006A637E" w:rsidP="00E26D3C">
            <w:pPr>
              <w:spacing w:before="40" w:after="40"/>
              <w:rPr>
                <w:rFonts w:cstheme="minorHAnsi"/>
                <w:sz w:val="18"/>
                <w:szCs w:val="18"/>
              </w:rPr>
            </w:pPr>
            <w:r w:rsidRPr="00B36E2A">
              <w:rPr>
                <w:rFonts w:cstheme="minorHAnsi"/>
                <w:sz w:val="18"/>
                <w:szCs w:val="18"/>
              </w:rPr>
              <w:t xml:space="preserve">Australian smelt </w:t>
            </w:r>
          </w:p>
        </w:tc>
        <w:tc>
          <w:tcPr>
            <w:tcW w:w="567"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tcPr>
          <w:p w14:paraId="2EEA8C19" w14:textId="77777777" w:rsidR="006A637E" w:rsidRPr="00B36E2A" w:rsidRDefault="006A637E" w:rsidP="00E26D3C">
            <w:pPr>
              <w:tabs>
                <w:tab w:val="left" w:pos="588"/>
              </w:tabs>
              <w:spacing w:before="40" w:after="40"/>
              <w:rPr>
                <w:rFonts w:cstheme="minorHAnsi"/>
                <w:sz w:val="18"/>
                <w:szCs w:val="18"/>
              </w:rPr>
            </w:pPr>
            <w:r w:rsidRPr="00B36E2A">
              <w:rPr>
                <w:rFonts w:cstheme="minorHAnsi"/>
                <w:sz w:val="18"/>
                <w:szCs w:val="18"/>
              </w:rPr>
              <w:t>Cod sp.</w:t>
            </w:r>
          </w:p>
        </w:tc>
        <w:tc>
          <w:tcPr>
            <w:tcW w:w="568"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hideMark/>
          </w:tcPr>
          <w:p w14:paraId="770D791D" w14:textId="77777777" w:rsidR="006A637E" w:rsidRPr="00B36E2A" w:rsidRDefault="006A637E" w:rsidP="00E26D3C">
            <w:pPr>
              <w:spacing w:before="40" w:after="40"/>
              <w:rPr>
                <w:rFonts w:cstheme="minorHAnsi"/>
                <w:sz w:val="18"/>
                <w:szCs w:val="18"/>
              </w:rPr>
            </w:pPr>
            <w:r w:rsidRPr="00B36E2A">
              <w:rPr>
                <w:rFonts w:cstheme="minorHAnsi"/>
                <w:sz w:val="18"/>
                <w:szCs w:val="18"/>
              </w:rPr>
              <w:t>Common carp*</w:t>
            </w:r>
          </w:p>
        </w:tc>
        <w:tc>
          <w:tcPr>
            <w:tcW w:w="569" w:type="pct"/>
            <w:tcBorders>
              <w:top w:val="single" w:sz="4" w:space="0" w:color="808080"/>
              <w:left w:val="single" w:sz="4" w:space="0" w:color="FFFFFF" w:themeColor="background1"/>
              <w:bottom w:val="single" w:sz="4" w:space="0" w:color="808080"/>
              <w:right w:val="single" w:sz="4" w:space="0" w:color="FFFFFF" w:themeColor="background1"/>
            </w:tcBorders>
            <w:shd w:val="clear" w:color="auto" w:fill="00338D"/>
          </w:tcPr>
          <w:p w14:paraId="5AEC4C2A" w14:textId="77777777" w:rsidR="006A637E" w:rsidRPr="00B36E2A" w:rsidRDefault="006A637E" w:rsidP="00E26D3C">
            <w:pPr>
              <w:spacing w:before="40" w:after="40"/>
              <w:rPr>
                <w:rFonts w:cstheme="minorHAnsi"/>
                <w:sz w:val="18"/>
                <w:szCs w:val="18"/>
              </w:rPr>
            </w:pPr>
            <w:r w:rsidRPr="00B36E2A">
              <w:rPr>
                <w:rFonts w:cstheme="minorHAnsi"/>
                <w:sz w:val="18"/>
                <w:szCs w:val="18"/>
              </w:rPr>
              <w:t>Flathead gudgeon</w:t>
            </w:r>
          </w:p>
        </w:tc>
      </w:tr>
      <w:tr w:rsidR="006A637E" w:rsidRPr="008E6AF9" w14:paraId="4912E041" w14:textId="77777777" w:rsidTr="00B36E2A">
        <w:trPr>
          <w:cantSplit/>
        </w:trPr>
        <w:tc>
          <w:tcPr>
            <w:tcW w:w="1028" w:type="pct"/>
            <w:tcBorders>
              <w:top w:val="single" w:sz="4" w:space="0" w:color="808080"/>
              <w:left w:val="single" w:sz="4" w:space="0" w:color="808080"/>
              <w:bottom w:val="single" w:sz="4" w:space="0" w:color="808080"/>
              <w:right w:val="single" w:sz="4" w:space="0" w:color="808080"/>
            </w:tcBorders>
            <w:hideMark/>
          </w:tcPr>
          <w:p w14:paraId="54042F4E" w14:textId="77777777" w:rsidR="006A637E" w:rsidRPr="00B36E2A" w:rsidRDefault="006A637E" w:rsidP="00E26D3C">
            <w:pPr>
              <w:spacing w:before="40" w:after="40"/>
              <w:rPr>
                <w:rFonts w:cstheme="minorHAnsi"/>
                <w:sz w:val="18"/>
                <w:szCs w:val="18"/>
              </w:rPr>
            </w:pPr>
            <w:r w:rsidRPr="00B36E2A">
              <w:rPr>
                <w:rFonts w:cstheme="minorHAnsi"/>
                <w:sz w:val="18"/>
                <w:szCs w:val="18"/>
              </w:rPr>
              <w:t>Goulburn upstream junction</w:t>
            </w:r>
          </w:p>
        </w:tc>
        <w:tc>
          <w:tcPr>
            <w:tcW w:w="567" w:type="pct"/>
            <w:tcBorders>
              <w:top w:val="single" w:sz="4" w:space="0" w:color="808080"/>
              <w:left w:val="single" w:sz="4" w:space="0" w:color="808080"/>
              <w:bottom w:val="single" w:sz="4" w:space="0" w:color="808080"/>
              <w:right w:val="single" w:sz="4" w:space="0" w:color="808080"/>
            </w:tcBorders>
            <w:hideMark/>
          </w:tcPr>
          <w:p w14:paraId="3F97A7D1" w14:textId="77777777" w:rsidR="006A637E" w:rsidRPr="00B36E2A" w:rsidRDefault="006A637E" w:rsidP="00E26D3C">
            <w:pPr>
              <w:spacing w:before="40" w:after="40"/>
              <w:rPr>
                <w:rFonts w:cstheme="minorHAnsi"/>
                <w:sz w:val="18"/>
                <w:szCs w:val="18"/>
              </w:rPr>
            </w:pPr>
            <w:r w:rsidRPr="00B36E2A">
              <w:rPr>
                <w:rFonts w:cstheme="minorHAnsi"/>
                <w:sz w:val="18"/>
                <w:szCs w:val="18"/>
              </w:rPr>
              <w:t>110E, 33L</w:t>
            </w:r>
          </w:p>
        </w:tc>
        <w:tc>
          <w:tcPr>
            <w:tcW w:w="568" w:type="pct"/>
            <w:tcBorders>
              <w:top w:val="single" w:sz="4" w:space="0" w:color="808080"/>
              <w:left w:val="single" w:sz="4" w:space="0" w:color="808080"/>
              <w:bottom w:val="single" w:sz="4" w:space="0" w:color="808080"/>
              <w:right w:val="single" w:sz="4" w:space="0" w:color="808080"/>
            </w:tcBorders>
          </w:tcPr>
          <w:p w14:paraId="380DC6A8" w14:textId="77777777" w:rsidR="006A637E" w:rsidRPr="00B36E2A" w:rsidRDefault="006A637E" w:rsidP="00E26D3C">
            <w:pPr>
              <w:spacing w:before="40" w:after="40"/>
              <w:rPr>
                <w:rFonts w:cstheme="minorHAnsi"/>
                <w:sz w:val="18"/>
                <w:szCs w:val="18"/>
              </w:rPr>
            </w:pPr>
            <w:r w:rsidRPr="00B36E2A">
              <w:rPr>
                <w:rFonts w:cstheme="minorHAnsi"/>
                <w:sz w:val="18"/>
                <w:szCs w:val="18"/>
              </w:rPr>
              <w:t>529E</w:t>
            </w:r>
          </w:p>
        </w:tc>
        <w:tc>
          <w:tcPr>
            <w:tcW w:w="567" w:type="pct"/>
            <w:tcBorders>
              <w:top w:val="single" w:sz="4" w:space="0" w:color="808080"/>
              <w:left w:val="single" w:sz="4" w:space="0" w:color="808080"/>
              <w:bottom w:val="single" w:sz="4" w:space="0" w:color="808080"/>
              <w:right w:val="single" w:sz="4" w:space="0" w:color="808080"/>
            </w:tcBorders>
          </w:tcPr>
          <w:p w14:paraId="038AEAAF" w14:textId="77777777" w:rsidR="006A637E" w:rsidRPr="00B36E2A" w:rsidRDefault="006A637E" w:rsidP="00E26D3C">
            <w:pPr>
              <w:tabs>
                <w:tab w:val="center" w:pos="569"/>
              </w:tabs>
              <w:spacing w:before="40" w:after="40"/>
              <w:rPr>
                <w:rFonts w:cstheme="minorHAnsi"/>
                <w:sz w:val="18"/>
                <w:szCs w:val="18"/>
              </w:rPr>
            </w:pPr>
            <w:r w:rsidRPr="00B36E2A">
              <w:rPr>
                <w:rFonts w:cstheme="minorHAnsi"/>
                <w:sz w:val="18"/>
                <w:szCs w:val="18"/>
              </w:rPr>
              <w:t>144L</w:t>
            </w:r>
          </w:p>
        </w:tc>
        <w:tc>
          <w:tcPr>
            <w:tcW w:w="568" w:type="pct"/>
            <w:tcBorders>
              <w:top w:val="single" w:sz="4" w:space="0" w:color="808080"/>
              <w:left w:val="single" w:sz="4" w:space="0" w:color="808080"/>
              <w:bottom w:val="single" w:sz="4" w:space="0" w:color="808080"/>
              <w:right w:val="single" w:sz="4" w:space="0" w:color="808080"/>
            </w:tcBorders>
          </w:tcPr>
          <w:p w14:paraId="0359F247" w14:textId="77777777" w:rsidR="006A637E" w:rsidRPr="00B36E2A" w:rsidRDefault="006A637E" w:rsidP="00E26D3C">
            <w:pPr>
              <w:spacing w:before="40" w:after="40"/>
              <w:rPr>
                <w:rFonts w:cstheme="minorHAnsi"/>
                <w:sz w:val="18"/>
                <w:szCs w:val="18"/>
              </w:rPr>
            </w:pPr>
            <w:r w:rsidRPr="00B36E2A">
              <w:rPr>
                <w:rFonts w:cstheme="minorHAnsi"/>
                <w:sz w:val="18"/>
                <w:szCs w:val="18"/>
              </w:rPr>
              <w:t>4E</w:t>
            </w:r>
          </w:p>
        </w:tc>
        <w:tc>
          <w:tcPr>
            <w:tcW w:w="567" w:type="pct"/>
            <w:tcBorders>
              <w:top w:val="single" w:sz="4" w:space="0" w:color="808080"/>
              <w:left w:val="single" w:sz="4" w:space="0" w:color="808080"/>
              <w:bottom w:val="single" w:sz="4" w:space="0" w:color="808080"/>
              <w:right w:val="single" w:sz="4" w:space="0" w:color="808080"/>
            </w:tcBorders>
          </w:tcPr>
          <w:p w14:paraId="2CB031D6" w14:textId="77777777" w:rsidR="006A637E" w:rsidRPr="00B36E2A" w:rsidRDefault="006A637E" w:rsidP="00E26D3C">
            <w:pPr>
              <w:spacing w:before="40" w:after="40"/>
              <w:rPr>
                <w:rFonts w:cstheme="minorHAnsi"/>
                <w:sz w:val="18"/>
                <w:szCs w:val="18"/>
              </w:rPr>
            </w:pPr>
            <w:r w:rsidRPr="00B36E2A">
              <w:rPr>
                <w:rFonts w:cstheme="minorHAnsi"/>
                <w:sz w:val="18"/>
                <w:szCs w:val="18"/>
              </w:rPr>
              <w:t>1L</w:t>
            </w:r>
          </w:p>
        </w:tc>
        <w:tc>
          <w:tcPr>
            <w:tcW w:w="568" w:type="pct"/>
            <w:tcBorders>
              <w:top w:val="single" w:sz="4" w:space="0" w:color="808080"/>
              <w:left w:val="single" w:sz="4" w:space="0" w:color="808080"/>
              <w:bottom w:val="single" w:sz="4" w:space="0" w:color="808080"/>
              <w:right w:val="single" w:sz="4" w:space="0" w:color="808080"/>
            </w:tcBorders>
            <w:shd w:val="clear" w:color="auto" w:fill="auto"/>
          </w:tcPr>
          <w:p w14:paraId="7E74A060" w14:textId="77777777" w:rsidR="006A637E" w:rsidRPr="00B36E2A" w:rsidRDefault="006A637E" w:rsidP="00E26D3C">
            <w:pPr>
              <w:spacing w:before="40" w:after="40"/>
              <w:rPr>
                <w:rFonts w:cstheme="minorHAnsi"/>
                <w:sz w:val="18"/>
                <w:szCs w:val="18"/>
              </w:rPr>
            </w:pPr>
          </w:p>
        </w:tc>
        <w:tc>
          <w:tcPr>
            <w:tcW w:w="569" w:type="pct"/>
            <w:tcBorders>
              <w:top w:val="single" w:sz="4" w:space="0" w:color="808080"/>
              <w:left w:val="single" w:sz="4" w:space="0" w:color="808080"/>
              <w:bottom w:val="single" w:sz="4" w:space="0" w:color="808080"/>
              <w:right w:val="single" w:sz="4" w:space="0" w:color="808080"/>
            </w:tcBorders>
          </w:tcPr>
          <w:p w14:paraId="5B398792" w14:textId="77777777" w:rsidR="006A637E" w:rsidRPr="00B36E2A" w:rsidRDefault="006A637E" w:rsidP="00E26D3C">
            <w:pPr>
              <w:spacing w:before="40" w:after="40"/>
              <w:rPr>
                <w:rFonts w:cstheme="minorHAnsi"/>
                <w:sz w:val="18"/>
                <w:szCs w:val="18"/>
              </w:rPr>
            </w:pPr>
            <w:r w:rsidRPr="00B36E2A">
              <w:rPr>
                <w:rFonts w:cstheme="minorHAnsi"/>
                <w:sz w:val="18"/>
                <w:szCs w:val="18"/>
              </w:rPr>
              <w:t>3L</w:t>
            </w:r>
          </w:p>
        </w:tc>
      </w:tr>
      <w:tr w:rsidR="006A637E" w:rsidRPr="003379B1" w14:paraId="4D7F730A" w14:textId="77777777" w:rsidTr="00B36E2A">
        <w:trPr>
          <w:cantSplit/>
        </w:trPr>
        <w:tc>
          <w:tcPr>
            <w:tcW w:w="1028" w:type="pct"/>
            <w:tcBorders>
              <w:top w:val="single" w:sz="4" w:space="0" w:color="808080"/>
              <w:left w:val="single" w:sz="4" w:space="0" w:color="808080"/>
              <w:bottom w:val="single" w:sz="4" w:space="0" w:color="808080"/>
              <w:right w:val="single" w:sz="4" w:space="0" w:color="808080"/>
            </w:tcBorders>
            <w:hideMark/>
          </w:tcPr>
          <w:p w14:paraId="7431ECE2" w14:textId="77777777" w:rsidR="006A637E" w:rsidRPr="00B36E2A" w:rsidRDefault="006A637E" w:rsidP="00E26D3C">
            <w:pPr>
              <w:spacing w:before="40" w:after="40"/>
              <w:rPr>
                <w:rFonts w:cstheme="minorHAnsi"/>
                <w:sz w:val="18"/>
                <w:szCs w:val="18"/>
              </w:rPr>
            </w:pPr>
            <w:r w:rsidRPr="00B36E2A">
              <w:rPr>
                <w:rFonts w:cstheme="minorHAnsi"/>
                <w:sz w:val="18"/>
                <w:szCs w:val="18"/>
              </w:rPr>
              <w:t xml:space="preserve">Murray upstream junction </w:t>
            </w:r>
          </w:p>
        </w:tc>
        <w:tc>
          <w:tcPr>
            <w:tcW w:w="567" w:type="pct"/>
            <w:tcBorders>
              <w:top w:val="single" w:sz="4" w:space="0" w:color="808080"/>
              <w:left w:val="single" w:sz="4" w:space="0" w:color="808080"/>
              <w:bottom w:val="single" w:sz="4" w:space="0" w:color="808080"/>
              <w:right w:val="single" w:sz="4" w:space="0" w:color="808080"/>
            </w:tcBorders>
            <w:hideMark/>
          </w:tcPr>
          <w:p w14:paraId="3A59A10C" w14:textId="77777777" w:rsidR="006A637E" w:rsidRPr="00B36E2A" w:rsidRDefault="006A637E" w:rsidP="00E26D3C">
            <w:pPr>
              <w:spacing w:before="40" w:after="40"/>
              <w:rPr>
                <w:rFonts w:cstheme="minorHAnsi"/>
                <w:sz w:val="18"/>
                <w:szCs w:val="18"/>
              </w:rPr>
            </w:pPr>
            <w:r w:rsidRPr="00B36E2A">
              <w:rPr>
                <w:rFonts w:cstheme="minorHAnsi"/>
                <w:sz w:val="18"/>
                <w:szCs w:val="18"/>
              </w:rPr>
              <w:t>546E, 4L</w:t>
            </w:r>
          </w:p>
        </w:tc>
        <w:tc>
          <w:tcPr>
            <w:tcW w:w="568" w:type="pct"/>
            <w:tcBorders>
              <w:top w:val="single" w:sz="4" w:space="0" w:color="808080"/>
              <w:left w:val="single" w:sz="4" w:space="0" w:color="808080"/>
              <w:bottom w:val="single" w:sz="4" w:space="0" w:color="808080"/>
              <w:right w:val="single" w:sz="4" w:space="0" w:color="808080"/>
            </w:tcBorders>
          </w:tcPr>
          <w:p w14:paraId="1B842872" w14:textId="77777777" w:rsidR="006A637E" w:rsidRPr="00B36E2A" w:rsidRDefault="006A637E" w:rsidP="00E26D3C">
            <w:pPr>
              <w:spacing w:before="40" w:after="40"/>
              <w:rPr>
                <w:rFonts w:cstheme="minorHAnsi"/>
                <w:sz w:val="18"/>
                <w:szCs w:val="18"/>
              </w:rPr>
            </w:pPr>
            <w:r w:rsidRPr="00B36E2A">
              <w:rPr>
                <w:rFonts w:cstheme="minorHAnsi"/>
                <w:sz w:val="18"/>
                <w:szCs w:val="18"/>
              </w:rPr>
              <w:t>72E</w:t>
            </w:r>
          </w:p>
        </w:tc>
        <w:tc>
          <w:tcPr>
            <w:tcW w:w="567" w:type="pct"/>
            <w:tcBorders>
              <w:top w:val="single" w:sz="4" w:space="0" w:color="808080"/>
              <w:left w:val="single" w:sz="4" w:space="0" w:color="808080"/>
              <w:bottom w:val="single" w:sz="4" w:space="0" w:color="808080"/>
              <w:right w:val="single" w:sz="4" w:space="0" w:color="808080"/>
            </w:tcBorders>
          </w:tcPr>
          <w:p w14:paraId="38106426" w14:textId="77777777" w:rsidR="006A637E" w:rsidRPr="00B36E2A" w:rsidRDefault="006A637E" w:rsidP="00E26D3C">
            <w:pPr>
              <w:tabs>
                <w:tab w:val="center" w:pos="569"/>
              </w:tabs>
              <w:spacing w:before="40" w:after="40"/>
              <w:rPr>
                <w:rFonts w:cstheme="minorHAnsi"/>
                <w:sz w:val="18"/>
                <w:szCs w:val="18"/>
              </w:rPr>
            </w:pPr>
            <w:r w:rsidRPr="00B36E2A">
              <w:rPr>
                <w:rFonts w:cstheme="minorHAnsi"/>
                <w:sz w:val="18"/>
                <w:szCs w:val="18"/>
              </w:rPr>
              <w:t>43L</w:t>
            </w:r>
          </w:p>
        </w:tc>
        <w:tc>
          <w:tcPr>
            <w:tcW w:w="568" w:type="pct"/>
            <w:tcBorders>
              <w:top w:val="single" w:sz="4" w:space="0" w:color="808080"/>
              <w:left w:val="single" w:sz="4" w:space="0" w:color="808080"/>
              <w:bottom w:val="single" w:sz="4" w:space="0" w:color="808080"/>
              <w:right w:val="single" w:sz="4" w:space="0" w:color="808080"/>
            </w:tcBorders>
          </w:tcPr>
          <w:p w14:paraId="67DECB43" w14:textId="77777777" w:rsidR="006A637E" w:rsidRPr="00B36E2A" w:rsidRDefault="006A637E" w:rsidP="00E26D3C">
            <w:pPr>
              <w:spacing w:before="40" w:after="40"/>
              <w:rPr>
                <w:rFonts w:cstheme="minorHAnsi"/>
                <w:sz w:val="18"/>
                <w:szCs w:val="18"/>
              </w:rPr>
            </w:pPr>
            <w:r w:rsidRPr="00B36E2A">
              <w:rPr>
                <w:rFonts w:cstheme="minorHAnsi"/>
                <w:sz w:val="18"/>
                <w:szCs w:val="18"/>
              </w:rPr>
              <w:t>12E</w:t>
            </w:r>
          </w:p>
        </w:tc>
        <w:tc>
          <w:tcPr>
            <w:tcW w:w="567" w:type="pct"/>
            <w:tcBorders>
              <w:top w:val="single" w:sz="4" w:space="0" w:color="808080"/>
              <w:left w:val="single" w:sz="4" w:space="0" w:color="808080"/>
              <w:bottom w:val="single" w:sz="4" w:space="0" w:color="808080"/>
              <w:right w:val="single" w:sz="4" w:space="0" w:color="808080"/>
            </w:tcBorders>
          </w:tcPr>
          <w:p w14:paraId="6928B1CA" w14:textId="77777777" w:rsidR="006A637E" w:rsidRPr="00B36E2A" w:rsidRDefault="006A637E" w:rsidP="00E26D3C">
            <w:pPr>
              <w:spacing w:before="40" w:after="40"/>
              <w:rPr>
                <w:rFonts w:cstheme="minorHAnsi"/>
                <w:sz w:val="18"/>
                <w:szCs w:val="18"/>
              </w:rPr>
            </w:pPr>
            <w:r w:rsidRPr="00B36E2A">
              <w:rPr>
                <w:rFonts w:cstheme="minorHAnsi"/>
                <w:sz w:val="18"/>
                <w:szCs w:val="18"/>
              </w:rPr>
              <w:t>4L</w:t>
            </w:r>
          </w:p>
        </w:tc>
        <w:tc>
          <w:tcPr>
            <w:tcW w:w="568" w:type="pct"/>
            <w:tcBorders>
              <w:top w:val="single" w:sz="4" w:space="0" w:color="808080"/>
              <w:left w:val="single" w:sz="4" w:space="0" w:color="808080"/>
              <w:bottom w:val="single" w:sz="4" w:space="0" w:color="808080"/>
              <w:right w:val="single" w:sz="4" w:space="0" w:color="808080"/>
            </w:tcBorders>
          </w:tcPr>
          <w:p w14:paraId="5939742A" w14:textId="77777777" w:rsidR="006A637E" w:rsidRPr="00B36E2A" w:rsidRDefault="006A637E" w:rsidP="00E26D3C">
            <w:pPr>
              <w:spacing w:before="40" w:after="40"/>
              <w:rPr>
                <w:rFonts w:cstheme="minorHAnsi"/>
                <w:sz w:val="18"/>
                <w:szCs w:val="18"/>
                <w:highlight w:val="yellow"/>
              </w:rPr>
            </w:pPr>
            <w:r w:rsidRPr="00B36E2A">
              <w:rPr>
                <w:rFonts w:cstheme="minorHAnsi"/>
                <w:sz w:val="18"/>
                <w:szCs w:val="18"/>
              </w:rPr>
              <w:t>4L</w:t>
            </w:r>
          </w:p>
        </w:tc>
        <w:tc>
          <w:tcPr>
            <w:tcW w:w="569" w:type="pct"/>
            <w:tcBorders>
              <w:top w:val="single" w:sz="4" w:space="0" w:color="808080"/>
              <w:left w:val="single" w:sz="4" w:space="0" w:color="808080"/>
              <w:bottom w:val="single" w:sz="4" w:space="0" w:color="808080"/>
              <w:right w:val="single" w:sz="4" w:space="0" w:color="808080"/>
            </w:tcBorders>
          </w:tcPr>
          <w:p w14:paraId="0C2A4AAC" w14:textId="77777777" w:rsidR="006A637E" w:rsidRPr="00B36E2A" w:rsidRDefault="006A637E" w:rsidP="00E26D3C">
            <w:pPr>
              <w:spacing w:before="40" w:after="40"/>
              <w:rPr>
                <w:rFonts w:cstheme="minorHAnsi"/>
                <w:sz w:val="18"/>
                <w:szCs w:val="18"/>
              </w:rPr>
            </w:pPr>
          </w:p>
        </w:tc>
      </w:tr>
      <w:tr w:rsidR="006A637E" w:rsidRPr="003379B1" w14:paraId="7A6C4E37" w14:textId="77777777" w:rsidTr="00B36E2A">
        <w:trPr>
          <w:cantSplit/>
        </w:trPr>
        <w:tc>
          <w:tcPr>
            <w:tcW w:w="1028" w:type="pct"/>
            <w:tcBorders>
              <w:top w:val="single" w:sz="4" w:space="0" w:color="808080"/>
              <w:left w:val="single" w:sz="4" w:space="0" w:color="808080"/>
              <w:bottom w:val="single" w:sz="4" w:space="0" w:color="808080"/>
              <w:right w:val="single" w:sz="4" w:space="0" w:color="808080"/>
            </w:tcBorders>
            <w:hideMark/>
          </w:tcPr>
          <w:p w14:paraId="2D6D1635" w14:textId="77777777" w:rsidR="006A637E" w:rsidRPr="00B36E2A" w:rsidRDefault="006A637E" w:rsidP="00E26D3C">
            <w:pPr>
              <w:spacing w:before="40" w:after="40"/>
              <w:rPr>
                <w:rFonts w:cstheme="minorHAnsi"/>
                <w:sz w:val="18"/>
                <w:szCs w:val="18"/>
              </w:rPr>
            </w:pPr>
            <w:r w:rsidRPr="00B36E2A">
              <w:rPr>
                <w:rFonts w:cstheme="minorHAnsi"/>
                <w:sz w:val="18"/>
                <w:szCs w:val="18"/>
              </w:rPr>
              <w:t>Murray downstream junction</w:t>
            </w:r>
          </w:p>
        </w:tc>
        <w:tc>
          <w:tcPr>
            <w:tcW w:w="567" w:type="pct"/>
            <w:tcBorders>
              <w:top w:val="single" w:sz="4" w:space="0" w:color="808080"/>
              <w:left w:val="single" w:sz="4" w:space="0" w:color="808080"/>
              <w:bottom w:val="single" w:sz="4" w:space="0" w:color="808080"/>
              <w:right w:val="single" w:sz="4" w:space="0" w:color="808080"/>
            </w:tcBorders>
          </w:tcPr>
          <w:p w14:paraId="4CF9C559" w14:textId="77777777" w:rsidR="006A637E" w:rsidRPr="00B36E2A" w:rsidRDefault="006A637E" w:rsidP="00E26D3C">
            <w:pPr>
              <w:spacing w:before="40" w:after="40"/>
              <w:rPr>
                <w:rFonts w:cstheme="minorHAnsi"/>
                <w:sz w:val="18"/>
                <w:szCs w:val="18"/>
              </w:rPr>
            </w:pPr>
            <w:r w:rsidRPr="00B36E2A">
              <w:rPr>
                <w:rFonts w:cstheme="minorHAnsi"/>
                <w:sz w:val="18"/>
                <w:szCs w:val="18"/>
              </w:rPr>
              <w:t>1472E, 8L</w:t>
            </w:r>
          </w:p>
        </w:tc>
        <w:tc>
          <w:tcPr>
            <w:tcW w:w="568" w:type="pct"/>
            <w:tcBorders>
              <w:top w:val="single" w:sz="4" w:space="0" w:color="808080"/>
              <w:left w:val="single" w:sz="4" w:space="0" w:color="808080"/>
              <w:bottom w:val="single" w:sz="4" w:space="0" w:color="808080"/>
              <w:right w:val="single" w:sz="4" w:space="0" w:color="808080"/>
            </w:tcBorders>
          </w:tcPr>
          <w:p w14:paraId="2514B5DC" w14:textId="77777777" w:rsidR="006A637E" w:rsidRPr="00B36E2A" w:rsidRDefault="006A637E" w:rsidP="00E26D3C">
            <w:pPr>
              <w:spacing w:before="40" w:after="40"/>
              <w:rPr>
                <w:rFonts w:cstheme="minorHAnsi"/>
                <w:sz w:val="18"/>
                <w:szCs w:val="18"/>
              </w:rPr>
            </w:pPr>
            <w:r w:rsidRPr="00B36E2A">
              <w:rPr>
                <w:rFonts w:cstheme="minorHAnsi"/>
                <w:sz w:val="18"/>
                <w:szCs w:val="18"/>
              </w:rPr>
              <w:t>173E</w:t>
            </w:r>
          </w:p>
        </w:tc>
        <w:tc>
          <w:tcPr>
            <w:tcW w:w="567" w:type="pct"/>
            <w:tcBorders>
              <w:top w:val="single" w:sz="4" w:space="0" w:color="808080"/>
              <w:left w:val="single" w:sz="4" w:space="0" w:color="808080"/>
              <w:bottom w:val="single" w:sz="4" w:space="0" w:color="808080"/>
              <w:right w:val="single" w:sz="4" w:space="0" w:color="808080"/>
            </w:tcBorders>
          </w:tcPr>
          <w:p w14:paraId="26917A30" w14:textId="77777777" w:rsidR="006A637E" w:rsidRPr="00B36E2A" w:rsidRDefault="006A637E" w:rsidP="00E26D3C">
            <w:pPr>
              <w:spacing w:before="40" w:after="40"/>
              <w:rPr>
                <w:rFonts w:cstheme="minorHAnsi"/>
                <w:sz w:val="18"/>
                <w:szCs w:val="18"/>
              </w:rPr>
            </w:pPr>
            <w:r w:rsidRPr="00B36E2A">
              <w:rPr>
                <w:rFonts w:cstheme="minorHAnsi"/>
                <w:sz w:val="18"/>
                <w:szCs w:val="18"/>
              </w:rPr>
              <w:t>242L</w:t>
            </w:r>
          </w:p>
        </w:tc>
        <w:tc>
          <w:tcPr>
            <w:tcW w:w="568" w:type="pct"/>
            <w:tcBorders>
              <w:top w:val="single" w:sz="4" w:space="0" w:color="808080"/>
              <w:left w:val="single" w:sz="4" w:space="0" w:color="808080"/>
              <w:bottom w:val="single" w:sz="4" w:space="0" w:color="808080"/>
              <w:right w:val="single" w:sz="4" w:space="0" w:color="808080"/>
            </w:tcBorders>
          </w:tcPr>
          <w:p w14:paraId="36093EEE" w14:textId="77777777" w:rsidR="006A637E" w:rsidRPr="00B36E2A" w:rsidRDefault="006A637E" w:rsidP="00E26D3C">
            <w:pPr>
              <w:spacing w:before="40" w:after="40"/>
              <w:rPr>
                <w:rFonts w:cstheme="minorHAnsi"/>
                <w:sz w:val="18"/>
                <w:szCs w:val="18"/>
              </w:rPr>
            </w:pPr>
            <w:r w:rsidRPr="00B36E2A">
              <w:rPr>
                <w:rFonts w:cstheme="minorHAnsi"/>
                <w:sz w:val="18"/>
                <w:szCs w:val="18"/>
              </w:rPr>
              <w:t>40E</w:t>
            </w:r>
          </w:p>
        </w:tc>
        <w:tc>
          <w:tcPr>
            <w:tcW w:w="567" w:type="pct"/>
            <w:tcBorders>
              <w:top w:val="single" w:sz="4" w:space="0" w:color="808080"/>
              <w:left w:val="single" w:sz="4" w:space="0" w:color="808080"/>
              <w:bottom w:val="single" w:sz="4" w:space="0" w:color="808080"/>
              <w:right w:val="single" w:sz="4" w:space="0" w:color="808080"/>
            </w:tcBorders>
          </w:tcPr>
          <w:p w14:paraId="1BC012D8" w14:textId="77777777" w:rsidR="006A637E" w:rsidRPr="00B36E2A" w:rsidRDefault="006A637E" w:rsidP="00E26D3C">
            <w:pPr>
              <w:spacing w:before="40" w:after="40"/>
              <w:rPr>
                <w:rFonts w:cstheme="minorHAnsi"/>
                <w:sz w:val="18"/>
                <w:szCs w:val="18"/>
              </w:rPr>
            </w:pPr>
          </w:p>
        </w:tc>
        <w:tc>
          <w:tcPr>
            <w:tcW w:w="568" w:type="pct"/>
            <w:tcBorders>
              <w:top w:val="single" w:sz="4" w:space="0" w:color="808080"/>
              <w:left w:val="single" w:sz="4" w:space="0" w:color="808080"/>
              <w:bottom w:val="single" w:sz="4" w:space="0" w:color="808080"/>
              <w:right w:val="single" w:sz="4" w:space="0" w:color="808080"/>
            </w:tcBorders>
          </w:tcPr>
          <w:p w14:paraId="329FAEE7" w14:textId="77777777" w:rsidR="006A637E" w:rsidRPr="00B36E2A" w:rsidRDefault="006A637E" w:rsidP="00E26D3C">
            <w:pPr>
              <w:spacing w:before="40" w:after="40"/>
              <w:rPr>
                <w:rFonts w:cstheme="minorHAnsi"/>
                <w:sz w:val="18"/>
                <w:szCs w:val="18"/>
                <w:highlight w:val="yellow"/>
              </w:rPr>
            </w:pPr>
            <w:r w:rsidRPr="00B36E2A">
              <w:rPr>
                <w:rFonts w:cstheme="minorHAnsi"/>
                <w:sz w:val="18"/>
                <w:szCs w:val="18"/>
              </w:rPr>
              <w:t>1L</w:t>
            </w:r>
          </w:p>
        </w:tc>
        <w:tc>
          <w:tcPr>
            <w:tcW w:w="569" w:type="pct"/>
            <w:tcBorders>
              <w:top w:val="single" w:sz="4" w:space="0" w:color="808080"/>
              <w:left w:val="single" w:sz="4" w:space="0" w:color="808080"/>
              <w:bottom w:val="single" w:sz="4" w:space="0" w:color="808080"/>
              <w:right w:val="single" w:sz="4" w:space="0" w:color="808080"/>
            </w:tcBorders>
          </w:tcPr>
          <w:p w14:paraId="3305A3DE" w14:textId="77777777" w:rsidR="006A637E" w:rsidRPr="00B36E2A" w:rsidRDefault="006A637E" w:rsidP="00E26D3C">
            <w:pPr>
              <w:spacing w:before="40" w:after="40"/>
              <w:rPr>
                <w:rFonts w:cstheme="minorHAnsi"/>
                <w:sz w:val="18"/>
                <w:szCs w:val="18"/>
              </w:rPr>
            </w:pPr>
          </w:p>
        </w:tc>
      </w:tr>
      <w:tr w:rsidR="006A637E" w:rsidRPr="00BA2632" w14:paraId="224D54E4" w14:textId="77777777" w:rsidTr="00B36E2A">
        <w:trPr>
          <w:cantSplit/>
        </w:trPr>
        <w:tc>
          <w:tcPr>
            <w:tcW w:w="1028" w:type="pct"/>
            <w:tcBorders>
              <w:top w:val="single" w:sz="4" w:space="0" w:color="808080"/>
              <w:left w:val="single" w:sz="4" w:space="0" w:color="808080"/>
              <w:bottom w:val="single" w:sz="4" w:space="0" w:color="808080"/>
              <w:right w:val="single" w:sz="4" w:space="0" w:color="808080"/>
            </w:tcBorders>
            <w:hideMark/>
          </w:tcPr>
          <w:p w14:paraId="28019AA1" w14:textId="77777777" w:rsidR="006A637E" w:rsidRPr="00B36E2A" w:rsidRDefault="006A637E" w:rsidP="00E26D3C">
            <w:pPr>
              <w:spacing w:before="40" w:after="40"/>
              <w:rPr>
                <w:rFonts w:cstheme="minorHAnsi"/>
                <w:b/>
                <w:sz w:val="18"/>
                <w:szCs w:val="18"/>
              </w:rPr>
            </w:pPr>
            <w:r w:rsidRPr="00B36E2A">
              <w:rPr>
                <w:rFonts w:cstheme="minorHAnsi"/>
                <w:b/>
                <w:sz w:val="18"/>
                <w:szCs w:val="18"/>
              </w:rPr>
              <w:t xml:space="preserve">Total </w:t>
            </w:r>
          </w:p>
        </w:tc>
        <w:tc>
          <w:tcPr>
            <w:tcW w:w="567" w:type="pct"/>
            <w:tcBorders>
              <w:top w:val="single" w:sz="4" w:space="0" w:color="808080"/>
              <w:left w:val="single" w:sz="4" w:space="0" w:color="808080"/>
              <w:bottom w:val="single" w:sz="4" w:space="0" w:color="808080"/>
              <w:right w:val="single" w:sz="4" w:space="0" w:color="808080"/>
            </w:tcBorders>
            <w:hideMark/>
          </w:tcPr>
          <w:p w14:paraId="6095D5B3" w14:textId="77777777" w:rsidR="006A637E" w:rsidRPr="00B36E2A" w:rsidRDefault="006A637E" w:rsidP="00E26D3C">
            <w:pPr>
              <w:spacing w:before="40" w:after="40"/>
              <w:rPr>
                <w:rFonts w:cstheme="minorHAnsi"/>
                <w:b/>
                <w:sz w:val="18"/>
                <w:szCs w:val="18"/>
              </w:rPr>
            </w:pPr>
            <w:r w:rsidRPr="00B36E2A">
              <w:rPr>
                <w:rFonts w:cstheme="minorHAnsi"/>
                <w:b/>
                <w:sz w:val="18"/>
                <w:szCs w:val="18"/>
              </w:rPr>
              <w:t>2173</w:t>
            </w:r>
          </w:p>
        </w:tc>
        <w:tc>
          <w:tcPr>
            <w:tcW w:w="568" w:type="pct"/>
            <w:tcBorders>
              <w:top w:val="single" w:sz="4" w:space="0" w:color="808080"/>
              <w:left w:val="single" w:sz="4" w:space="0" w:color="808080"/>
              <w:bottom w:val="single" w:sz="4" w:space="0" w:color="808080"/>
              <w:right w:val="single" w:sz="4" w:space="0" w:color="808080"/>
            </w:tcBorders>
          </w:tcPr>
          <w:p w14:paraId="6F340B3E" w14:textId="77777777" w:rsidR="006A637E" w:rsidRPr="00B36E2A" w:rsidRDefault="006A637E" w:rsidP="00E26D3C">
            <w:pPr>
              <w:spacing w:before="40" w:after="40"/>
              <w:rPr>
                <w:rFonts w:cstheme="minorHAnsi"/>
                <w:b/>
                <w:sz w:val="18"/>
                <w:szCs w:val="18"/>
              </w:rPr>
            </w:pPr>
            <w:r w:rsidRPr="00B36E2A">
              <w:rPr>
                <w:rFonts w:cstheme="minorHAnsi"/>
                <w:b/>
                <w:sz w:val="18"/>
                <w:szCs w:val="18"/>
              </w:rPr>
              <w:t>774</w:t>
            </w:r>
          </w:p>
        </w:tc>
        <w:tc>
          <w:tcPr>
            <w:tcW w:w="567" w:type="pct"/>
            <w:tcBorders>
              <w:top w:val="single" w:sz="4" w:space="0" w:color="808080"/>
              <w:left w:val="single" w:sz="4" w:space="0" w:color="808080"/>
              <w:bottom w:val="single" w:sz="4" w:space="0" w:color="808080"/>
              <w:right w:val="single" w:sz="4" w:space="0" w:color="808080"/>
            </w:tcBorders>
          </w:tcPr>
          <w:p w14:paraId="3AA033D9" w14:textId="77777777" w:rsidR="006A637E" w:rsidRPr="00B36E2A" w:rsidRDefault="006A637E" w:rsidP="00E26D3C">
            <w:pPr>
              <w:spacing w:before="40" w:after="40"/>
              <w:rPr>
                <w:rFonts w:cstheme="minorHAnsi"/>
                <w:b/>
                <w:sz w:val="18"/>
                <w:szCs w:val="18"/>
              </w:rPr>
            </w:pPr>
            <w:r w:rsidRPr="00B36E2A">
              <w:rPr>
                <w:rFonts w:cstheme="minorHAnsi"/>
                <w:b/>
                <w:sz w:val="18"/>
                <w:szCs w:val="18"/>
              </w:rPr>
              <w:t>242</w:t>
            </w:r>
          </w:p>
        </w:tc>
        <w:tc>
          <w:tcPr>
            <w:tcW w:w="568" w:type="pct"/>
            <w:tcBorders>
              <w:top w:val="single" w:sz="4" w:space="0" w:color="808080"/>
              <w:left w:val="single" w:sz="4" w:space="0" w:color="808080"/>
              <w:bottom w:val="single" w:sz="4" w:space="0" w:color="808080"/>
              <w:right w:val="single" w:sz="4" w:space="0" w:color="808080"/>
            </w:tcBorders>
          </w:tcPr>
          <w:p w14:paraId="2EF1DC15" w14:textId="77777777" w:rsidR="006A637E" w:rsidRPr="00B36E2A" w:rsidRDefault="006A637E" w:rsidP="00E26D3C">
            <w:pPr>
              <w:spacing w:before="40" w:after="40"/>
              <w:rPr>
                <w:rFonts w:cstheme="minorHAnsi"/>
                <w:b/>
                <w:sz w:val="18"/>
                <w:szCs w:val="18"/>
              </w:rPr>
            </w:pPr>
            <w:r w:rsidRPr="00B36E2A">
              <w:rPr>
                <w:rFonts w:cstheme="minorHAnsi"/>
                <w:b/>
                <w:sz w:val="18"/>
                <w:szCs w:val="18"/>
              </w:rPr>
              <w:t>56</w:t>
            </w:r>
          </w:p>
        </w:tc>
        <w:tc>
          <w:tcPr>
            <w:tcW w:w="567" w:type="pct"/>
            <w:tcBorders>
              <w:top w:val="single" w:sz="4" w:space="0" w:color="808080"/>
              <w:left w:val="single" w:sz="4" w:space="0" w:color="808080"/>
              <w:bottom w:val="single" w:sz="4" w:space="0" w:color="808080"/>
              <w:right w:val="single" w:sz="4" w:space="0" w:color="808080"/>
            </w:tcBorders>
          </w:tcPr>
          <w:p w14:paraId="0F94D9B7" w14:textId="77777777" w:rsidR="006A637E" w:rsidRPr="00B36E2A" w:rsidRDefault="006A637E" w:rsidP="00E26D3C">
            <w:pPr>
              <w:spacing w:before="40" w:after="40"/>
              <w:rPr>
                <w:rFonts w:cstheme="minorHAnsi"/>
                <w:b/>
                <w:sz w:val="18"/>
                <w:szCs w:val="18"/>
              </w:rPr>
            </w:pPr>
            <w:r w:rsidRPr="00B36E2A">
              <w:rPr>
                <w:rFonts w:cstheme="minorHAnsi"/>
                <w:b/>
                <w:sz w:val="18"/>
                <w:szCs w:val="18"/>
              </w:rPr>
              <w:t>5</w:t>
            </w:r>
          </w:p>
        </w:tc>
        <w:tc>
          <w:tcPr>
            <w:tcW w:w="568" w:type="pct"/>
            <w:tcBorders>
              <w:top w:val="single" w:sz="4" w:space="0" w:color="808080"/>
              <w:left w:val="single" w:sz="4" w:space="0" w:color="808080"/>
              <w:bottom w:val="single" w:sz="4" w:space="0" w:color="808080"/>
              <w:right w:val="single" w:sz="4" w:space="0" w:color="808080"/>
            </w:tcBorders>
          </w:tcPr>
          <w:p w14:paraId="5C70EAEA" w14:textId="77777777" w:rsidR="006A637E" w:rsidRPr="00B36E2A" w:rsidRDefault="006A637E" w:rsidP="00E26D3C">
            <w:pPr>
              <w:spacing w:before="40" w:after="40"/>
              <w:rPr>
                <w:rFonts w:cstheme="minorHAnsi"/>
                <w:b/>
                <w:sz w:val="18"/>
                <w:szCs w:val="18"/>
              </w:rPr>
            </w:pPr>
            <w:r w:rsidRPr="00B36E2A">
              <w:rPr>
                <w:rFonts w:cstheme="minorHAnsi"/>
                <w:b/>
                <w:sz w:val="18"/>
                <w:szCs w:val="18"/>
              </w:rPr>
              <w:t>5</w:t>
            </w:r>
          </w:p>
        </w:tc>
        <w:tc>
          <w:tcPr>
            <w:tcW w:w="569" w:type="pct"/>
            <w:tcBorders>
              <w:top w:val="single" w:sz="4" w:space="0" w:color="808080"/>
              <w:left w:val="single" w:sz="4" w:space="0" w:color="808080"/>
              <w:bottom w:val="single" w:sz="4" w:space="0" w:color="808080"/>
              <w:right w:val="single" w:sz="4" w:space="0" w:color="808080"/>
            </w:tcBorders>
          </w:tcPr>
          <w:p w14:paraId="72F0FE01" w14:textId="77777777" w:rsidR="006A637E" w:rsidRPr="00B36E2A" w:rsidRDefault="006A637E" w:rsidP="00E26D3C">
            <w:pPr>
              <w:spacing w:before="40" w:after="40"/>
              <w:rPr>
                <w:rFonts w:cstheme="minorHAnsi"/>
                <w:b/>
                <w:sz w:val="18"/>
                <w:szCs w:val="18"/>
              </w:rPr>
            </w:pPr>
            <w:r w:rsidRPr="00B36E2A">
              <w:rPr>
                <w:rFonts w:cstheme="minorHAnsi"/>
                <w:b/>
                <w:sz w:val="18"/>
                <w:szCs w:val="18"/>
              </w:rPr>
              <w:t>3</w:t>
            </w:r>
          </w:p>
        </w:tc>
      </w:tr>
    </w:tbl>
    <w:p w14:paraId="0BBE714B" w14:textId="77777777" w:rsidR="006A637E" w:rsidRDefault="006A637E" w:rsidP="006A637E">
      <w:pPr>
        <w:rPr>
          <w:i/>
          <w:lang w:eastAsia="en-US"/>
        </w:rPr>
      </w:pPr>
    </w:p>
    <w:p w14:paraId="240D0225" w14:textId="77777777" w:rsidR="006A637E" w:rsidRDefault="006A637E" w:rsidP="00B36E2A">
      <w:pPr>
        <w:jc w:val="center"/>
        <w:rPr>
          <w:i/>
          <w:lang w:eastAsia="en-US"/>
        </w:rPr>
      </w:pPr>
      <w:r>
        <w:rPr>
          <w:i/>
          <w:noProof/>
          <w:lang w:val="en-GB"/>
        </w:rPr>
        <w:drawing>
          <wp:inline distT="0" distB="0" distL="0" distR="0" wp14:anchorId="0F9ABFAE" wp14:editId="35076A9D">
            <wp:extent cx="3870000" cy="2520000"/>
            <wp:effectExtent l="0" t="0" r="0" b="0"/>
            <wp:docPr id="12" name="Picture 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bar chart&#10;&#10;Description automatically generated"/>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870000" cy="2520000"/>
                    </a:xfrm>
                    <a:prstGeom prst="rect">
                      <a:avLst/>
                    </a:prstGeom>
                    <a:noFill/>
                  </pic:spPr>
                </pic:pic>
              </a:graphicData>
            </a:graphic>
          </wp:inline>
        </w:drawing>
      </w:r>
      <w:r>
        <w:rPr>
          <w:i/>
          <w:noProof/>
          <w:lang w:val="en-GB"/>
        </w:rPr>
        <w:drawing>
          <wp:inline distT="0" distB="0" distL="0" distR="0" wp14:anchorId="3BB68481" wp14:editId="3A1EA97C">
            <wp:extent cx="3870000" cy="2520000"/>
            <wp:effectExtent l="0" t="0" r="0" b="0"/>
            <wp:docPr id="13" name="Picture 1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histogram&#10;&#10;Description automatically generated"/>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870000" cy="2520000"/>
                    </a:xfrm>
                    <a:prstGeom prst="rect">
                      <a:avLst/>
                    </a:prstGeom>
                    <a:noFill/>
                  </pic:spPr>
                </pic:pic>
              </a:graphicData>
            </a:graphic>
          </wp:inline>
        </w:drawing>
      </w:r>
    </w:p>
    <w:p w14:paraId="52683884" w14:textId="3B3D9968" w:rsidR="00CA3EBC" w:rsidRPr="00746449" w:rsidRDefault="006A637E" w:rsidP="00746449">
      <w:pPr>
        <w:pStyle w:val="Caption"/>
      </w:pPr>
      <w:bookmarkStart w:id="656" w:name="_Toc83907799"/>
      <w:bookmarkStart w:id="657" w:name="_Toc84475776"/>
      <w:r w:rsidRPr="00BA49D5">
        <w:t xml:space="preserve">Figure </w:t>
      </w:r>
      <w:r w:rsidR="00D772A3">
        <w:rPr>
          <w:noProof/>
        </w:rPr>
        <w:t>11</w:t>
      </w:r>
      <w:r w:rsidR="00B85158">
        <w:noBreakHyphen/>
      </w:r>
      <w:r w:rsidR="00D772A3">
        <w:rPr>
          <w:noProof/>
        </w:rPr>
        <w:t>1</w:t>
      </w:r>
      <w:r w:rsidRPr="00BA49D5">
        <w:t xml:space="preserve"> Mean (±se) number of </w:t>
      </w:r>
      <w:r>
        <w:t>golden</w:t>
      </w:r>
      <w:r w:rsidRPr="00BA49D5">
        <w:t xml:space="preserve"> perch </w:t>
      </w:r>
      <w:r>
        <w:t xml:space="preserve">(top panel) and silver perch (lower panel) </w:t>
      </w:r>
      <w:r w:rsidRPr="00BA49D5">
        <w:t>eggs</w:t>
      </w:r>
      <w:r>
        <w:t>/larvae</w:t>
      </w:r>
      <w:r w:rsidRPr="00BA49D5">
        <w:t xml:space="preserve"> collected </w:t>
      </w:r>
      <w:r>
        <w:t>in the lower Goulburn (green), and Murray upstream (red) and downstream (blue) of junction</w:t>
      </w:r>
      <w:r w:rsidRPr="00BA49D5">
        <w:t>.</w:t>
      </w:r>
      <w:bookmarkEnd w:id="656"/>
      <w:bookmarkEnd w:id="657"/>
    </w:p>
    <w:p w14:paraId="33EAC812" w14:textId="77777777" w:rsidR="00B36E2A" w:rsidRDefault="00B36E2A">
      <w:pPr>
        <w:rPr>
          <w:rFonts w:ascii="Georgia" w:eastAsia="SimHei" w:hAnsi="Georgia" w:cs="Times New Roman"/>
          <w:b/>
          <w:color w:val="094183"/>
          <w:sz w:val="32"/>
          <w:szCs w:val="32"/>
          <w:lang w:eastAsia="en-US"/>
        </w:rPr>
      </w:pPr>
      <w:bookmarkStart w:id="658" w:name="_Ref83823060"/>
      <w:bookmarkStart w:id="659" w:name="_Ref83823682"/>
      <w:bookmarkStart w:id="660" w:name="_Ref83788920"/>
      <w:r>
        <w:br w:type="page"/>
      </w:r>
    </w:p>
    <w:p w14:paraId="5B7EBC65" w14:textId="60F78453" w:rsidR="00171C6D" w:rsidRPr="00171C6D" w:rsidRDefault="0073393B" w:rsidP="00171C6D">
      <w:pPr>
        <w:pStyle w:val="Heading1"/>
      </w:pPr>
      <w:bookmarkStart w:id="661" w:name="_Toc84416135"/>
      <w:bookmarkStart w:id="662" w:name="_Toc84417429"/>
      <w:bookmarkStart w:id="663" w:name="_Ref84421568"/>
      <w:bookmarkStart w:id="664" w:name="_Ref84422203"/>
      <w:bookmarkStart w:id="665" w:name="_Ref84427073"/>
      <w:bookmarkStart w:id="666" w:name="_Toc84475722"/>
      <w:r w:rsidRPr="00BA2632">
        <w:lastRenderedPageBreak/>
        <w:t xml:space="preserve">Research </w:t>
      </w:r>
      <w:r w:rsidR="00790090">
        <w:t>A</w:t>
      </w:r>
      <w:r w:rsidRPr="00BA2632">
        <w:t>ctivities</w:t>
      </w:r>
      <w:bookmarkEnd w:id="658"/>
      <w:bookmarkEnd w:id="659"/>
      <w:bookmarkEnd w:id="660"/>
      <w:bookmarkEnd w:id="661"/>
      <w:bookmarkEnd w:id="662"/>
      <w:bookmarkEnd w:id="663"/>
      <w:bookmarkEnd w:id="664"/>
      <w:r w:rsidR="00171C6D">
        <w:t xml:space="preserve"> - </w:t>
      </w:r>
      <w:r w:rsidR="00171C6D" w:rsidRPr="00171C6D">
        <w:t>Collaborative research project</w:t>
      </w:r>
      <w:bookmarkEnd w:id="665"/>
      <w:bookmarkEnd w:id="666"/>
    </w:p>
    <w:p w14:paraId="76B9CD40" w14:textId="0E58C112" w:rsidR="00866FBC" w:rsidRPr="00BA2632" w:rsidRDefault="00866FBC" w:rsidP="00E71580">
      <w:pPr>
        <w:pStyle w:val="Heading2"/>
        <w:tabs>
          <w:tab w:val="left" w:pos="709"/>
        </w:tabs>
        <w:spacing w:before="240" w:after="120" w:line="240" w:lineRule="atLeast"/>
        <w:ind w:left="1418" w:hanging="1418"/>
        <w:jc w:val="left"/>
      </w:pPr>
      <w:bookmarkStart w:id="667" w:name="_Toc84417431"/>
      <w:bookmarkStart w:id="668" w:name="_Toc84475723"/>
      <w:r w:rsidRPr="00BA2632">
        <w:t>Introduction</w:t>
      </w:r>
      <w:bookmarkEnd w:id="667"/>
      <w:bookmarkEnd w:id="668"/>
    </w:p>
    <w:p w14:paraId="16F5CFF1" w14:textId="77777777" w:rsidR="00E831A2" w:rsidRPr="00BA2632" w:rsidRDefault="00E831A2" w:rsidP="00E831A2">
      <w:r w:rsidRPr="00BA2632">
        <w:t>Through the development of the Goulburn MER plan a range of research questions were identified to help better understand the relationships between in-channel flow, hydraulic habitat conditions and ecological response:</w:t>
      </w:r>
    </w:p>
    <w:p w14:paraId="6F36FCC2" w14:textId="77777777" w:rsidR="00E831A2" w:rsidRPr="00BA2632" w:rsidRDefault="00E831A2" w:rsidP="00DE6E94">
      <w:pPr>
        <w:pStyle w:val="ListParagraph"/>
        <w:numPr>
          <w:ilvl w:val="0"/>
          <w:numId w:val="48"/>
        </w:numPr>
        <w:spacing w:after="160" w:line="259" w:lineRule="auto"/>
        <w:contextualSpacing/>
      </w:pPr>
      <w:r w:rsidRPr="00BA2632">
        <w:t>What are the in-channel / hydraulic habitat types (</w:t>
      </w:r>
      <w:proofErr w:type="gramStart"/>
      <w:r w:rsidRPr="00BA2632">
        <w:t>e.g.</w:t>
      </w:r>
      <w:proofErr w:type="gramEnd"/>
      <w:r w:rsidRPr="00BA2632">
        <w:t xml:space="preserve"> slack waters, backwaters, benches, etc. with different hydraulic characteristics) that are particularly important for ecological processes, specific organisms, or life history stages in the Goulburn River?</w:t>
      </w:r>
    </w:p>
    <w:p w14:paraId="2B8B7EC3" w14:textId="77777777" w:rsidR="00E831A2" w:rsidRPr="00BA2632" w:rsidRDefault="00E831A2" w:rsidP="00DE6E94">
      <w:pPr>
        <w:pStyle w:val="ListParagraph"/>
        <w:numPr>
          <w:ilvl w:val="0"/>
          <w:numId w:val="48"/>
        </w:numPr>
        <w:spacing w:after="160" w:line="259" w:lineRule="auto"/>
        <w:contextualSpacing/>
      </w:pPr>
      <w:r w:rsidRPr="00BA2632">
        <w:t>Does the distribution and quality of these habitat types change with different flow rates?</w:t>
      </w:r>
    </w:p>
    <w:p w14:paraId="218AC20D" w14:textId="77777777" w:rsidR="00E831A2" w:rsidRPr="00BA2632" w:rsidRDefault="00E831A2" w:rsidP="00DE6E94">
      <w:pPr>
        <w:pStyle w:val="ListParagraph"/>
        <w:numPr>
          <w:ilvl w:val="0"/>
          <w:numId w:val="48"/>
        </w:numPr>
        <w:spacing w:after="160" w:line="259" w:lineRule="auto"/>
        <w:contextualSpacing/>
      </w:pPr>
      <w:r w:rsidRPr="00BA2632">
        <w:t>Can flow rates be manipulated to optimise the availability of habitat types that are shown to be important, or to minimise impacts on these habitats during river operations (</w:t>
      </w:r>
      <w:proofErr w:type="gramStart"/>
      <w:r w:rsidRPr="00BA2632">
        <w:t>e.g.</w:t>
      </w:r>
      <w:proofErr w:type="gramEnd"/>
      <w:r w:rsidRPr="00BA2632">
        <w:t xml:space="preserve"> IVT flows)?</w:t>
      </w:r>
    </w:p>
    <w:p w14:paraId="634343F0" w14:textId="77777777" w:rsidR="00E831A2" w:rsidRDefault="00E831A2" w:rsidP="00E831A2">
      <w:r w:rsidRPr="00B369CB">
        <w:t xml:space="preserve">These questions are important in the Goulburn River, where human activities have simplified the channel and caused potential losses of habitat. </w:t>
      </w:r>
    </w:p>
    <w:p w14:paraId="26923883" w14:textId="659E1A84" w:rsidR="00E831A2" w:rsidRDefault="00E831A2" w:rsidP="00E831A2">
      <w:r>
        <w:t>A collaborative research project was established to address these questions and a literature review and project team workshop identified ‘</w:t>
      </w:r>
      <w:proofErr w:type="spellStart"/>
      <w:r>
        <w:t>slackwaters</w:t>
      </w:r>
      <w:proofErr w:type="spellEnd"/>
      <w:r>
        <w:t xml:space="preserve">’ as a habitat type of particular interest in the lower Goulburn River. </w:t>
      </w:r>
      <w:proofErr w:type="spellStart"/>
      <w:r w:rsidRPr="00A21674">
        <w:t>Slackwaters</w:t>
      </w:r>
      <w:proofErr w:type="spellEnd"/>
      <w:r>
        <w:t xml:space="preserve"> are areas of shallow, slow flowing or still water that may</w:t>
      </w:r>
      <w:r w:rsidRPr="00A21674">
        <w:t xml:space="preserve"> support </w:t>
      </w:r>
      <w:r>
        <w:t xml:space="preserve">various ecological processes </w:t>
      </w:r>
      <w:r w:rsidRPr="00BA2632">
        <w:t>(</w:t>
      </w:r>
      <w:proofErr w:type="gramStart"/>
      <w:r w:rsidRPr="00BA2632">
        <w:t>e.g.</w:t>
      </w:r>
      <w:proofErr w:type="gramEnd"/>
      <w:r w:rsidRPr="00BA2632">
        <w:t xml:space="preserve"> as sites of sediment and seed deposition</w:t>
      </w:r>
      <w:r>
        <w:t>;</w:t>
      </w:r>
      <w:r w:rsidRPr="00BA2632">
        <w:t xml:space="preserve"> areas for organic carbon retention and processing</w:t>
      </w:r>
      <w:r>
        <w:t>)</w:t>
      </w:r>
      <w:r w:rsidRPr="00BA2632">
        <w:t xml:space="preserve"> </w:t>
      </w:r>
      <w:r>
        <w:t xml:space="preserve">and may be required habitat for some organisms or </w:t>
      </w:r>
      <w:r w:rsidRPr="00BA2632">
        <w:t>life history stages</w:t>
      </w:r>
      <w:r>
        <w:t xml:space="preserve"> (e.g. </w:t>
      </w:r>
      <w:r w:rsidRPr="00BA2632">
        <w:t>low-flow refuge</w:t>
      </w:r>
      <w:r>
        <w:t xml:space="preserve">s for larval and juvenile fish). Off-channel </w:t>
      </w:r>
      <w:proofErr w:type="spellStart"/>
      <w:r>
        <w:t>slackwaters</w:t>
      </w:r>
      <w:proofErr w:type="spellEnd"/>
      <w:r w:rsidRPr="001A3049">
        <w:t xml:space="preserve"> </w:t>
      </w:r>
      <w:r>
        <w:t xml:space="preserve">such as </w:t>
      </w:r>
      <w:r w:rsidRPr="00BA2632">
        <w:t>anabranches and floodplain wetlands</w:t>
      </w:r>
      <w:r>
        <w:t xml:space="preserve"> were identified by the </w:t>
      </w:r>
      <w:r w:rsidRPr="00BA2632">
        <w:t xml:space="preserve">EWKR </w:t>
      </w:r>
      <w:r>
        <w:t xml:space="preserve">program </w:t>
      </w:r>
      <w:r w:rsidRPr="00BA2632">
        <w:t xml:space="preserve">as </w:t>
      </w:r>
      <w:r>
        <w:t xml:space="preserve">important </w:t>
      </w:r>
      <w:r w:rsidRPr="00BA2632">
        <w:t xml:space="preserve">sources of carbon and zooplankton for fish </w:t>
      </w:r>
      <w:proofErr w:type="gramStart"/>
      <w:r w:rsidRPr="00BA2632">
        <w:t>food, and</w:t>
      </w:r>
      <w:proofErr w:type="gramEnd"/>
      <w:r w:rsidRPr="00BA2632">
        <w:t xml:space="preserve"> generate</w:t>
      </w:r>
      <w:r>
        <w:t>d</w:t>
      </w:r>
      <w:r w:rsidRPr="00BA2632">
        <w:t xml:space="preserve"> more food than main channel </w:t>
      </w:r>
      <w:r w:rsidRPr="00E831A2">
        <w:t>habitats</w:t>
      </w:r>
      <w:r>
        <w:t xml:space="preserve"> </w:t>
      </w:r>
      <w:r w:rsidR="00F1582C">
        <w:rPr>
          <w:noProof/>
        </w:rPr>
        <w:t>(Thurgate et al. 2020)</w:t>
      </w:r>
      <w:r w:rsidR="00E86366">
        <w:t>,</w:t>
      </w:r>
      <w:r>
        <w:t xml:space="preserve"> but</w:t>
      </w:r>
      <w:r w:rsidRPr="00BA2632">
        <w:t xml:space="preserve"> </w:t>
      </w:r>
      <w:r>
        <w:t>t</w:t>
      </w:r>
      <w:r w:rsidRPr="00BA2632">
        <w:t xml:space="preserve">hese </w:t>
      </w:r>
      <w:r>
        <w:t xml:space="preserve">types of </w:t>
      </w:r>
      <w:r w:rsidRPr="00BA2632">
        <w:t xml:space="preserve">overbank </w:t>
      </w:r>
      <w:proofErr w:type="spellStart"/>
      <w:r w:rsidRPr="00BA2632">
        <w:t>slackwaters</w:t>
      </w:r>
      <w:proofErr w:type="spellEnd"/>
      <w:r w:rsidRPr="00BA2632">
        <w:t xml:space="preserve"> are not readil</w:t>
      </w:r>
      <w:r>
        <w:t>y engaged in the Goulburn River.</w:t>
      </w:r>
      <w:r w:rsidRPr="00BA2632">
        <w:t xml:space="preserve"> </w:t>
      </w:r>
      <w:r>
        <w:t>W</w:t>
      </w:r>
      <w:r w:rsidRPr="00BA2632">
        <w:t>e are interested</w:t>
      </w:r>
      <w:r>
        <w:t>, therefore,</w:t>
      </w:r>
      <w:r w:rsidRPr="00BA2632">
        <w:t xml:space="preserve"> in the extent to which similar habitats may be present within the main channel</w:t>
      </w:r>
      <w:r>
        <w:t>.</w:t>
      </w:r>
      <w:r w:rsidRPr="00BA2632">
        <w:t xml:space="preserve"> </w:t>
      </w:r>
    </w:p>
    <w:p w14:paraId="528EC9C3" w14:textId="77777777" w:rsidR="00E831A2" w:rsidRPr="00BA2632" w:rsidRDefault="00E831A2" w:rsidP="00E831A2">
      <w:r>
        <w:t>T</w:t>
      </w:r>
      <w:r w:rsidRPr="00BA2632">
        <w:t>he proposed research program aims to identify wh</w:t>
      </w:r>
      <w:r>
        <w:t xml:space="preserve">ether </w:t>
      </w:r>
      <w:proofErr w:type="spellStart"/>
      <w:r>
        <w:t>slackwater</w:t>
      </w:r>
      <w:proofErr w:type="spellEnd"/>
      <w:r>
        <w:t xml:space="preserve"> </w:t>
      </w:r>
      <w:r w:rsidRPr="00BA2632">
        <w:t xml:space="preserve">habitats </w:t>
      </w:r>
      <w:r>
        <w:t>occurring with</w:t>
      </w:r>
      <w:r w:rsidRPr="00BA2632">
        <w:t xml:space="preserve">in the </w:t>
      </w:r>
      <w:r>
        <w:t>channel of the lower Goulburn River play an important role in</w:t>
      </w:r>
      <w:r w:rsidRPr="00BA2632">
        <w:t xml:space="preserve"> river’s ecological function, and whether these habitats can be optimised through flow manipulation</w:t>
      </w:r>
      <w:r>
        <w:t>, or other measures,</w:t>
      </w:r>
      <w:r w:rsidRPr="00B369CB">
        <w:t xml:space="preserve"> </w:t>
      </w:r>
      <w:r w:rsidRPr="00BA2632">
        <w:t>to achieve benefits for biota and ecosystem processes.</w:t>
      </w:r>
    </w:p>
    <w:p w14:paraId="3670D4E7" w14:textId="7DF395E5" w:rsidR="00866FBC" w:rsidRPr="00BA2632" w:rsidRDefault="00866FBC" w:rsidP="00E71580">
      <w:pPr>
        <w:pStyle w:val="Heading2"/>
        <w:tabs>
          <w:tab w:val="left" w:pos="709"/>
        </w:tabs>
        <w:spacing w:before="240" w:after="120" w:line="240" w:lineRule="atLeast"/>
        <w:ind w:left="1418" w:hanging="1418"/>
        <w:jc w:val="left"/>
      </w:pPr>
      <w:bookmarkStart w:id="669" w:name="_Toc84417432"/>
      <w:bookmarkStart w:id="670" w:name="_Toc84475724"/>
      <w:r w:rsidRPr="00BA2632">
        <w:t>Project overview</w:t>
      </w:r>
      <w:bookmarkEnd w:id="669"/>
      <w:bookmarkEnd w:id="670"/>
    </w:p>
    <w:p w14:paraId="57F8BE63" w14:textId="77777777" w:rsidR="00E831A2" w:rsidRDefault="00E831A2" w:rsidP="00E831A2">
      <w:r w:rsidRPr="002A5748">
        <w:t xml:space="preserve">The research program seeks first to identify </w:t>
      </w:r>
      <w:r>
        <w:t xml:space="preserve">types of </w:t>
      </w:r>
      <w:proofErr w:type="spellStart"/>
      <w:r w:rsidRPr="002A5748">
        <w:t>slackwaters</w:t>
      </w:r>
      <w:proofErr w:type="spellEnd"/>
      <w:r w:rsidRPr="002A5748">
        <w:t xml:space="preserve"> and habitat characteristics</w:t>
      </w:r>
      <w:r>
        <w:t xml:space="preserve"> of </w:t>
      </w:r>
      <w:proofErr w:type="spellStart"/>
      <w:r>
        <w:t>slackwaters</w:t>
      </w:r>
      <w:proofErr w:type="spellEnd"/>
      <w:r w:rsidRPr="002A5748">
        <w:t xml:space="preserve"> that are important for biota and ecological processes occurring in the lower Goulburn River. Second, </w:t>
      </w:r>
      <w:r>
        <w:t xml:space="preserve">it seeks </w:t>
      </w:r>
      <w:r w:rsidRPr="002A5748">
        <w:t>to identify the distribution of important habitat types and management actions (</w:t>
      </w:r>
      <w:proofErr w:type="gramStart"/>
      <w:r w:rsidRPr="002A5748">
        <w:t>e.g.</w:t>
      </w:r>
      <w:proofErr w:type="gramEnd"/>
      <w:r w:rsidRPr="002A5748">
        <w:t xml:space="preserve"> required flows) t</w:t>
      </w:r>
      <w:r>
        <w:t xml:space="preserve">o optimise these habitat types. </w:t>
      </w:r>
      <w:r w:rsidRPr="002A5748">
        <w:t>The research program seeks to identify</w:t>
      </w:r>
      <w:r>
        <w:t>:</w:t>
      </w:r>
    </w:p>
    <w:p w14:paraId="7CACCD8E" w14:textId="29EBB57F" w:rsidR="00E831A2" w:rsidRDefault="00E831A2" w:rsidP="00DE6E94">
      <w:pPr>
        <w:pStyle w:val="ListParagraph"/>
        <w:numPr>
          <w:ilvl w:val="0"/>
          <w:numId w:val="62"/>
        </w:numPr>
      </w:pPr>
      <w:r>
        <w:t>T</w:t>
      </w:r>
      <w:r w:rsidRPr="002A5748">
        <w:t xml:space="preserve">he </w:t>
      </w:r>
      <w:r>
        <w:t xml:space="preserve">sizes and </w:t>
      </w:r>
      <w:r w:rsidRPr="002A5748">
        <w:t xml:space="preserve">distribution of </w:t>
      </w:r>
      <w:proofErr w:type="spellStart"/>
      <w:r>
        <w:t>slackwaters</w:t>
      </w:r>
      <w:proofErr w:type="spellEnd"/>
      <w:r>
        <w:t xml:space="preserve"> at sites on the lower Goulburn River</w:t>
      </w:r>
      <w:r w:rsidR="00B67BAA">
        <w:t>.</w:t>
      </w:r>
    </w:p>
    <w:p w14:paraId="0C56A884" w14:textId="77777777" w:rsidR="00E831A2" w:rsidRDefault="00E831A2" w:rsidP="00DE6E94">
      <w:pPr>
        <w:pStyle w:val="ListParagraph"/>
        <w:numPr>
          <w:ilvl w:val="0"/>
          <w:numId w:val="62"/>
        </w:numPr>
      </w:pPr>
      <w:r>
        <w:t xml:space="preserve">The types and characteristics of </w:t>
      </w:r>
      <w:proofErr w:type="spellStart"/>
      <w:r>
        <w:t>slackwaters</w:t>
      </w:r>
      <w:proofErr w:type="spellEnd"/>
      <w:r>
        <w:t xml:space="preserve"> that provide the best habitat</w:t>
      </w:r>
      <w:r w:rsidRPr="002A5748">
        <w:t xml:space="preserve"> for biota and ecological processes occurring in the lower Goulburn River. </w:t>
      </w:r>
    </w:p>
    <w:p w14:paraId="49E1E8C5" w14:textId="76A469C8" w:rsidR="00E831A2" w:rsidRDefault="00E831A2" w:rsidP="00DE6E94">
      <w:pPr>
        <w:pStyle w:val="ListParagraph"/>
        <w:numPr>
          <w:ilvl w:val="0"/>
          <w:numId w:val="62"/>
        </w:numPr>
      </w:pPr>
      <w:r w:rsidRPr="00643D5E">
        <w:t>Management actions</w:t>
      </w:r>
      <w:r>
        <w:t xml:space="preserve"> </w:t>
      </w:r>
      <w:r w:rsidRPr="002A5748">
        <w:t>(</w:t>
      </w:r>
      <w:proofErr w:type="gramStart"/>
      <w:r w:rsidRPr="002A5748">
        <w:t>e.g.</w:t>
      </w:r>
      <w:proofErr w:type="gramEnd"/>
      <w:r w:rsidRPr="002A5748">
        <w:t xml:space="preserve"> required flows</w:t>
      </w:r>
      <w:r>
        <w:t>)</w:t>
      </w:r>
      <w:r w:rsidRPr="00643D5E">
        <w:t xml:space="preserve"> to</w:t>
      </w:r>
      <w:r w:rsidRPr="002A5748">
        <w:t xml:space="preserve"> optimise the</w:t>
      </w:r>
      <w:r>
        <w:t xml:space="preserve"> amount and quality of </w:t>
      </w:r>
      <w:proofErr w:type="spellStart"/>
      <w:r>
        <w:t>slackwater</w:t>
      </w:r>
      <w:proofErr w:type="spellEnd"/>
      <w:r>
        <w:t xml:space="preserve"> habitat </w:t>
      </w:r>
      <w:r w:rsidRPr="002A5748">
        <w:t>in the lower Goulburn River</w:t>
      </w:r>
      <w:r>
        <w:t>.</w:t>
      </w:r>
      <w:r w:rsidRPr="00643D5E">
        <w:t xml:space="preserve"> </w:t>
      </w:r>
    </w:p>
    <w:p w14:paraId="7AABB7E3" w14:textId="77777777" w:rsidR="00E831A2" w:rsidRPr="002A5748" w:rsidRDefault="00E831A2" w:rsidP="00E831A2">
      <w:r w:rsidRPr="002A5748">
        <w:t>Research activities are grouped into five main components:</w:t>
      </w:r>
    </w:p>
    <w:p w14:paraId="28BA7601" w14:textId="77777777" w:rsidR="00E831A2" w:rsidRDefault="00E831A2" w:rsidP="00DE6E94">
      <w:pPr>
        <w:pStyle w:val="ListParagraph"/>
        <w:numPr>
          <w:ilvl w:val="0"/>
          <w:numId w:val="61"/>
        </w:numPr>
        <w:spacing w:after="160" w:line="259" w:lineRule="auto"/>
        <w:contextualSpacing/>
        <w:rPr>
          <w:rFonts w:ascii="Calibri" w:eastAsia="Times New Roman" w:hAnsi="Calibri" w:cs="Calibri"/>
        </w:rPr>
      </w:pPr>
      <w:r w:rsidRPr="00CE654A">
        <w:rPr>
          <w:rFonts w:ascii="Calibri" w:eastAsia="Times New Roman" w:hAnsi="Calibri" w:cs="Calibri"/>
          <w:b/>
        </w:rPr>
        <w:t>Question refinement / development of hypotheses</w:t>
      </w:r>
      <w:r>
        <w:rPr>
          <w:rFonts w:ascii="Calibri" w:eastAsia="Times New Roman" w:hAnsi="Calibri" w:cs="Calibri"/>
          <w:b/>
        </w:rPr>
        <w:t>:</w:t>
      </w:r>
      <w:r w:rsidRPr="00CE654A">
        <w:rPr>
          <w:rFonts w:ascii="Calibri" w:eastAsia="Times New Roman" w:hAnsi="Calibri" w:cs="Calibri"/>
          <w:b/>
        </w:rPr>
        <w:t xml:space="preserve">  </w:t>
      </w:r>
      <w:r w:rsidRPr="00CE654A">
        <w:rPr>
          <w:rFonts w:ascii="Calibri" w:eastAsia="Times New Roman" w:hAnsi="Calibri" w:cs="Calibri"/>
        </w:rPr>
        <w:t>Convene a workshop to elicit the hydraulic conditions / physical characteristics that are expected to be important for plants, fish, macroinverteb</w:t>
      </w:r>
      <w:r>
        <w:rPr>
          <w:rFonts w:ascii="Calibri" w:eastAsia="Times New Roman" w:hAnsi="Calibri" w:cs="Calibri"/>
        </w:rPr>
        <w:t>rates, ecosystem processes etc.</w:t>
      </w:r>
      <w:r w:rsidRPr="00CE654A">
        <w:rPr>
          <w:rFonts w:ascii="Calibri" w:eastAsia="Times New Roman" w:hAnsi="Calibri" w:cs="Calibri"/>
        </w:rPr>
        <w:t xml:space="preserve"> Refine research questions and develop hypotheses for testing.</w:t>
      </w:r>
      <w:r w:rsidRPr="000508E9">
        <w:t xml:space="preserve"> </w:t>
      </w:r>
      <w:r>
        <w:t xml:space="preserve">This component was largely completed in 2019-2020 and it was decided to study </w:t>
      </w:r>
      <w:proofErr w:type="spellStart"/>
      <w:r>
        <w:t>slackwaters</w:t>
      </w:r>
      <w:proofErr w:type="spellEnd"/>
      <w:r>
        <w:t>, areas of shallow (</w:t>
      </w:r>
      <w:r>
        <w:rPr>
          <w:rFonts w:cstheme="minorHAnsi"/>
        </w:rPr>
        <w:t>≤</w:t>
      </w:r>
      <w:r>
        <w:t xml:space="preserve"> 0.5 m) still or slow-flowing water (</w:t>
      </w:r>
      <w:r>
        <w:rPr>
          <w:rFonts w:cstheme="minorHAnsi"/>
        </w:rPr>
        <w:t>≤ 0.05 m/s</w:t>
      </w:r>
      <w:r>
        <w:t>) at four selected sites on the Lower Goulburn River.</w:t>
      </w:r>
    </w:p>
    <w:p w14:paraId="144DC5A1" w14:textId="77777777" w:rsidR="00E831A2" w:rsidRDefault="00E831A2" w:rsidP="00DE6E94">
      <w:pPr>
        <w:pStyle w:val="ListParagraph"/>
        <w:numPr>
          <w:ilvl w:val="0"/>
          <w:numId w:val="61"/>
        </w:numPr>
        <w:spacing w:after="160" w:line="259" w:lineRule="auto"/>
        <w:contextualSpacing/>
        <w:rPr>
          <w:rFonts w:ascii="Calibri" w:eastAsia="Times New Roman" w:hAnsi="Calibri" w:cs="Calibri"/>
        </w:rPr>
      </w:pPr>
      <w:r w:rsidRPr="00CE654A">
        <w:rPr>
          <w:rFonts w:ascii="Calibri" w:eastAsia="Times New Roman" w:hAnsi="Calibri" w:cs="Calibri"/>
          <w:b/>
        </w:rPr>
        <w:t>Map habitats</w:t>
      </w:r>
      <w:r>
        <w:rPr>
          <w:rFonts w:ascii="Calibri" w:eastAsia="Times New Roman" w:hAnsi="Calibri" w:cs="Calibri"/>
        </w:rPr>
        <w:t>:</w:t>
      </w:r>
      <w:r w:rsidRPr="00CE654A">
        <w:rPr>
          <w:rFonts w:ascii="Calibri" w:eastAsia="Times New Roman" w:hAnsi="Calibri" w:cs="Calibri"/>
        </w:rPr>
        <w:t xml:space="preserve"> At selected reaches, use existing hydraulic models to identify potential </w:t>
      </w:r>
      <w:proofErr w:type="spellStart"/>
      <w:r w:rsidRPr="00CE654A">
        <w:rPr>
          <w:rFonts w:ascii="Calibri" w:eastAsia="Times New Roman" w:hAnsi="Calibri" w:cs="Calibri"/>
        </w:rPr>
        <w:t>slackwater</w:t>
      </w:r>
      <w:proofErr w:type="spellEnd"/>
      <w:r w:rsidRPr="00CE654A">
        <w:rPr>
          <w:rFonts w:ascii="Calibri" w:eastAsia="Times New Roman" w:hAnsi="Calibri" w:cs="Calibri"/>
        </w:rPr>
        <w:t xml:space="preserve"> areas for field investigations. </w:t>
      </w:r>
    </w:p>
    <w:p w14:paraId="06A36CFC" w14:textId="77777777" w:rsidR="00E831A2" w:rsidRPr="00863266" w:rsidRDefault="00E831A2" w:rsidP="00DE6E94">
      <w:pPr>
        <w:pStyle w:val="ListParagraph"/>
        <w:numPr>
          <w:ilvl w:val="0"/>
          <w:numId w:val="61"/>
        </w:numPr>
        <w:spacing w:after="160" w:line="259" w:lineRule="auto"/>
        <w:contextualSpacing/>
        <w:rPr>
          <w:rFonts w:ascii="Calibri" w:eastAsia="Times New Roman" w:hAnsi="Calibri" w:cs="Calibri"/>
        </w:rPr>
      </w:pPr>
      <w:r w:rsidRPr="00863266">
        <w:rPr>
          <w:rFonts w:ascii="Calibri" w:eastAsia="Times New Roman" w:hAnsi="Calibri" w:cs="Calibri"/>
          <w:b/>
        </w:rPr>
        <w:t xml:space="preserve">Field </w:t>
      </w:r>
      <w:r>
        <w:rPr>
          <w:rFonts w:ascii="Calibri" w:eastAsia="Times New Roman" w:hAnsi="Calibri" w:cs="Calibri"/>
          <w:b/>
        </w:rPr>
        <w:t>Surveys</w:t>
      </w:r>
      <w:r w:rsidRPr="00863266">
        <w:rPr>
          <w:rFonts w:ascii="Calibri" w:eastAsia="Times New Roman" w:hAnsi="Calibri" w:cs="Calibri"/>
          <w:b/>
        </w:rPr>
        <w:t xml:space="preserve">: </w:t>
      </w:r>
      <w:r w:rsidRPr="00CE654A">
        <w:rPr>
          <w:rFonts w:ascii="Calibri" w:eastAsia="Times New Roman" w:hAnsi="Calibri" w:cs="Calibri"/>
        </w:rPr>
        <w:t xml:space="preserve">Conduct field surveys of water depth and velocity to verify </w:t>
      </w:r>
      <w:r>
        <w:rPr>
          <w:rFonts w:ascii="Calibri" w:eastAsia="Times New Roman" w:hAnsi="Calibri" w:cs="Calibri"/>
        </w:rPr>
        <w:t xml:space="preserve">size and location of </w:t>
      </w:r>
      <w:proofErr w:type="spellStart"/>
      <w:r>
        <w:rPr>
          <w:rFonts w:ascii="Calibri" w:eastAsia="Times New Roman" w:hAnsi="Calibri" w:cs="Calibri"/>
        </w:rPr>
        <w:t>slackwaters</w:t>
      </w:r>
      <w:proofErr w:type="spellEnd"/>
      <w:r>
        <w:rPr>
          <w:rFonts w:ascii="Calibri" w:eastAsia="Times New Roman" w:hAnsi="Calibri" w:cs="Calibri"/>
        </w:rPr>
        <w:t xml:space="preserve"> identified from </w:t>
      </w:r>
      <w:r w:rsidRPr="00CE654A">
        <w:rPr>
          <w:rFonts w:ascii="Calibri" w:eastAsia="Times New Roman" w:hAnsi="Calibri" w:cs="Calibri"/>
        </w:rPr>
        <w:t xml:space="preserve">modelled </w:t>
      </w:r>
      <w:r>
        <w:rPr>
          <w:rFonts w:ascii="Calibri" w:eastAsia="Times New Roman" w:hAnsi="Calibri" w:cs="Calibri"/>
        </w:rPr>
        <w:t xml:space="preserve">data. Conduct surveys and collect samples of biota to describe the habitat characteristics and resident taxa of </w:t>
      </w:r>
      <w:proofErr w:type="spellStart"/>
      <w:r>
        <w:rPr>
          <w:rFonts w:ascii="Calibri" w:eastAsia="Times New Roman" w:hAnsi="Calibri" w:cs="Calibri"/>
        </w:rPr>
        <w:t>slackwater</w:t>
      </w:r>
      <w:proofErr w:type="spellEnd"/>
      <w:r>
        <w:rPr>
          <w:rFonts w:ascii="Calibri" w:eastAsia="Times New Roman" w:hAnsi="Calibri" w:cs="Calibri"/>
        </w:rPr>
        <w:t xml:space="preserve"> habitats in the lower Goulburn River. Examine changes in habitat quality and habitat use by various taxa across a range of relevant discharges to inform flow management to optimise these habitats and promote species abundance and diversity.</w:t>
      </w:r>
    </w:p>
    <w:p w14:paraId="4698BB90" w14:textId="77777777" w:rsidR="00E831A2" w:rsidRPr="00863266" w:rsidRDefault="00E831A2" w:rsidP="00DE6E94">
      <w:pPr>
        <w:pStyle w:val="ListParagraph"/>
        <w:numPr>
          <w:ilvl w:val="0"/>
          <w:numId w:val="61"/>
        </w:numPr>
        <w:spacing w:after="160" w:line="259" w:lineRule="auto"/>
        <w:contextualSpacing/>
      </w:pPr>
      <w:r w:rsidRPr="00863266">
        <w:rPr>
          <w:rFonts w:ascii="Calibri" w:eastAsia="Times New Roman" w:hAnsi="Calibri" w:cs="Calibri"/>
          <w:b/>
        </w:rPr>
        <w:lastRenderedPageBreak/>
        <w:t>Field experiment:</w:t>
      </w:r>
      <w:r w:rsidRPr="00863266">
        <w:t xml:space="preserve"> “Reinforce” </w:t>
      </w:r>
      <w:proofErr w:type="spellStart"/>
      <w:r w:rsidRPr="00863266">
        <w:t>slackwaters</w:t>
      </w:r>
      <w:proofErr w:type="spellEnd"/>
      <w:r w:rsidRPr="00863266">
        <w:t xml:space="preserve"> with woody structure to promote retention of carbon resources required by invertebrates, with an aim to boost abundance and diversity of biological communities. </w:t>
      </w:r>
    </w:p>
    <w:p w14:paraId="4AB9B21F" w14:textId="0199D228" w:rsidR="00E831A2" w:rsidRPr="00E831A2" w:rsidRDefault="00E831A2" w:rsidP="00DE6E94">
      <w:pPr>
        <w:pStyle w:val="ListParagraph"/>
        <w:numPr>
          <w:ilvl w:val="0"/>
          <w:numId w:val="61"/>
        </w:numPr>
        <w:spacing w:after="160" w:line="259" w:lineRule="auto"/>
        <w:contextualSpacing/>
        <w:rPr>
          <w:rFonts w:ascii="Calibri" w:eastAsia="Times New Roman" w:hAnsi="Calibri" w:cs="Calibri"/>
        </w:rPr>
      </w:pPr>
      <w:r w:rsidRPr="00863266">
        <w:rPr>
          <w:rFonts w:ascii="Calibri" w:eastAsia="Times New Roman" w:hAnsi="Calibri" w:cs="Calibri"/>
          <w:b/>
        </w:rPr>
        <w:t xml:space="preserve">Analysis and </w:t>
      </w:r>
      <w:r w:rsidRPr="00CE654A">
        <w:rPr>
          <w:rFonts w:ascii="Calibri" w:eastAsia="Times New Roman" w:hAnsi="Calibri" w:cs="Calibri"/>
          <w:b/>
        </w:rPr>
        <w:t>reporting</w:t>
      </w:r>
      <w:r>
        <w:rPr>
          <w:rFonts w:ascii="Calibri" w:eastAsia="Times New Roman" w:hAnsi="Calibri" w:cs="Calibri"/>
        </w:rPr>
        <w:t>:</w:t>
      </w:r>
      <w:r w:rsidRPr="00CE654A">
        <w:rPr>
          <w:rFonts w:ascii="Calibri" w:eastAsia="Times New Roman" w:hAnsi="Calibri" w:cs="Calibri"/>
        </w:rPr>
        <w:t xml:space="preserve"> Assess against hypotheses, validate relationships, update conceptual model, identify flow bands for optimising habitats / hydraulic conditions, incorporate outcomes into refinement of water delivery (both for environmental flows and water supply delivery)</w:t>
      </w:r>
      <w:r>
        <w:rPr>
          <w:rFonts w:ascii="Calibri" w:eastAsia="Times New Roman" w:hAnsi="Calibri" w:cs="Calibri"/>
        </w:rPr>
        <w:t xml:space="preserve"> and other potential management actions</w:t>
      </w:r>
      <w:r w:rsidRPr="00CE654A">
        <w:rPr>
          <w:rFonts w:ascii="Calibri" w:eastAsia="Times New Roman" w:hAnsi="Calibri" w:cs="Calibri"/>
        </w:rPr>
        <w:t xml:space="preserve">. </w:t>
      </w:r>
    </w:p>
    <w:p w14:paraId="35FFB6D1" w14:textId="04CA618A" w:rsidR="00E831A2" w:rsidRDefault="00E831A2" w:rsidP="00E71580">
      <w:pPr>
        <w:pStyle w:val="Heading2"/>
        <w:tabs>
          <w:tab w:val="left" w:pos="709"/>
        </w:tabs>
        <w:spacing w:before="240" w:after="120" w:line="240" w:lineRule="atLeast"/>
        <w:ind w:left="1418" w:hanging="1418"/>
        <w:jc w:val="left"/>
      </w:pPr>
      <w:bookmarkStart w:id="671" w:name="_Toc84417433"/>
      <w:bookmarkStart w:id="672" w:name="_Toc84475725"/>
      <w:r w:rsidRPr="004F4E60">
        <w:t>Research</w:t>
      </w:r>
      <w:r>
        <w:t xml:space="preserve"> </w:t>
      </w:r>
      <w:r w:rsidR="00632AD4">
        <w:t>a</w:t>
      </w:r>
      <w:r w:rsidRPr="00BA2632">
        <w:t>ctivities</w:t>
      </w:r>
      <w:r>
        <w:t>: 2020-2021</w:t>
      </w:r>
      <w:bookmarkEnd w:id="671"/>
      <w:bookmarkEnd w:id="672"/>
      <w:r w:rsidRPr="00BA2632">
        <w:t xml:space="preserve"> </w:t>
      </w:r>
    </w:p>
    <w:p w14:paraId="2089D996" w14:textId="24D3F81C" w:rsidR="00E831A2" w:rsidRPr="00181F6A" w:rsidRDefault="00E831A2" w:rsidP="00181F6A">
      <w:proofErr w:type="gramStart"/>
      <w:r>
        <w:t>The bulk of Research Component 1,</w:t>
      </w:r>
      <w:proofErr w:type="gramEnd"/>
      <w:r>
        <w:t xml:space="preserve"> was completed in 2019-2020 and details reported in the Goulburn MER Scientific Report 2019-2020 are not repeated here. Research activity in 2020-2021 focused on components 2, 3 and 4, mapping </w:t>
      </w:r>
      <w:proofErr w:type="spellStart"/>
      <w:r>
        <w:t>slackwater</w:t>
      </w:r>
      <w:proofErr w:type="spellEnd"/>
      <w:r>
        <w:t xml:space="preserve"> habitats, conducting field surveys, and establishing the field experiment. Activities completed during the 2020-2021 reporting period are summarised in</w:t>
      </w:r>
      <w:r w:rsidRPr="00181F6A">
        <w:t xml:space="preserve"> </w:t>
      </w:r>
      <w:r w:rsidR="000B75AF">
        <w:t>Table 12</w:t>
      </w:r>
      <w:r w:rsidR="000B75AF">
        <w:noBreakHyphen/>
        <w:t>1</w:t>
      </w:r>
      <w:r>
        <w:t xml:space="preserve">. Data analysis for several activities is underway but it is premature to report outcomes here. </w:t>
      </w:r>
      <w:proofErr w:type="gramStart"/>
      <w:r>
        <w:t>Instead</w:t>
      </w:r>
      <w:proofErr w:type="gramEnd"/>
      <w:r>
        <w:t xml:space="preserve"> a brief overview of selected activities is presented in the sections below.   </w:t>
      </w:r>
    </w:p>
    <w:p w14:paraId="23CA1B26" w14:textId="76208A88" w:rsidR="00E831A2" w:rsidRDefault="00E831A2" w:rsidP="00E831A2">
      <w:pPr>
        <w:pStyle w:val="Caption"/>
        <w:keepNext/>
      </w:pPr>
      <w:bookmarkStart w:id="673" w:name="_Ref83638337"/>
      <w:bookmarkStart w:id="674" w:name="_Toc95391494"/>
      <w:r>
        <w:t xml:space="preserve">Table </w:t>
      </w:r>
      <w:r w:rsidR="00831EB0">
        <w:rPr>
          <w:noProof/>
        </w:rPr>
        <w:t>12</w:t>
      </w:r>
      <w:r w:rsidR="000B75AF">
        <w:noBreakHyphen/>
      </w:r>
      <w:r w:rsidR="00831EB0">
        <w:rPr>
          <w:noProof/>
        </w:rPr>
        <w:t>1</w:t>
      </w:r>
      <w:bookmarkEnd w:id="673"/>
      <w:r>
        <w:t xml:space="preserve"> </w:t>
      </w:r>
      <w:r w:rsidRPr="00B53A1C">
        <w:t>List of activities completed for each research component during the 2020-2021 reporting period</w:t>
      </w:r>
      <w:r w:rsidR="006E1F1F">
        <w:t>.</w:t>
      </w:r>
      <w:bookmarkEnd w:id="674"/>
    </w:p>
    <w:tbl>
      <w:tblPr>
        <w:tblStyle w:val="TableGrid"/>
        <w:tblW w:w="9781" w:type="dxa"/>
        <w:jc w:val="center"/>
        <w:tblLook w:val="04A0" w:firstRow="1" w:lastRow="0" w:firstColumn="1" w:lastColumn="0" w:noHBand="0" w:noVBand="1"/>
      </w:tblPr>
      <w:tblGrid>
        <w:gridCol w:w="371"/>
        <w:gridCol w:w="1614"/>
        <w:gridCol w:w="1276"/>
        <w:gridCol w:w="6520"/>
      </w:tblGrid>
      <w:tr w:rsidR="00E831A2" w14:paraId="24BD247F" w14:textId="77777777" w:rsidTr="00E8636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gridSpan w:val="2"/>
            <w:tcBorders>
              <w:top w:val="single" w:sz="4" w:space="0" w:color="auto"/>
              <w:left w:val="nil"/>
              <w:bottom w:val="single" w:sz="4" w:space="0" w:color="auto"/>
              <w:right w:val="nil"/>
            </w:tcBorders>
            <w:shd w:val="clear" w:color="auto" w:fill="063061" w:themeFill="accent1" w:themeFillShade="BF"/>
          </w:tcPr>
          <w:p w14:paraId="15F1F9CA" w14:textId="77777777" w:rsidR="00E831A2" w:rsidRPr="00E86366" w:rsidRDefault="00E831A2" w:rsidP="00E26D3C">
            <w:pPr>
              <w:spacing w:after="160" w:line="259" w:lineRule="auto"/>
              <w:contextualSpacing/>
              <w:jc w:val="left"/>
              <w:rPr>
                <w:rFonts w:eastAsia="Times New Roman" w:cstheme="minorHAnsi"/>
                <w:sz w:val="18"/>
                <w:szCs w:val="18"/>
              </w:rPr>
            </w:pPr>
            <w:r w:rsidRPr="00E86366">
              <w:rPr>
                <w:rFonts w:eastAsia="Times New Roman" w:cstheme="minorHAnsi"/>
                <w:sz w:val="18"/>
                <w:szCs w:val="18"/>
              </w:rPr>
              <w:t>Component</w:t>
            </w:r>
          </w:p>
        </w:tc>
        <w:tc>
          <w:tcPr>
            <w:tcW w:w="1276" w:type="dxa"/>
            <w:tcBorders>
              <w:top w:val="single" w:sz="4" w:space="0" w:color="auto"/>
              <w:left w:val="nil"/>
              <w:bottom w:val="single" w:sz="4" w:space="0" w:color="auto"/>
              <w:right w:val="nil"/>
            </w:tcBorders>
            <w:shd w:val="clear" w:color="auto" w:fill="063061" w:themeFill="accent1" w:themeFillShade="BF"/>
          </w:tcPr>
          <w:p w14:paraId="7F0886A8" w14:textId="77777777" w:rsidR="00E831A2" w:rsidRPr="00E86366" w:rsidRDefault="00E831A2" w:rsidP="00E26D3C">
            <w:pPr>
              <w:spacing w:after="160" w:line="259" w:lineRule="auto"/>
              <w:contextualSpacing/>
              <w:jc w:val="left"/>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Date</w:t>
            </w:r>
          </w:p>
        </w:tc>
        <w:tc>
          <w:tcPr>
            <w:tcW w:w="6520" w:type="dxa"/>
            <w:tcBorders>
              <w:top w:val="single" w:sz="4" w:space="0" w:color="auto"/>
              <w:left w:val="nil"/>
              <w:bottom w:val="single" w:sz="4" w:space="0" w:color="auto"/>
              <w:right w:val="nil"/>
            </w:tcBorders>
            <w:shd w:val="clear" w:color="auto" w:fill="063061" w:themeFill="accent1" w:themeFillShade="BF"/>
          </w:tcPr>
          <w:p w14:paraId="0522D7CA" w14:textId="77777777" w:rsidR="00E831A2" w:rsidRPr="00E86366" w:rsidRDefault="00E831A2" w:rsidP="00E26D3C">
            <w:pPr>
              <w:spacing w:after="160" w:line="259" w:lineRule="auto"/>
              <w:contextualSpacing/>
              <w:jc w:val="left"/>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Description</w:t>
            </w:r>
          </w:p>
        </w:tc>
      </w:tr>
      <w:tr w:rsidR="00E831A2" w14:paraId="5F32ECE8" w14:textId="77777777" w:rsidTr="00E86366">
        <w:trPr>
          <w:cnfStyle w:val="000000100000" w:firstRow="0" w:lastRow="0" w:firstColumn="0" w:lastColumn="0" w:oddVBand="0" w:evenVBand="0" w:oddHBand="1" w:evenHBand="0" w:firstRowFirstColumn="0" w:firstRowLastColumn="0" w:lastRowFirstColumn="0" w:lastRowLastColumn="0"/>
          <w:trHeight w:val="582"/>
          <w:jc w:val="center"/>
        </w:trPr>
        <w:tc>
          <w:tcPr>
            <w:cnfStyle w:val="001000000000" w:firstRow="0" w:lastRow="0" w:firstColumn="1" w:lastColumn="0" w:oddVBand="0" w:evenVBand="0" w:oddHBand="0" w:evenHBand="0" w:firstRowFirstColumn="0" w:firstRowLastColumn="0" w:lastRowFirstColumn="0" w:lastRowLastColumn="0"/>
            <w:tcW w:w="371" w:type="dxa"/>
            <w:tcBorders>
              <w:top w:val="single" w:sz="4" w:space="0" w:color="auto"/>
              <w:left w:val="nil"/>
              <w:bottom w:val="nil"/>
              <w:right w:val="nil"/>
            </w:tcBorders>
            <w:shd w:val="clear" w:color="auto" w:fill="DEE5F2" w:themeFill="accent4" w:themeFillTint="33"/>
          </w:tcPr>
          <w:p w14:paraId="072DD3E3" w14:textId="77777777" w:rsidR="00E831A2" w:rsidRPr="00E86366" w:rsidRDefault="00E831A2" w:rsidP="00E26D3C">
            <w:pPr>
              <w:spacing w:after="160" w:line="259" w:lineRule="auto"/>
              <w:contextualSpacing/>
              <w:jc w:val="left"/>
              <w:rPr>
                <w:rFonts w:eastAsia="Times New Roman" w:cstheme="minorHAnsi"/>
                <w:b w:val="0"/>
                <w:color w:val="7F7F7F" w:themeColor="text1" w:themeTint="80"/>
                <w:sz w:val="18"/>
                <w:szCs w:val="18"/>
              </w:rPr>
            </w:pPr>
            <w:r w:rsidRPr="00E86366">
              <w:rPr>
                <w:rFonts w:eastAsia="Times New Roman" w:cstheme="minorHAnsi"/>
                <w:b w:val="0"/>
                <w:color w:val="7F7F7F" w:themeColor="text1" w:themeTint="80"/>
                <w:sz w:val="18"/>
                <w:szCs w:val="18"/>
              </w:rPr>
              <w:t>1.</w:t>
            </w:r>
          </w:p>
        </w:tc>
        <w:tc>
          <w:tcPr>
            <w:tcW w:w="1614" w:type="dxa"/>
            <w:tcBorders>
              <w:top w:val="single" w:sz="4" w:space="0" w:color="auto"/>
              <w:left w:val="nil"/>
              <w:bottom w:val="nil"/>
              <w:right w:val="nil"/>
            </w:tcBorders>
            <w:shd w:val="clear" w:color="auto" w:fill="DEE5F2" w:themeFill="accent4" w:themeFillTint="33"/>
          </w:tcPr>
          <w:p w14:paraId="04266457"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b/>
                <w:color w:val="7F7F7F" w:themeColor="text1" w:themeTint="80"/>
                <w:sz w:val="18"/>
                <w:szCs w:val="18"/>
              </w:rPr>
            </w:pPr>
            <w:r w:rsidRPr="00E86366">
              <w:rPr>
                <w:rFonts w:eastAsia="Times New Roman" w:cstheme="minorHAnsi"/>
                <w:b/>
                <w:color w:val="7F7F7F" w:themeColor="text1" w:themeTint="80"/>
                <w:sz w:val="18"/>
                <w:szCs w:val="18"/>
              </w:rPr>
              <w:t>Refine questions &amp; hypotheses</w:t>
            </w:r>
          </w:p>
        </w:tc>
        <w:tc>
          <w:tcPr>
            <w:tcW w:w="1276" w:type="dxa"/>
            <w:tcBorders>
              <w:top w:val="single" w:sz="4" w:space="0" w:color="auto"/>
              <w:left w:val="nil"/>
              <w:bottom w:val="nil"/>
              <w:right w:val="nil"/>
            </w:tcBorders>
            <w:shd w:val="clear" w:color="auto" w:fill="DEE5F2" w:themeFill="accent4" w:themeFillTint="33"/>
          </w:tcPr>
          <w:p w14:paraId="4FE40BE9"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7F7F7F" w:themeColor="text1" w:themeTint="80"/>
                <w:sz w:val="18"/>
                <w:szCs w:val="18"/>
              </w:rPr>
            </w:pPr>
            <w:r w:rsidRPr="00E86366">
              <w:rPr>
                <w:rFonts w:eastAsia="Times New Roman" w:cstheme="minorHAnsi"/>
                <w:color w:val="7F7F7F" w:themeColor="text1" w:themeTint="80"/>
                <w:sz w:val="18"/>
                <w:szCs w:val="18"/>
              </w:rPr>
              <w:t>May 2020</w:t>
            </w:r>
          </w:p>
        </w:tc>
        <w:tc>
          <w:tcPr>
            <w:tcW w:w="6520" w:type="dxa"/>
            <w:tcBorders>
              <w:top w:val="single" w:sz="4" w:space="0" w:color="auto"/>
              <w:left w:val="nil"/>
              <w:bottom w:val="nil"/>
              <w:right w:val="nil"/>
            </w:tcBorders>
            <w:shd w:val="clear" w:color="auto" w:fill="DEE5F2" w:themeFill="accent4" w:themeFillTint="33"/>
          </w:tcPr>
          <w:p w14:paraId="7AA9CD39"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7F7F7F" w:themeColor="text1" w:themeTint="80"/>
                <w:sz w:val="18"/>
                <w:szCs w:val="18"/>
              </w:rPr>
            </w:pPr>
            <w:r w:rsidRPr="00E86366">
              <w:rPr>
                <w:rFonts w:eastAsia="Times New Roman" w:cstheme="minorHAnsi"/>
                <w:color w:val="7F7F7F" w:themeColor="text1" w:themeTint="80"/>
                <w:sz w:val="18"/>
                <w:szCs w:val="18"/>
              </w:rPr>
              <w:t>Workshop to refine research questions and develop hypotheses for testing.</w:t>
            </w:r>
          </w:p>
        </w:tc>
      </w:tr>
      <w:tr w:rsidR="00E831A2" w14:paraId="7534534D" w14:textId="77777777" w:rsidTr="00E8636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 w:type="dxa"/>
            <w:tcBorders>
              <w:top w:val="nil"/>
              <w:left w:val="nil"/>
              <w:right w:val="nil"/>
            </w:tcBorders>
            <w:shd w:val="clear" w:color="auto" w:fill="BECBE5" w:themeFill="accent4" w:themeFillTint="66"/>
          </w:tcPr>
          <w:p w14:paraId="3FB75B05" w14:textId="77777777" w:rsidR="00E831A2" w:rsidRPr="00E86366" w:rsidRDefault="00E831A2" w:rsidP="00E26D3C">
            <w:pPr>
              <w:spacing w:after="160" w:line="259" w:lineRule="auto"/>
              <w:contextualSpacing/>
              <w:jc w:val="left"/>
              <w:rPr>
                <w:rFonts w:eastAsia="Times New Roman" w:cstheme="minorHAnsi"/>
                <w:b w:val="0"/>
                <w:sz w:val="18"/>
                <w:szCs w:val="18"/>
              </w:rPr>
            </w:pPr>
            <w:r w:rsidRPr="00E86366">
              <w:rPr>
                <w:rFonts w:eastAsia="Times New Roman" w:cstheme="minorHAnsi"/>
                <w:b w:val="0"/>
                <w:sz w:val="18"/>
                <w:szCs w:val="18"/>
              </w:rPr>
              <w:t>2.</w:t>
            </w:r>
          </w:p>
        </w:tc>
        <w:tc>
          <w:tcPr>
            <w:tcW w:w="1614" w:type="dxa"/>
            <w:tcBorders>
              <w:top w:val="nil"/>
              <w:left w:val="nil"/>
              <w:right w:val="nil"/>
            </w:tcBorders>
            <w:shd w:val="clear" w:color="auto" w:fill="BECBE5" w:themeFill="accent4" w:themeFillTint="66"/>
          </w:tcPr>
          <w:p w14:paraId="782BA761"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b/>
                <w:sz w:val="18"/>
                <w:szCs w:val="18"/>
              </w:rPr>
            </w:pPr>
            <w:r w:rsidRPr="00E86366">
              <w:rPr>
                <w:rFonts w:eastAsia="Times New Roman" w:cstheme="minorHAnsi"/>
                <w:b/>
                <w:sz w:val="18"/>
                <w:szCs w:val="18"/>
              </w:rPr>
              <w:t>Map habitats</w:t>
            </w:r>
          </w:p>
        </w:tc>
        <w:tc>
          <w:tcPr>
            <w:tcW w:w="1276" w:type="dxa"/>
            <w:tcBorders>
              <w:top w:val="nil"/>
              <w:left w:val="nil"/>
              <w:right w:val="nil"/>
            </w:tcBorders>
            <w:shd w:val="clear" w:color="auto" w:fill="BECBE5" w:themeFill="accent4" w:themeFillTint="66"/>
          </w:tcPr>
          <w:p w14:paraId="3DC128E7"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March 2021</w:t>
            </w:r>
          </w:p>
        </w:tc>
        <w:tc>
          <w:tcPr>
            <w:tcW w:w="6520" w:type="dxa"/>
            <w:tcBorders>
              <w:top w:val="nil"/>
              <w:left w:val="nil"/>
              <w:right w:val="nil"/>
            </w:tcBorders>
            <w:shd w:val="clear" w:color="auto" w:fill="BECBE5" w:themeFill="accent4" w:themeFillTint="66"/>
          </w:tcPr>
          <w:p w14:paraId="364AF8B7"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 xml:space="preserve">Produce 2D modelling outputs (maps) predicting the size and location of </w:t>
            </w:r>
            <w:proofErr w:type="spellStart"/>
            <w:r w:rsidRPr="00E86366">
              <w:rPr>
                <w:rFonts w:eastAsia="Times New Roman" w:cstheme="minorHAnsi"/>
                <w:sz w:val="18"/>
                <w:szCs w:val="18"/>
              </w:rPr>
              <w:t>slackwaters</w:t>
            </w:r>
            <w:proofErr w:type="spellEnd"/>
            <w:r w:rsidRPr="00E86366">
              <w:rPr>
                <w:rFonts w:eastAsia="Times New Roman" w:cstheme="minorHAnsi"/>
                <w:sz w:val="18"/>
                <w:szCs w:val="18"/>
              </w:rPr>
              <w:t xml:space="preserve"> across a range of relevant flows (summer flows from 1000 – 3000 ML/day).</w:t>
            </w:r>
          </w:p>
        </w:tc>
      </w:tr>
      <w:tr w:rsidR="00E831A2" w14:paraId="20B1CDC4" w14:textId="77777777" w:rsidTr="00E863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 w:type="dxa"/>
            <w:shd w:val="clear" w:color="auto" w:fill="DEE5F2" w:themeFill="accent4" w:themeFillTint="33"/>
          </w:tcPr>
          <w:p w14:paraId="736CB478" w14:textId="77777777" w:rsidR="00E831A2" w:rsidRPr="00E86366" w:rsidRDefault="00E831A2" w:rsidP="00E26D3C">
            <w:pPr>
              <w:spacing w:after="160" w:line="259" w:lineRule="auto"/>
              <w:contextualSpacing/>
              <w:jc w:val="left"/>
              <w:rPr>
                <w:rFonts w:eastAsia="Times New Roman" w:cstheme="minorHAnsi"/>
                <w:b w:val="0"/>
                <w:sz w:val="18"/>
                <w:szCs w:val="18"/>
              </w:rPr>
            </w:pPr>
            <w:r w:rsidRPr="00E86366">
              <w:rPr>
                <w:rFonts w:eastAsia="Times New Roman" w:cstheme="minorHAnsi"/>
                <w:b w:val="0"/>
                <w:sz w:val="18"/>
                <w:szCs w:val="18"/>
              </w:rPr>
              <w:t>3.</w:t>
            </w:r>
          </w:p>
        </w:tc>
        <w:tc>
          <w:tcPr>
            <w:tcW w:w="1614" w:type="dxa"/>
            <w:shd w:val="clear" w:color="auto" w:fill="DEE5F2" w:themeFill="accent4" w:themeFillTint="33"/>
          </w:tcPr>
          <w:p w14:paraId="2C545768"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b/>
                <w:sz w:val="18"/>
                <w:szCs w:val="18"/>
              </w:rPr>
            </w:pPr>
            <w:r w:rsidRPr="00E86366">
              <w:rPr>
                <w:rFonts w:eastAsia="Times New Roman" w:cstheme="minorHAnsi"/>
                <w:b/>
                <w:sz w:val="18"/>
                <w:szCs w:val="18"/>
              </w:rPr>
              <w:t>Field surveys</w:t>
            </w:r>
          </w:p>
        </w:tc>
        <w:tc>
          <w:tcPr>
            <w:tcW w:w="1276" w:type="dxa"/>
            <w:shd w:val="clear" w:color="auto" w:fill="DEE5F2" w:themeFill="accent4" w:themeFillTint="33"/>
          </w:tcPr>
          <w:p w14:paraId="3AA9F557"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Dec 2020</w:t>
            </w:r>
          </w:p>
        </w:tc>
        <w:tc>
          <w:tcPr>
            <w:tcW w:w="6520" w:type="dxa"/>
            <w:shd w:val="clear" w:color="auto" w:fill="DEE5F2" w:themeFill="accent4" w:themeFillTint="33"/>
          </w:tcPr>
          <w:p w14:paraId="2535EC2A"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6366">
              <w:rPr>
                <w:rFonts w:eastAsia="Times New Roman" w:cstheme="minorHAnsi"/>
                <w:b/>
                <w:sz w:val="18"/>
                <w:szCs w:val="18"/>
              </w:rPr>
              <w:t xml:space="preserve">Site scoping: </w:t>
            </w:r>
            <w:r w:rsidRPr="00E86366">
              <w:rPr>
                <w:rFonts w:eastAsia="Times New Roman" w:cstheme="minorHAnsi"/>
                <w:sz w:val="18"/>
                <w:szCs w:val="18"/>
              </w:rPr>
              <w:t>Familiarisation with sites, site access and habitat types present in the Lower Goulburn River. No data collected</w:t>
            </w:r>
          </w:p>
        </w:tc>
      </w:tr>
      <w:tr w:rsidR="00E831A2" w14:paraId="2446474A" w14:textId="77777777" w:rsidTr="00E8636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 w:type="dxa"/>
            <w:shd w:val="clear" w:color="auto" w:fill="DEE5F2" w:themeFill="accent4" w:themeFillTint="33"/>
          </w:tcPr>
          <w:p w14:paraId="602FAF1E" w14:textId="77777777" w:rsidR="00E831A2" w:rsidRPr="00E86366" w:rsidRDefault="00E831A2" w:rsidP="00E26D3C">
            <w:pPr>
              <w:spacing w:after="160" w:line="259" w:lineRule="auto"/>
              <w:contextualSpacing/>
              <w:jc w:val="left"/>
              <w:rPr>
                <w:rFonts w:eastAsia="Times New Roman" w:cstheme="minorHAnsi"/>
                <w:b w:val="0"/>
                <w:sz w:val="18"/>
                <w:szCs w:val="18"/>
              </w:rPr>
            </w:pPr>
          </w:p>
        </w:tc>
        <w:tc>
          <w:tcPr>
            <w:tcW w:w="1614" w:type="dxa"/>
            <w:shd w:val="clear" w:color="auto" w:fill="DEE5F2" w:themeFill="accent4" w:themeFillTint="33"/>
          </w:tcPr>
          <w:p w14:paraId="205E06B7"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b/>
                <w:sz w:val="18"/>
                <w:szCs w:val="18"/>
              </w:rPr>
            </w:pPr>
          </w:p>
        </w:tc>
        <w:tc>
          <w:tcPr>
            <w:tcW w:w="1276" w:type="dxa"/>
            <w:shd w:val="clear" w:color="auto" w:fill="BECBE5" w:themeFill="accent4" w:themeFillTint="66"/>
          </w:tcPr>
          <w:p w14:paraId="523454C6"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Feb 2021</w:t>
            </w:r>
          </w:p>
        </w:tc>
        <w:tc>
          <w:tcPr>
            <w:tcW w:w="6520" w:type="dxa"/>
            <w:shd w:val="clear" w:color="auto" w:fill="BECBE5" w:themeFill="accent4" w:themeFillTint="66"/>
          </w:tcPr>
          <w:p w14:paraId="3CA515E8"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E86366">
              <w:rPr>
                <w:rFonts w:eastAsia="Times New Roman" w:cstheme="minorHAnsi"/>
                <w:b/>
                <w:sz w:val="18"/>
                <w:szCs w:val="18"/>
              </w:rPr>
              <w:t>Survey 1:</w:t>
            </w:r>
            <w:r w:rsidRPr="00E86366">
              <w:rPr>
                <w:rFonts w:eastAsia="Times New Roman" w:cstheme="minorHAnsi"/>
                <w:sz w:val="18"/>
                <w:szCs w:val="18"/>
              </w:rPr>
              <w:t xml:space="preserve"> Scoping survey to identify and compare key habitat types in the Lower Goulburn River at IVT flow levels. </w:t>
            </w:r>
          </w:p>
        </w:tc>
      </w:tr>
      <w:tr w:rsidR="00E831A2" w14:paraId="225BA582" w14:textId="77777777" w:rsidTr="00E863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 w:type="dxa"/>
            <w:shd w:val="clear" w:color="auto" w:fill="DEE5F2" w:themeFill="accent4" w:themeFillTint="33"/>
          </w:tcPr>
          <w:p w14:paraId="3729ABD7" w14:textId="77777777" w:rsidR="00E831A2" w:rsidRPr="00E86366" w:rsidRDefault="00E831A2" w:rsidP="00E26D3C">
            <w:pPr>
              <w:spacing w:after="160" w:line="259" w:lineRule="auto"/>
              <w:contextualSpacing/>
              <w:jc w:val="left"/>
              <w:rPr>
                <w:rFonts w:eastAsia="Times New Roman" w:cstheme="minorHAnsi"/>
                <w:b w:val="0"/>
                <w:sz w:val="18"/>
                <w:szCs w:val="18"/>
              </w:rPr>
            </w:pPr>
          </w:p>
        </w:tc>
        <w:tc>
          <w:tcPr>
            <w:tcW w:w="1614" w:type="dxa"/>
            <w:shd w:val="clear" w:color="auto" w:fill="DEE5F2" w:themeFill="accent4" w:themeFillTint="33"/>
          </w:tcPr>
          <w:p w14:paraId="54B2154C"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b/>
                <w:sz w:val="18"/>
                <w:szCs w:val="18"/>
              </w:rPr>
            </w:pPr>
          </w:p>
        </w:tc>
        <w:tc>
          <w:tcPr>
            <w:tcW w:w="1276" w:type="dxa"/>
            <w:shd w:val="clear" w:color="auto" w:fill="DEE5F2" w:themeFill="accent4" w:themeFillTint="33"/>
          </w:tcPr>
          <w:p w14:paraId="4EE7D54E"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April 2021</w:t>
            </w:r>
          </w:p>
        </w:tc>
        <w:tc>
          <w:tcPr>
            <w:tcW w:w="6520" w:type="dxa"/>
            <w:shd w:val="clear" w:color="auto" w:fill="DEE5F2" w:themeFill="accent4" w:themeFillTint="33"/>
          </w:tcPr>
          <w:p w14:paraId="2EEF033A"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b/>
                <w:sz w:val="18"/>
                <w:szCs w:val="18"/>
              </w:rPr>
            </w:pPr>
            <w:r w:rsidRPr="00E86366">
              <w:rPr>
                <w:rFonts w:eastAsia="Times New Roman" w:cstheme="minorHAnsi"/>
                <w:b/>
                <w:sz w:val="18"/>
                <w:szCs w:val="18"/>
              </w:rPr>
              <w:t>Model verification surveys:</w:t>
            </w:r>
            <w:r w:rsidRPr="00E86366">
              <w:rPr>
                <w:rFonts w:eastAsia="Times New Roman" w:cstheme="minorHAnsi"/>
                <w:sz w:val="18"/>
                <w:szCs w:val="18"/>
              </w:rPr>
              <w:t xml:space="preserve"> Measure water depth and velocity to verify the sizes and positions of </w:t>
            </w:r>
            <w:proofErr w:type="spellStart"/>
            <w:r w:rsidRPr="00E86366">
              <w:rPr>
                <w:rFonts w:eastAsia="Times New Roman" w:cstheme="minorHAnsi"/>
                <w:sz w:val="18"/>
                <w:szCs w:val="18"/>
              </w:rPr>
              <w:t>slackwaters</w:t>
            </w:r>
            <w:proofErr w:type="spellEnd"/>
            <w:r w:rsidRPr="00E86366">
              <w:rPr>
                <w:rFonts w:eastAsia="Times New Roman" w:cstheme="minorHAnsi"/>
                <w:sz w:val="18"/>
                <w:szCs w:val="18"/>
              </w:rPr>
              <w:t xml:space="preserve"> identified from model outputs.</w:t>
            </w:r>
          </w:p>
        </w:tc>
      </w:tr>
      <w:tr w:rsidR="00E831A2" w14:paraId="3FA28139" w14:textId="77777777" w:rsidTr="00E8636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 w:type="dxa"/>
            <w:shd w:val="clear" w:color="auto" w:fill="DEE5F2" w:themeFill="accent4" w:themeFillTint="33"/>
          </w:tcPr>
          <w:p w14:paraId="30E9331C" w14:textId="77777777" w:rsidR="00E831A2" w:rsidRPr="00E86366" w:rsidRDefault="00E831A2" w:rsidP="00E26D3C">
            <w:pPr>
              <w:spacing w:after="160" w:line="259" w:lineRule="auto"/>
              <w:contextualSpacing/>
              <w:jc w:val="left"/>
              <w:rPr>
                <w:rFonts w:eastAsia="Times New Roman" w:cstheme="minorHAnsi"/>
                <w:b w:val="0"/>
                <w:sz w:val="18"/>
                <w:szCs w:val="18"/>
              </w:rPr>
            </w:pPr>
          </w:p>
        </w:tc>
        <w:tc>
          <w:tcPr>
            <w:tcW w:w="1614" w:type="dxa"/>
            <w:shd w:val="clear" w:color="auto" w:fill="DEE5F2" w:themeFill="accent4" w:themeFillTint="33"/>
          </w:tcPr>
          <w:p w14:paraId="7D5A8C90"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b/>
                <w:sz w:val="18"/>
                <w:szCs w:val="18"/>
              </w:rPr>
            </w:pPr>
          </w:p>
        </w:tc>
        <w:tc>
          <w:tcPr>
            <w:tcW w:w="1276" w:type="dxa"/>
            <w:shd w:val="clear" w:color="auto" w:fill="BECBE5" w:themeFill="accent4" w:themeFillTint="66"/>
          </w:tcPr>
          <w:p w14:paraId="15CF76E3"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April 2021</w:t>
            </w:r>
          </w:p>
        </w:tc>
        <w:tc>
          <w:tcPr>
            <w:tcW w:w="6520" w:type="dxa"/>
            <w:shd w:val="clear" w:color="auto" w:fill="BECBE5" w:themeFill="accent4" w:themeFillTint="66"/>
          </w:tcPr>
          <w:p w14:paraId="53109EA2"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b/>
                <w:sz w:val="18"/>
                <w:szCs w:val="18"/>
              </w:rPr>
            </w:pPr>
            <w:r w:rsidRPr="00E86366">
              <w:rPr>
                <w:rFonts w:eastAsia="Times New Roman" w:cstheme="minorHAnsi"/>
                <w:b/>
                <w:sz w:val="18"/>
                <w:szCs w:val="18"/>
              </w:rPr>
              <w:t xml:space="preserve">Survey 2: </w:t>
            </w:r>
            <w:r w:rsidRPr="00E86366">
              <w:rPr>
                <w:rFonts w:eastAsia="Times New Roman" w:cstheme="minorHAnsi"/>
                <w:sz w:val="18"/>
                <w:szCs w:val="18"/>
              </w:rPr>
              <w:t xml:space="preserve">Targeted survey to compare habitat characteristics between Wide vs Narrow </w:t>
            </w:r>
            <w:proofErr w:type="spellStart"/>
            <w:r w:rsidRPr="00E86366">
              <w:rPr>
                <w:rFonts w:eastAsia="Times New Roman" w:cstheme="minorHAnsi"/>
                <w:sz w:val="18"/>
                <w:szCs w:val="18"/>
              </w:rPr>
              <w:t>slackwater</w:t>
            </w:r>
            <w:proofErr w:type="spellEnd"/>
            <w:r w:rsidRPr="00E86366">
              <w:rPr>
                <w:rFonts w:eastAsia="Times New Roman" w:cstheme="minorHAnsi"/>
                <w:sz w:val="18"/>
                <w:szCs w:val="18"/>
              </w:rPr>
              <w:t xml:space="preserve"> types at baseflow levels. that were identified and mapped during mapping and model verification surveys</w:t>
            </w:r>
          </w:p>
        </w:tc>
      </w:tr>
      <w:tr w:rsidR="00E831A2" w14:paraId="79E18ED8" w14:textId="77777777" w:rsidTr="00E863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 w:type="dxa"/>
            <w:tcBorders>
              <w:left w:val="nil"/>
              <w:bottom w:val="nil"/>
              <w:right w:val="nil"/>
            </w:tcBorders>
            <w:shd w:val="clear" w:color="auto" w:fill="DEE5F2" w:themeFill="accent4" w:themeFillTint="33"/>
          </w:tcPr>
          <w:p w14:paraId="58442F6A" w14:textId="77777777" w:rsidR="00E831A2" w:rsidRPr="00E86366" w:rsidRDefault="00E831A2" w:rsidP="00E26D3C">
            <w:pPr>
              <w:spacing w:after="160" w:line="259" w:lineRule="auto"/>
              <w:contextualSpacing/>
              <w:jc w:val="left"/>
              <w:rPr>
                <w:rFonts w:eastAsia="Times New Roman" w:cstheme="minorHAnsi"/>
                <w:b w:val="0"/>
                <w:sz w:val="18"/>
                <w:szCs w:val="18"/>
              </w:rPr>
            </w:pPr>
          </w:p>
        </w:tc>
        <w:tc>
          <w:tcPr>
            <w:tcW w:w="1614" w:type="dxa"/>
            <w:tcBorders>
              <w:left w:val="nil"/>
              <w:bottom w:val="nil"/>
              <w:right w:val="nil"/>
            </w:tcBorders>
            <w:shd w:val="clear" w:color="auto" w:fill="DEE5F2" w:themeFill="accent4" w:themeFillTint="33"/>
          </w:tcPr>
          <w:p w14:paraId="4ADBC8D4"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b/>
                <w:sz w:val="18"/>
                <w:szCs w:val="18"/>
              </w:rPr>
            </w:pPr>
          </w:p>
        </w:tc>
        <w:tc>
          <w:tcPr>
            <w:tcW w:w="1276" w:type="dxa"/>
            <w:tcBorders>
              <w:left w:val="nil"/>
              <w:bottom w:val="nil"/>
              <w:right w:val="nil"/>
            </w:tcBorders>
            <w:shd w:val="clear" w:color="auto" w:fill="DEE5F2" w:themeFill="accent4" w:themeFillTint="33"/>
          </w:tcPr>
          <w:p w14:paraId="6CB44641"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April 2021</w:t>
            </w:r>
          </w:p>
        </w:tc>
        <w:tc>
          <w:tcPr>
            <w:tcW w:w="6520" w:type="dxa"/>
            <w:tcBorders>
              <w:left w:val="nil"/>
              <w:bottom w:val="nil"/>
              <w:right w:val="nil"/>
            </w:tcBorders>
            <w:shd w:val="clear" w:color="auto" w:fill="DEE5F2" w:themeFill="accent4" w:themeFillTint="33"/>
          </w:tcPr>
          <w:p w14:paraId="5AF81244"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 xml:space="preserve">Concurrent with </w:t>
            </w:r>
            <w:r w:rsidRPr="00E86366">
              <w:rPr>
                <w:rFonts w:eastAsia="Times New Roman" w:cstheme="minorHAnsi"/>
                <w:b/>
                <w:sz w:val="18"/>
                <w:szCs w:val="18"/>
              </w:rPr>
              <w:t>Survey 2</w:t>
            </w:r>
            <w:r w:rsidRPr="00E86366">
              <w:rPr>
                <w:rFonts w:eastAsia="Times New Roman" w:cstheme="minorHAnsi"/>
                <w:sz w:val="18"/>
                <w:szCs w:val="18"/>
              </w:rPr>
              <w:t xml:space="preserve">, collection of invertebrate samples to compare diversity and abundance of organisms using Wide vs Narrow </w:t>
            </w:r>
            <w:proofErr w:type="spellStart"/>
            <w:r w:rsidRPr="00E86366">
              <w:rPr>
                <w:rFonts w:eastAsia="Times New Roman" w:cstheme="minorHAnsi"/>
                <w:sz w:val="18"/>
                <w:szCs w:val="18"/>
              </w:rPr>
              <w:t>slackwater</w:t>
            </w:r>
            <w:proofErr w:type="spellEnd"/>
            <w:r w:rsidRPr="00E86366">
              <w:rPr>
                <w:rFonts w:eastAsia="Times New Roman" w:cstheme="minorHAnsi"/>
                <w:sz w:val="18"/>
                <w:szCs w:val="18"/>
              </w:rPr>
              <w:t xml:space="preserve"> types at baseflow levels.</w:t>
            </w:r>
          </w:p>
        </w:tc>
      </w:tr>
      <w:tr w:rsidR="00E831A2" w14:paraId="25FF5148" w14:textId="77777777" w:rsidTr="00E8636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 w:type="dxa"/>
            <w:tcBorders>
              <w:top w:val="nil"/>
              <w:left w:val="nil"/>
              <w:bottom w:val="nil"/>
              <w:right w:val="nil"/>
            </w:tcBorders>
            <w:shd w:val="clear" w:color="auto" w:fill="BECBE5" w:themeFill="accent4" w:themeFillTint="66"/>
          </w:tcPr>
          <w:p w14:paraId="5D31F3FF" w14:textId="77777777" w:rsidR="00E831A2" w:rsidRPr="00E86366" w:rsidRDefault="00E831A2" w:rsidP="00E26D3C">
            <w:pPr>
              <w:spacing w:after="160" w:line="259" w:lineRule="auto"/>
              <w:contextualSpacing/>
              <w:jc w:val="left"/>
              <w:rPr>
                <w:rFonts w:eastAsia="Times New Roman" w:cstheme="minorHAnsi"/>
                <w:b w:val="0"/>
                <w:sz w:val="18"/>
                <w:szCs w:val="18"/>
              </w:rPr>
            </w:pPr>
            <w:r w:rsidRPr="00E86366">
              <w:rPr>
                <w:rFonts w:eastAsia="Times New Roman" w:cstheme="minorHAnsi"/>
                <w:b w:val="0"/>
                <w:sz w:val="18"/>
                <w:szCs w:val="18"/>
              </w:rPr>
              <w:t>4.</w:t>
            </w:r>
          </w:p>
        </w:tc>
        <w:tc>
          <w:tcPr>
            <w:tcW w:w="1614" w:type="dxa"/>
            <w:tcBorders>
              <w:top w:val="nil"/>
              <w:left w:val="nil"/>
              <w:bottom w:val="nil"/>
              <w:right w:val="nil"/>
            </w:tcBorders>
            <w:shd w:val="clear" w:color="auto" w:fill="BECBE5" w:themeFill="accent4" w:themeFillTint="66"/>
          </w:tcPr>
          <w:p w14:paraId="606A5D78"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b/>
                <w:sz w:val="18"/>
                <w:szCs w:val="18"/>
              </w:rPr>
            </w:pPr>
            <w:r w:rsidRPr="00E86366">
              <w:rPr>
                <w:rFonts w:eastAsia="Times New Roman" w:cstheme="minorHAnsi"/>
                <w:b/>
                <w:sz w:val="18"/>
                <w:szCs w:val="18"/>
              </w:rPr>
              <w:t>Field experiment</w:t>
            </w:r>
          </w:p>
        </w:tc>
        <w:tc>
          <w:tcPr>
            <w:tcW w:w="1276" w:type="dxa"/>
            <w:tcBorders>
              <w:top w:val="nil"/>
              <w:left w:val="nil"/>
              <w:bottom w:val="nil"/>
              <w:right w:val="nil"/>
            </w:tcBorders>
            <w:shd w:val="clear" w:color="auto" w:fill="BECBE5" w:themeFill="accent4" w:themeFillTint="66"/>
          </w:tcPr>
          <w:p w14:paraId="6B90AAA5"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June 2021</w:t>
            </w:r>
          </w:p>
        </w:tc>
        <w:tc>
          <w:tcPr>
            <w:tcW w:w="6520" w:type="dxa"/>
            <w:tcBorders>
              <w:top w:val="nil"/>
              <w:left w:val="nil"/>
              <w:bottom w:val="nil"/>
              <w:right w:val="nil"/>
            </w:tcBorders>
            <w:shd w:val="clear" w:color="auto" w:fill="BECBE5" w:themeFill="accent4" w:themeFillTint="66"/>
          </w:tcPr>
          <w:p w14:paraId="27EF64EB"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 xml:space="preserve">A manipulative field experiment was established in 24 </w:t>
            </w:r>
            <w:proofErr w:type="spellStart"/>
            <w:r w:rsidRPr="00E86366">
              <w:rPr>
                <w:rFonts w:eastAsia="Times New Roman" w:cstheme="minorHAnsi"/>
                <w:sz w:val="18"/>
                <w:szCs w:val="18"/>
              </w:rPr>
              <w:t>slackwaters</w:t>
            </w:r>
            <w:proofErr w:type="spellEnd"/>
            <w:r w:rsidRPr="00E86366">
              <w:rPr>
                <w:rFonts w:eastAsia="Times New Roman" w:cstheme="minorHAnsi"/>
                <w:sz w:val="18"/>
                <w:szCs w:val="18"/>
              </w:rPr>
              <w:t xml:space="preserve"> to </w:t>
            </w:r>
            <w:r w:rsidRPr="00E86366">
              <w:rPr>
                <w:rFonts w:cstheme="minorHAnsi"/>
                <w:sz w:val="18"/>
                <w:szCs w:val="18"/>
              </w:rPr>
              <w:t>increase amounts of woody structure and promote retention of carbon resources required by invertebrates, with an aim to boost abundance and diversity of biological communities.</w:t>
            </w:r>
          </w:p>
        </w:tc>
      </w:tr>
      <w:tr w:rsidR="00E831A2" w14:paraId="5F92CAE2" w14:textId="77777777" w:rsidTr="00E863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 w:type="dxa"/>
            <w:vMerge w:val="restart"/>
            <w:tcBorders>
              <w:top w:val="nil"/>
              <w:left w:val="nil"/>
              <w:right w:val="nil"/>
            </w:tcBorders>
            <w:shd w:val="clear" w:color="auto" w:fill="DEE5F2" w:themeFill="accent4" w:themeFillTint="33"/>
          </w:tcPr>
          <w:p w14:paraId="4EDDFCB0" w14:textId="77777777" w:rsidR="00E831A2" w:rsidRPr="00E86366" w:rsidRDefault="00E831A2" w:rsidP="00E26D3C">
            <w:pPr>
              <w:spacing w:after="160" w:line="259" w:lineRule="auto"/>
              <w:contextualSpacing/>
              <w:jc w:val="left"/>
              <w:rPr>
                <w:rFonts w:eastAsia="Times New Roman" w:cstheme="minorHAnsi"/>
                <w:b w:val="0"/>
                <w:sz w:val="18"/>
                <w:szCs w:val="18"/>
              </w:rPr>
            </w:pPr>
            <w:r w:rsidRPr="00E86366">
              <w:rPr>
                <w:rFonts w:eastAsia="Times New Roman" w:cstheme="minorHAnsi"/>
                <w:b w:val="0"/>
                <w:sz w:val="18"/>
                <w:szCs w:val="18"/>
              </w:rPr>
              <w:t>5.</w:t>
            </w:r>
          </w:p>
        </w:tc>
        <w:tc>
          <w:tcPr>
            <w:tcW w:w="1614" w:type="dxa"/>
            <w:vMerge w:val="restart"/>
            <w:tcBorders>
              <w:top w:val="nil"/>
              <w:left w:val="nil"/>
              <w:right w:val="nil"/>
            </w:tcBorders>
            <w:shd w:val="clear" w:color="auto" w:fill="DEE5F2" w:themeFill="accent4" w:themeFillTint="33"/>
          </w:tcPr>
          <w:p w14:paraId="3533DB5B"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b/>
                <w:sz w:val="18"/>
                <w:szCs w:val="18"/>
              </w:rPr>
            </w:pPr>
            <w:r w:rsidRPr="00E86366">
              <w:rPr>
                <w:rFonts w:eastAsia="Times New Roman" w:cstheme="minorHAnsi"/>
                <w:b/>
                <w:sz w:val="18"/>
                <w:szCs w:val="18"/>
              </w:rPr>
              <w:t>Analysis &amp; reporting</w:t>
            </w:r>
          </w:p>
        </w:tc>
        <w:tc>
          <w:tcPr>
            <w:tcW w:w="1276" w:type="dxa"/>
            <w:tcBorders>
              <w:top w:val="nil"/>
              <w:left w:val="nil"/>
              <w:bottom w:val="nil"/>
              <w:right w:val="nil"/>
            </w:tcBorders>
            <w:shd w:val="clear" w:color="auto" w:fill="DEE5F2" w:themeFill="accent4" w:themeFillTint="33"/>
          </w:tcPr>
          <w:p w14:paraId="21730FB9"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July 2020</w:t>
            </w:r>
          </w:p>
        </w:tc>
        <w:tc>
          <w:tcPr>
            <w:tcW w:w="6520" w:type="dxa"/>
            <w:tcBorders>
              <w:top w:val="nil"/>
              <w:left w:val="nil"/>
              <w:bottom w:val="nil"/>
              <w:right w:val="nil"/>
            </w:tcBorders>
            <w:shd w:val="clear" w:color="auto" w:fill="DEE5F2" w:themeFill="accent4" w:themeFillTint="33"/>
          </w:tcPr>
          <w:p w14:paraId="562EE1A1"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Data entry, sample processing, statistical analyses underway</w:t>
            </w:r>
          </w:p>
        </w:tc>
      </w:tr>
      <w:tr w:rsidR="00E831A2" w14:paraId="562B945A" w14:textId="77777777" w:rsidTr="00E8636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 w:type="dxa"/>
            <w:vMerge/>
            <w:tcBorders>
              <w:left w:val="nil"/>
              <w:right w:val="nil"/>
            </w:tcBorders>
            <w:shd w:val="clear" w:color="auto" w:fill="DEE5F2" w:themeFill="accent4" w:themeFillTint="33"/>
          </w:tcPr>
          <w:p w14:paraId="1D7E2170" w14:textId="77777777" w:rsidR="00E831A2" w:rsidRPr="00E86366" w:rsidRDefault="00E831A2" w:rsidP="00E26D3C">
            <w:pPr>
              <w:spacing w:after="160" w:line="259" w:lineRule="auto"/>
              <w:contextualSpacing/>
              <w:jc w:val="left"/>
              <w:rPr>
                <w:rFonts w:eastAsia="Times New Roman" w:cstheme="minorHAnsi"/>
                <w:b w:val="0"/>
                <w:sz w:val="18"/>
                <w:szCs w:val="18"/>
              </w:rPr>
            </w:pPr>
          </w:p>
        </w:tc>
        <w:tc>
          <w:tcPr>
            <w:tcW w:w="1614" w:type="dxa"/>
            <w:vMerge/>
            <w:tcBorders>
              <w:left w:val="nil"/>
              <w:right w:val="nil"/>
            </w:tcBorders>
            <w:shd w:val="clear" w:color="auto" w:fill="DEE5F2" w:themeFill="accent4" w:themeFillTint="33"/>
          </w:tcPr>
          <w:p w14:paraId="0AD5774B"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b/>
                <w:sz w:val="18"/>
                <w:szCs w:val="18"/>
              </w:rPr>
            </w:pPr>
          </w:p>
        </w:tc>
        <w:tc>
          <w:tcPr>
            <w:tcW w:w="1276" w:type="dxa"/>
            <w:tcBorders>
              <w:top w:val="nil"/>
              <w:left w:val="nil"/>
              <w:bottom w:val="nil"/>
              <w:right w:val="nil"/>
            </w:tcBorders>
            <w:shd w:val="clear" w:color="auto" w:fill="BECBE5" w:themeFill="accent4" w:themeFillTint="66"/>
          </w:tcPr>
          <w:p w14:paraId="3A4E352A"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August 2020</w:t>
            </w:r>
          </w:p>
        </w:tc>
        <w:tc>
          <w:tcPr>
            <w:tcW w:w="6520" w:type="dxa"/>
            <w:tcBorders>
              <w:top w:val="nil"/>
              <w:left w:val="nil"/>
              <w:bottom w:val="nil"/>
              <w:right w:val="nil"/>
            </w:tcBorders>
            <w:shd w:val="clear" w:color="auto" w:fill="BECBE5" w:themeFill="accent4" w:themeFillTint="66"/>
          </w:tcPr>
          <w:p w14:paraId="655A5995"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 xml:space="preserve">Goulburn MER Annual Scientific Report - 2019-20  </w:t>
            </w:r>
          </w:p>
        </w:tc>
      </w:tr>
      <w:tr w:rsidR="00E831A2" w14:paraId="310EF6E5" w14:textId="77777777" w:rsidTr="00E863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 w:type="dxa"/>
            <w:vMerge/>
            <w:tcBorders>
              <w:left w:val="nil"/>
              <w:right w:val="nil"/>
            </w:tcBorders>
            <w:shd w:val="clear" w:color="auto" w:fill="DEE5F2" w:themeFill="accent4" w:themeFillTint="33"/>
          </w:tcPr>
          <w:p w14:paraId="60E717C3" w14:textId="77777777" w:rsidR="00E831A2" w:rsidRPr="00E86366" w:rsidRDefault="00E831A2" w:rsidP="00E26D3C">
            <w:pPr>
              <w:spacing w:after="160" w:line="259" w:lineRule="auto"/>
              <w:contextualSpacing/>
              <w:jc w:val="left"/>
              <w:rPr>
                <w:rFonts w:eastAsia="Times New Roman" w:cstheme="minorHAnsi"/>
                <w:b w:val="0"/>
                <w:sz w:val="18"/>
                <w:szCs w:val="18"/>
              </w:rPr>
            </w:pPr>
          </w:p>
        </w:tc>
        <w:tc>
          <w:tcPr>
            <w:tcW w:w="1614" w:type="dxa"/>
            <w:vMerge/>
            <w:tcBorders>
              <w:left w:val="nil"/>
              <w:right w:val="nil"/>
            </w:tcBorders>
            <w:shd w:val="clear" w:color="auto" w:fill="DEE5F2" w:themeFill="accent4" w:themeFillTint="33"/>
          </w:tcPr>
          <w:p w14:paraId="1C87703B"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b/>
                <w:sz w:val="18"/>
                <w:szCs w:val="18"/>
              </w:rPr>
            </w:pPr>
          </w:p>
        </w:tc>
        <w:tc>
          <w:tcPr>
            <w:tcW w:w="1276" w:type="dxa"/>
            <w:tcBorders>
              <w:top w:val="nil"/>
              <w:left w:val="nil"/>
              <w:bottom w:val="nil"/>
              <w:right w:val="nil"/>
            </w:tcBorders>
            <w:shd w:val="clear" w:color="auto" w:fill="DEE5F2" w:themeFill="accent4" w:themeFillTint="33"/>
          </w:tcPr>
          <w:p w14:paraId="12E9397D"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Feb 2021</w:t>
            </w:r>
          </w:p>
        </w:tc>
        <w:tc>
          <w:tcPr>
            <w:tcW w:w="6520" w:type="dxa"/>
            <w:tcBorders>
              <w:top w:val="nil"/>
              <w:left w:val="nil"/>
              <w:bottom w:val="nil"/>
              <w:right w:val="nil"/>
            </w:tcBorders>
            <w:shd w:val="clear" w:color="auto" w:fill="DEE5F2" w:themeFill="accent4" w:themeFillTint="33"/>
          </w:tcPr>
          <w:p w14:paraId="184F30C7" w14:textId="77777777" w:rsidR="00E831A2" w:rsidRPr="00E86366" w:rsidRDefault="00E831A2" w:rsidP="00E26D3C">
            <w:pPr>
              <w:spacing w:after="160" w:line="259"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Goulburn MER Forum 2021 – Project X update presentation</w:t>
            </w:r>
          </w:p>
        </w:tc>
      </w:tr>
      <w:tr w:rsidR="00E831A2" w14:paraId="13961422" w14:textId="77777777" w:rsidTr="00E8636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 w:type="dxa"/>
            <w:vMerge/>
            <w:tcBorders>
              <w:left w:val="nil"/>
              <w:bottom w:val="single" w:sz="4" w:space="0" w:color="auto"/>
              <w:right w:val="nil"/>
            </w:tcBorders>
            <w:shd w:val="clear" w:color="auto" w:fill="DEE5F2" w:themeFill="accent4" w:themeFillTint="33"/>
          </w:tcPr>
          <w:p w14:paraId="2622764D" w14:textId="77777777" w:rsidR="00E831A2" w:rsidRPr="00E86366" w:rsidRDefault="00E831A2" w:rsidP="00E26D3C">
            <w:pPr>
              <w:spacing w:after="160" w:line="259" w:lineRule="auto"/>
              <w:contextualSpacing/>
              <w:jc w:val="left"/>
              <w:rPr>
                <w:rFonts w:eastAsia="Times New Roman" w:cstheme="minorHAnsi"/>
                <w:b w:val="0"/>
                <w:sz w:val="18"/>
                <w:szCs w:val="18"/>
              </w:rPr>
            </w:pPr>
          </w:p>
        </w:tc>
        <w:tc>
          <w:tcPr>
            <w:tcW w:w="1614" w:type="dxa"/>
            <w:vMerge/>
            <w:tcBorders>
              <w:left w:val="nil"/>
              <w:bottom w:val="single" w:sz="4" w:space="0" w:color="auto"/>
              <w:right w:val="nil"/>
            </w:tcBorders>
            <w:shd w:val="clear" w:color="auto" w:fill="DEE5F2" w:themeFill="accent4" w:themeFillTint="33"/>
          </w:tcPr>
          <w:p w14:paraId="132129EA"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b/>
                <w:sz w:val="18"/>
                <w:szCs w:val="18"/>
              </w:rPr>
            </w:pPr>
          </w:p>
        </w:tc>
        <w:tc>
          <w:tcPr>
            <w:tcW w:w="1276" w:type="dxa"/>
            <w:tcBorders>
              <w:top w:val="nil"/>
              <w:left w:val="nil"/>
              <w:bottom w:val="single" w:sz="4" w:space="0" w:color="auto"/>
              <w:right w:val="nil"/>
            </w:tcBorders>
            <w:shd w:val="clear" w:color="auto" w:fill="BECBE5" w:themeFill="accent4" w:themeFillTint="66"/>
          </w:tcPr>
          <w:p w14:paraId="7A51A37C"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August 2021</w:t>
            </w:r>
          </w:p>
        </w:tc>
        <w:tc>
          <w:tcPr>
            <w:tcW w:w="6520" w:type="dxa"/>
            <w:tcBorders>
              <w:top w:val="nil"/>
              <w:left w:val="nil"/>
              <w:bottom w:val="single" w:sz="4" w:space="0" w:color="auto"/>
              <w:right w:val="nil"/>
            </w:tcBorders>
            <w:shd w:val="clear" w:color="auto" w:fill="BECBE5" w:themeFill="accent4" w:themeFillTint="66"/>
          </w:tcPr>
          <w:p w14:paraId="28F9D611" w14:textId="77777777" w:rsidR="00E831A2" w:rsidRPr="00E86366" w:rsidRDefault="00E831A2" w:rsidP="00E26D3C">
            <w:pPr>
              <w:spacing w:after="160" w:line="259" w:lineRule="auto"/>
              <w:contextualSpacing/>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E86366">
              <w:rPr>
                <w:rFonts w:eastAsia="Times New Roman" w:cstheme="minorHAnsi"/>
                <w:sz w:val="18"/>
                <w:szCs w:val="18"/>
              </w:rPr>
              <w:t>Goulburn MER Annual Scientific Report - 2020-21</w:t>
            </w:r>
          </w:p>
        </w:tc>
      </w:tr>
    </w:tbl>
    <w:p w14:paraId="116387C0" w14:textId="77777777" w:rsidR="00E831A2" w:rsidRDefault="00E831A2" w:rsidP="00866FBC"/>
    <w:p w14:paraId="448741C0" w14:textId="1800E6B2" w:rsidR="000D7E75" w:rsidRDefault="000D7E75" w:rsidP="00171C6D">
      <w:pPr>
        <w:pStyle w:val="Heading2"/>
      </w:pPr>
      <w:bookmarkStart w:id="675" w:name="_Toc84417434"/>
      <w:bookmarkStart w:id="676" w:name="_Toc84475726"/>
      <w:r>
        <w:t>Sites</w:t>
      </w:r>
      <w:bookmarkEnd w:id="675"/>
      <w:bookmarkEnd w:id="676"/>
    </w:p>
    <w:p w14:paraId="13F23C38" w14:textId="18ACA161" w:rsidR="000D7E75" w:rsidRPr="00181F6A" w:rsidRDefault="000D7E75" w:rsidP="00181F6A">
      <w:r w:rsidRPr="00181F6A">
        <w:t xml:space="preserve">The project studies four sites, located along the full length of the Lower Goulburn selected area, between the townships of Nagambie and Echuca </w:t>
      </w:r>
      <w:r w:rsidR="00D772A3" w:rsidRPr="00BA2632">
        <w:t xml:space="preserve">Figure </w:t>
      </w:r>
      <w:r w:rsidR="00D772A3">
        <w:t>2</w:t>
      </w:r>
      <w:r w:rsidR="00D772A3">
        <w:noBreakHyphen/>
        <w:t>1</w:t>
      </w:r>
      <w:r w:rsidR="006E1F1F" w:rsidRPr="00181F6A">
        <w:t>.</w:t>
      </w:r>
      <w:r w:rsidRPr="00181F6A">
        <w:t xml:space="preserve"> All research activities described below have been conducted at these sites:</w:t>
      </w:r>
    </w:p>
    <w:p w14:paraId="4EFCDF2C" w14:textId="77777777" w:rsidR="000D7E75" w:rsidRDefault="000D7E75" w:rsidP="00DE6E94">
      <w:pPr>
        <w:pStyle w:val="NoSpacing"/>
        <w:numPr>
          <w:ilvl w:val="0"/>
          <w:numId w:val="64"/>
        </w:numPr>
        <w:spacing w:after="220" w:line="240" w:lineRule="atLeast"/>
        <w:rPr>
          <w:rFonts w:ascii="Calibri" w:hAnsi="Calibri" w:cs="Calibri"/>
        </w:rPr>
      </w:pPr>
      <w:r>
        <w:rPr>
          <w:rFonts w:ascii="Calibri" w:hAnsi="Calibri" w:cs="Calibri"/>
        </w:rPr>
        <w:t>Moss Road, Goulburn Wei</w:t>
      </w:r>
      <w:r w:rsidRPr="001F6583">
        <w:rPr>
          <w:rFonts w:ascii="Calibri" w:hAnsi="Calibri" w:cs="Calibri"/>
        </w:rPr>
        <w:t>r</w:t>
      </w:r>
    </w:p>
    <w:p w14:paraId="560A88FA" w14:textId="1D2E3CA0" w:rsidR="000D7E75" w:rsidRPr="001F6583" w:rsidRDefault="000D7E75" w:rsidP="00DE6E94">
      <w:pPr>
        <w:pStyle w:val="NoSpacing"/>
        <w:numPr>
          <w:ilvl w:val="0"/>
          <w:numId w:val="64"/>
        </w:numPr>
        <w:spacing w:after="220" w:line="240" w:lineRule="atLeast"/>
        <w:rPr>
          <w:rFonts w:ascii="Calibri" w:hAnsi="Calibri" w:cs="Calibri"/>
        </w:rPr>
      </w:pPr>
      <w:r w:rsidRPr="001F6583">
        <w:rPr>
          <w:rFonts w:ascii="Calibri" w:hAnsi="Calibri" w:cs="Calibri"/>
        </w:rPr>
        <w:t>Darcy’s T</w:t>
      </w:r>
      <w:r>
        <w:rPr>
          <w:rFonts w:ascii="Calibri" w:hAnsi="Calibri" w:cs="Calibri"/>
        </w:rPr>
        <w:t>rac</w:t>
      </w:r>
      <w:r w:rsidRPr="001F6583">
        <w:rPr>
          <w:rFonts w:ascii="Calibri" w:hAnsi="Calibri" w:cs="Calibri"/>
        </w:rPr>
        <w:t>k</w:t>
      </w:r>
      <w:r>
        <w:rPr>
          <w:rFonts w:ascii="Calibri" w:hAnsi="Calibri" w:cs="Calibri"/>
        </w:rPr>
        <w:t>,</w:t>
      </w:r>
      <w:r w:rsidRPr="001F6583">
        <w:rPr>
          <w:rFonts w:ascii="Calibri" w:hAnsi="Calibri" w:cs="Calibri"/>
        </w:rPr>
        <w:t xml:space="preserve"> Tatura East </w:t>
      </w:r>
    </w:p>
    <w:p w14:paraId="6D35D188" w14:textId="77777777" w:rsidR="000D7E75" w:rsidRPr="001F6583" w:rsidRDefault="000D7E75" w:rsidP="00DE6E94">
      <w:pPr>
        <w:pStyle w:val="NoSpacing"/>
        <w:numPr>
          <w:ilvl w:val="0"/>
          <w:numId w:val="64"/>
        </w:numPr>
        <w:spacing w:after="220" w:line="240" w:lineRule="atLeast"/>
        <w:rPr>
          <w:rFonts w:ascii="Calibri" w:hAnsi="Calibri" w:cs="Calibri"/>
        </w:rPr>
      </w:pPr>
      <w:r>
        <w:rPr>
          <w:rFonts w:ascii="Calibri" w:hAnsi="Calibri" w:cs="Calibri"/>
        </w:rPr>
        <w:t xml:space="preserve">Loch Garry, </w:t>
      </w:r>
      <w:r w:rsidRPr="001F6583">
        <w:rPr>
          <w:rFonts w:ascii="Calibri" w:hAnsi="Calibri" w:cs="Calibri"/>
        </w:rPr>
        <w:t xml:space="preserve">Loch Garry Wildlife Reserve </w:t>
      </w:r>
    </w:p>
    <w:p w14:paraId="44B45221" w14:textId="77777777" w:rsidR="000D7E75" w:rsidRPr="001F6583" w:rsidRDefault="000D7E75" w:rsidP="00DE6E94">
      <w:pPr>
        <w:pStyle w:val="NoSpacing"/>
        <w:numPr>
          <w:ilvl w:val="0"/>
          <w:numId w:val="64"/>
        </w:numPr>
        <w:spacing w:after="220" w:line="240" w:lineRule="atLeast"/>
        <w:rPr>
          <w:rFonts w:ascii="Calibri" w:hAnsi="Calibri" w:cs="Calibri"/>
        </w:rPr>
      </w:pPr>
      <w:r>
        <w:rPr>
          <w:rFonts w:ascii="Calibri" w:hAnsi="Calibri" w:cs="Calibri"/>
        </w:rPr>
        <w:t>McCoy’s Bridge,</w:t>
      </w:r>
      <w:r w:rsidRPr="001F6583">
        <w:rPr>
          <w:rFonts w:ascii="Calibri" w:hAnsi="Calibri" w:cs="Calibri"/>
        </w:rPr>
        <w:t xml:space="preserve"> Kotupna </w:t>
      </w:r>
    </w:p>
    <w:p w14:paraId="54BFA26A" w14:textId="6CEB347C" w:rsidR="000D7E75" w:rsidRPr="00181F6A" w:rsidRDefault="000D7E75" w:rsidP="00181F6A">
      <w:r w:rsidRPr="00181F6A">
        <w:lastRenderedPageBreak/>
        <w:t xml:space="preserve">Each site is confined within a ‘mapped area’, for which water depth and velocity have been previously modelled during the LTIM program </w:t>
      </w:r>
      <w:r w:rsidR="00B2102D" w:rsidRPr="00181F6A">
        <w:rPr>
          <w:noProof/>
        </w:rPr>
        <w:t>(Webb et al. 2016)</w:t>
      </w:r>
      <w:r w:rsidR="00B2102D" w:rsidRPr="00181F6A">
        <w:t>.</w:t>
      </w:r>
      <w:r w:rsidRPr="00181F6A">
        <w:t xml:space="preserve"> We have confined our research within these modelled areas because we can model the predicted sizes and locations of </w:t>
      </w:r>
      <w:proofErr w:type="spellStart"/>
      <w:r w:rsidRPr="00181F6A">
        <w:t>slackwater</w:t>
      </w:r>
      <w:proofErr w:type="spellEnd"/>
      <w:r w:rsidRPr="00181F6A">
        <w:t xml:space="preserve"> areas. </w:t>
      </w:r>
    </w:p>
    <w:p w14:paraId="1D4031F6" w14:textId="718889B3" w:rsidR="000D7E75" w:rsidRDefault="000D7E75" w:rsidP="00E71580">
      <w:pPr>
        <w:pStyle w:val="Heading2"/>
        <w:tabs>
          <w:tab w:val="left" w:pos="709"/>
        </w:tabs>
        <w:spacing w:before="240" w:after="120" w:line="240" w:lineRule="atLeast"/>
        <w:ind w:left="1418" w:hanging="1418"/>
        <w:jc w:val="left"/>
      </w:pPr>
      <w:bookmarkStart w:id="677" w:name="_Toc84417435"/>
      <w:bookmarkStart w:id="678" w:name="_Toc84475727"/>
      <w:r>
        <w:t>Mapping habitats</w:t>
      </w:r>
      <w:bookmarkEnd w:id="677"/>
      <w:bookmarkEnd w:id="678"/>
    </w:p>
    <w:p w14:paraId="42C96ACE" w14:textId="7C1ECFC5" w:rsidR="000D7E75" w:rsidRPr="00181F6A" w:rsidRDefault="000D7E75" w:rsidP="00181F6A">
      <w:r w:rsidRPr="00181F6A">
        <w:t xml:space="preserve">Mapping of </w:t>
      </w:r>
      <w:proofErr w:type="spellStart"/>
      <w:r w:rsidRPr="00181F6A">
        <w:t>slackwater</w:t>
      </w:r>
      <w:proofErr w:type="spellEnd"/>
      <w:r w:rsidRPr="00181F6A">
        <w:t xml:space="preserve"> habitats was a two-step process. First, water depth and velocity data were modelled to produce maps showing the predicted sizes and locations of prospective </w:t>
      </w:r>
      <w:proofErr w:type="spellStart"/>
      <w:r w:rsidRPr="00181F6A">
        <w:t>slackwaters</w:t>
      </w:r>
      <w:proofErr w:type="spellEnd"/>
      <w:r w:rsidRPr="00181F6A">
        <w:t xml:space="preserve">. Second, these maps were used to guide field-truthing surveys (described in </w:t>
      </w:r>
      <w:r w:rsidR="001C0076" w:rsidRPr="00181F6A">
        <w:t>S</w:t>
      </w:r>
      <w:r w:rsidRPr="00181F6A">
        <w:t xml:space="preserve">ection </w:t>
      </w:r>
      <w:r w:rsidR="000B75AF">
        <w:t>12.7</w:t>
      </w:r>
      <w:r w:rsidRPr="00181F6A">
        <w:t xml:space="preserve"> Field Surveys) to measure water depth and velocity to confirm the locations and spatial dimensions of </w:t>
      </w:r>
      <w:proofErr w:type="spellStart"/>
      <w:r w:rsidRPr="00181F6A">
        <w:t>slackwaters</w:t>
      </w:r>
      <w:proofErr w:type="spellEnd"/>
      <w:r w:rsidRPr="00181F6A">
        <w:t xml:space="preserve"> at each site. </w:t>
      </w:r>
    </w:p>
    <w:p w14:paraId="441342C4" w14:textId="18DA32D4" w:rsidR="000D7E75" w:rsidRPr="00824E02" w:rsidRDefault="000D7E75" w:rsidP="00181F6A">
      <w:r w:rsidRPr="00181F6A">
        <w:t xml:space="preserve">In this study, </w:t>
      </w:r>
      <w:proofErr w:type="spellStart"/>
      <w:r w:rsidRPr="00181F6A">
        <w:t>slackwaters</w:t>
      </w:r>
      <w:proofErr w:type="spellEnd"/>
      <w:r w:rsidRPr="00181F6A">
        <w:t xml:space="preserve"> are defined as areas ≤ 0.5 m deep, with water flows not exceeding 0.05 m/s. Both thresholds are within the range of values used in</w:t>
      </w:r>
      <w:r w:rsidRPr="00824E02">
        <w:t xml:space="preserve"> other studies of </w:t>
      </w:r>
      <w:proofErr w:type="spellStart"/>
      <w:r w:rsidRPr="00824E02">
        <w:t>slackwaters</w:t>
      </w:r>
      <w:proofErr w:type="spellEnd"/>
      <w:r w:rsidRPr="00824E02">
        <w:t xml:space="preserve"> </w:t>
      </w:r>
      <w:r w:rsidR="00566073" w:rsidRPr="00181F6A">
        <w:rPr>
          <w:noProof/>
        </w:rPr>
        <w:t>(Vietz et al. 2013)</w:t>
      </w:r>
      <w:r w:rsidRPr="00824E02">
        <w:t>. The depth threshold of 0.5 m is the maximum safe working depth for field surveys which require wading, sometimes in very deep silt.</w:t>
      </w:r>
    </w:p>
    <w:p w14:paraId="31F5428E" w14:textId="17389AAC" w:rsidR="000D7E75" w:rsidRPr="00181F6A" w:rsidRDefault="000D7E75" w:rsidP="00181F6A">
      <w:r w:rsidRPr="00F0537D">
        <w:t>Mo</w:t>
      </w:r>
      <w:r>
        <w:t xml:space="preserve">delling was conducted by research partners </w:t>
      </w:r>
      <w:proofErr w:type="spellStart"/>
      <w:r>
        <w:t>Streamology</w:t>
      </w:r>
      <w:proofErr w:type="spellEnd"/>
      <w:r>
        <w:t xml:space="preserve">, as per the methods described in </w:t>
      </w:r>
      <w:r w:rsidR="009056D6" w:rsidRPr="00181F6A">
        <w:rPr>
          <w:noProof/>
        </w:rPr>
        <w:t>(Webb et al. 2016)</w:t>
      </w:r>
      <w:r w:rsidRPr="00181F6A">
        <w:t xml:space="preserve"> </w:t>
      </w:r>
      <w:r>
        <w:t xml:space="preserve">to produce overlays of predicted </w:t>
      </w:r>
      <w:proofErr w:type="spellStart"/>
      <w:r>
        <w:t>slackwater</w:t>
      </w:r>
      <w:proofErr w:type="spellEnd"/>
      <w:r>
        <w:t xml:space="preserve"> area at </w:t>
      </w:r>
      <w:r w:rsidRPr="00637B68">
        <w:t xml:space="preserve">12 discharges ranging from 300 – </w:t>
      </w:r>
      <w:r w:rsidRPr="00181F6A">
        <w:t>12</w:t>
      </w:r>
      <w:r w:rsidR="0084091D">
        <w:t>,</w:t>
      </w:r>
      <w:r w:rsidRPr="00181F6A">
        <w:t>000</w:t>
      </w:r>
      <w:r w:rsidRPr="00637B68">
        <w:t xml:space="preserve"> ML / day</w:t>
      </w:r>
      <w:r>
        <w:t xml:space="preserve"> </w:t>
      </w:r>
      <w:r w:rsidRPr="00181F6A">
        <w:t>(</w:t>
      </w:r>
      <w:r w:rsidR="000B75AF">
        <w:t xml:space="preserve">Figure </w:t>
      </w:r>
      <w:r w:rsidR="000B75AF">
        <w:rPr>
          <w:noProof/>
        </w:rPr>
        <w:t>12</w:t>
      </w:r>
      <w:r w:rsidR="000B75AF">
        <w:noBreakHyphen/>
      </w:r>
      <w:r w:rsidR="000B75AF">
        <w:rPr>
          <w:noProof/>
        </w:rPr>
        <w:t>1</w:t>
      </w:r>
      <w:r w:rsidRPr="00181F6A">
        <w:t>).</w:t>
      </w:r>
      <w:r w:rsidRPr="00637B68">
        <w:t xml:space="preserve"> Model ou</w:t>
      </w:r>
      <w:r>
        <w:t>tputs for three relevant discharges were overlaid to produce maps showing prospective changes in the size (m</w:t>
      </w:r>
      <w:r w:rsidRPr="008C078F">
        <w:rPr>
          <w:vertAlign w:val="superscript"/>
        </w:rPr>
        <w:t>2</w:t>
      </w:r>
      <w:r>
        <w:t xml:space="preserve">) and location of </w:t>
      </w:r>
      <w:proofErr w:type="spellStart"/>
      <w:r>
        <w:t>slackwater</w:t>
      </w:r>
      <w:proofErr w:type="spellEnd"/>
      <w:r>
        <w:t xml:space="preserve"> areas throughout a typical summer </w:t>
      </w:r>
      <w:r w:rsidR="00CF168E">
        <w:t>(</w:t>
      </w:r>
      <w:r w:rsidR="000B75AF">
        <w:t xml:space="preserve">Figure </w:t>
      </w:r>
      <w:r w:rsidR="000B75AF">
        <w:rPr>
          <w:noProof/>
        </w:rPr>
        <w:t>12</w:t>
      </w:r>
      <w:r w:rsidR="000B75AF">
        <w:noBreakHyphen/>
      </w:r>
      <w:r w:rsidR="000B75AF">
        <w:rPr>
          <w:noProof/>
        </w:rPr>
        <w:t>2</w:t>
      </w:r>
      <w:r w:rsidR="00CF168E">
        <w:t>).</w:t>
      </w:r>
      <w:r>
        <w:t xml:space="preserve"> </w:t>
      </w:r>
      <w:r w:rsidRPr="00181F6A">
        <w:t xml:space="preserve">These maps were used to identify the number of </w:t>
      </w:r>
      <w:proofErr w:type="spellStart"/>
      <w:r w:rsidRPr="00181F6A">
        <w:t>slackwaters</w:t>
      </w:r>
      <w:proofErr w:type="spellEnd"/>
      <w:r w:rsidRPr="00181F6A">
        <w:t xml:space="preserve"> per site and changes in the size and location of individual </w:t>
      </w:r>
      <w:proofErr w:type="spellStart"/>
      <w:r w:rsidRPr="00181F6A">
        <w:t>slackwaters</w:t>
      </w:r>
      <w:proofErr w:type="spellEnd"/>
      <w:r w:rsidRPr="00181F6A">
        <w:t xml:space="preserve"> with increasing levels of discharge. </w:t>
      </w:r>
    </w:p>
    <w:p w14:paraId="290703E6" w14:textId="6C2C799B" w:rsidR="000D7E75" w:rsidRPr="00181F6A" w:rsidRDefault="000D7E75" w:rsidP="000D7E75">
      <w:r w:rsidRPr="00181F6A">
        <w:t xml:space="preserve">From these maps we identified two types of </w:t>
      </w:r>
      <w:proofErr w:type="spellStart"/>
      <w:r w:rsidRPr="00181F6A">
        <w:t>slackwater</w:t>
      </w:r>
      <w:proofErr w:type="spellEnd"/>
      <w:r w:rsidRPr="00181F6A">
        <w:t xml:space="preserve"> areas that may provide different types of habitat and accommodate different organisms. ‘Wide’ </w:t>
      </w:r>
      <w:proofErr w:type="spellStart"/>
      <w:r w:rsidRPr="00181F6A">
        <w:t>slackwaters</w:t>
      </w:r>
      <w:proofErr w:type="spellEnd"/>
      <w:r w:rsidRPr="00181F6A">
        <w:t xml:space="preserve">, often associated with benches or shallow-sloping banks, are characterised as places where bands of modelled </w:t>
      </w:r>
      <w:proofErr w:type="spellStart"/>
      <w:r w:rsidRPr="00181F6A">
        <w:t>slackwater</w:t>
      </w:r>
      <w:proofErr w:type="spellEnd"/>
      <w:r w:rsidRPr="00181F6A">
        <w:t xml:space="preserve"> do not overlap at different discharges </w:t>
      </w:r>
      <w:r w:rsidR="00CF168E">
        <w:t>(</w:t>
      </w:r>
      <w:r w:rsidR="000B75AF">
        <w:t xml:space="preserve">Figure </w:t>
      </w:r>
      <w:r w:rsidR="000B75AF">
        <w:rPr>
          <w:noProof/>
        </w:rPr>
        <w:t>12</w:t>
      </w:r>
      <w:r w:rsidR="000B75AF">
        <w:noBreakHyphen/>
      </w:r>
      <w:r w:rsidR="000B75AF">
        <w:rPr>
          <w:noProof/>
        </w:rPr>
        <w:t>2</w:t>
      </w:r>
      <w:r w:rsidR="00CF168E">
        <w:t>),</w:t>
      </w:r>
      <w:r w:rsidRPr="00181F6A">
        <w:t xml:space="preserve"> suggesting that </w:t>
      </w:r>
      <w:proofErr w:type="spellStart"/>
      <w:r w:rsidRPr="00181F6A">
        <w:t>slackwaters</w:t>
      </w:r>
      <w:proofErr w:type="spellEnd"/>
      <w:r w:rsidRPr="00181F6A">
        <w:t xml:space="preserve"> migrate in space (up the bank) with increasing discharge. ‘Narrow’ </w:t>
      </w:r>
      <w:proofErr w:type="spellStart"/>
      <w:r w:rsidRPr="00181F6A">
        <w:t>slackwaters</w:t>
      </w:r>
      <w:proofErr w:type="spellEnd"/>
      <w:r w:rsidRPr="00181F6A">
        <w:t xml:space="preserve"> are associated with steeper banks and are almost ubiquitous along the channel margins in </w:t>
      </w:r>
      <w:proofErr w:type="gramStart"/>
      <w:r w:rsidRPr="00181F6A">
        <w:t>models</w:t>
      </w:r>
      <w:proofErr w:type="gramEnd"/>
      <w:r w:rsidRPr="00181F6A">
        <w:t xml:space="preserve"> outputs for all sites and all summer discharges. Narrow </w:t>
      </w:r>
      <w:proofErr w:type="spellStart"/>
      <w:r w:rsidRPr="00181F6A">
        <w:t>slackwaters</w:t>
      </w:r>
      <w:proofErr w:type="spellEnd"/>
      <w:r w:rsidRPr="00181F6A">
        <w:t xml:space="preserve"> are places where areas of modelled </w:t>
      </w:r>
      <w:proofErr w:type="spellStart"/>
      <w:r w:rsidRPr="00181F6A">
        <w:t>slackwater</w:t>
      </w:r>
      <w:proofErr w:type="spellEnd"/>
      <w:r w:rsidRPr="00181F6A">
        <w:t xml:space="preserve"> overlap at different discharges, indicating that </w:t>
      </w:r>
      <w:proofErr w:type="spellStart"/>
      <w:r w:rsidRPr="00181F6A">
        <w:t>slackwaters</w:t>
      </w:r>
      <w:proofErr w:type="spellEnd"/>
      <w:r w:rsidRPr="00181F6A">
        <w:t xml:space="preserve"> move little in space with increasing discharge </w:t>
      </w:r>
      <w:r w:rsidR="00231432">
        <w:t>(</w:t>
      </w:r>
      <w:r w:rsidR="000B75AF">
        <w:t xml:space="preserve">Figure </w:t>
      </w:r>
      <w:r w:rsidR="000B75AF">
        <w:rPr>
          <w:noProof/>
        </w:rPr>
        <w:t>12</w:t>
      </w:r>
      <w:r w:rsidR="000B75AF">
        <w:noBreakHyphen/>
      </w:r>
      <w:r w:rsidR="000B75AF">
        <w:rPr>
          <w:noProof/>
        </w:rPr>
        <w:t>2</w:t>
      </w:r>
      <w:r w:rsidR="00231432">
        <w:t>).</w:t>
      </w:r>
    </w:p>
    <w:p w14:paraId="0D2D5EE2" w14:textId="77777777" w:rsidR="000D7E75" w:rsidRDefault="000D7E75" w:rsidP="000D7E75">
      <w:pPr>
        <w:rPr>
          <w:lang w:eastAsia="en-US"/>
        </w:rPr>
      </w:pPr>
    </w:p>
    <w:p w14:paraId="28E14A28" w14:textId="77777777" w:rsidR="000D7E75" w:rsidRDefault="000D7E75" w:rsidP="0084091D">
      <w:pPr>
        <w:pStyle w:val="NoSpacing"/>
        <w:keepNext/>
        <w:jc w:val="center"/>
      </w:pPr>
      <w:r>
        <w:rPr>
          <w:noProof/>
          <w:sz w:val="24"/>
          <w:lang w:val="en-GB"/>
        </w:rPr>
        <w:drawing>
          <wp:inline distT="0" distB="0" distL="0" distR="0" wp14:anchorId="0975DA39" wp14:editId="6808B2D1">
            <wp:extent cx="5943600" cy="3141345"/>
            <wp:effectExtent l="0" t="0" r="0" b="1905"/>
            <wp:docPr id="484" name="Picture 48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A picture containing text&#10;&#10;Description automatically generated"/>
                    <pic:cNvPicPr/>
                  </pic:nvPicPr>
                  <pic:blipFill>
                    <a:blip r:embed="rId104" cstate="email">
                      <a:extLst>
                        <a:ext uri="{28A0092B-C50C-407E-A947-70E740481C1C}">
                          <a14:useLocalDpi xmlns:a14="http://schemas.microsoft.com/office/drawing/2010/main"/>
                        </a:ext>
                      </a:extLst>
                    </a:blip>
                    <a:stretch>
                      <a:fillRect/>
                    </a:stretch>
                  </pic:blipFill>
                  <pic:spPr>
                    <a:xfrm>
                      <a:off x="0" y="0"/>
                      <a:ext cx="5943600" cy="3141345"/>
                    </a:xfrm>
                    <a:prstGeom prst="rect">
                      <a:avLst/>
                    </a:prstGeom>
                  </pic:spPr>
                </pic:pic>
              </a:graphicData>
            </a:graphic>
          </wp:inline>
        </w:drawing>
      </w:r>
    </w:p>
    <w:p w14:paraId="360263D3" w14:textId="7582D93A" w:rsidR="000D7E75" w:rsidRPr="0084091D" w:rsidRDefault="0084091D" w:rsidP="0084091D">
      <w:pPr>
        <w:pStyle w:val="Caption"/>
        <w:rPr>
          <w:sz w:val="24"/>
        </w:rPr>
      </w:pPr>
      <w:bookmarkStart w:id="679" w:name="_Ref83826201"/>
      <w:bookmarkStart w:id="680" w:name="_Toc83907800"/>
      <w:bookmarkStart w:id="681" w:name="_Toc84475777"/>
      <w:r>
        <w:t xml:space="preserve">Figure </w:t>
      </w:r>
      <w:r w:rsidR="00831EB0">
        <w:rPr>
          <w:noProof/>
        </w:rPr>
        <w:t>12</w:t>
      </w:r>
      <w:r w:rsidR="00B85158">
        <w:noBreakHyphen/>
      </w:r>
      <w:r w:rsidR="00831EB0">
        <w:rPr>
          <w:noProof/>
        </w:rPr>
        <w:t>1</w:t>
      </w:r>
      <w:bookmarkEnd w:id="679"/>
      <w:r w:rsidR="000D7E75">
        <w:t xml:space="preserve"> </w:t>
      </w:r>
      <w:r w:rsidR="000D7E75" w:rsidRPr="00341587">
        <w:t xml:space="preserve">Example of 2D modelling output for site McCoy’s Bridge, showing </w:t>
      </w:r>
      <w:proofErr w:type="spellStart"/>
      <w:r w:rsidR="000D7E75" w:rsidRPr="00341587">
        <w:t>slackwater</w:t>
      </w:r>
      <w:proofErr w:type="spellEnd"/>
      <w:r w:rsidR="000D7E75" w:rsidRPr="00341587">
        <w:t xml:space="preserve"> areas (pink and red shading, ≤ 0.05 m/s) at a discharge of 2000 ML / day. Water velocity (m/s) is modelled for areas that are ≤ 0.5 m deep.</w:t>
      </w:r>
      <w:bookmarkEnd w:id="680"/>
      <w:bookmarkEnd w:id="681"/>
    </w:p>
    <w:p w14:paraId="5995A4F9" w14:textId="77777777" w:rsidR="000D7E75" w:rsidRDefault="000D7E75" w:rsidP="0084091D">
      <w:pPr>
        <w:keepNext/>
        <w:jc w:val="center"/>
      </w:pPr>
      <w:r>
        <w:rPr>
          <w:noProof/>
          <w:lang w:val="en-GB"/>
        </w:rPr>
        <w:lastRenderedPageBreak/>
        <w:drawing>
          <wp:inline distT="0" distB="0" distL="0" distR="0" wp14:anchorId="2D2C1BC0" wp14:editId="32D0DAE4">
            <wp:extent cx="2761996" cy="3640666"/>
            <wp:effectExtent l="0" t="0" r="635" b="0"/>
            <wp:docPr id="486" name="Picture 48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A picture containing diagram&#10;&#10;Description automatically generated"/>
                    <pic:cNvPicPr/>
                  </pic:nvPicPr>
                  <pic:blipFill>
                    <a:blip r:embed="rId105" cstate="email">
                      <a:extLst>
                        <a:ext uri="{28A0092B-C50C-407E-A947-70E740481C1C}">
                          <a14:useLocalDpi xmlns:a14="http://schemas.microsoft.com/office/drawing/2010/main"/>
                        </a:ext>
                      </a:extLst>
                    </a:blip>
                    <a:stretch>
                      <a:fillRect/>
                    </a:stretch>
                  </pic:blipFill>
                  <pic:spPr>
                    <a:xfrm>
                      <a:off x="0" y="0"/>
                      <a:ext cx="2772613" cy="3654661"/>
                    </a:xfrm>
                    <a:prstGeom prst="rect">
                      <a:avLst/>
                    </a:prstGeom>
                  </pic:spPr>
                </pic:pic>
              </a:graphicData>
            </a:graphic>
          </wp:inline>
        </w:drawing>
      </w:r>
    </w:p>
    <w:p w14:paraId="0341F67F" w14:textId="177E10B8" w:rsidR="000D7E75" w:rsidRDefault="0084091D" w:rsidP="0084091D">
      <w:pPr>
        <w:pStyle w:val="Caption"/>
        <w:rPr>
          <w:lang w:eastAsia="en-US"/>
        </w:rPr>
      </w:pPr>
      <w:bookmarkStart w:id="682" w:name="_Ref83826731"/>
      <w:bookmarkStart w:id="683" w:name="_Toc83907801"/>
      <w:bookmarkStart w:id="684" w:name="_Toc84475778"/>
      <w:r>
        <w:t xml:space="preserve">Figure </w:t>
      </w:r>
      <w:r w:rsidR="00B23510">
        <w:rPr>
          <w:noProof/>
        </w:rPr>
        <w:t>12</w:t>
      </w:r>
      <w:r w:rsidR="00B85158">
        <w:noBreakHyphen/>
      </w:r>
      <w:r w:rsidR="00B23510">
        <w:rPr>
          <w:noProof/>
        </w:rPr>
        <w:t>2</w:t>
      </w:r>
      <w:bookmarkEnd w:id="682"/>
      <w:r w:rsidR="000D7E75">
        <w:t xml:space="preserve"> Example of 2D modelling output showing predicted </w:t>
      </w:r>
      <w:proofErr w:type="spellStart"/>
      <w:r w:rsidR="000D7E75">
        <w:t>slackwater</w:t>
      </w:r>
      <w:proofErr w:type="spellEnd"/>
      <w:r w:rsidR="000D7E75">
        <w:t xml:space="preserve"> areas (water depth ≤ 0.5 m; water velocity ≤ 0.05 m/s) at relevant summer discharges of </w:t>
      </w:r>
      <w:r w:rsidRPr="00FC740B">
        <w:rPr>
          <w:rFonts w:hint="eastAsia"/>
        </w:rPr>
        <w:t>1</w:t>
      </w:r>
      <w:r>
        <w:t>,</w:t>
      </w:r>
      <w:r w:rsidRPr="00FC740B">
        <w:rPr>
          <w:rFonts w:hint="eastAsia"/>
        </w:rPr>
        <w:t>000</w:t>
      </w:r>
      <w:r w:rsidR="000D7E75">
        <w:t xml:space="preserve"> (baseflow), </w:t>
      </w:r>
      <w:r w:rsidRPr="00FC740B">
        <w:rPr>
          <w:rFonts w:hint="eastAsia"/>
        </w:rPr>
        <w:t>2</w:t>
      </w:r>
      <w:r>
        <w:t>,</w:t>
      </w:r>
      <w:r w:rsidRPr="00FC740B">
        <w:rPr>
          <w:rFonts w:hint="eastAsia"/>
        </w:rPr>
        <w:t>000</w:t>
      </w:r>
      <w:r w:rsidR="000D7E75">
        <w:t xml:space="preserve"> and </w:t>
      </w:r>
      <w:r w:rsidRPr="00FC740B">
        <w:rPr>
          <w:rFonts w:hint="eastAsia"/>
        </w:rPr>
        <w:t>3</w:t>
      </w:r>
      <w:r>
        <w:t>,</w:t>
      </w:r>
      <w:r w:rsidRPr="00FC740B">
        <w:rPr>
          <w:rFonts w:hint="eastAsia"/>
        </w:rPr>
        <w:t>000</w:t>
      </w:r>
      <w:r w:rsidR="000D7E75">
        <w:t xml:space="preserve"> ML/day. Site: McCoy’s Bridge, Kotupna.</w:t>
      </w:r>
      <w:bookmarkEnd w:id="683"/>
      <w:bookmarkEnd w:id="684"/>
    </w:p>
    <w:p w14:paraId="149A1F76" w14:textId="4C54652B" w:rsidR="000D7E75" w:rsidRDefault="000D7E75" w:rsidP="00171C6D">
      <w:pPr>
        <w:pStyle w:val="Heading2"/>
      </w:pPr>
      <w:bookmarkStart w:id="685" w:name="_Ref83825862"/>
      <w:bookmarkStart w:id="686" w:name="_Toc84417436"/>
      <w:bookmarkStart w:id="687" w:name="_Toc84475728"/>
      <w:r>
        <w:t xml:space="preserve">Wide vs </w:t>
      </w:r>
      <w:r w:rsidR="009A3909">
        <w:t>N</w:t>
      </w:r>
      <w:r>
        <w:t xml:space="preserve">arrow </w:t>
      </w:r>
      <w:proofErr w:type="spellStart"/>
      <w:r>
        <w:t>slackwaters</w:t>
      </w:r>
      <w:bookmarkEnd w:id="685"/>
      <w:bookmarkEnd w:id="686"/>
      <w:bookmarkEnd w:id="687"/>
      <w:proofErr w:type="spellEnd"/>
    </w:p>
    <w:p w14:paraId="77B5A39E" w14:textId="53A9B742" w:rsidR="000D7E75" w:rsidRDefault="000D7E75" w:rsidP="000D7E75">
      <w:pPr>
        <w:rPr>
          <w:lang w:eastAsia="en-US"/>
        </w:rPr>
      </w:pPr>
      <w:r w:rsidRPr="0029163B">
        <w:rPr>
          <w:lang w:eastAsia="en-US"/>
        </w:rPr>
        <w:t xml:space="preserve">We believe that decades of regulation </w:t>
      </w:r>
      <w:r w:rsidR="0084091D" w:rsidRPr="0029163B">
        <w:rPr>
          <w:lang w:eastAsia="en-US"/>
        </w:rPr>
        <w:t>have</w:t>
      </w:r>
      <w:r w:rsidRPr="0029163B">
        <w:rPr>
          <w:lang w:eastAsia="en-US"/>
        </w:rPr>
        <w:t xml:space="preserve"> reduced the availability of Wide </w:t>
      </w:r>
      <w:proofErr w:type="spellStart"/>
      <w:r w:rsidRPr="0029163B">
        <w:rPr>
          <w:lang w:eastAsia="en-US"/>
        </w:rPr>
        <w:t>slackwaters</w:t>
      </w:r>
      <w:proofErr w:type="spellEnd"/>
      <w:r w:rsidRPr="0029163B">
        <w:rPr>
          <w:lang w:eastAsia="en-US"/>
        </w:rPr>
        <w:t xml:space="preserve">, replacing them with Narrow </w:t>
      </w:r>
      <w:proofErr w:type="spellStart"/>
      <w:r>
        <w:rPr>
          <w:lang w:eastAsia="en-US"/>
        </w:rPr>
        <w:t>slackwaters</w:t>
      </w:r>
      <w:proofErr w:type="spellEnd"/>
      <w:r>
        <w:rPr>
          <w:lang w:eastAsia="en-US"/>
        </w:rPr>
        <w:t xml:space="preserve"> as the channel becomes simpler and simpler</w:t>
      </w:r>
      <w:r w:rsidRPr="0029163B">
        <w:rPr>
          <w:lang w:eastAsia="en-US"/>
        </w:rPr>
        <w:t>.</w:t>
      </w:r>
      <w:r>
        <w:rPr>
          <w:lang w:eastAsia="en-US"/>
        </w:rPr>
        <w:t xml:space="preserve"> Any loss of Wide </w:t>
      </w:r>
      <w:proofErr w:type="spellStart"/>
      <w:r>
        <w:rPr>
          <w:lang w:eastAsia="en-US"/>
        </w:rPr>
        <w:t>slackwaters</w:t>
      </w:r>
      <w:proofErr w:type="spellEnd"/>
      <w:r>
        <w:rPr>
          <w:lang w:eastAsia="en-US"/>
        </w:rPr>
        <w:t xml:space="preserve"> may have ecological costs, because we predict that Wide </w:t>
      </w:r>
      <w:proofErr w:type="spellStart"/>
      <w:r>
        <w:rPr>
          <w:lang w:eastAsia="en-US"/>
        </w:rPr>
        <w:t>slackwaters</w:t>
      </w:r>
      <w:proofErr w:type="spellEnd"/>
      <w:r>
        <w:rPr>
          <w:lang w:eastAsia="en-US"/>
        </w:rPr>
        <w:t xml:space="preserve"> provide a better type of habitat that should be preserved to maintain species abundance and diversity in the Lower Goulburn River.</w:t>
      </w:r>
    </w:p>
    <w:p w14:paraId="0E52EC9F" w14:textId="7261D054" w:rsidR="000D7E75" w:rsidRPr="00940B52" w:rsidRDefault="000D7E75" w:rsidP="000D7E75">
      <w:pPr>
        <w:rPr>
          <w:lang w:eastAsia="en-US"/>
        </w:rPr>
      </w:pPr>
      <w:r>
        <w:rPr>
          <w:lang w:eastAsia="en-US"/>
        </w:rPr>
        <w:t xml:space="preserve">Organisms, and particularly small, poorly mobile organisms may encounter different challenges and benefits in Wide versus Narrow </w:t>
      </w:r>
      <w:proofErr w:type="spellStart"/>
      <w:r>
        <w:rPr>
          <w:lang w:eastAsia="en-US"/>
        </w:rPr>
        <w:t>slackwaters</w:t>
      </w:r>
      <w:proofErr w:type="spellEnd"/>
      <w:r>
        <w:rPr>
          <w:lang w:eastAsia="en-US"/>
        </w:rPr>
        <w:t xml:space="preserve"> that might affect their fitness in either environment (</w:t>
      </w:r>
      <w:r w:rsidR="00B23510">
        <w:t xml:space="preserve">Table </w:t>
      </w:r>
      <w:r w:rsidR="00B23510">
        <w:rPr>
          <w:noProof/>
        </w:rPr>
        <w:t>12</w:t>
      </w:r>
      <w:r w:rsidR="00B23510">
        <w:noBreakHyphen/>
      </w:r>
      <w:r w:rsidR="00B23510">
        <w:rPr>
          <w:noProof/>
        </w:rPr>
        <w:t>2</w:t>
      </w:r>
      <w:r>
        <w:rPr>
          <w:lang w:eastAsia="en-US"/>
        </w:rPr>
        <w:t xml:space="preserve">). On average, Wide </w:t>
      </w:r>
      <w:proofErr w:type="spellStart"/>
      <w:r>
        <w:rPr>
          <w:lang w:eastAsia="en-US"/>
        </w:rPr>
        <w:t>slackwaters</w:t>
      </w:r>
      <w:proofErr w:type="spellEnd"/>
      <w:r>
        <w:rPr>
          <w:lang w:eastAsia="en-US"/>
        </w:rPr>
        <w:t xml:space="preserve"> may cover l</w:t>
      </w:r>
      <w:r w:rsidRPr="00940B52">
        <w:rPr>
          <w:lang w:eastAsia="en-US"/>
        </w:rPr>
        <w:t>arge</w:t>
      </w:r>
      <w:r>
        <w:rPr>
          <w:lang w:eastAsia="en-US"/>
        </w:rPr>
        <w:t>r</w:t>
      </w:r>
      <w:r w:rsidRPr="00940B52">
        <w:rPr>
          <w:lang w:eastAsia="en-US"/>
        </w:rPr>
        <w:t xml:space="preserve"> area</w:t>
      </w:r>
      <w:r>
        <w:rPr>
          <w:lang w:eastAsia="en-US"/>
        </w:rPr>
        <w:t xml:space="preserve">s than Narrow </w:t>
      </w:r>
      <w:proofErr w:type="spellStart"/>
      <w:r>
        <w:rPr>
          <w:lang w:eastAsia="en-US"/>
        </w:rPr>
        <w:t>slackwaters</w:t>
      </w:r>
      <w:proofErr w:type="spellEnd"/>
      <w:r>
        <w:rPr>
          <w:lang w:eastAsia="en-US"/>
        </w:rPr>
        <w:t>, providing space for larger accumulations of woody habitat and energetic resources (</w:t>
      </w:r>
      <w:proofErr w:type="gramStart"/>
      <w:r>
        <w:rPr>
          <w:lang w:eastAsia="en-US"/>
        </w:rPr>
        <w:t>e.g.</w:t>
      </w:r>
      <w:proofErr w:type="gramEnd"/>
      <w:r>
        <w:rPr>
          <w:lang w:eastAsia="en-US"/>
        </w:rPr>
        <w:t xml:space="preserve"> carbon in the form of plant detritus), but exact </w:t>
      </w:r>
      <w:proofErr w:type="spellStart"/>
      <w:r>
        <w:rPr>
          <w:lang w:eastAsia="en-US"/>
        </w:rPr>
        <w:t>slackwater</w:t>
      </w:r>
      <w:proofErr w:type="spellEnd"/>
      <w:r>
        <w:rPr>
          <w:lang w:eastAsia="en-US"/>
        </w:rPr>
        <w:t xml:space="preserve"> dimensions are likely to vary with discharge. In the lower Goulburn River</w:t>
      </w:r>
      <w:r w:rsidR="0084091D">
        <w:rPr>
          <w:lang w:eastAsia="en-US"/>
        </w:rPr>
        <w:t>,</w:t>
      </w:r>
      <w:r>
        <w:rPr>
          <w:lang w:eastAsia="en-US"/>
        </w:rPr>
        <w:t xml:space="preserve"> we observed </w:t>
      </w:r>
      <w:r w:rsidR="002F75E9">
        <w:rPr>
          <w:lang w:eastAsia="en-US"/>
        </w:rPr>
        <w:t>W</w:t>
      </w:r>
      <w:r>
        <w:rPr>
          <w:lang w:eastAsia="en-US"/>
        </w:rPr>
        <w:t xml:space="preserve">ide </w:t>
      </w:r>
      <w:proofErr w:type="spellStart"/>
      <w:r>
        <w:rPr>
          <w:lang w:eastAsia="en-US"/>
        </w:rPr>
        <w:t>slackwaters</w:t>
      </w:r>
      <w:proofErr w:type="spellEnd"/>
      <w:r>
        <w:rPr>
          <w:lang w:eastAsia="en-US"/>
        </w:rPr>
        <w:t xml:space="preserve"> (mean </w:t>
      </w:r>
      <w:r w:rsidRPr="007E3504">
        <w:rPr>
          <w:lang w:eastAsia="en-US"/>
        </w:rPr>
        <w:t xml:space="preserve">width </w:t>
      </w:r>
      <w:r w:rsidRPr="009A3909">
        <w:rPr>
          <w:lang w:eastAsia="en-US"/>
        </w:rPr>
        <w:t xml:space="preserve">(±SD) = </w:t>
      </w:r>
      <w:r w:rsidRPr="007E3504">
        <w:rPr>
          <w:lang w:eastAsia="en-US"/>
        </w:rPr>
        <w:t xml:space="preserve">3.11 </w:t>
      </w:r>
      <w:r w:rsidRPr="009A3909">
        <w:rPr>
          <w:lang w:eastAsia="en-US"/>
        </w:rPr>
        <w:t>±</w:t>
      </w:r>
      <w:r w:rsidRPr="007E3504">
        <w:rPr>
          <w:lang w:eastAsia="en-US"/>
        </w:rPr>
        <w:t xml:space="preserve"> 1.61 m) </w:t>
      </w:r>
      <w:r>
        <w:rPr>
          <w:lang w:eastAsia="en-US"/>
        </w:rPr>
        <w:t>were approximately twice the width of</w:t>
      </w:r>
      <w:r w:rsidRPr="007E3504">
        <w:rPr>
          <w:lang w:eastAsia="en-US"/>
        </w:rPr>
        <w:t xml:space="preserve"> Narrow </w:t>
      </w:r>
      <w:proofErr w:type="spellStart"/>
      <w:r w:rsidRPr="007E3504">
        <w:rPr>
          <w:lang w:eastAsia="en-US"/>
        </w:rPr>
        <w:t>slackwaters</w:t>
      </w:r>
      <w:proofErr w:type="spellEnd"/>
      <w:r w:rsidRPr="007E3504">
        <w:rPr>
          <w:lang w:eastAsia="en-US"/>
        </w:rPr>
        <w:t xml:space="preserve"> (1.70 </w:t>
      </w:r>
      <w:r w:rsidRPr="009A3909">
        <w:rPr>
          <w:lang w:eastAsia="en-US"/>
        </w:rPr>
        <w:t>± 0.84 m</w:t>
      </w:r>
      <w:r w:rsidRPr="007E3504">
        <w:rPr>
          <w:lang w:eastAsia="en-US"/>
        </w:rPr>
        <w:t>)</w:t>
      </w:r>
      <w:r>
        <w:rPr>
          <w:lang w:eastAsia="en-US"/>
        </w:rPr>
        <w:t xml:space="preserve"> at a discharge of ~1</w:t>
      </w:r>
      <w:r w:rsidR="009A3909">
        <w:rPr>
          <w:lang w:eastAsia="en-US"/>
        </w:rPr>
        <w:t>,</w:t>
      </w:r>
      <w:r>
        <w:rPr>
          <w:lang w:eastAsia="en-US"/>
        </w:rPr>
        <w:t xml:space="preserve">500 ML/day (for methods, see </w:t>
      </w:r>
      <w:r w:rsidRPr="009A3909">
        <w:rPr>
          <w:lang w:eastAsia="en-US"/>
        </w:rPr>
        <w:t>Model verification</w:t>
      </w:r>
      <w:r w:rsidRPr="007E3504">
        <w:rPr>
          <w:lang w:eastAsia="en-US"/>
        </w:rPr>
        <w:t xml:space="preserve"> below)</w:t>
      </w:r>
      <w:r>
        <w:rPr>
          <w:lang w:eastAsia="en-US"/>
        </w:rPr>
        <w:t xml:space="preserve">.  Large areas of </w:t>
      </w:r>
      <w:proofErr w:type="spellStart"/>
      <w:r>
        <w:rPr>
          <w:lang w:eastAsia="en-US"/>
        </w:rPr>
        <w:t>slackwater</w:t>
      </w:r>
      <w:proofErr w:type="spellEnd"/>
      <w:r>
        <w:rPr>
          <w:lang w:eastAsia="en-US"/>
        </w:rPr>
        <w:t xml:space="preserve"> may also offer a more hydraulically stable environment for</w:t>
      </w:r>
      <w:r w:rsidRPr="00940B52">
        <w:rPr>
          <w:lang w:eastAsia="en-US"/>
        </w:rPr>
        <w:t xml:space="preserve"> </w:t>
      </w:r>
      <w:r>
        <w:rPr>
          <w:lang w:eastAsia="en-US"/>
        </w:rPr>
        <w:t xml:space="preserve">small, </w:t>
      </w:r>
      <w:r w:rsidRPr="00940B52">
        <w:rPr>
          <w:lang w:eastAsia="en-US"/>
        </w:rPr>
        <w:t>flow-sensitive organisms</w:t>
      </w:r>
      <w:r>
        <w:rPr>
          <w:lang w:eastAsia="en-US"/>
        </w:rPr>
        <w:t xml:space="preserve"> that are vulnerable to flushing (</w:t>
      </w:r>
      <w:proofErr w:type="gramStart"/>
      <w:r>
        <w:rPr>
          <w:lang w:eastAsia="en-US"/>
        </w:rPr>
        <w:t>i.e.</w:t>
      </w:r>
      <w:proofErr w:type="gramEnd"/>
      <w:r>
        <w:rPr>
          <w:lang w:eastAsia="en-US"/>
        </w:rPr>
        <w:t xml:space="preserve"> being washed </w:t>
      </w:r>
      <w:r w:rsidRPr="00940B52">
        <w:rPr>
          <w:lang w:eastAsia="en-US"/>
        </w:rPr>
        <w:t>downstream</w:t>
      </w:r>
      <w:r>
        <w:rPr>
          <w:lang w:eastAsia="en-US"/>
        </w:rPr>
        <w:t xml:space="preserve"> by high flows</w:t>
      </w:r>
      <w:r w:rsidRPr="00940B52">
        <w:rPr>
          <w:lang w:eastAsia="en-US"/>
        </w:rPr>
        <w:t>).</w:t>
      </w:r>
      <w:r>
        <w:rPr>
          <w:lang w:eastAsia="en-US"/>
        </w:rPr>
        <w:t xml:space="preserve"> In Narrow </w:t>
      </w:r>
      <w:proofErr w:type="spellStart"/>
      <w:r>
        <w:rPr>
          <w:lang w:eastAsia="en-US"/>
        </w:rPr>
        <w:t>slackwaters</w:t>
      </w:r>
      <w:proofErr w:type="spellEnd"/>
      <w:r>
        <w:rPr>
          <w:lang w:eastAsia="en-US"/>
        </w:rPr>
        <w:t xml:space="preserve"> organisms may be more likely to stray into seams of faster flowing water and be flushed downstream. Further, Narrow </w:t>
      </w:r>
      <w:proofErr w:type="spellStart"/>
      <w:r>
        <w:rPr>
          <w:lang w:eastAsia="en-US"/>
        </w:rPr>
        <w:t>slackwaters</w:t>
      </w:r>
      <w:proofErr w:type="spellEnd"/>
      <w:r>
        <w:rPr>
          <w:lang w:eastAsia="en-US"/>
        </w:rPr>
        <w:t xml:space="preserve"> are often associated with adjacent deep water that may provide safe access for large fish predators to feed in these areas more readily than in </w:t>
      </w:r>
      <w:r w:rsidR="002F75E9">
        <w:rPr>
          <w:lang w:eastAsia="en-US"/>
        </w:rPr>
        <w:t>W</w:t>
      </w:r>
      <w:r>
        <w:rPr>
          <w:lang w:eastAsia="en-US"/>
        </w:rPr>
        <w:t xml:space="preserve">ide, shallow </w:t>
      </w:r>
      <w:proofErr w:type="spellStart"/>
      <w:r>
        <w:rPr>
          <w:lang w:eastAsia="en-US"/>
        </w:rPr>
        <w:t>slackwaters</w:t>
      </w:r>
      <w:proofErr w:type="spellEnd"/>
      <w:r>
        <w:rPr>
          <w:lang w:eastAsia="en-US"/>
        </w:rPr>
        <w:t>.</w:t>
      </w:r>
    </w:p>
    <w:p w14:paraId="1E4C4BEE" w14:textId="264462AF" w:rsidR="000D7E75" w:rsidRDefault="000D7E75" w:rsidP="000D7E75">
      <w:pPr>
        <w:rPr>
          <w:lang w:eastAsia="en-US"/>
        </w:rPr>
      </w:pPr>
      <w:r>
        <w:rPr>
          <w:lang w:eastAsia="en-US"/>
        </w:rPr>
        <w:t xml:space="preserve">On the other hand, Narrow </w:t>
      </w:r>
      <w:proofErr w:type="spellStart"/>
      <w:r>
        <w:rPr>
          <w:lang w:eastAsia="en-US"/>
        </w:rPr>
        <w:t>slackwaters</w:t>
      </w:r>
      <w:proofErr w:type="spellEnd"/>
      <w:r>
        <w:rPr>
          <w:lang w:eastAsia="en-US"/>
        </w:rPr>
        <w:t xml:space="preserve"> are more stable spatially, because the </w:t>
      </w:r>
      <w:proofErr w:type="spellStart"/>
      <w:r>
        <w:rPr>
          <w:lang w:eastAsia="en-US"/>
        </w:rPr>
        <w:t>slackwater</w:t>
      </w:r>
      <w:proofErr w:type="spellEnd"/>
      <w:r>
        <w:rPr>
          <w:lang w:eastAsia="en-US"/>
        </w:rPr>
        <w:t xml:space="preserve"> </w:t>
      </w:r>
      <w:r w:rsidR="00F92AD5">
        <w:rPr>
          <w:lang w:eastAsia="en-US"/>
        </w:rPr>
        <w:t xml:space="preserve">horizontal </w:t>
      </w:r>
      <w:r>
        <w:rPr>
          <w:lang w:eastAsia="en-US"/>
        </w:rPr>
        <w:t xml:space="preserve">location moves little with changes in discharge. Inhabitants of Wide </w:t>
      </w:r>
      <w:proofErr w:type="spellStart"/>
      <w:r>
        <w:rPr>
          <w:lang w:eastAsia="en-US"/>
        </w:rPr>
        <w:t>slackwaters</w:t>
      </w:r>
      <w:proofErr w:type="spellEnd"/>
      <w:r>
        <w:rPr>
          <w:lang w:eastAsia="en-US"/>
        </w:rPr>
        <w:t xml:space="preserve"> must </w:t>
      </w:r>
      <w:r w:rsidR="00276B46">
        <w:rPr>
          <w:lang w:eastAsia="en-US"/>
        </w:rPr>
        <w:t xml:space="preserve">undertake lateral </w:t>
      </w:r>
      <w:r>
        <w:rPr>
          <w:lang w:eastAsia="en-US"/>
        </w:rPr>
        <w:t>migrat</w:t>
      </w:r>
      <w:r w:rsidR="00276B46">
        <w:rPr>
          <w:lang w:eastAsia="en-US"/>
        </w:rPr>
        <w:t>ion</w:t>
      </w:r>
      <w:r>
        <w:rPr>
          <w:lang w:eastAsia="en-US"/>
        </w:rPr>
        <w:t xml:space="preserve"> with changes in water level, which may be impossible for some organisms with low or no mobility (</w:t>
      </w:r>
      <w:proofErr w:type="gramStart"/>
      <w:r>
        <w:rPr>
          <w:lang w:eastAsia="en-US"/>
        </w:rPr>
        <w:t>e.g.</w:t>
      </w:r>
      <w:proofErr w:type="gramEnd"/>
      <w:r>
        <w:rPr>
          <w:lang w:eastAsia="en-US"/>
        </w:rPr>
        <w:t xml:space="preserve"> plants).</w:t>
      </w:r>
    </w:p>
    <w:p w14:paraId="7009BDD4" w14:textId="4DD72BCB" w:rsidR="000D7E75" w:rsidRDefault="000D7E75" w:rsidP="000D7E75">
      <w:pPr>
        <w:rPr>
          <w:lang w:eastAsia="en-US"/>
        </w:rPr>
      </w:pPr>
      <w:r>
        <w:rPr>
          <w:lang w:eastAsia="en-US"/>
        </w:rPr>
        <w:t>On the balance of potenti</w:t>
      </w:r>
      <w:r w:rsidRPr="009A20FF">
        <w:rPr>
          <w:lang w:eastAsia="en-US"/>
        </w:rPr>
        <w:t xml:space="preserve">al pros and cons of each </w:t>
      </w:r>
      <w:proofErr w:type="spellStart"/>
      <w:r w:rsidRPr="009A20FF">
        <w:rPr>
          <w:lang w:eastAsia="en-US"/>
        </w:rPr>
        <w:t>slackwater</w:t>
      </w:r>
      <w:proofErr w:type="spellEnd"/>
      <w:r w:rsidRPr="009A20FF">
        <w:rPr>
          <w:lang w:eastAsia="en-US"/>
        </w:rPr>
        <w:t xml:space="preserve"> type (</w:t>
      </w:r>
      <w:r w:rsidR="00B23510">
        <w:t xml:space="preserve">Table </w:t>
      </w:r>
      <w:r w:rsidR="00B23510">
        <w:rPr>
          <w:noProof/>
        </w:rPr>
        <w:t>12</w:t>
      </w:r>
      <w:r w:rsidR="00B23510">
        <w:noBreakHyphen/>
      </w:r>
      <w:r w:rsidR="00B23510">
        <w:rPr>
          <w:noProof/>
        </w:rPr>
        <w:t>2</w:t>
      </w:r>
      <w:r w:rsidRPr="009A20FF">
        <w:rPr>
          <w:lang w:eastAsia="en-US"/>
        </w:rPr>
        <w:t xml:space="preserve">), we predict that Wide </w:t>
      </w:r>
      <w:proofErr w:type="spellStart"/>
      <w:r w:rsidRPr="009A20FF">
        <w:rPr>
          <w:lang w:eastAsia="en-US"/>
        </w:rPr>
        <w:t>slackwaters</w:t>
      </w:r>
      <w:proofErr w:type="spellEnd"/>
      <w:r w:rsidRPr="009A20FF">
        <w:rPr>
          <w:lang w:eastAsia="en-US"/>
        </w:rPr>
        <w:t xml:space="preserve"> provide better habitat and</w:t>
      </w:r>
      <w:r>
        <w:rPr>
          <w:lang w:eastAsia="en-US"/>
        </w:rPr>
        <w:t xml:space="preserve"> pose the hypothesis that:</w:t>
      </w:r>
    </w:p>
    <w:p w14:paraId="40C45C16" w14:textId="77777777" w:rsidR="000D7E75" w:rsidRPr="00542212" w:rsidRDefault="000D7E75" w:rsidP="000D7E75">
      <w:pPr>
        <w:ind w:left="720"/>
        <w:rPr>
          <w:i/>
          <w:lang w:eastAsia="en-US"/>
        </w:rPr>
      </w:pPr>
      <w:r w:rsidRPr="00542212">
        <w:rPr>
          <w:b/>
          <w:i/>
          <w:lang w:eastAsia="en-US"/>
        </w:rPr>
        <w:t>H</w:t>
      </w:r>
      <w:r w:rsidRPr="00542212">
        <w:rPr>
          <w:b/>
          <w:i/>
          <w:vertAlign w:val="subscript"/>
          <w:lang w:eastAsia="en-US"/>
        </w:rPr>
        <w:t>1</w:t>
      </w:r>
      <w:r w:rsidRPr="00542212">
        <w:rPr>
          <w:b/>
          <w:i/>
          <w:lang w:eastAsia="en-US"/>
        </w:rPr>
        <w:t>:</w:t>
      </w:r>
      <w:r w:rsidRPr="00542212">
        <w:rPr>
          <w:i/>
          <w:lang w:eastAsia="en-US"/>
        </w:rPr>
        <w:t xml:space="preserve"> </w:t>
      </w:r>
      <w:r>
        <w:rPr>
          <w:i/>
          <w:lang w:eastAsia="en-US"/>
        </w:rPr>
        <w:t xml:space="preserve">Wide </w:t>
      </w:r>
      <w:proofErr w:type="spellStart"/>
      <w:r>
        <w:rPr>
          <w:i/>
          <w:lang w:eastAsia="en-US"/>
        </w:rPr>
        <w:t>slackwaters</w:t>
      </w:r>
      <w:proofErr w:type="spellEnd"/>
      <w:r>
        <w:rPr>
          <w:i/>
          <w:lang w:eastAsia="en-US"/>
        </w:rPr>
        <w:t xml:space="preserve"> </w:t>
      </w:r>
      <w:r w:rsidRPr="00542212">
        <w:rPr>
          <w:i/>
          <w:lang w:eastAsia="en-US"/>
        </w:rPr>
        <w:t xml:space="preserve">support more </w:t>
      </w:r>
      <w:r>
        <w:rPr>
          <w:i/>
          <w:lang w:eastAsia="en-US"/>
        </w:rPr>
        <w:t>species</w:t>
      </w:r>
      <w:r w:rsidRPr="00542212">
        <w:rPr>
          <w:i/>
          <w:lang w:eastAsia="en-US"/>
        </w:rPr>
        <w:t xml:space="preserve"> and </w:t>
      </w:r>
      <w:r>
        <w:rPr>
          <w:i/>
          <w:lang w:eastAsia="en-US"/>
        </w:rPr>
        <w:t>greater densities of</w:t>
      </w:r>
      <w:r w:rsidRPr="00542212">
        <w:rPr>
          <w:i/>
          <w:lang w:eastAsia="en-US"/>
        </w:rPr>
        <w:t xml:space="preserve"> individuals than Narrow </w:t>
      </w:r>
      <w:proofErr w:type="spellStart"/>
      <w:r w:rsidRPr="00542212">
        <w:rPr>
          <w:i/>
          <w:lang w:eastAsia="en-US"/>
        </w:rPr>
        <w:t>slackwaters</w:t>
      </w:r>
      <w:proofErr w:type="spellEnd"/>
      <w:r w:rsidRPr="00542212">
        <w:rPr>
          <w:i/>
          <w:lang w:eastAsia="en-US"/>
        </w:rPr>
        <w:t>.</w:t>
      </w:r>
    </w:p>
    <w:p w14:paraId="480D8B63" w14:textId="77777777" w:rsidR="000D7E75" w:rsidRDefault="000D7E75" w:rsidP="000D7E75">
      <w:pPr>
        <w:spacing w:after="0"/>
        <w:rPr>
          <w:b/>
          <w:color w:val="FF0000"/>
          <w:lang w:eastAsia="en-US"/>
        </w:rPr>
      </w:pPr>
    </w:p>
    <w:p w14:paraId="100E6FCD" w14:textId="77777777" w:rsidR="0060379B" w:rsidRDefault="0060379B">
      <w:pPr>
        <w:rPr>
          <w:b/>
          <w:iCs/>
          <w:szCs w:val="20"/>
        </w:rPr>
      </w:pPr>
      <w:bookmarkStart w:id="688" w:name="_Ref83826427"/>
      <w:r>
        <w:br w:type="page"/>
      </w:r>
    </w:p>
    <w:p w14:paraId="05A414A3" w14:textId="504654EE" w:rsidR="00D772A3" w:rsidRDefault="00D772A3" w:rsidP="00D772A3">
      <w:pPr>
        <w:pStyle w:val="Caption"/>
        <w:keepNext/>
      </w:pPr>
      <w:bookmarkStart w:id="689" w:name="_Ref84429316"/>
      <w:bookmarkStart w:id="690" w:name="_Toc95391495"/>
      <w:bookmarkEnd w:id="688"/>
      <w:r>
        <w:lastRenderedPageBreak/>
        <w:t xml:space="preserve">Table </w:t>
      </w:r>
      <w:r w:rsidR="00B23510">
        <w:rPr>
          <w:noProof/>
        </w:rPr>
        <w:t>12</w:t>
      </w:r>
      <w:r w:rsidR="000B75AF">
        <w:noBreakHyphen/>
      </w:r>
      <w:r w:rsidR="00B23510">
        <w:rPr>
          <w:noProof/>
        </w:rPr>
        <w:t>2</w:t>
      </w:r>
      <w:bookmarkEnd w:id="689"/>
      <w:r>
        <w:t xml:space="preserve"> </w:t>
      </w:r>
      <w:r w:rsidRPr="00610A85">
        <w:t>Positive (</w:t>
      </w:r>
      <w:r w:rsidRPr="009A29AD">
        <w:rPr>
          <w:rFonts w:ascii="Wingdings" w:eastAsia="Wingdings" w:hAnsi="Wingdings" w:cstheme="minorHAnsi"/>
          <w:color w:val="00B050"/>
          <w:sz w:val="18"/>
          <w:szCs w:val="18"/>
          <w:lang w:eastAsia="en-US"/>
        </w:rPr>
        <w:sym w:font="Wingdings" w:char="F0FC"/>
      </w:r>
      <w:r w:rsidRPr="00610A85">
        <w:t>) and negative (</w:t>
      </w:r>
      <w:r w:rsidRPr="009A29AD">
        <w:rPr>
          <w:rFonts w:ascii="Wingdings" w:eastAsia="Wingdings" w:hAnsi="Wingdings" w:cstheme="minorHAnsi"/>
          <w:color w:val="FF0000"/>
          <w:sz w:val="18"/>
          <w:szCs w:val="18"/>
          <w:lang w:eastAsia="en-US"/>
        </w:rPr>
        <w:sym w:font="Wingdings" w:char="F0FB"/>
      </w:r>
      <w:r w:rsidRPr="00610A85">
        <w:t xml:space="preserve">) attributes of each </w:t>
      </w:r>
      <w:proofErr w:type="spellStart"/>
      <w:r w:rsidRPr="00610A85">
        <w:t>slackwater</w:t>
      </w:r>
      <w:proofErr w:type="spellEnd"/>
      <w:r w:rsidRPr="00610A85">
        <w:t xml:space="preserve"> type.</w:t>
      </w:r>
      <w:bookmarkEnd w:id="690"/>
    </w:p>
    <w:tbl>
      <w:tblPr>
        <w:tblStyle w:val="TableGrid"/>
        <w:tblW w:w="0" w:type="auto"/>
        <w:jc w:val="center"/>
        <w:tblBorders>
          <w:top w:val="single" w:sz="4" w:space="0" w:color="auto"/>
          <w:bottom w:val="single" w:sz="4" w:space="0" w:color="auto"/>
        </w:tblBorders>
        <w:tblLook w:val="04A0" w:firstRow="1" w:lastRow="0" w:firstColumn="1" w:lastColumn="0" w:noHBand="0" w:noVBand="1"/>
      </w:tblPr>
      <w:tblGrid>
        <w:gridCol w:w="2540"/>
        <w:gridCol w:w="1771"/>
        <w:gridCol w:w="1752"/>
        <w:gridCol w:w="1765"/>
        <w:gridCol w:w="1532"/>
      </w:tblGrid>
      <w:tr w:rsidR="000D7E75" w14:paraId="31903162" w14:textId="77777777" w:rsidTr="009A29AD">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540" w:type="dxa"/>
            <w:tcBorders>
              <w:top w:val="single" w:sz="4" w:space="0" w:color="auto"/>
              <w:bottom w:val="single" w:sz="4" w:space="0" w:color="auto"/>
            </w:tcBorders>
            <w:vAlign w:val="center"/>
          </w:tcPr>
          <w:p w14:paraId="5869BB84" w14:textId="77777777" w:rsidR="000D7E75" w:rsidRPr="009A29AD" w:rsidRDefault="000D7E75" w:rsidP="00E26D3C">
            <w:pPr>
              <w:jc w:val="left"/>
              <w:rPr>
                <w:b w:val="0"/>
                <w:sz w:val="18"/>
                <w:szCs w:val="18"/>
                <w:lang w:eastAsia="en-US"/>
              </w:rPr>
            </w:pPr>
            <w:proofErr w:type="spellStart"/>
            <w:r w:rsidRPr="009A29AD">
              <w:rPr>
                <w:b w:val="0"/>
                <w:sz w:val="18"/>
                <w:szCs w:val="18"/>
                <w:lang w:eastAsia="en-US"/>
              </w:rPr>
              <w:t>Slackwater</w:t>
            </w:r>
            <w:proofErr w:type="spellEnd"/>
            <w:r w:rsidRPr="009A29AD">
              <w:rPr>
                <w:b w:val="0"/>
                <w:sz w:val="18"/>
                <w:szCs w:val="18"/>
                <w:lang w:eastAsia="en-US"/>
              </w:rPr>
              <w:t xml:space="preserve"> type</w:t>
            </w:r>
          </w:p>
        </w:tc>
        <w:tc>
          <w:tcPr>
            <w:tcW w:w="1771" w:type="dxa"/>
            <w:tcBorders>
              <w:top w:val="single" w:sz="4" w:space="0" w:color="auto"/>
              <w:bottom w:val="single" w:sz="4" w:space="0" w:color="auto"/>
            </w:tcBorders>
            <w:vAlign w:val="center"/>
          </w:tcPr>
          <w:p w14:paraId="6B4B8B52" w14:textId="77777777" w:rsidR="000D7E75" w:rsidRPr="009A29AD" w:rsidRDefault="000D7E75" w:rsidP="00E26D3C">
            <w:pPr>
              <w:jc w:val="center"/>
              <w:cnfStyle w:val="100000000000" w:firstRow="1" w:lastRow="0" w:firstColumn="0" w:lastColumn="0" w:oddVBand="0" w:evenVBand="0" w:oddHBand="0" w:evenHBand="0" w:firstRowFirstColumn="0" w:firstRowLastColumn="0" w:lastRowFirstColumn="0" w:lastRowLastColumn="0"/>
              <w:rPr>
                <w:b w:val="0"/>
                <w:sz w:val="18"/>
                <w:szCs w:val="18"/>
                <w:lang w:eastAsia="en-US"/>
              </w:rPr>
            </w:pPr>
            <w:r w:rsidRPr="009A29AD">
              <w:rPr>
                <w:b w:val="0"/>
                <w:sz w:val="18"/>
                <w:szCs w:val="18"/>
                <w:lang w:eastAsia="en-US"/>
              </w:rPr>
              <w:t>Relative area (m</w:t>
            </w:r>
            <w:r w:rsidRPr="009A29AD">
              <w:rPr>
                <w:b w:val="0"/>
                <w:sz w:val="18"/>
                <w:szCs w:val="18"/>
                <w:vertAlign w:val="superscript"/>
                <w:lang w:eastAsia="en-US"/>
              </w:rPr>
              <w:t>2</w:t>
            </w:r>
            <w:r w:rsidRPr="009A29AD">
              <w:rPr>
                <w:b w:val="0"/>
                <w:sz w:val="18"/>
                <w:szCs w:val="18"/>
                <w:lang w:eastAsia="en-US"/>
              </w:rPr>
              <w:t>)</w:t>
            </w:r>
          </w:p>
        </w:tc>
        <w:tc>
          <w:tcPr>
            <w:tcW w:w="1752" w:type="dxa"/>
            <w:tcBorders>
              <w:top w:val="single" w:sz="4" w:space="0" w:color="auto"/>
              <w:bottom w:val="single" w:sz="4" w:space="0" w:color="auto"/>
            </w:tcBorders>
            <w:vAlign w:val="center"/>
          </w:tcPr>
          <w:p w14:paraId="4C2CB6DC" w14:textId="77777777" w:rsidR="000D7E75" w:rsidRPr="009A29AD" w:rsidRDefault="000D7E75" w:rsidP="00E26D3C">
            <w:pPr>
              <w:jc w:val="center"/>
              <w:cnfStyle w:val="100000000000" w:firstRow="1" w:lastRow="0" w:firstColumn="0" w:lastColumn="0" w:oddVBand="0" w:evenVBand="0" w:oddHBand="0" w:evenHBand="0" w:firstRowFirstColumn="0" w:firstRowLastColumn="0" w:lastRowFirstColumn="0" w:lastRowLastColumn="0"/>
              <w:rPr>
                <w:b w:val="0"/>
                <w:sz w:val="18"/>
                <w:szCs w:val="18"/>
                <w:lang w:eastAsia="en-US"/>
              </w:rPr>
            </w:pPr>
            <w:r w:rsidRPr="009A29AD">
              <w:rPr>
                <w:b w:val="0"/>
                <w:sz w:val="18"/>
                <w:szCs w:val="18"/>
                <w:lang w:eastAsia="en-US"/>
              </w:rPr>
              <w:t>Hydraulic stability</w:t>
            </w:r>
          </w:p>
        </w:tc>
        <w:tc>
          <w:tcPr>
            <w:tcW w:w="1765" w:type="dxa"/>
            <w:tcBorders>
              <w:top w:val="single" w:sz="4" w:space="0" w:color="auto"/>
              <w:bottom w:val="single" w:sz="4" w:space="0" w:color="auto"/>
            </w:tcBorders>
            <w:vAlign w:val="center"/>
          </w:tcPr>
          <w:p w14:paraId="6A6FE951" w14:textId="77777777" w:rsidR="000D7E75" w:rsidRPr="009A29AD" w:rsidRDefault="000D7E75" w:rsidP="00E26D3C">
            <w:pPr>
              <w:jc w:val="center"/>
              <w:cnfStyle w:val="100000000000" w:firstRow="1" w:lastRow="0" w:firstColumn="0" w:lastColumn="0" w:oddVBand="0" w:evenVBand="0" w:oddHBand="0" w:evenHBand="0" w:firstRowFirstColumn="0" w:firstRowLastColumn="0" w:lastRowFirstColumn="0" w:lastRowLastColumn="0"/>
              <w:rPr>
                <w:b w:val="0"/>
                <w:sz w:val="18"/>
                <w:szCs w:val="18"/>
                <w:lang w:eastAsia="en-US"/>
              </w:rPr>
            </w:pPr>
            <w:r w:rsidRPr="009A29AD">
              <w:rPr>
                <w:b w:val="0"/>
                <w:sz w:val="18"/>
                <w:szCs w:val="18"/>
                <w:lang w:eastAsia="en-US"/>
              </w:rPr>
              <w:t>Spatial stability</w:t>
            </w:r>
          </w:p>
        </w:tc>
        <w:tc>
          <w:tcPr>
            <w:tcW w:w="1532" w:type="dxa"/>
            <w:tcBorders>
              <w:top w:val="single" w:sz="4" w:space="0" w:color="auto"/>
              <w:bottom w:val="single" w:sz="4" w:space="0" w:color="auto"/>
            </w:tcBorders>
            <w:vAlign w:val="center"/>
          </w:tcPr>
          <w:p w14:paraId="6256A8A2" w14:textId="77777777" w:rsidR="000D7E75" w:rsidRPr="009A29AD" w:rsidRDefault="000D7E75" w:rsidP="00E26D3C">
            <w:pPr>
              <w:jc w:val="center"/>
              <w:cnfStyle w:val="100000000000" w:firstRow="1" w:lastRow="0" w:firstColumn="0" w:lastColumn="0" w:oddVBand="0" w:evenVBand="0" w:oddHBand="0" w:evenHBand="0" w:firstRowFirstColumn="0" w:firstRowLastColumn="0" w:lastRowFirstColumn="0" w:lastRowLastColumn="0"/>
              <w:rPr>
                <w:b w:val="0"/>
                <w:sz w:val="18"/>
                <w:szCs w:val="18"/>
                <w:lang w:eastAsia="en-US"/>
              </w:rPr>
            </w:pPr>
            <w:r w:rsidRPr="009A29AD">
              <w:rPr>
                <w:b w:val="0"/>
                <w:sz w:val="18"/>
                <w:szCs w:val="18"/>
                <w:lang w:eastAsia="en-US"/>
              </w:rPr>
              <w:t xml:space="preserve">Refuge </w:t>
            </w:r>
          </w:p>
        </w:tc>
      </w:tr>
      <w:tr w:rsidR="000D7E75" w14:paraId="7AC05325" w14:textId="77777777" w:rsidTr="009A29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0" w:type="dxa"/>
            <w:tcBorders>
              <w:top w:val="single" w:sz="4" w:space="0" w:color="auto"/>
            </w:tcBorders>
          </w:tcPr>
          <w:p w14:paraId="03C350FA" w14:textId="77777777" w:rsidR="000D7E75" w:rsidRPr="009A29AD" w:rsidRDefault="000D7E75" w:rsidP="00E26D3C">
            <w:pPr>
              <w:spacing w:before="240"/>
              <w:rPr>
                <w:sz w:val="18"/>
                <w:szCs w:val="18"/>
                <w:lang w:eastAsia="en-US"/>
              </w:rPr>
            </w:pPr>
            <w:r w:rsidRPr="009A29AD">
              <w:rPr>
                <w:noProof/>
                <w:sz w:val="18"/>
                <w:szCs w:val="18"/>
                <w:lang w:val="en-GB"/>
              </w:rPr>
              <w:drawing>
                <wp:inline distT="0" distB="0" distL="0" distR="0" wp14:anchorId="5041CCFF" wp14:editId="07623745">
                  <wp:extent cx="1452623" cy="631575"/>
                  <wp:effectExtent l="0" t="0" r="0" b="0"/>
                  <wp:docPr id="487" name="Picture 487"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A screenshot of a computer&#10;&#10;Description automatically generated with low confidence"/>
                          <pic:cNvPicPr/>
                        </pic:nvPicPr>
                        <pic:blipFill>
                          <a:blip r:embed="rId106" cstate="email">
                            <a:extLst>
                              <a:ext uri="{28A0092B-C50C-407E-A947-70E740481C1C}">
                                <a14:useLocalDpi xmlns:a14="http://schemas.microsoft.com/office/drawing/2010/main"/>
                              </a:ext>
                            </a:extLst>
                          </a:blip>
                          <a:stretch>
                            <a:fillRect/>
                          </a:stretch>
                        </pic:blipFill>
                        <pic:spPr>
                          <a:xfrm>
                            <a:off x="0" y="0"/>
                            <a:ext cx="1462703" cy="635958"/>
                          </a:xfrm>
                          <a:prstGeom prst="rect">
                            <a:avLst/>
                          </a:prstGeom>
                        </pic:spPr>
                      </pic:pic>
                    </a:graphicData>
                  </a:graphic>
                </wp:inline>
              </w:drawing>
            </w:r>
          </w:p>
        </w:tc>
        <w:tc>
          <w:tcPr>
            <w:tcW w:w="1771" w:type="dxa"/>
            <w:tcBorders>
              <w:top w:val="single" w:sz="4" w:space="0" w:color="auto"/>
            </w:tcBorders>
          </w:tcPr>
          <w:p w14:paraId="77062829" w14:textId="77777777" w:rsidR="000D7E75" w:rsidRPr="009A29AD" w:rsidRDefault="000D7E75" w:rsidP="00E26D3C">
            <w:pPr>
              <w:spacing w:before="240"/>
              <w:jc w:val="center"/>
              <w:cnfStyle w:val="000000100000" w:firstRow="0" w:lastRow="0" w:firstColumn="0" w:lastColumn="0" w:oddVBand="0" w:evenVBand="0" w:oddHBand="1" w:evenHBand="0" w:firstRowFirstColumn="0" w:firstRowLastColumn="0" w:lastRowFirstColumn="0" w:lastRowLastColumn="0"/>
              <w:rPr>
                <w:rFonts w:cstheme="minorHAnsi"/>
                <w:color w:val="00B050"/>
                <w:sz w:val="18"/>
                <w:szCs w:val="18"/>
                <w:lang w:eastAsia="en-US"/>
              </w:rPr>
            </w:pPr>
            <w:r w:rsidRPr="009A29AD">
              <w:rPr>
                <w:b/>
                <w:sz w:val="18"/>
                <w:szCs w:val="18"/>
                <w:lang w:eastAsia="en-US"/>
              </w:rPr>
              <w:t>Large</w:t>
            </w:r>
            <w:r w:rsidRPr="009A29AD">
              <w:rPr>
                <w:sz w:val="18"/>
                <w:szCs w:val="18"/>
                <w:lang w:eastAsia="en-US"/>
              </w:rPr>
              <w:t xml:space="preserve"> </w:t>
            </w:r>
            <w:r w:rsidRPr="009A29AD">
              <w:rPr>
                <w:rFonts w:ascii="Wingdings" w:eastAsia="Wingdings" w:hAnsi="Wingdings" w:cstheme="minorHAnsi"/>
                <w:b/>
                <w:color w:val="00B050"/>
                <w:sz w:val="18"/>
                <w:szCs w:val="18"/>
                <w:lang w:eastAsia="en-US"/>
              </w:rPr>
              <w:sym w:font="Wingdings" w:char="F0FC"/>
            </w:r>
          </w:p>
          <w:p w14:paraId="423FA694" w14:textId="77777777" w:rsidR="000D7E75" w:rsidRPr="009A29AD" w:rsidRDefault="000D7E75" w:rsidP="00E26D3C">
            <w:pPr>
              <w:spacing w:before="240"/>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9A29AD">
              <w:rPr>
                <w:sz w:val="18"/>
                <w:szCs w:val="18"/>
                <w:lang w:eastAsia="en-US"/>
              </w:rPr>
              <w:t>Space for abundant resources &amp; inhabitants</w:t>
            </w:r>
          </w:p>
        </w:tc>
        <w:tc>
          <w:tcPr>
            <w:tcW w:w="1752" w:type="dxa"/>
            <w:tcBorders>
              <w:top w:val="single" w:sz="4" w:space="0" w:color="auto"/>
            </w:tcBorders>
          </w:tcPr>
          <w:p w14:paraId="1EE65502" w14:textId="77777777" w:rsidR="000D7E75" w:rsidRPr="009A29AD" w:rsidRDefault="000D7E75" w:rsidP="00E26D3C">
            <w:pPr>
              <w:spacing w:before="240"/>
              <w:jc w:val="center"/>
              <w:cnfStyle w:val="000000100000" w:firstRow="0" w:lastRow="0" w:firstColumn="0" w:lastColumn="0" w:oddVBand="0" w:evenVBand="0" w:oddHBand="1" w:evenHBand="0" w:firstRowFirstColumn="0" w:firstRowLastColumn="0" w:lastRowFirstColumn="0" w:lastRowLastColumn="0"/>
              <w:rPr>
                <w:rFonts w:cstheme="minorHAnsi"/>
                <w:color w:val="00B050"/>
                <w:sz w:val="18"/>
                <w:szCs w:val="18"/>
                <w:lang w:eastAsia="en-US"/>
              </w:rPr>
            </w:pPr>
            <w:r w:rsidRPr="009A29AD">
              <w:rPr>
                <w:b/>
                <w:sz w:val="18"/>
                <w:szCs w:val="18"/>
                <w:lang w:eastAsia="en-US"/>
              </w:rPr>
              <w:t>High</w:t>
            </w:r>
            <w:r w:rsidRPr="009A29AD">
              <w:rPr>
                <w:rFonts w:cstheme="minorHAnsi"/>
                <w:color w:val="00B050"/>
                <w:sz w:val="18"/>
                <w:szCs w:val="18"/>
                <w:lang w:eastAsia="en-US"/>
              </w:rPr>
              <w:t xml:space="preserve"> </w:t>
            </w:r>
            <w:r w:rsidRPr="009A29AD">
              <w:rPr>
                <w:rFonts w:ascii="Wingdings" w:eastAsia="Wingdings" w:hAnsi="Wingdings" w:cstheme="minorHAnsi"/>
                <w:b/>
                <w:color w:val="00B050"/>
                <w:sz w:val="18"/>
                <w:szCs w:val="18"/>
                <w:lang w:eastAsia="en-US"/>
              </w:rPr>
              <w:sym w:font="Wingdings" w:char="F0FC"/>
            </w:r>
          </w:p>
          <w:p w14:paraId="0557EE05" w14:textId="77777777" w:rsidR="000D7E75" w:rsidRPr="009A29AD" w:rsidRDefault="000D7E75" w:rsidP="00E26D3C">
            <w:pPr>
              <w:spacing w:before="240"/>
              <w:jc w:val="center"/>
              <w:cnfStyle w:val="000000100000" w:firstRow="0" w:lastRow="0" w:firstColumn="0" w:lastColumn="0" w:oddVBand="0" w:evenVBand="0" w:oddHBand="1" w:evenHBand="0" w:firstRowFirstColumn="0" w:firstRowLastColumn="0" w:lastRowFirstColumn="0" w:lastRowLastColumn="0"/>
              <w:rPr>
                <w:rFonts w:cstheme="minorHAnsi"/>
                <w:color w:val="00B050"/>
                <w:sz w:val="18"/>
                <w:szCs w:val="18"/>
                <w:lang w:eastAsia="en-US"/>
              </w:rPr>
            </w:pPr>
            <w:r w:rsidRPr="009A29AD">
              <w:rPr>
                <w:sz w:val="18"/>
                <w:szCs w:val="18"/>
                <w:lang w:eastAsia="en-US"/>
              </w:rPr>
              <w:t>Flow-sensitive organisms less vulnerable to flushing</w:t>
            </w:r>
          </w:p>
        </w:tc>
        <w:tc>
          <w:tcPr>
            <w:tcW w:w="1765" w:type="dxa"/>
            <w:tcBorders>
              <w:top w:val="single" w:sz="4" w:space="0" w:color="auto"/>
            </w:tcBorders>
          </w:tcPr>
          <w:p w14:paraId="1952E373" w14:textId="77777777" w:rsidR="000D7E75" w:rsidRPr="009A29AD" w:rsidRDefault="000D7E75" w:rsidP="00E26D3C">
            <w:pPr>
              <w:spacing w:before="240"/>
              <w:jc w:val="center"/>
              <w:cnfStyle w:val="000000100000" w:firstRow="0" w:lastRow="0" w:firstColumn="0" w:lastColumn="0" w:oddVBand="0" w:evenVBand="0" w:oddHBand="1" w:evenHBand="0" w:firstRowFirstColumn="0" w:firstRowLastColumn="0" w:lastRowFirstColumn="0" w:lastRowLastColumn="0"/>
              <w:rPr>
                <w:rFonts w:cstheme="minorHAnsi"/>
                <w:color w:val="FF0000"/>
                <w:sz w:val="18"/>
                <w:szCs w:val="18"/>
                <w:lang w:eastAsia="en-US"/>
              </w:rPr>
            </w:pPr>
            <w:r w:rsidRPr="009A29AD">
              <w:rPr>
                <w:b/>
                <w:sz w:val="18"/>
                <w:szCs w:val="18"/>
                <w:lang w:eastAsia="en-US"/>
              </w:rPr>
              <w:t>Low</w:t>
            </w:r>
            <w:r w:rsidRPr="009A29AD">
              <w:rPr>
                <w:sz w:val="18"/>
                <w:szCs w:val="18"/>
                <w:lang w:eastAsia="en-US"/>
              </w:rPr>
              <w:t xml:space="preserve"> </w:t>
            </w:r>
            <w:r w:rsidRPr="009A29AD">
              <w:rPr>
                <w:rFonts w:ascii="Wingdings" w:eastAsia="Wingdings" w:hAnsi="Wingdings" w:cstheme="minorHAnsi"/>
                <w:b/>
                <w:color w:val="FF0000"/>
                <w:sz w:val="18"/>
                <w:szCs w:val="18"/>
                <w:lang w:eastAsia="en-US"/>
              </w:rPr>
              <w:sym w:font="Wingdings" w:char="F0FB"/>
            </w:r>
          </w:p>
          <w:p w14:paraId="1BEC7E02" w14:textId="77777777" w:rsidR="000D7E75" w:rsidRPr="009A29AD" w:rsidRDefault="000D7E75" w:rsidP="00E26D3C">
            <w:pPr>
              <w:spacing w:before="240"/>
              <w:jc w:val="center"/>
              <w:cnfStyle w:val="000000100000" w:firstRow="0" w:lastRow="0" w:firstColumn="0" w:lastColumn="0" w:oddVBand="0" w:evenVBand="0" w:oddHBand="1" w:evenHBand="0" w:firstRowFirstColumn="0" w:firstRowLastColumn="0" w:lastRowFirstColumn="0" w:lastRowLastColumn="0"/>
              <w:rPr>
                <w:rFonts w:cstheme="minorHAnsi"/>
                <w:color w:val="FF0000"/>
                <w:sz w:val="18"/>
                <w:szCs w:val="18"/>
                <w:lang w:eastAsia="en-US"/>
              </w:rPr>
            </w:pPr>
            <w:r w:rsidRPr="009A29AD">
              <w:rPr>
                <w:sz w:val="18"/>
                <w:szCs w:val="18"/>
                <w:lang w:eastAsia="en-US"/>
              </w:rPr>
              <w:t>Position changes with discharge, inhabitants must follow</w:t>
            </w:r>
          </w:p>
        </w:tc>
        <w:tc>
          <w:tcPr>
            <w:tcW w:w="1532" w:type="dxa"/>
            <w:tcBorders>
              <w:top w:val="single" w:sz="4" w:space="0" w:color="auto"/>
            </w:tcBorders>
          </w:tcPr>
          <w:p w14:paraId="5AAAD44A" w14:textId="77777777" w:rsidR="000D7E75" w:rsidRPr="009A29AD" w:rsidRDefault="000D7E75" w:rsidP="00E26D3C">
            <w:pPr>
              <w:spacing w:before="240"/>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9A29AD">
              <w:rPr>
                <w:b/>
                <w:sz w:val="18"/>
                <w:szCs w:val="18"/>
                <w:lang w:eastAsia="en-US"/>
              </w:rPr>
              <w:t xml:space="preserve">High </w:t>
            </w:r>
            <w:r w:rsidRPr="009A29AD">
              <w:rPr>
                <w:rFonts w:ascii="Wingdings" w:eastAsia="Wingdings" w:hAnsi="Wingdings" w:cstheme="minorHAnsi"/>
                <w:b/>
                <w:color w:val="00B050"/>
                <w:sz w:val="18"/>
                <w:szCs w:val="18"/>
                <w:lang w:eastAsia="en-US"/>
              </w:rPr>
              <w:sym w:font="Wingdings" w:char="F0FC"/>
            </w:r>
            <w:r w:rsidRPr="009A29AD">
              <w:rPr>
                <w:b/>
                <w:sz w:val="18"/>
                <w:szCs w:val="18"/>
                <w:lang w:eastAsia="en-US"/>
              </w:rPr>
              <w:t xml:space="preserve"> </w:t>
            </w:r>
          </w:p>
          <w:p w14:paraId="669EF23F" w14:textId="77777777" w:rsidR="000D7E75" w:rsidRPr="009A29AD" w:rsidRDefault="000D7E75" w:rsidP="00E26D3C">
            <w:pPr>
              <w:spacing w:before="240"/>
              <w:jc w:val="center"/>
              <w:cnfStyle w:val="000000100000" w:firstRow="0" w:lastRow="0" w:firstColumn="0" w:lastColumn="0" w:oddVBand="0" w:evenVBand="0" w:oddHBand="1" w:evenHBand="0" w:firstRowFirstColumn="0" w:firstRowLastColumn="0" w:lastRowFirstColumn="0" w:lastRowLastColumn="0"/>
              <w:rPr>
                <w:b/>
                <w:sz w:val="18"/>
                <w:szCs w:val="18"/>
                <w:lang w:eastAsia="en-US"/>
              </w:rPr>
            </w:pPr>
            <w:r w:rsidRPr="009A29AD">
              <w:rPr>
                <w:sz w:val="18"/>
                <w:szCs w:val="18"/>
                <w:lang w:eastAsia="en-US"/>
              </w:rPr>
              <w:t>No deep-water access for fish predators</w:t>
            </w:r>
          </w:p>
        </w:tc>
      </w:tr>
      <w:tr w:rsidR="000D7E75" w14:paraId="0D9101CD" w14:textId="77777777" w:rsidTr="009A29AD">
        <w:trPr>
          <w:cnfStyle w:val="000000010000" w:firstRow="0" w:lastRow="0" w:firstColumn="0" w:lastColumn="0" w:oddVBand="0" w:evenVBand="0" w:oddHBand="0" w:evenHBand="1" w:firstRowFirstColumn="0" w:firstRowLastColumn="0" w:lastRowFirstColumn="0" w:lastRowLastColumn="0"/>
          <w:trHeight w:val="890"/>
          <w:jc w:val="center"/>
        </w:trPr>
        <w:tc>
          <w:tcPr>
            <w:cnfStyle w:val="001000000000" w:firstRow="0" w:lastRow="0" w:firstColumn="1" w:lastColumn="0" w:oddVBand="0" w:evenVBand="0" w:oddHBand="0" w:evenHBand="0" w:firstRowFirstColumn="0" w:firstRowLastColumn="0" w:lastRowFirstColumn="0" w:lastRowLastColumn="0"/>
            <w:tcW w:w="2540" w:type="dxa"/>
            <w:shd w:val="clear" w:color="auto" w:fill="auto"/>
            <w:vAlign w:val="center"/>
          </w:tcPr>
          <w:p w14:paraId="3F42A0BC" w14:textId="77777777" w:rsidR="000D7E75" w:rsidRPr="009A29AD" w:rsidRDefault="000D7E75" w:rsidP="00E26D3C">
            <w:pPr>
              <w:spacing w:before="240"/>
              <w:rPr>
                <w:sz w:val="18"/>
                <w:szCs w:val="18"/>
                <w:lang w:eastAsia="en-US"/>
              </w:rPr>
            </w:pPr>
            <w:r w:rsidRPr="009A29AD">
              <w:rPr>
                <w:sz w:val="18"/>
                <w:szCs w:val="18"/>
                <w:lang w:val="en-US" w:eastAsia="en-US"/>
              </w:rPr>
              <w:t xml:space="preserve"> </w:t>
            </w:r>
            <w:r w:rsidRPr="009A29AD">
              <w:rPr>
                <w:noProof/>
                <w:sz w:val="18"/>
                <w:szCs w:val="18"/>
                <w:lang w:val="en-GB"/>
              </w:rPr>
              <w:drawing>
                <wp:inline distT="0" distB="0" distL="0" distR="0" wp14:anchorId="5DEF035E" wp14:editId="35611AEB">
                  <wp:extent cx="1475943" cy="503499"/>
                  <wp:effectExtent l="0" t="0" r="0" b="0"/>
                  <wp:docPr id="488" name="Picture 488"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Icon&#10;&#10;Description automatically generated with low confidence"/>
                          <pic:cNvPicPr/>
                        </pic:nvPicPr>
                        <pic:blipFill>
                          <a:blip r:embed="rId107" cstate="email">
                            <a:extLst>
                              <a:ext uri="{28A0092B-C50C-407E-A947-70E740481C1C}">
                                <a14:useLocalDpi xmlns:a14="http://schemas.microsoft.com/office/drawing/2010/main"/>
                              </a:ext>
                            </a:extLst>
                          </a:blip>
                          <a:stretch>
                            <a:fillRect/>
                          </a:stretch>
                        </pic:blipFill>
                        <pic:spPr>
                          <a:xfrm>
                            <a:off x="0" y="0"/>
                            <a:ext cx="1498364" cy="511148"/>
                          </a:xfrm>
                          <a:prstGeom prst="rect">
                            <a:avLst/>
                          </a:prstGeom>
                        </pic:spPr>
                      </pic:pic>
                    </a:graphicData>
                  </a:graphic>
                </wp:inline>
              </w:drawing>
            </w:r>
          </w:p>
        </w:tc>
        <w:tc>
          <w:tcPr>
            <w:tcW w:w="1771" w:type="dxa"/>
            <w:shd w:val="clear" w:color="auto" w:fill="auto"/>
          </w:tcPr>
          <w:p w14:paraId="7A1D3485" w14:textId="77777777" w:rsidR="000D7E75" w:rsidRPr="009A29AD" w:rsidRDefault="000D7E75" w:rsidP="00E26D3C">
            <w:pPr>
              <w:spacing w:before="240"/>
              <w:jc w:val="center"/>
              <w:cnfStyle w:val="000000010000" w:firstRow="0" w:lastRow="0" w:firstColumn="0" w:lastColumn="0" w:oddVBand="0" w:evenVBand="0" w:oddHBand="0" w:evenHBand="1" w:firstRowFirstColumn="0" w:firstRowLastColumn="0" w:lastRowFirstColumn="0" w:lastRowLastColumn="0"/>
              <w:rPr>
                <w:rFonts w:cstheme="minorHAnsi"/>
                <w:b/>
                <w:color w:val="FF0000"/>
                <w:sz w:val="18"/>
                <w:szCs w:val="18"/>
                <w:lang w:eastAsia="en-US"/>
              </w:rPr>
            </w:pPr>
            <w:r w:rsidRPr="009A29AD">
              <w:rPr>
                <w:b/>
                <w:sz w:val="18"/>
                <w:szCs w:val="18"/>
                <w:lang w:eastAsia="en-US"/>
              </w:rPr>
              <w:t xml:space="preserve">Small </w:t>
            </w:r>
            <w:r w:rsidRPr="009A29AD">
              <w:rPr>
                <w:rFonts w:ascii="Wingdings" w:eastAsia="Wingdings" w:hAnsi="Wingdings" w:cstheme="minorHAnsi"/>
                <w:b/>
                <w:color w:val="FF0000"/>
                <w:sz w:val="18"/>
                <w:szCs w:val="18"/>
                <w:lang w:eastAsia="en-US"/>
              </w:rPr>
              <w:sym w:font="Wingdings" w:char="F0FB"/>
            </w:r>
          </w:p>
          <w:p w14:paraId="4D74C58E" w14:textId="77777777" w:rsidR="000D7E75" w:rsidRPr="009A29AD" w:rsidRDefault="000D7E75" w:rsidP="00E26D3C">
            <w:pPr>
              <w:jc w:val="center"/>
              <w:cnfStyle w:val="000000010000" w:firstRow="0" w:lastRow="0" w:firstColumn="0" w:lastColumn="0" w:oddVBand="0" w:evenVBand="0" w:oddHBand="0" w:evenHBand="1" w:firstRowFirstColumn="0" w:firstRowLastColumn="0" w:lastRowFirstColumn="0" w:lastRowLastColumn="0"/>
              <w:rPr>
                <w:b/>
                <w:sz w:val="18"/>
                <w:szCs w:val="18"/>
                <w:lang w:eastAsia="en-US"/>
              </w:rPr>
            </w:pPr>
            <w:r w:rsidRPr="009A29AD">
              <w:rPr>
                <w:sz w:val="18"/>
                <w:szCs w:val="18"/>
                <w:lang w:eastAsia="en-US"/>
              </w:rPr>
              <w:t>Little space for resources &amp; inhabitants</w:t>
            </w:r>
          </w:p>
        </w:tc>
        <w:tc>
          <w:tcPr>
            <w:tcW w:w="1752" w:type="dxa"/>
            <w:shd w:val="clear" w:color="auto" w:fill="auto"/>
          </w:tcPr>
          <w:p w14:paraId="13CBC084" w14:textId="77777777" w:rsidR="000D7E75" w:rsidRPr="009A29AD" w:rsidRDefault="000D7E75" w:rsidP="00E26D3C">
            <w:pPr>
              <w:spacing w:before="240"/>
              <w:jc w:val="center"/>
              <w:cnfStyle w:val="000000010000" w:firstRow="0" w:lastRow="0" w:firstColumn="0" w:lastColumn="0" w:oddVBand="0" w:evenVBand="0" w:oddHBand="0" w:evenHBand="1" w:firstRowFirstColumn="0" w:firstRowLastColumn="0" w:lastRowFirstColumn="0" w:lastRowLastColumn="0"/>
              <w:rPr>
                <w:rFonts w:cstheme="minorHAnsi"/>
                <w:b/>
                <w:color w:val="FF0000"/>
                <w:sz w:val="18"/>
                <w:szCs w:val="18"/>
                <w:lang w:eastAsia="en-US"/>
              </w:rPr>
            </w:pPr>
            <w:r w:rsidRPr="009A29AD">
              <w:rPr>
                <w:b/>
                <w:sz w:val="18"/>
                <w:szCs w:val="18"/>
                <w:lang w:eastAsia="en-US"/>
              </w:rPr>
              <w:t>Low</w:t>
            </w:r>
            <w:r w:rsidRPr="009A29AD">
              <w:rPr>
                <w:rFonts w:cstheme="minorHAnsi"/>
                <w:b/>
                <w:color w:val="FF0000"/>
                <w:sz w:val="18"/>
                <w:szCs w:val="18"/>
                <w:lang w:eastAsia="en-US"/>
              </w:rPr>
              <w:t xml:space="preserve"> </w:t>
            </w:r>
            <w:r w:rsidRPr="009A29AD">
              <w:rPr>
                <w:rFonts w:ascii="Wingdings" w:eastAsia="Wingdings" w:hAnsi="Wingdings" w:cstheme="minorHAnsi"/>
                <w:b/>
                <w:color w:val="FF0000"/>
                <w:sz w:val="18"/>
                <w:szCs w:val="18"/>
                <w:lang w:eastAsia="en-US"/>
              </w:rPr>
              <w:sym w:font="Wingdings" w:char="F0FB"/>
            </w:r>
          </w:p>
          <w:p w14:paraId="0AA538F6" w14:textId="77777777" w:rsidR="000D7E75" w:rsidRPr="009A29AD" w:rsidRDefault="000D7E75" w:rsidP="00E26D3C">
            <w:pPr>
              <w:jc w:val="center"/>
              <w:cnfStyle w:val="000000010000" w:firstRow="0" w:lastRow="0" w:firstColumn="0" w:lastColumn="0" w:oddVBand="0" w:evenVBand="0" w:oddHBand="0" w:evenHBand="1" w:firstRowFirstColumn="0" w:firstRowLastColumn="0" w:lastRowFirstColumn="0" w:lastRowLastColumn="0"/>
              <w:rPr>
                <w:sz w:val="18"/>
                <w:szCs w:val="18"/>
                <w:lang w:eastAsia="en-US"/>
              </w:rPr>
            </w:pPr>
            <w:r w:rsidRPr="009A29AD">
              <w:rPr>
                <w:sz w:val="18"/>
                <w:szCs w:val="18"/>
                <w:lang w:eastAsia="en-US"/>
              </w:rPr>
              <w:t xml:space="preserve">Flow-sensitive organisms vulnerable to flushing </w:t>
            </w:r>
          </w:p>
        </w:tc>
        <w:tc>
          <w:tcPr>
            <w:tcW w:w="1765" w:type="dxa"/>
            <w:shd w:val="clear" w:color="auto" w:fill="auto"/>
          </w:tcPr>
          <w:p w14:paraId="7F86E0E6" w14:textId="77777777" w:rsidR="000D7E75" w:rsidRPr="009A29AD" w:rsidRDefault="000D7E75" w:rsidP="00E26D3C">
            <w:pPr>
              <w:spacing w:before="240"/>
              <w:jc w:val="center"/>
              <w:cnfStyle w:val="000000010000" w:firstRow="0" w:lastRow="0" w:firstColumn="0" w:lastColumn="0" w:oddVBand="0" w:evenVBand="0" w:oddHBand="0" w:evenHBand="1" w:firstRowFirstColumn="0" w:firstRowLastColumn="0" w:lastRowFirstColumn="0" w:lastRowLastColumn="0"/>
              <w:rPr>
                <w:rFonts w:cstheme="minorHAnsi"/>
                <w:b/>
                <w:color w:val="00B050"/>
                <w:sz w:val="18"/>
                <w:szCs w:val="18"/>
                <w:lang w:eastAsia="en-US"/>
              </w:rPr>
            </w:pPr>
            <w:r w:rsidRPr="009A29AD">
              <w:rPr>
                <w:b/>
                <w:sz w:val="18"/>
                <w:szCs w:val="18"/>
                <w:lang w:eastAsia="en-US"/>
              </w:rPr>
              <w:t xml:space="preserve">High </w:t>
            </w:r>
            <w:r w:rsidRPr="009A29AD">
              <w:rPr>
                <w:rFonts w:ascii="Wingdings" w:eastAsia="Wingdings" w:hAnsi="Wingdings" w:cstheme="minorHAnsi"/>
                <w:b/>
                <w:color w:val="00B050"/>
                <w:sz w:val="18"/>
                <w:szCs w:val="18"/>
                <w:lang w:eastAsia="en-US"/>
              </w:rPr>
              <w:sym w:font="Wingdings" w:char="F0FC"/>
            </w:r>
          </w:p>
          <w:p w14:paraId="746EC5D9" w14:textId="2663FAA8" w:rsidR="000D7E75" w:rsidRPr="009A29AD" w:rsidRDefault="000D7E75" w:rsidP="00E26D3C">
            <w:pPr>
              <w:jc w:val="center"/>
              <w:cnfStyle w:val="000000010000" w:firstRow="0" w:lastRow="0" w:firstColumn="0" w:lastColumn="0" w:oddVBand="0" w:evenVBand="0" w:oddHBand="0" w:evenHBand="1" w:firstRowFirstColumn="0" w:firstRowLastColumn="0" w:lastRowFirstColumn="0" w:lastRowLastColumn="0"/>
              <w:rPr>
                <w:rFonts w:cstheme="minorHAnsi"/>
                <w:color w:val="00B050"/>
                <w:sz w:val="18"/>
                <w:szCs w:val="18"/>
                <w:lang w:eastAsia="en-US"/>
              </w:rPr>
            </w:pPr>
            <w:r w:rsidRPr="009A29AD">
              <w:rPr>
                <w:sz w:val="18"/>
                <w:szCs w:val="18"/>
                <w:lang w:eastAsia="en-US"/>
              </w:rPr>
              <w:t xml:space="preserve">Position changes </w:t>
            </w:r>
            <w:r w:rsidR="00B4338F">
              <w:rPr>
                <w:sz w:val="18"/>
                <w:szCs w:val="18"/>
                <w:lang w:eastAsia="en-US"/>
              </w:rPr>
              <w:t>less</w:t>
            </w:r>
            <w:r w:rsidRPr="009A29AD">
              <w:rPr>
                <w:sz w:val="18"/>
                <w:szCs w:val="18"/>
                <w:lang w:eastAsia="en-US"/>
              </w:rPr>
              <w:t xml:space="preserve"> with discharge</w:t>
            </w:r>
          </w:p>
        </w:tc>
        <w:tc>
          <w:tcPr>
            <w:tcW w:w="1532" w:type="dxa"/>
            <w:shd w:val="clear" w:color="auto" w:fill="auto"/>
          </w:tcPr>
          <w:p w14:paraId="58A8FE0E" w14:textId="77777777" w:rsidR="000D7E75" w:rsidRPr="009A29AD" w:rsidRDefault="000D7E75" w:rsidP="00E26D3C">
            <w:pPr>
              <w:spacing w:before="240"/>
              <w:jc w:val="center"/>
              <w:cnfStyle w:val="000000010000" w:firstRow="0" w:lastRow="0" w:firstColumn="0" w:lastColumn="0" w:oddVBand="0" w:evenVBand="0" w:oddHBand="0" w:evenHBand="1" w:firstRowFirstColumn="0" w:firstRowLastColumn="0" w:lastRowFirstColumn="0" w:lastRowLastColumn="0"/>
              <w:rPr>
                <w:rFonts w:cstheme="minorHAnsi"/>
                <w:color w:val="FF0000"/>
                <w:sz w:val="18"/>
                <w:szCs w:val="18"/>
                <w:lang w:eastAsia="en-US"/>
              </w:rPr>
            </w:pPr>
            <w:r w:rsidRPr="009A29AD">
              <w:rPr>
                <w:b/>
                <w:sz w:val="18"/>
                <w:szCs w:val="18"/>
                <w:lang w:eastAsia="en-US"/>
              </w:rPr>
              <w:t>Low</w:t>
            </w:r>
            <w:r w:rsidRPr="009A29AD">
              <w:rPr>
                <w:sz w:val="18"/>
                <w:szCs w:val="18"/>
                <w:lang w:eastAsia="en-US"/>
              </w:rPr>
              <w:t xml:space="preserve"> </w:t>
            </w:r>
            <w:r w:rsidRPr="009A29AD">
              <w:rPr>
                <w:rFonts w:ascii="Wingdings" w:eastAsia="Wingdings" w:hAnsi="Wingdings" w:cstheme="minorHAnsi"/>
                <w:b/>
                <w:color w:val="FF0000"/>
                <w:sz w:val="18"/>
                <w:szCs w:val="18"/>
                <w:lang w:eastAsia="en-US"/>
              </w:rPr>
              <w:sym w:font="Wingdings" w:char="F0FB"/>
            </w:r>
          </w:p>
          <w:p w14:paraId="66275266" w14:textId="77777777" w:rsidR="000D7E75" w:rsidRPr="009A29AD" w:rsidRDefault="000D7E75" w:rsidP="00E26D3C">
            <w:pPr>
              <w:jc w:val="center"/>
              <w:cnfStyle w:val="000000010000" w:firstRow="0" w:lastRow="0" w:firstColumn="0" w:lastColumn="0" w:oddVBand="0" w:evenVBand="0" w:oddHBand="0" w:evenHBand="1" w:firstRowFirstColumn="0" w:firstRowLastColumn="0" w:lastRowFirstColumn="0" w:lastRowLastColumn="0"/>
              <w:rPr>
                <w:sz w:val="18"/>
                <w:szCs w:val="18"/>
                <w:lang w:eastAsia="en-US"/>
              </w:rPr>
            </w:pPr>
            <w:r w:rsidRPr="009A29AD">
              <w:rPr>
                <w:sz w:val="18"/>
                <w:szCs w:val="18"/>
                <w:lang w:eastAsia="en-US"/>
              </w:rPr>
              <w:t>Deep-water access for fish predators</w:t>
            </w:r>
          </w:p>
        </w:tc>
      </w:tr>
    </w:tbl>
    <w:p w14:paraId="0EFEDAC9" w14:textId="77777777" w:rsidR="000D7E75" w:rsidRDefault="000D7E75" w:rsidP="000D7E75">
      <w:pPr>
        <w:rPr>
          <w:lang w:eastAsia="en-US"/>
        </w:rPr>
      </w:pPr>
    </w:p>
    <w:p w14:paraId="67FF2CA4" w14:textId="7E71877F" w:rsidR="000D7E75" w:rsidRPr="004F4E60" w:rsidRDefault="000D7E75" w:rsidP="00691496">
      <w:pPr>
        <w:pStyle w:val="Heading2"/>
        <w:tabs>
          <w:tab w:val="left" w:pos="709"/>
        </w:tabs>
        <w:spacing w:before="240" w:after="120" w:line="240" w:lineRule="atLeast"/>
        <w:ind w:left="1418" w:hanging="1418"/>
        <w:jc w:val="left"/>
      </w:pPr>
      <w:bookmarkStart w:id="691" w:name="_Ref83915109"/>
      <w:bookmarkStart w:id="692" w:name="_Toc84417437"/>
      <w:bookmarkStart w:id="693" w:name="_Toc84475729"/>
      <w:r w:rsidRPr="004F4E60">
        <w:t>Field surveys</w:t>
      </w:r>
      <w:bookmarkEnd w:id="691"/>
      <w:bookmarkEnd w:id="692"/>
      <w:bookmarkEnd w:id="693"/>
    </w:p>
    <w:p w14:paraId="4360909B" w14:textId="77777777" w:rsidR="000D7E75" w:rsidRPr="004849D9" w:rsidRDefault="000D7E75" w:rsidP="004849D9">
      <w:pPr>
        <w:pStyle w:val="Heading3"/>
      </w:pPr>
      <w:r w:rsidRPr="004849D9">
        <w:t>Model verification</w:t>
      </w:r>
    </w:p>
    <w:p w14:paraId="6A985BE7" w14:textId="77777777" w:rsidR="000D7E75" w:rsidRPr="00690690" w:rsidRDefault="000D7E75" w:rsidP="00BE3B12">
      <w:pPr>
        <w:rPr>
          <w:lang w:val="en-US" w:eastAsia="en-US"/>
        </w:rPr>
      </w:pPr>
      <w:r w:rsidRPr="00690690">
        <w:rPr>
          <w:lang w:val="en-US" w:eastAsia="en-US"/>
        </w:rPr>
        <w:t>In April 2021</w:t>
      </w:r>
      <w:r>
        <w:rPr>
          <w:lang w:val="en-US" w:eastAsia="en-US"/>
        </w:rPr>
        <w:t>,</w:t>
      </w:r>
      <w:r w:rsidRPr="00690690">
        <w:rPr>
          <w:lang w:val="en-US" w:eastAsia="en-US"/>
        </w:rPr>
        <w:t xml:space="preserve"> we conducted a survey campaign to collect measureme</w:t>
      </w:r>
      <w:r>
        <w:rPr>
          <w:lang w:val="en-US" w:eastAsia="en-US"/>
        </w:rPr>
        <w:t>nts of water depth and velocity with two aims: (1)</w:t>
      </w:r>
      <w:r w:rsidRPr="00690690">
        <w:rPr>
          <w:lang w:val="en-US" w:eastAsia="en-US"/>
        </w:rPr>
        <w:t xml:space="preserve"> </w:t>
      </w:r>
      <w:r>
        <w:rPr>
          <w:lang w:val="en-US" w:eastAsia="en-US"/>
        </w:rPr>
        <w:t xml:space="preserve">to </w:t>
      </w:r>
      <w:r w:rsidRPr="00690690">
        <w:rPr>
          <w:lang w:val="en-US" w:eastAsia="en-US"/>
        </w:rPr>
        <w:t xml:space="preserve">test the accuracy of the modelled data </w:t>
      </w:r>
      <w:r>
        <w:rPr>
          <w:lang w:val="en-US" w:eastAsia="en-US"/>
        </w:rPr>
        <w:t xml:space="preserve">regarding the sizes and locations of </w:t>
      </w:r>
      <w:proofErr w:type="spellStart"/>
      <w:r>
        <w:rPr>
          <w:lang w:val="en-US" w:eastAsia="en-US"/>
        </w:rPr>
        <w:t>slackwater</w:t>
      </w:r>
      <w:proofErr w:type="spellEnd"/>
      <w:r>
        <w:rPr>
          <w:lang w:val="en-US" w:eastAsia="en-US"/>
        </w:rPr>
        <w:t xml:space="preserve"> patches; (2)</w:t>
      </w:r>
      <w:r w:rsidRPr="00690690">
        <w:rPr>
          <w:lang w:val="en-US" w:eastAsia="en-US"/>
        </w:rPr>
        <w:t xml:space="preserve"> to identify suitable areas of </w:t>
      </w:r>
      <w:proofErr w:type="spellStart"/>
      <w:r w:rsidRPr="00690690">
        <w:rPr>
          <w:lang w:val="en-US" w:eastAsia="en-US"/>
        </w:rPr>
        <w:t>slackwater</w:t>
      </w:r>
      <w:proofErr w:type="spellEnd"/>
      <w:r w:rsidRPr="00690690">
        <w:rPr>
          <w:lang w:val="en-US" w:eastAsia="en-US"/>
        </w:rPr>
        <w:t xml:space="preserve"> </w:t>
      </w:r>
      <w:r>
        <w:rPr>
          <w:lang w:val="en-US" w:eastAsia="en-US"/>
        </w:rPr>
        <w:t>for</w:t>
      </w:r>
      <w:r w:rsidRPr="00690690">
        <w:rPr>
          <w:lang w:val="en-US" w:eastAsia="en-US"/>
        </w:rPr>
        <w:t xml:space="preserve"> subsequent</w:t>
      </w:r>
      <w:r>
        <w:rPr>
          <w:lang w:val="en-US" w:eastAsia="en-US"/>
        </w:rPr>
        <w:t xml:space="preserve"> research. </w:t>
      </w:r>
      <w:r w:rsidRPr="00690690">
        <w:rPr>
          <w:bCs/>
          <w:lang w:val="en-US" w:eastAsia="en-US"/>
        </w:rPr>
        <w:t xml:space="preserve">Wide </w:t>
      </w:r>
      <w:proofErr w:type="spellStart"/>
      <w:r w:rsidRPr="00690690">
        <w:rPr>
          <w:bCs/>
          <w:lang w:val="en-US" w:eastAsia="en-US"/>
        </w:rPr>
        <w:t>slackwaters</w:t>
      </w:r>
      <w:proofErr w:type="spellEnd"/>
      <w:r w:rsidRPr="00690690">
        <w:rPr>
          <w:bCs/>
          <w:lang w:val="en-US" w:eastAsia="en-US"/>
        </w:rPr>
        <w:t xml:space="preserve"> were identified from maps of model outputs and ranged in length from 20 – 50m. Because Narrow </w:t>
      </w:r>
      <w:proofErr w:type="spellStart"/>
      <w:r w:rsidRPr="00690690">
        <w:rPr>
          <w:bCs/>
          <w:lang w:val="en-US" w:eastAsia="en-US"/>
        </w:rPr>
        <w:t>slackwater</w:t>
      </w:r>
      <w:proofErr w:type="spellEnd"/>
      <w:r w:rsidRPr="00690690">
        <w:rPr>
          <w:bCs/>
          <w:lang w:val="en-US" w:eastAsia="en-US"/>
        </w:rPr>
        <w:t xml:space="preserve"> was almost ubiquitous along the wetted channel margins, we selected 30 m sections of Narrow </w:t>
      </w:r>
      <w:proofErr w:type="spellStart"/>
      <w:r w:rsidRPr="00690690">
        <w:rPr>
          <w:bCs/>
          <w:lang w:val="en-US" w:eastAsia="en-US"/>
        </w:rPr>
        <w:t>slackwater</w:t>
      </w:r>
      <w:proofErr w:type="spellEnd"/>
      <w:r w:rsidRPr="00690690">
        <w:rPr>
          <w:bCs/>
          <w:lang w:val="en-US" w:eastAsia="en-US"/>
        </w:rPr>
        <w:t xml:space="preserve"> at random.</w:t>
      </w:r>
      <w:r w:rsidRPr="00690690">
        <w:rPr>
          <w:lang w:val="en-US" w:eastAsia="en-US"/>
        </w:rPr>
        <w:t xml:space="preserve"> </w:t>
      </w:r>
    </w:p>
    <w:p w14:paraId="1D83BCBD" w14:textId="443AA6A3" w:rsidR="000D7E75" w:rsidRDefault="000D7E75" w:rsidP="00E32493">
      <w:pPr>
        <w:rPr>
          <w:lang w:val="en-US" w:eastAsia="en-US"/>
        </w:rPr>
      </w:pPr>
      <w:r w:rsidRPr="00690690">
        <w:rPr>
          <w:lang w:val="en-US" w:eastAsia="en-US"/>
        </w:rPr>
        <w:t xml:space="preserve">Surveys mapped the boundaries of </w:t>
      </w:r>
      <w:proofErr w:type="spellStart"/>
      <w:r w:rsidRPr="00690690">
        <w:rPr>
          <w:lang w:val="en-US" w:eastAsia="en-US"/>
        </w:rPr>
        <w:t>slackwater</w:t>
      </w:r>
      <w:proofErr w:type="spellEnd"/>
      <w:r w:rsidRPr="00690690">
        <w:rPr>
          <w:lang w:val="en-US" w:eastAsia="en-US"/>
        </w:rPr>
        <w:t xml:space="preserve"> areas by measuring water depth and velocity at 5 m intervals along the length of each </w:t>
      </w:r>
      <w:proofErr w:type="spellStart"/>
      <w:r w:rsidRPr="00690690">
        <w:rPr>
          <w:lang w:val="en-US" w:eastAsia="en-US"/>
        </w:rPr>
        <w:t>slackwater</w:t>
      </w:r>
      <w:proofErr w:type="spellEnd"/>
      <w:r w:rsidRPr="00690690">
        <w:rPr>
          <w:lang w:val="en-US" w:eastAsia="en-US"/>
        </w:rPr>
        <w:t>. At each interval we started from the wetted margin and moved out into the channel, measuring depth and velocity until we identified the thresholds of 0.5 m deep and 0.05 m/s velocity.</w:t>
      </w:r>
      <w:r>
        <w:rPr>
          <w:lang w:val="en-US" w:eastAsia="en-US"/>
        </w:rPr>
        <w:t xml:space="preserve"> D</w:t>
      </w:r>
      <w:r w:rsidRPr="00690690">
        <w:rPr>
          <w:lang w:val="en-US" w:eastAsia="en-US"/>
        </w:rPr>
        <w:t xml:space="preserve">istances from the wetted margin to the depth and velocity thresholds were recorded and plotted to delineate the boundaries of each </w:t>
      </w:r>
      <w:proofErr w:type="spellStart"/>
      <w:r w:rsidRPr="00690690">
        <w:rPr>
          <w:lang w:val="en-US" w:eastAsia="en-US"/>
        </w:rPr>
        <w:t>slackwater</w:t>
      </w:r>
      <w:proofErr w:type="spellEnd"/>
      <w:r w:rsidRPr="00690690">
        <w:rPr>
          <w:lang w:val="en-US" w:eastAsia="en-US"/>
        </w:rPr>
        <w:t>, as defined by our depth and velocity criteria (</w:t>
      </w:r>
      <w:proofErr w:type="gramStart"/>
      <w:r w:rsidRPr="00690690">
        <w:rPr>
          <w:lang w:val="en-US" w:eastAsia="en-US"/>
        </w:rPr>
        <w:t>e.g.</w:t>
      </w:r>
      <w:proofErr w:type="gramEnd"/>
      <w:r>
        <w:rPr>
          <w:color w:val="FF0000"/>
          <w:lang w:val="en-US" w:eastAsia="en-US"/>
        </w:rPr>
        <w:t xml:space="preserve"> </w:t>
      </w:r>
      <w:r w:rsidR="00B23510">
        <w:t xml:space="preserve">Figure </w:t>
      </w:r>
      <w:r w:rsidR="00B23510">
        <w:rPr>
          <w:noProof/>
        </w:rPr>
        <w:t>12</w:t>
      </w:r>
      <w:r w:rsidR="00B23510">
        <w:rPr>
          <w:noProof/>
        </w:rPr>
        <w:noBreakHyphen/>
        <w:t>3</w:t>
      </w:r>
      <w:r w:rsidRPr="00690690">
        <w:rPr>
          <w:lang w:val="en-US" w:eastAsia="en-US"/>
        </w:rPr>
        <w:t xml:space="preserve">). </w:t>
      </w:r>
      <w:r>
        <w:rPr>
          <w:lang w:val="en-US" w:eastAsia="en-US"/>
        </w:rPr>
        <w:t xml:space="preserve">Initially these data were used to confirm suitable </w:t>
      </w:r>
      <w:proofErr w:type="spellStart"/>
      <w:r>
        <w:rPr>
          <w:lang w:val="en-US" w:eastAsia="en-US"/>
        </w:rPr>
        <w:t>slackwater</w:t>
      </w:r>
      <w:proofErr w:type="spellEnd"/>
      <w:r>
        <w:rPr>
          <w:lang w:val="en-US" w:eastAsia="en-US"/>
        </w:rPr>
        <w:t xml:space="preserve"> areas for ongoing study. However, we note that some </w:t>
      </w:r>
      <w:proofErr w:type="spellStart"/>
      <w:r>
        <w:rPr>
          <w:lang w:val="en-US" w:eastAsia="en-US"/>
        </w:rPr>
        <w:t>slackwaters</w:t>
      </w:r>
      <w:proofErr w:type="spellEnd"/>
      <w:r>
        <w:rPr>
          <w:lang w:val="en-US" w:eastAsia="en-US"/>
        </w:rPr>
        <w:t xml:space="preserve"> were bounded by depth criteria, and others by velocity seams (</w:t>
      </w:r>
      <w:r w:rsidR="00B23510">
        <w:t xml:space="preserve">Figure </w:t>
      </w:r>
      <w:r w:rsidR="00B23510">
        <w:rPr>
          <w:noProof/>
        </w:rPr>
        <w:t>12</w:t>
      </w:r>
      <w:r w:rsidR="00B23510">
        <w:rPr>
          <w:noProof/>
        </w:rPr>
        <w:noBreakHyphen/>
        <w:t>3</w:t>
      </w:r>
      <w:r>
        <w:rPr>
          <w:lang w:val="en-US" w:eastAsia="en-US"/>
        </w:rPr>
        <w:t>) and this distinction might have implications for</w:t>
      </w:r>
      <w:r w:rsidRPr="00690690">
        <w:rPr>
          <w:lang w:val="en-US" w:eastAsia="en-US"/>
        </w:rPr>
        <w:t xml:space="preserve"> </w:t>
      </w:r>
      <w:r>
        <w:rPr>
          <w:lang w:val="en-US" w:eastAsia="en-US"/>
        </w:rPr>
        <w:t xml:space="preserve">organisms inhabiting these </w:t>
      </w:r>
      <w:proofErr w:type="spellStart"/>
      <w:r>
        <w:rPr>
          <w:lang w:val="en-US" w:eastAsia="en-US"/>
        </w:rPr>
        <w:t>slackwaters</w:t>
      </w:r>
      <w:proofErr w:type="spellEnd"/>
      <w:r>
        <w:rPr>
          <w:lang w:val="en-US" w:eastAsia="en-US"/>
        </w:rPr>
        <w:t xml:space="preserve">. For example, where depth determines the </w:t>
      </w:r>
      <w:proofErr w:type="spellStart"/>
      <w:r>
        <w:rPr>
          <w:lang w:val="en-US" w:eastAsia="en-US"/>
        </w:rPr>
        <w:t>slackwater</w:t>
      </w:r>
      <w:proofErr w:type="spellEnd"/>
      <w:r>
        <w:rPr>
          <w:lang w:val="en-US" w:eastAsia="en-US"/>
        </w:rPr>
        <w:t xml:space="preserve"> boundary, inhabitants may be somewhat buffered from flushing because they are less likely to stray across velocity boundaries. The majority of </w:t>
      </w:r>
      <w:proofErr w:type="spellStart"/>
      <w:r>
        <w:rPr>
          <w:lang w:val="en-US" w:eastAsia="en-US"/>
        </w:rPr>
        <w:t>slackwaters</w:t>
      </w:r>
      <w:proofErr w:type="spellEnd"/>
      <w:r>
        <w:rPr>
          <w:lang w:val="en-US" w:eastAsia="en-US"/>
        </w:rPr>
        <w:t xml:space="preserve"> surveyed (73 % of Narrow </w:t>
      </w:r>
      <w:proofErr w:type="spellStart"/>
      <w:r>
        <w:rPr>
          <w:lang w:val="en-US" w:eastAsia="en-US"/>
        </w:rPr>
        <w:t>slackwaters</w:t>
      </w:r>
      <w:proofErr w:type="spellEnd"/>
      <w:r>
        <w:rPr>
          <w:lang w:val="en-US" w:eastAsia="en-US"/>
        </w:rPr>
        <w:t xml:space="preserve">; 60 % of Wide </w:t>
      </w:r>
      <w:proofErr w:type="spellStart"/>
      <w:r>
        <w:rPr>
          <w:lang w:val="en-US" w:eastAsia="en-US"/>
        </w:rPr>
        <w:t>slackwaters</w:t>
      </w:r>
      <w:proofErr w:type="spellEnd"/>
      <w:r>
        <w:rPr>
          <w:lang w:val="en-US" w:eastAsia="en-US"/>
        </w:rPr>
        <w:t>) were bounded by the depth threshold.</w:t>
      </w:r>
    </w:p>
    <w:p w14:paraId="35A258F4" w14:textId="77777777" w:rsidR="00E32493" w:rsidRPr="00E32493" w:rsidRDefault="00E32493" w:rsidP="00E32493">
      <w:pPr>
        <w:rPr>
          <w:b/>
          <w:bCs/>
          <w:lang w:val="en-US" w:eastAsia="en-US"/>
        </w:rPr>
      </w:pPr>
    </w:p>
    <w:p w14:paraId="609C6A78" w14:textId="77777777" w:rsidR="00625268" w:rsidRDefault="000D7E75" w:rsidP="00625268">
      <w:pPr>
        <w:keepNext/>
        <w:jc w:val="center"/>
      </w:pPr>
      <w:r>
        <w:rPr>
          <w:noProof/>
          <w:lang w:val="en-GB"/>
        </w:rPr>
        <w:drawing>
          <wp:inline distT="0" distB="0" distL="0" distR="0" wp14:anchorId="6952872E" wp14:editId="114D015B">
            <wp:extent cx="5943600" cy="1149985"/>
            <wp:effectExtent l="0" t="0" r="0" b="0"/>
            <wp:docPr id="489" name="Picture 48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Chart, line chart&#10;&#10;Description automatically generated"/>
                    <pic:cNvPicPr/>
                  </pic:nvPicPr>
                  <pic:blipFill>
                    <a:blip r:embed="rId108" cstate="email">
                      <a:extLst>
                        <a:ext uri="{28A0092B-C50C-407E-A947-70E740481C1C}">
                          <a14:useLocalDpi xmlns:a14="http://schemas.microsoft.com/office/drawing/2010/main"/>
                        </a:ext>
                      </a:extLst>
                    </a:blip>
                    <a:stretch>
                      <a:fillRect/>
                    </a:stretch>
                  </pic:blipFill>
                  <pic:spPr>
                    <a:xfrm>
                      <a:off x="0" y="0"/>
                      <a:ext cx="5943600" cy="1149985"/>
                    </a:xfrm>
                    <a:prstGeom prst="rect">
                      <a:avLst/>
                    </a:prstGeom>
                  </pic:spPr>
                </pic:pic>
              </a:graphicData>
            </a:graphic>
          </wp:inline>
        </w:drawing>
      </w:r>
    </w:p>
    <w:p w14:paraId="61EC6A1C" w14:textId="010FF532" w:rsidR="000D7E75" w:rsidRDefault="00625268" w:rsidP="00625268">
      <w:pPr>
        <w:pStyle w:val="Caption"/>
      </w:pPr>
      <w:bookmarkStart w:id="694" w:name="_Ref83826946"/>
      <w:bookmarkStart w:id="695" w:name="_Toc83907802"/>
      <w:bookmarkStart w:id="696" w:name="_Toc84475779"/>
      <w:r>
        <w:t xml:space="preserve">Figure </w:t>
      </w:r>
      <w:r w:rsidR="00831EB0">
        <w:rPr>
          <w:noProof/>
        </w:rPr>
        <w:t>12</w:t>
      </w:r>
      <w:r w:rsidR="00B85158">
        <w:noBreakHyphen/>
      </w:r>
      <w:r w:rsidR="00831EB0">
        <w:rPr>
          <w:noProof/>
        </w:rPr>
        <w:t>3</w:t>
      </w:r>
      <w:bookmarkEnd w:id="694"/>
      <w:r>
        <w:t xml:space="preserve"> </w:t>
      </w:r>
      <w:r w:rsidRPr="00A174E1">
        <w:t xml:space="preserve">Line graphs showing measured depth and velocity boundaries for three </w:t>
      </w:r>
      <w:proofErr w:type="spellStart"/>
      <w:r w:rsidRPr="00A174E1">
        <w:t>slackwaters</w:t>
      </w:r>
      <w:proofErr w:type="spellEnd"/>
      <w:r w:rsidRPr="00A174E1">
        <w:t xml:space="preserve">. Note that </w:t>
      </w:r>
      <w:proofErr w:type="spellStart"/>
      <w:r w:rsidRPr="00A174E1">
        <w:t>slackwaters</w:t>
      </w:r>
      <w:proofErr w:type="spellEnd"/>
      <w:r w:rsidRPr="00A174E1">
        <w:t xml:space="preserve"> may be bounded by depth (a), velocity (b), or a combination of both</w:t>
      </w:r>
      <w:r>
        <w:t xml:space="preserve"> (c).</w:t>
      </w:r>
      <w:bookmarkEnd w:id="695"/>
      <w:bookmarkEnd w:id="696"/>
    </w:p>
    <w:p w14:paraId="56336F2B" w14:textId="33B0A859" w:rsidR="000D7E75" w:rsidRPr="004849D9" w:rsidRDefault="000D7E75" w:rsidP="004849D9">
      <w:pPr>
        <w:pStyle w:val="Heading3"/>
      </w:pPr>
      <w:r w:rsidRPr="004849D9">
        <w:t xml:space="preserve">Survey 2 – Physical &amp; biological attributes of </w:t>
      </w:r>
      <w:proofErr w:type="spellStart"/>
      <w:r w:rsidRPr="004849D9">
        <w:t>slackwaters</w:t>
      </w:r>
      <w:proofErr w:type="spellEnd"/>
    </w:p>
    <w:p w14:paraId="0E3CA85B" w14:textId="77777777" w:rsidR="000D7E75" w:rsidRDefault="000D7E75" w:rsidP="000D7E75">
      <w:pPr>
        <w:rPr>
          <w:rFonts w:ascii="Calibri" w:eastAsia="Times New Roman" w:hAnsi="Calibri" w:cs="Calibri"/>
        </w:rPr>
      </w:pPr>
      <w:r>
        <w:rPr>
          <w:rFonts w:ascii="Calibri" w:eastAsia="Times New Roman" w:hAnsi="Calibri" w:cs="Calibri"/>
        </w:rPr>
        <w:t xml:space="preserve">Survey 2 was conducted to examine and compare three main attributes of </w:t>
      </w:r>
      <w:proofErr w:type="spellStart"/>
      <w:r>
        <w:rPr>
          <w:rFonts w:ascii="Calibri" w:eastAsia="Times New Roman" w:hAnsi="Calibri" w:cs="Calibri"/>
        </w:rPr>
        <w:t>slackwater</w:t>
      </w:r>
      <w:proofErr w:type="spellEnd"/>
      <w:r>
        <w:rPr>
          <w:rFonts w:ascii="Calibri" w:eastAsia="Times New Roman" w:hAnsi="Calibri" w:cs="Calibri"/>
        </w:rPr>
        <w:t xml:space="preserve"> habitats.</w:t>
      </w:r>
    </w:p>
    <w:p w14:paraId="481363DB" w14:textId="77777777" w:rsidR="000D7E75" w:rsidRDefault="000D7E75" w:rsidP="00DE6E94">
      <w:pPr>
        <w:pStyle w:val="ListParagraph"/>
        <w:numPr>
          <w:ilvl w:val="0"/>
          <w:numId w:val="63"/>
        </w:numPr>
        <w:rPr>
          <w:rFonts w:ascii="Calibri" w:eastAsia="Times New Roman" w:hAnsi="Calibri" w:cs="Calibri"/>
        </w:rPr>
      </w:pPr>
      <w:r w:rsidRPr="003F72E1">
        <w:rPr>
          <w:rFonts w:ascii="Calibri" w:eastAsia="Times New Roman" w:hAnsi="Calibri" w:cs="Calibri"/>
          <w:b/>
        </w:rPr>
        <w:t>Amounts of wood and vegetation</w:t>
      </w:r>
      <w:r>
        <w:rPr>
          <w:rFonts w:ascii="Calibri" w:eastAsia="Times New Roman" w:hAnsi="Calibri" w:cs="Calibri"/>
        </w:rPr>
        <w:t>, which provide:</w:t>
      </w:r>
    </w:p>
    <w:p w14:paraId="2AEA9643" w14:textId="77777777" w:rsidR="000D7E75" w:rsidRPr="003F72E1" w:rsidRDefault="000D7E75" w:rsidP="00DE6E94">
      <w:pPr>
        <w:pStyle w:val="ListParagraph"/>
        <w:numPr>
          <w:ilvl w:val="1"/>
          <w:numId w:val="63"/>
        </w:numPr>
        <w:rPr>
          <w:rFonts w:ascii="Calibri" w:eastAsia="Times New Roman" w:hAnsi="Calibri" w:cs="Calibri"/>
        </w:rPr>
      </w:pPr>
      <w:r w:rsidRPr="003F72E1">
        <w:rPr>
          <w:rFonts w:ascii="Calibri" w:eastAsia="Times New Roman" w:hAnsi="Calibri" w:cs="Calibri"/>
          <w:b/>
        </w:rPr>
        <w:t>Habitat complexity</w:t>
      </w:r>
      <w:r>
        <w:rPr>
          <w:rFonts w:ascii="Calibri" w:eastAsia="Times New Roman" w:hAnsi="Calibri" w:cs="Calibri"/>
        </w:rPr>
        <w:t xml:space="preserve"> - cover, shade, s</w:t>
      </w:r>
      <w:r w:rsidRPr="003F72E1">
        <w:rPr>
          <w:rFonts w:ascii="Calibri" w:eastAsia="Times New Roman" w:hAnsi="Calibri" w:cs="Calibri"/>
        </w:rPr>
        <w:t>ubstrata</w:t>
      </w:r>
      <w:r>
        <w:rPr>
          <w:rFonts w:ascii="Calibri" w:eastAsia="Times New Roman" w:hAnsi="Calibri" w:cs="Calibri"/>
        </w:rPr>
        <w:t xml:space="preserve"> etc.</w:t>
      </w:r>
    </w:p>
    <w:p w14:paraId="049349AE" w14:textId="77777777" w:rsidR="000D7E75" w:rsidRDefault="000D7E75" w:rsidP="00DE6E94">
      <w:pPr>
        <w:pStyle w:val="ListParagraph"/>
        <w:numPr>
          <w:ilvl w:val="1"/>
          <w:numId w:val="63"/>
        </w:numPr>
        <w:rPr>
          <w:rFonts w:ascii="Calibri" w:eastAsia="Times New Roman" w:hAnsi="Calibri" w:cs="Calibri"/>
        </w:rPr>
      </w:pPr>
      <w:r w:rsidRPr="003F72E1">
        <w:rPr>
          <w:rFonts w:ascii="Calibri" w:eastAsia="Times New Roman" w:hAnsi="Calibri" w:cs="Calibri"/>
          <w:b/>
        </w:rPr>
        <w:t>Structural retentiveness</w:t>
      </w:r>
      <w:r>
        <w:rPr>
          <w:rFonts w:ascii="Calibri" w:eastAsia="Times New Roman" w:hAnsi="Calibri" w:cs="Calibri"/>
        </w:rPr>
        <w:t xml:space="preserve"> – physical structures within the channel that may trap and retain resources of plant detritus, making them available to invertebrates.</w:t>
      </w:r>
    </w:p>
    <w:p w14:paraId="217E5AAD" w14:textId="77777777" w:rsidR="000D7E75" w:rsidRDefault="000D7E75" w:rsidP="00DE6E94">
      <w:pPr>
        <w:pStyle w:val="ListParagraph"/>
        <w:numPr>
          <w:ilvl w:val="0"/>
          <w:numId w:val="63"/>
        </w:numPr>
        <w:rPr>
          <w:rFonts w:ascii="Calibri" w:eastAsia="Times New Roman" w:hAnsi="Calibri" w:cs="Calibri"/>
        </w:rPr>
      </w:pPr>
      <w:r>
        <w:rPr>
          <w:rFonts w:ascii="Calibri" w:eastAsia="Times New Roman" w:hAnsi="Calibri" w:cs="Calibri"/>
          <w:b/>
        </w:rPr>
        <w:lastRenderedPageBreak/>
        <w:t>Amounts of coarse plant detritus</w:t>
      </w:r>
      <w:r>
        <w:rPr>
          <w:rFonts w:ascii="Calibri" w:eastAsia="Times New Roman" w:hAnsi="Calibri" w:cs="Calibri"/>
        </w:rPr>
        <w:t xml:space="preserve"> – organic particles (</w:t>
      </w:r>
      <w:r w:rsidRPr="004F4E60">
        <w:rPr>
          <w:rFonts w:ascii="Cambria Math" w:eastAsia="Times New Roman" w:hAnsi="Cambria Math" w:cs="Cambria Math"/>
        </w:rPr>
        <w:t>⌀</w:t>
      </w:r>
      <w:r>
        <w:rPr>
          <w:rFonts w:ascii="Calibri" w:eastAsia="Times New Roman" w:hAnsi="Calibri" w:cs="Calibri"/>
        </w:rPr>
        <w:t xml:space="preserve"> </w:t>
      </w:r>
      <w:r w:rsidRPr="004F4E60">
        <w:rPr>
          <w:rFonts w:ascii="Calibri" w:eastAsia="Times New Roman" w:hAnsi="Calibri" w:cs="Calibri"/>
        </w:rPr>
        <w:t>≤ 20 mm</w:t>
      </w:r>
      <w:r>
        <w:rPr>
          <w:rFonts w:ascii="Calibri" w:eastAsia="Times New Roman" w:hAnsi="Calibri" w:cs="Calibri"/>
        </w:rPr>
        <w:t>)</w:t>
      </w:r>
      <w:r w:rsidRPr="004F4E60">
        <w:rPr>
          <w:rFonts w:ascii="Calibri" w:eastAsia="Times New Roman" w:hAnsi="Calibri" w:cs="Calibri"/>
        </w:rPr>
        <w:t xml:space="preserve"> </w:t>
      </w:r>
      <w:r>
        <w:rPr>
          <w:rFonts w:ascii="Calibri" w:eastAsia="Times New Roman" w:hAnsi="Calibri" w:cs="Calibri"/>
        </w:rPr>
        <w:t>which are a vital source of food and habitat for aquatic invertebrates and other small-bodied organisms.</w:t>
      </w:r>
    </w:p>
    <w:p w14:paraId="6F31A431" w14:textId="6745F215" w:rsidR="000D7E75" w:rsidRDefault="000D7E75" w:rsidP="00DE6E94">
      <w:pPr>
        <w:pStyle w:val="ListParagraph"/>
        <w:numPr>
          <w:ilvl w:val="0"/>
          <w:numId w:val="63"/>
        </w:numPr>
        <w:rPr>
          <w:rFonts w:ascii="Calibri" w:eastAsia="Times New Roman" w:hAnsi="Calibri" w:cs="Calibri"/>
        </w:rPr>
      </w:pPr>
      <w:r>
        <w:rPr>
          <w:rFonts w:ascii="Calibri" w:eastAsia="Times New Roman" w:hAnsi="Calibri" w:cs="Calibri"/>
          <w:b/>
        </w:rPr>
        <w:t>Abundance and diversity of aquatic invertebrates</w:t>
      </w:r>
      <w:r>
        <w:rPr>
          <w:rFonts w:ascii="Calibri" w:eastAsia="Times New Roman" w:hAnsi="Calibri" w:cs="Calibri"/>
        </w:rPr>
        <w:t xml:space="preserve"> – Shrimp and aquatic insects, which may depend on complex habitats and/or resources of detritus</w:t>
      </w:r>
    </w:p>
    <w:p w14:paraId="5E74DE97" w14:textId="77777777" w:rsidR="000D7E75" w:rsidRDefault="000D7E75" w:rsidP="000D7E75">
      <w:pPr>
        <w:rPr>
          <w:rFonts w:ascii="Calibri" w:eastAsia="Times New Roman" w:hAnsi="Calibri" w:cs="Calibri"/>
        </w:rPr>
      </w:pPr>
      <w:r>
        <w:rPr>
          <w:rFonts w:ascii="Calibri" w:eastAsia="Times New Roman" w:hAnsi="Calibri" w:cs="Calibri"/>
        </w:rPr>
        <w:t xml:space="preserve">Surveys were conducted and samples collected concurrently from six </w:t>
      </w:r>
      <w:proofErr w:type="spellStart"/>
      <w:r>
        <w:rPr>
          <w:rFonts w:ascii="Calibri" w:eastAsia="Times New Roman" w:hAnsi="Calibri" w:cs="Calibri"/>
        </w:rPr>
        <w:t>slackwaters</w:t>
      </w:r>
      <w:proofErr w:type="spellEnd"/>
      <w:r>
        <w:rPr>
          <w:rFonts w:ascii="Calibri" w:eastAsia="Times New Roman" w:hAnsi="Calibri" w:cs="Calibri"/>
        </w:rPr>
        <w:t xml:space="preserve"> (3 Wide, 3 Narrow) at each of the four sites. </w:t>
      </w:r>
      <w:r w:rsidRPr="000B68E3">
        <w:rPr>
          <w:rFonts w:ascii="Calibri" w:eastAsia="Times New Roman" w:hAnsi="Calibri" w:cs="Calibri"/>
        </w:rPr>
        <w:t xml:space="preserve">Within each </w:t>
      </w:r>
      <w:proofErr w:type="spellStart"/>
      <w:r w:rsidRPr="000B68E3">
        <w:rPr>
          <w:rFonts w:ascii="Calibri" w:eastAsia="Times New Roman" w:hAnsi="Calibri" w:cs="Calibri"/>
        </w:rPr>
        <w:t>slackwater</w:t>
      </w:r>
      <w:proofErr w:type="spellEnd"/>
      <w:r w:rsidRPr="000B68E3">
        <w:rPr>
          <w:rFonts w:ascii="Calibri" w:eastAsia="Times New Roman" w:hAnsi="Calibri" w:cs="Calibri"/>
        </w:rPr>
        <w:t xml:space="preserve">, densities of wood, </w:t>
      </w:r>
      <w:r>
        <w:rPr>
          <w:rFonts w:ascii="Calibri" w:eastAsia="Times New Roman" w:hAnsi="Calibri" w:cs="Calibri"/>
        </w:rPr>
        <w:t xml:space="preserve">vegetation and plant detritus </w:t>
      </w:r>
      <w:r w:rsidRPr="000B68E3">
        <w:rPr>
          <w:rFonts w:ascii="Calibri" w:eastAsia="Times New Roman" w:hAnsi="Calibri" w:cs="Calibri"/>
        </w:rPr>
        <w:t>were surveyed along transects</w:t>
      </w:r>
      <w:r>
        <w:rPr>
          <w:rFonts w:ascii="Calibri" w:eastAsia="Times New Roman" w:hAnsi="Calibri" w:cs="Calibri"/>
        </w:rPr>
        <w:t>. S</w:t>
      </w:r>
      <w:r w:rsidRPr="000B68E3">
        <w:rPr>
          <w:rFonts w:ascii="Calibri" w:eastAsia="Times New Roman" w:hAnsi="Calibri" w:cs="Calibri"/>
        </w:rPr>
        <w:t>amples of invertebrates (shrimp and aquatic insects) were collected with a standard</w:t>
      </w:r>
      <w:r>
        <w:rPr>
          <w:rFonts w:ascii="Calibri" w:eastAsia="Times New Roman" w:hAnsi="Calibri" w:cs="Calibri"/>
        </w:rPr>
        <w:t xml:space="preserve"> sweep-net technique. Data collected during Survey 2 will be used to test four main hypotheses:</w:t>
      </w:r>
    </w:p>
    <w:p w14:paraId="448C2B2F" w14:textId="77777777" w:rsidR="000D7E75" w:rsidRDefault="000D7E75" w:rsidP="000D7E75">
      <w:pPr>
        <w:ind w:firstLine="720"/>
        <w:rPr>
          <w:rFonts w:ascii="Calibri" w:eastAsia="Times New Roman" w:hAnsi="Calibri" w:cs="Calibri"/>
        </w:rPr>
      </w:pPr>
      <w:r w:rsidRPr="00542212">
        <w:rPr>
          <w:b/>
          <w:i/>
          <w:lang w:eastAsia="en-US"/>
        </w:rPr>
        <w:t>H</w:t>
      </w:r>
      <w:r w:rsidRPr="00542212">
        <w:rPr>
          <w:b/>
          <w:i/>
          <w:vertAlign w:val="subscript"/>
          <w:lang w:eastAsia="en-US"/>
        </w:rPr>
        <w:t>1</w:t>
      </w:r>
      <w:r w:rsidRPr="00542212">
        <w:rPr>
          <w:b/>
          <w:i/>
          <w:lang w:eastAsia="en-US"/>
        </w:rPr>
        <w:t>:</w:t>
      </w:r>
      <w:r w:rsidRPr="00542212">
        <w:rPr>
          <w:i/>
          <w:lang w:eastAsia="en-US"/>
        </w:rPr>
        <w:t xml:space="preserve"> </w:t>
      </w:r>
      <w:r>
        <w:rPr>
          <w:i/>
          <w:lang w:eastAsia="en-US"/>
        </w:rPr>
        <w:t xml:space="preserve">Wide </w:t>
      </w:r>
      <w:proofErr w:type="spellStart"/>
      <w:r>
        <w:rPr>
          <w:i/>
          <w:lang w:eastAsia="en-US"/>
        </w:rPr>
        <w:t>slackwaters</w:t>
      </w:r>
      <w:proofErr w:type="spellEnd"/>
      <w:r>
        <w:rPr>
          <w:i/>
          <w:lang w:eastAsia="en-US"/>
        </w:rPr>
        <w:t xml:space="preserve"> </w:t>
      </w:r>
      <w:r w:rsidRPr="00542212">
        <w:rPr>
          <w:i/>
          <w:lang w:eastAsia="en-US"/>
        </w:rPr>
        <w:t xml:space="preserve">support more </w:t>
      </w:r>
      <w:r>
        <w:rPr>
          <w:i/>
          <w:lang w:eastAsia="en-US"/>
        </w:rPr>
        <w:t>species</w:t>
      </w:r>
      <w:r w:rsidRPr="00542212">
        <w:rPr>
          <w:i/>
          <w:lang w:eastAsia="en-US"/>
        </w:rPr>
        <w:t xml:space="preserve"> and more individuals than Narrow </w:t>
      </w:r>
      <w:proofErr w:type="spellStart"/>
      <w:r w:rsidRPr="00542212">
        <w:rPr>
          <w:i/>
          <w:lang w:eastAsia="en-US"/>
        </w:rPr>
        <w:t>slackwaters</w:t>
      </w:r>
      <w:proofErr w:type="spellEnd"/>
      <w:r w:rsidRPr="00542212">
        <w:rPr>
          <w:i/>
          <w:lang w:eastAsia="en-US"/>
        </w:rPr>
        <w:t>.</w:t>
      </w:r>
    </w:p>
    <w:p w14:paraId="50618C3B" w14:textId="77777777" w:rsidR="000D7E75" w:rsidRPr="000B68E3" w:rsidRDefault="000D7E75" w:rsidP="000D7E75">
      <w:pPr>
        <w:ind w:left="720"/>
        <w:rPr>
          <w:rFonts w:ascii="Calibri" w:eastAsia="Times New Roman" w:hAnsi="Calibri" w:cs="Calibri"/>
          <w:i/>
        </w:rPr>
      </w:pPr>
      <w:r w:rsidRPr="000B68E3">
        <w:rPr>
          <w:rFonts w:ascii="Calibri" w:eastAsia="Times New Roman" w:hAnsi="Calibri" w:cs="Calibri"/>
          <w:b/>
          <w:i/>
        </w:rPr>
        <w:t>H</w:t>
      </w:r>
      <w:r w:rsidRPr="000B68E3">
        <w:rPr>
          <w:rFonts w:ascii="Calibri" w:eastAsia="Times New Roman" w:hAnsi="Calibri" w:cs="Calibri"/>
          <w:b/>
          <w:i/>
          <w:vertAlign w:val="subscript"/>
        </w:rPr>
        <w:t>2</w:t>
      </w:r>
      <w:r w:rsidRPr="000B68E3">
        <w:rPr>
          <w:rFonts w:ascii="Calibri" w:eastAsia="Times New Roman" w:hAnsi="Calibri" w:cs="Calibri"/>
          <w:b/>
          <w:i/>
        </w:rPr>
        <w:t>:</w:t>
      </w:r>
      <w:r w:rsidRPr="000B68E3">
        <w:rPr>
          <w:rFonts w:ascii="Calibri" w:eastAsia="Times New Roman" w:hAnsi="Calibri" w:cs="Calibri"/>
          <w:i/>
        </w:rPr>
        <w:t xml:space="preserve"> </w:t>
      </w:r>
      <w:proofErr w:type="spellStart"/>
      <w:r w:rsidRPr="000B68E3">
        <w:rPr>
          <w:rFonts w:ascii="Calibri" w:eastAsia="Times New Roman" w:hAnsi="Calibri" w:cs="Calibri"/>
          <w:i/>
        </w:rPr>
        <w:t>Slackwaters</w:t>
      </w:r>
      <w:proofErr w:type="spellEnd"/>
      <w:r w:rsidRPr="000B68E3">
        <w:rPr>
          <w:rFonts w:ascii="Calibri" w:eastAsia="Times New Roman" w:hAnsi="Calibri" w:cs="Calibri"/>
          <w:i/>
        </w:rPr>
        <w:t xml:space="preserve"> with </w:t>
      </w:r>
      <w:r>
        <w:rPr>
          <w:rFonts w:ascii="Calibri" w:eastAsia="Times New Roman" w:hAnsi="Calibri" w:cs="Calibri"/>
          <w:i/>
        </w:rPr>
        <w:t>more structural retentiveness (</w:t>
      </w:r>
      <w:proofErr w:type="gramStart"/>
      <w:r>
        <w:rPr>
          <w:rFonts w:ascii="Calibri" w:eastAsia="Times New Roman" w:hAnsi="Calibri" w:cs="Calibri"/>
          <w:i/>
        </w:rPr>
        <w:t>i.e.</w:t>
      </w:r>
      <w:proofErr w:type="gramEnd"/>
      <w:r>
        <w:rPr>
          <w:rFonts w:ascii="Calibri" w:eastAsia="Times New Roman" w:hAnsi="Calibri" w:cs="Calibri"/>
          <w:i/>
        </w:rPr>
        <w:t xml:space="preserve"> </w:t>
      </w:r>
      <w:r w:rsidRPr="000B68E3">
        <w:rPr>
          <w:rFonts w:ascii="Calibri" w:eastAsia="Times New Roman" w:hAnsi="Calibri" w:cs="Calibri"/>
          <w:i/>
        </w:rPr>
        <w:t>more wood and vegetation</w:t>
      </w:r>
      <w:r>
        <w:rPr>
          <w:rFonts w:ascii="Calibri" w:eastAsia="Times New Roman" w:hAnsi="Calibri" w:cs="Calibri"/>
          <w:i/>
        </w:rPr>
        <w:t>)</w:t>
      </w:r>
      <w:r w:rsidRPr="000B68E3">
        <w:rPr>
          <w:rFonts w:ascii="Calibri" w:eastAsia="Times New Roman" w:hAnsi="Calibri" w:cs="Calibri"/>
          <w:i/>
        </w:rPr>
        <w:t xml:space="preserve"> will retain more resources of plant detritus.</w:t>
      </w:r>
    </w:p>
    <w:p w14:paraId="494D8B53" w14:textId="77777777" w:rsidR="000D7E75" w:rsidRPr="000B68E3" w:rsidRDefault="000D7E75" w:rsidP="000D7E75">
      <w:pPr>
        <w:ind w:left="720"/>
        <w:rPr>
          <w:rFonts w:ascii="Calibri" w:eastAsia="Times New Roman" w:hAnsi="Calibri" w:cs="Calibri"/>
          <w:i/>
        </w:rPr>
      </w:pPr>
      <w:r w:rsidRPr="000B68E3">
        <w:rPr>
          <w:rFonts w:ascii="Calibri" w:eastAsia="Times New Roman" w:hAnsi="Calibri" w:cs="Calibri"/>
          <w:b/>
          <w:i/>
        </w:rPr>
        <w:t>H</w:t>
      </w:r>
      <w:r w:rsidRPr="000B68E3">
        <w:rPr>
          <w:rFonts w:ascii="Calibri" w:eastAsia="Times New Roman" w:hAnsi="Calibri" w:cs="Calibri"/>
          <w:b/>
          <w:i/>
          <w:vertAlign w:val="subscript"/>
        </w:rPr>
        <w:t>3</w:t>
      </w:r>
      <w:r w:rsidRPr="000B68E3">
        <w:rPr>
          <w:rFonts w:ascii="Calibri" w:eastAsia="Times New Roman" w:hAnsi="Calibri" w:cs="Calibri"/>
          <w:b/>
          <w:i/>
        </w:rPr>
        <w:t xml:space="preserve">: </w:t>
      </w:r>
      <w:proofErr w:type="spellStart"/>
      <w:r w:rsidRPr="000B68E3">
        <w:rPr>
          <w:rFonts w:ascii="Calibri" w:eastAsia="Times New Roman" w:hAnsi="Calibri" w:cs="Calibri"/>
          <w:i/>
        </w:rPr>
        <w:t>Slackwaters</w:t>
      </w:r>
      <w:proofErr w:type="spellEnd"/>
      <w:r w:rsidRPr="000B68E3">
        <w:rPr>
          <w:rFonts w:ascii="Calibri" w:eastAsia="Times New Roman" w:hAnsi="Calibri" w:cs="Calibri"/>
          <w:i/>
        </w:rPr>
        <w:t xml:space="preserve"> with more plant detritus will harbour higher abundance and diversity of invertebrates that require detritus resources.</w:t>
      </w:r>
    </w:p>
    <w:p w14:paraId="3EE6CB77" w14:textId="77777777" w:rsidR="000D7E75" w:rsidRPr="000B68E3" w:rsidRDefault="000D7E75" w:rsidP="000D7E75">
      <w:pPr>
        <w:ind w:left="720"/>
        <w:rPr>
          <w:rFonts w:ascii="Calibri" w:eastAsia="Times New Roman" w:hAnsi="Calibri" w:cs="Calibri"/>
          <w:i/>
        </w:rPr>
      </w:pPr>
      <w:r w:rsidRPr="000B68E3">
        <w:rPr>
          <w:rFonts w:ascii="Calibri" w:eastAsia="Times New Roman" w:hAnsi="Calibri" w:cs="Calibri"/>
          <w:b/>
          <w:i/>
        </w:rPr>
        <w:t>H</w:t>
      </w:r>
      <w:r w:rsidRPr="000B68E3">
        <w:rPr>
          <w:rFonts w:ascii="Calibri" w:eastAsia="Times New Roman" w:hAnsi="Calibri" w:cs="Calibri"/>
          <w:b/>
          <w:i/>
          <w:vertAlign w:val="subscript"/>
        </w:rPr>
        <w:t>4</w:t>
      </w:r>
      <w:r w:rsidRPr="000B68E3">
        <w:rPr>
          <w:rFonts w:ascii="Calibri" w:eastAsia="Times New Roman" w:hAnsi="Calibri" w:cs="Calibri"/>
          <w:b/>
          <w:i/>
        </w:rPr>
        <w:t>:</w:t>
      </w:r>
      <w:r w:rsidRPr="000B68E3">
        <w:rPr>
          <w:rFonts w:ascii="Calibri" w:eastAsia="Times New Roman" w:hAnsi="Calibri" w:cs="Calibri"/>
          <w:i/>
        </w:rPr>
        <w:t xml:space="preserve"> </w:t>
      </w:r>
      <w:proofErr w:type="spellStart"/>
      <w:r w:rsidRPr="000B68E3">
        <w:rPr>
          <w:rFonts w:ascii="Calibri" w:eastAsia="Times New Roman" w:hAnsi="Calibri" w:cs="Calibri"/>
          <w:i/>
        </w:rPr>
        <w:t>Slackwaters</w:t>
      </w:r>
      <w:proofErr w:type="spellEnd"/>
      <w:r w:rsidRPr="000B68E3">
        <w:rPr>
          <w:rFonts w:ascii="Calibri" w:eastAsia="Times New Roman" w:hAnsi="Calibri" w:cs="Calibri"/>
          <w:i/>
        </w:rPr>
        <w:t xml:space="preserve"> with more wood and vegetation will harbour higher abundance and diversity of invertebrates that require complex habitats.</w:t>
      </w:r>
    </w:p>
    <w:p w14:paraId="3594C262" w14:textId="77777777" w:rsidR="000D7E75" w:rsidRDefault="000D7E75" w:rsidP="00E877D7">
      <w:pPr>
        <w:rPr>
          <w:lang w:eastAsia="en-US"/>
        </w:rPr>
      </w:pPr>
    </w:p>
    <w:p w14:paraId="3E0188B2" w14:textId="010B9D0E" w:rsidR="000D7E75" w:rsidRPr="00987F88" w:rsidRDefault="000D7E75" w:rsidP="00E877D7">
      <w:pPr>
        <w:rPr>
          <w:rFonts w:eastAsia="Times New Roman"/>
          <w:b/>
          <w:u w:val="single"/>
        </w:rPr>
      </w:pPr>
      <w:r w:rsidRPr="00E877D7">
        <w:rPr>
          <w:b/>
          <w:i/>
          <w:lang w:eastAsia="en-US"/>
        </w:rPr>
        <w:t>Transect surveys</w:t>
      </w:r>
    </w:p>
    <w:p w14:paraId="5BE5EF40" w14:textId="7343D6ED" w:rsidR="000D7E75" w:rsidRDefault="000D7E75" w:rsidP="000D7E75">
      <w:pPr>
        <w:rPr>
          <w:rFonts w:ascii="Calibri" w:eastAsia="Times New Roman" w:hAnsi="Calibri" w:cs="Calibri"/>
        </w:rPr>
      </w:pPr>
      <w:r>
        <w:rPr>
          <w:rFonts w:ascii="Calibri" w:eastAsia="Times New Roman" w:hAnsi="Calibri" w:cs="Calibri"/>
        </w:rPr>
        <w:t xml:space="preserve">Amounts of wood (living trees and Large Woody Debris </w:t>
      </w:r>
      <w:r w:rsidRPr="004F4E60">
        <w:rPr>
          <w:rFonts w:ascii="Cambria Math" w:eastAsia="Times New Roman" w:hAnsi="Cambria Math" w:cs="Cambria Math"/>
        </w:rPr>
        <w:t>⌀</w:t>
      </w:r>
      <w:r>
        <w:rPr>
          <w:rFonts w:ascii="Cambria Math" w:eastAsia="Times New Roman" w:hAnsi="Cambria Math" w:cs="Cambria Math"/>
        </w:rPr>
        <w:t xml:space="preserve"> </w:t>
      </w:r>
      <w:r>
        <w:rPr>
          <w:rFonts w:ascii="Calibri" w:eastAsia="Times New Roman" w:hAnsi="Calibri" w:cs="Calibri"/>
        </w:rPr>
        <w:t>&gt;</w:t>
      </w:r>
      <w:r w:rsidRPr="004F4E60">
        <w:rPr>
          <w:rFonts w:ascii="Calibri" w:eastAsia="Times New Roman" w:hAnsi="Calibri" w:cs="Calibri"/>
        </w:rPr>
        <w:t xml:space="preserve"> </w:t>
      </w:r>
      <w:r>
        <w:rPr>
          <w:rFonts w:ascii="Calibri" w:eastAsia="Times New Roman" w:hAnsi="Calibri" w:cs="Calibri"/>
        </w:rPr>
        <w:t>5</w:t>
      </w:r>
      <w:r w:rsidRPr="004F4E60">
        <w:rPr>
          <w:rFonts w:ascii="Calibri" w:eastAsia="Times New Roman" w:hAnsi="Calibri" w:cs="Calibri"/>
        </w:rPr>
        <w:t>0 mm</w:t>
      </w:r>
      <w:r>
        <w:rPr>
          <w:rFonts w:ascii="Calibri" w:eastAsia="Times New Roman" w:hAnsi="Calibri" w:cs="Calibri"/>
        </w:rPr>
        <w:t xml:space="preserve">, Fine Woody Debris </w:t>
      </w:r>
      <w:r w:rsidRPr="004F4E60">
        <w:rPr>
          <w:rFonts w:ascii="Cambria Math" w:eastAsia="Times New Roman" w:hAnsi="Cambria Math" w:cs="Cambria Math"/>
        </w:rPr>
        <w:t>⌀</w:t>
      </w:r>
      <w:r>
        <w:rPr>
          <w:rFonts w:ascii="Cambria Math" w:eastAsia="Times New Roman" w:hAnsi="Cambria Math" w:cs="Cambria Math"/>
        </w:rPr>
        <w:t xml:space="preserve"> </w:t>
      </w:r>
      <w:r>
        <w:rPr>
          <w:rFonts w:ascii="Calibri" w:eastAsia="Times New Roman" w:hAnsi="Calibri" w:cs="Calibri"/>
        </w:rPr>
        <w:t>&lt;</w:t>
      </w:r>
      <w:r w:rsidRPr="004F4E60">
        <w:rPr>
          <w:rFonts w:ascii="Calibri" w:eastAsia="Times New Roman" w:hAnsi="Calibri" w:cs="Calibri"/>
        </w:rPr>
        <w:t xml:space="preserve"> </w:t>
      </w:r>
      <w:r>
        <w:rPr>
          <w:rFonts w:ascii="Calibri" w:eastAsia="Times New Roman" w:hAnsi="Calibri" w:cs="Calibri"/>
        </w:rPr>
        <w:t>5</w:t>
      </w:r>
      <w:r w:rsidRPr="004F4E60">
        <w:rPr>
          <w:rFonts w:ascii="Calibri" w:eastAsia="Times New Roman" w:hAnsi="Calibri" w:cs="Calibri"/>
        </w:rPr>
        <w:t>0 mm</w:t>
      </w:r>
      <w:r>
        <w:rPr>
          <w:rFonts w:ascii="Calibri" w:eastAsia="Times New Roman" w:hAnsi="Calibri" w:cs="Calibri"/>
        </w:rPr>
        <w:t xml:space="preserve">), vegetation, and coarse plant detritus </w:t>
      </w:r>
      <w:r w:rsidRPr="004F4E60">
        <w:rPr>
          <w:rFonts w:ascii="Calibri" w:eastAsia="Times New Roman" w:hAnsi="Calibri" w:cs="Calibri"/>
        </w:rPr>
        <w:t>(</w:t>
      </w:r>
      <w:r>
        <w:rPr>
          <w:rFonts w:ascii="Calibri" w:eastAsia="Times New Roman" w:hAnsi="Calibri" w:cs="Calibri"/>
        </w:rPr>
        <w:t>p</w:t>
      </w:r>
      <w:r w:rsidRPr="004F4E60">
        <w:rPr>
          <w:rFonts w:ascii="Calibri" w:eastAsia="Times New Roman" w:hAnsi="Calibri" w:cs="Calibri"/>
        </w:rPr>
        <w:t xml:space="preserve">articles ≤ 20 mm </w:t>
      </w:r>
      <w:r w:rsidRPr="004F4E60">
        <w:rPr>
          <w:rFonts w:ascii="Cambria Math" w:eastAsia="Times New Roman" w:hAnsi="Cambria Math" w:cs="Cambria Math"/>
        </w:rPr>
        <w:t>⌀</w:t>
      </w:r>
      <w:r w:rsidRPr="004F4E60">
        <w:rPr>
          <w:rFonts w:ascii="Calibri" w:eastAsia="Times New Roman" w:hAnsi="Calibri" w:cs="Calibri"/>
        </w:rPr>
        <w:t xml:space="preserve">) </w:t>
      </w:r>
      <w:r>
        <w:rPr>
          <w:rFonts w:ascii="Calibri" w:eastAsia="Times New Roman" w:hAnsi="Calibri" w:cs="Calibri"/>
        </w:rPr>
        <w:t>were surveyed along transects using the method of</w:t>
      </w:r>
      <w:r w:rsidRPr="003B0004">
        <w:rPr>
          <w:rFonts w:ascii="Calibri" w:eastAsia="Times New Roman" w:hAnsi="Calibri" w:cs="Calibri"/>
        </w:rPr>
        <w:t xml:space="preserve"> </w:t>
      </w:r>
      <w:r w:rsidR="00F1582C">
        <w:rPr>
          <w:rFonts w:ascii="Calibri" w:eastAsia="Times New Roman" w:hAnsi="Calibri" w:cs="Calibri"/>
          <w:noProof/>
        </w:rPr>
        <w:t>Bovill et al. (2020)</w:t>
      </w:r>
      <w:r w:rsidRPr="004F4E60">
        <w:rPr>
          <w:rFonts w:ascii="Calibri" w:eastAsia="Times New Roman" w:hAnsi="Calibri" w:cs="Calibri"/>
        </w:rPr>
        <w:t xml:space="preserve">. Transects were oriented perpendicular to flow and were randomly located (one </w:t>
      </w:r>
      <w:proofErr w:type="gramStart"/>
      <w:r w:rsidRPr="004F4E60">
        <w:rPr>
          <w:rFonts w:ascii="Calibri" w:eastAsia="Times New Roman" w:hAnsi="Calibri" w:cs="Calibri"/>
        </w:rPr>
        <w:t>transect</w:t>
      </w:r>
      <w:proofErr w:type="gramEnd"/>
      <w:r w:rsidRPr="004F4E60">
        <w:rPr>
          <w:rFonts w:ascii="Calibri" w:eastAsia="Times New Roman" w:hAnsi="Calibri" w:cs="Calibri"/>
        </w:rPr>
        <w:t xml:space="preserve"> per 5 m of </w:t>
      </w:r>
      <w:proofErr w:type="spellStart"/>
      <w:r w:rsidRPr="004F4E60">
        <w:rPr>
          <w:rFonts w:ascii="Calibri" w:eastAsia="Times New Roman" w:hAnsi="Calibri" w:cs="Calibri"/>
        </w:rPr>
        <w:t>slackwater</w:t>
      </w:r>
      <w:proofErr w:type="spellEnd"/>
      <w:r w:rsidRPr="004F4E60">
        <w:rPr>
          <w:rFonts w:ascii="Calibri" w:eastAsia="Times New Roman" w:hAnsi="Calibri" w:cs="Calibri"/>
        </w:rPr>
        <w:t xml:space="preserve"> length). Each transect was d</w:t>
      </w:r>
      <w:r>
        <w:rPr>
          <w:rFonts w:ascii="Calibri" w:eastAsia="Times New Roman" w:hAnsi="Calibri" w:cs="Calibri"/>
        </w:rPr>
        <w:t xml:space="preserve">ivided into wet and dry zones </w:t>
      </w:r>
      <w:r w:rsidR="00E32493" w:rsidRPr="003B0004">
        <w:rPr>
          <w:lang w:val="en-US" w:eastAsia="en-US"/>
        </w:rPr>
        <w:t>(</w:t>
      </w:r>
      <w:r w:rsidR="00B84C56">
        <w:t xml:space="preserve">Figure </w:t>
      </w:r>
      <w:r w:rsidR="00B84C56">
        <w:rPr>
          <w:noProof/>
        </w:rPr>
        <w:t>12</w:t>
      </w:r>
      <w:r w:rsidR="00B84C56">
        <w:noBreakHyphen/>
      </w:r>
      <w:r w:rsidR="00B84C56">
        <w:rPr>
          <w:noProof/>
        </w:rPr>
        <w:t>4</w:t>
      </w:r>
      <w:r w:rsidR="00E32493" w:rsidRPr="003B0004">
        <w:rPr>
          <w:lang w:val="en-US" w:eastAsia="en-US"/>
        </w:rPr>
        <w:t>)</w:t>
      </w:r>
      <w:r w:rsidRPr="003B0004">
        <w:rPr>
          <w:rFonts w:ascii="Calibri" w:eastAsia="Times New Roman" w:hAnsi="Calibri" w:cs="Calibri"/>
        </w:rPr>
        <w:t>,</w:t>
      </w:r>
      <w:r>
        <w:rPr>
          <w:rFonts w:ascii="Calibri" w:eastAsia="Times New Roman" w:hAnsi="Calibri" w:cs="Calibri"/>
        </w:rPr>
        <w:t xml:space="preserve"> with the </w:t>
      </w:r>
      <w:r w:rsidRPr="005205F2">
        <w:rPr>
          <w:rFonts w:ascii="Calibri" w:eastAsia="Times New Roman" w:hAnsi="Calibri" w:cs="Calibri"/>
        </w:rPr>
        <w:t>wet zone</w:t>
      </w:r>
      <w:r>
        <w:rPr>
          <w:rFonts w:ascii="Calibri" w:eastAsia="Times New Roman" w:hAnsi="Calibri" w:cs="Calibri"/>
          <w:b/>
        </w:rPr>
        <w:t xml:space="preserve"> </w:t>
      </w:r>
      <w:r>
        <w:rPr>
          <w:rFonts w:ascii="Calibri" w:eastAsia="Times New Roman" w:hAnsi="Calibri" w:cs="Calibri"/>
        </w:rPr>
        <w:t>e</w:t>
      </w:r>
      <w:r w:rsidRPr="004F4E60">
        <w:rPr>
          <w:rFonts w:ascii="Calibri" w:eastAsia="Times New Roman" w:hAnsi="Calibri" w:cs="Calibri"/>
        </w:rPr>
        <w:t>xtending from the water edge to the</w:t>
      </w:r>
      <w:r>
        <w:rPr>
          <w:rFonts w:ascii="Calibri" w:eastAsia="Times New Roman" w:hAnsi="Calibri" w:cs="Calibri"/>
        </w:rPr>
        <w:t xml:space="preserve"> </w:t>
      </w:r>
      <w:proofErr w:type="spellStart"/>
      <w:r>
        <w:rPr>
          <w:rFonts w:ascii="Calibri" w:eastAsia="Times New Roman" w:hAnsi="Calibri" w:cs="Calibri"/>
        </w:rPr>
        <w:t>slackwater</w:t>
      </w:r>
      <w:proofErr w:type="spellEnd"/>
      <w:r>
        <w:rPr>
          <w:rFonts w:ascii="Calibri" w:eastAsia="Times New Roman" w:hAnsi="Calibri" w:cs="Calibri"/>
        </w:rPr>
        <w:t xml:space="preserve"> boundary (velocity exceeding 0.05 m/s or depth exceeding 0.5 m) and </w:t>
      </w:r>
      <w:r w:rsidRPr="00D6281A">
        <w:rPr>
          <w:rFonts w:ascii="Calibri" w:eastAsia="Times New Roman" w:hAnsi="Calibri" w:cs="Calibri"/>
        </w:rPr>
        <w:t>the dry zone e</w:t>
      </w:r>
      <w:r>
        <w:rPr>
          <w:rFonts w:ascii="Calibri" w:eastAsia="Times New Roman" w:hAnsi="Calibri" w:cs="Calibri"/>
        </w:rPr>
        <w:t>xtending up the bank</w:t>
      </w:r>
      <w:r w:rsidRPr="004F4E60">
        <w:rPr>
          <w:rFonts w:ascii="Calibri" w:eastAsia="Times New Roman" w:hAnsi="Calibri" w:cs="Calibri"/>
        </w:rPr>
        <w:t xml:space="preserve"> from the water edge to </w:t>
      </w:r>
      <w:r>
        <w:rPr>
          <w:rFonts w:ascii="Calibri" w:eastAsia="Times New Roman" w:hAnsi="Calibri" w:cs="Calibri"/>
        </w:rPr>
        <w:t xml:space="preserve">approximately </w:t>
      </w:r>
      <w:r w:rsidRPr="004F4E60">
        <w:rPr>
          <w:rFonts w:ascii="Calibri" w:eastAsia="Times New Roman" w:hAnsi="Calibri" w:cs="Calibri"/>
        </w:rPr>
        <w:t xml:space="preserve">the 3000 ML / day </w:t>
      </w:r>
      <w:r>
        <w:rPr>
          <w:rFonts w:ascii="Calibri" w:eastAsia="Times New Roman" w:hAnsi="Calibri" w:cs="Calibri"/>
        </w:rPr>
        <w:t xml:space="preserve">water level </w:t>
      </w:r>
      <w:r w:rsidRPr="004F4E60">
        <w:rPr>
          <w:rFonts w:ascii="Calibri" w:eastAsia="Times New Roman" w:hAnsi="Calibri" w:cs="Calibri"/>
        </w:rPr>
        <w:t xml:space="preserve">(~50 cm above </w:t>
      </w:r>
      <w:r>
        <w:rPr>
          <w:rFonts w:ascii="Calibri" w:eastAsia="Times New Roman" w:hAnsi="Calibri" w:cs="Calibri"/>
        </w:rPr>
        <w:t>the water level at time of sampling</w:t>
      </w:r>
      <w:r w:rsidRPr="004F4E60">
        <w:rPr>
          <w:rFonts w:ascii="Calibri" w:eastAsia="Times New Roman" w:hAnsi="Calibri" w:cs="Calibri"/>
        </w:rPr>
        <w:t xml:space="preserve">). Surveys of the wet zone describe </w:t>
      </w:r>
      <w:r>
        <w:rPr>
          <w:rFonts w:ascii="Calibri" w:eastAsia="Times New Roman" w:hAnsi="Calibri" w:cs="Calibri"/>
        </w:rPr>
        <w:t>instantaneous</w:t>
      </w:r>
      <w:r w:rsidRPr="004F4E60">
        <w:rPr>
          <w:rFonts w:ascii="Calibri" w:eastAsia="Times New Roman" w:hAnsi="Calibri" w:cs="Calibri"/>
        </w:rPr>
        <w:t xml:space="preserve"> </w:t>
      </w:r>
      <w:r>
        <w:rPr>
          <w:rFonts w:ascii="Calibri" w:eastAsia="Times New Roman" w:hAnsi="Calibri" w:cs="Calibri"/>
        </w:rPr>
        <w:t>amount</w:t>
      </w:r>
      <w:r w:rsidRPr="004F4E60">
        <w:rPr>
          <w:rFonts w:ascii="Calibri" w:eastAsia="Times New Roman" w:hAnsi="Calibri" w:cs="Calibri"/>
        </w:rPr>
        <w:t>s of vegetation and woody structure (habitat</w:t>
      </w:r>
      <w:r>
        <w:rPr>
          <w:rFonts w:ascii="Calibri" w:eastAsia="Times New Roman" w:hAnsi="Calibri" w:cs="Calibri"/>
        </w:rPr>
        <w:t xml:space="preserve"> complexity</w:t>
      </w:r>
      <w:r w:rsidRPr="004F4E60">
        <w:rPr>
          <w:rFonts w:ascii="Calibri" w:eastAsia="Times New Roman" w:hAnsi="Calibri" w:cs="Calibri"/>
        </w:rPr>
        <w:t xml:space="preserve">) and detritus (resources/carbon) available to biota </w:t>
      </w:r>
      <w:r>
        <w:rPr>
          <w:rFonts w:ascii="Calibri" w:eastAsia="Times New Roman" w:hAnsi="Calibri" w:cs="Calibri"/>
        </w:rPr>
        <w:t>at the time that invertebrate samples were collected (see Sweep Samples below)</w:t>
      </w:r>
      <w:r w:rsidRPr="00D6281A">
        <w:rPr>
          <w:rFonts w:ascii="Calibri" w:eastAsia="Times New Roman" w:hAnsi="Calibri" w:cs="Calibri"/>
        </w:rPr>
        <w:t>.</w:t>
      </w:r>
      <w:r>
        <w:rPr>
          <w:rFonts w:ascii="Calibri" w:eastAsia="Times New Roman" w:hAnsi="Calibri" w:cs="Calibri"/>
        </w:rPr>
        <w:t xml:space="preserve"> Surveys </w:t>
      </w:r>
      <w:r w:rsidRPr="004F4E60">
        <w:rPr>
          <w:rFonts w:ascii="Calibri" w:eastAsia="Times New Roman" w:hAnsi="Calibri" w:cs="Calibri"/>
        </w:rPr>
        <w:t xml:space="preserve">of the dry zone describe the prospective densities of wood, vegetation and detritus that may become </w:t>
      </w:r>
      <w:r>
        <w:rPr>
          <w:rFonts w:ascii="Calibri" w:eastAsia="Times New Roman" w:hAnsi="Calibri" w:cs="Calibri"/>
        </w:rPr>
        <w:t>periodically</w:t>
      </w:r>
      <w:r w:rsidRPr="004F4E60">
        <w:rPr>
          <w:rFonts w:ascii="Calibri" w:eastAsia="Times New Roman" w:hAnsi="Calibri" w:cs="Calibri"/>
        </w:rPr>
        <w:t xml:space="preserve"> available </w:t>
      </w:r>
      <w:r>
        <w:rPr>
          <w:rFonts w:ascii="Calibri" w:eastAsia="Times New Roman" w:hAnsi="Calibri" w:cs="Calibri"/>
        </w:rPr>
        <w:t xml:space="preserve">as </w:t>
      </w:r>
      <w:r w:rsidRPr="004F4E60">
        <w:rPr>
          <w:rFonts w:ascii="Calibri" w:eastAsia="Times New Roman" w:hAnsi="Calibri" w:cs="Calibri"/>
        </w:rPr>
        <w:t>water levels</w:t>
      </w:r>
      <w:r>
        <w:rPr>
          <w:rFonts w:ascii="Calibri" w:eastAsia="Times New Roman" w:hAnsi="Calibri" w:cs="Calibri"/>
        </w:rPr>
        <w:t xml:space="preserve"> fluctuate</w:t>
      </w:r>
      <w:r w:rsidRPr="004F4E60">
        <w:rPr>
          <w:rFonts w:ascii="Calibri" w:eastAsia="Times New Roman" w:hAnsi="Calibri" w:cs="Calibri"/>
        </w:rPr>
        <w:t xml:space="preserve">. </w:t>
      </w:r>
    </w:p>
    <w:p w14:paraId="1F185B3F" w14:textId="77777777" w:rsidR="000D7E75" w:rsidRDefault="000D7E75" w:rsidP="000D7E75">
      <w:pPr>
        <w:rPr>
          <w:rFonts w:ascii="Calibri" w:eastAsia="Times New Roman" w:hAnsi="Calibri" w:cs="Calibri"/>
        </w:rPr>
      </w:pPr>
      <w:r>
        <w:rPr>
          <w:rFonts w:ascii="Calibri" w:eastAsia="Times New Roman" w:hAnsi="Calibri" w:cs="Calibri"/>
        </w:rPr>
        <w:t xml:space="preserve">Along each transect, the total amount (m) of wood, vegetation and detritus was </w:t>
      </w:r>
      <w:proofErr w:type="gramStart"/>
      <w:r>
        <w:rPr>
          <w:rFonts w:ascii="Calibri" w:eastAsia="Times New Roman" w:hAnsi="Calibri" w:cs="Calibri"/>
        </w:rPr>
        <w:t>measured</w:t>
      </w:r>
      <w:proofErr w:type="gramEnd"/>
      <w:r>
        <w:rPr>
          <w:rFonts w:ascii="Calibri" w:eastAsia="Times New Roman" w:hAnsi="Calibri" w:cs="Calibri"/>
        </w:rPr>
        <w:t xml:space="preserve"> and these raw amounts may be converted to linear densities (e.g. m of wood / m of transect) for comparisons between </w:t>
      </w:r>
      <w:proofErr w:type="spellStart"/>
      <w:r>
        <w:rPr>
          <w:rFonts w:ascii="Calibri" w:eastAsia="Times New Roman" w:hAnsi="Calibri" w:cs="Calibri"/>
        </w:rPr>
        <w:t>slackwaters</w:t>
      </w:r>
      <w:proofErr w:type="spellEnd"/>
      <w:r>
        <w:rPr>
          <w:rFonts w:ascii="Calibri" w:eastAsia="Times New Roman" w:hAnsi="Calibri" w:cs="Calibri"/>
        </w:rPr>
        <w:t xml:space="preserve">. Analysis of these data is </w:t>
      </w:r>
      <w:proofErr w:type="gramStart"/>
      <w:r>
        <w:rPr>
          <w:rFonts w:ascii="Calibri" w:eastAsia="Times New Roman" w:hAnsi="Calibri" w:cs="Calibri"/>
        </w:rPr>
        <w:t>underway</w:t>
      </w:r>
      <w:proofErr w:type="gramEnd"/>
      <w:r>
        <w:rPr>
          <w:rFonts w:ascii="Calibri" w:eastAsia="Times New Roman" w:hAnsi="Calibri" w:cs="Calibri"/>
        </w:rPr>
        <w:t xml:space="preserve"> but it is premature to present any results in this report. </w:t>
      </w:r>
    </w:p>
    <w:p w14:paraId="710926E4" w14:textId="77777777" w:rsidR="00E32493" w:rsidRDefault="000D7E75" w:rsidP="00E32493">
      <w:pPr>
        <w:pStyle w:val="Para0"/>
        <w:keepNext/>
        <w:jc w:val="center"/>
      </w:pPr>
      <w:r>
        <w:rPr>
          <w:noProof/>
          <w:lang w:val="en-GB"/>
        </w:rPr>
        <w:drawing>
          <wp:inline distT="0" distB="0" distL="0" distR="0" wp14:anchorId="3A5A5C7A" wp14:editId="7252DB44">
            <wp:extent cx="2878905" cy="1905000"/>
            <wp:effectExtent l="0" t="0" r="0" b="0"/>
            <wp:docPr id="490" name="Picture 490"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A picture containing tree, outdoor&#10;&#10;Description automatically generated"/>
                    <pic:cNvPicPr/>
                  </pic:nvPicPr>
                  <pic:blipFill>
                    <a:blip r:embed="rId109" cstate="email">
                      <a:extLst>
                        <a:ext uri="{28A0092B-C50C-407E-A947-70E740481C1C}">
                          <a14:useLocalDpi xmlns:a14="http://schemas.microsoft.com/office/drawing/2010/main"/>
                        </a:ext>
                      </a:extLst>
                    </a:blip>
                    <a:stretch>
                      <a:fillRect/>
                    </a:stretch>
                  </pic:blipFill>
                  <pic:spPr>
                    <a:xfrm>
                      <a:off x="0" y="0"/>
                      <a:ext cx="2901871" cy="1920197"/>
                    </a:xfrm>
                    <a:prstGeom prst="rect">
                      <a:avLst/>
                    </a:prstGeom>
                  </pic:spPr>
                </pic:pic>
              </a:graphicData>
            </a:graphic>
          </wp:inline>
        </w:drawing>
      </w:r>
    </w:p>
    <w:p w14:paraId="054DCE27" w14:textId="1B77DB63" w:rsidR="000D7E75" w:rsidRDefault="00E32493" w:rsidP="00E32493">
      <w:pPr>
        <w:pStyle w:val="Caption"/>
      </w:pPr>
      <w:bookmarkStart w:id="697" w:name="_Ref83827509"/>
      <w:bookmarkStart w:id="698" w:name="_Toc83907803"/>
      <w:bookmarkStart w:id="699" w:name="_Toc84475780"/>
      <w:r>
        <w:t xml:space="preserve">Figure </w:t>
      </w:r>
      <w:r w:rsidR="00B23510">
        <w:rPr>
          <w:noProof/>
        </w:rPr>
        <w:t>12</w:t>
      </w:r>
      <w:r w:rsidR="00B85158">
        <w:noBreakHyphen/>
      </w:r>
      <w:r w:rsidR="00B23510">
        <w:rPr>
          <w:noProof/>
        </w:rPr>
        <w:t>4</w:t>
      </w:r>
      <w:bookmarkEnd w:id="697"/>
      <w:r>
        <w:t xml:space="preserve"> </w:t>
      </w:r>
      <w:r w:rsidRPr="00FA5073">
        <w:t>Example of cross sectional transects (dotted lines) encompassing parts of the dry and wet channel.</w:t>
      </w:r>
      <w:bookmarkEnd w:id="698"/>
      <w:bookmarkEnd w:id="699"/>
    </w:p>
    <w:p w14:paraId="2839DFF7" w14:textId="77777777" w:rsidR="000D7E75" w:rsidRDefault="000D7E75" w:rsidP="000D7E75">
      <w:pPr>
        <w:rPr>
          <w:color w:val="FF0000"/>
          <w:lang w:val="en-US" w:eastAsia="en-US"/>
        </w:rPr>
      </w:pPr>
    </w:p>
    <w:p w14:paraId="7AE4A462" w14:textId="572B03B3" w:rsidR="000D7E75" w:rsidRPr="00987F88" w:rsidRDefault="000D7E75" w:rsidP="00E877D7">
      <w:pPr>
        <w:rPr>
          <w:rFonts w:eastAsia="Times New Roman"/>
          <w:b/>
          <w:u w:val="single"/>
        </w:rPr>
      </w:pPr>
      <w:r w:rsidRPr="00E877D7">
        <w:rPr>
          <w:b/>
          <w:i/>
          <w:lang w:eastAsia="en-US"/>
        </w:rPr>
        <w:t>Sweep samples</w:t>
      </w:r>
    </w:p>
    <w:p w14:paraId="385F757A" w14:textId="166745CC" w:rsidR="000D7E75" w:rsidRPr="0009492E" w:rsidRDefault="000D7E75" w:rsidP="0009492E">
      <w:pPr>
        <w:rPr>
          <w:rFonts w:ascii="Calibri" w:eastAsia="Times New Roman" w:hAnsi="Calibri" w:cs="Calibri"/>
        </w:rPr>
      </w:pPr>
      <w:r>
        <w:rPr>
          <w:rFonts w:ascii="Calibri" w:eastAsia="Times New Roman" w:hAnsi="Calibri" w:cs="Calibri"/>
        </w:rPr>
        <w:t xml:space="preserve">Each </w:t>
      </w:r>
      <w:proofErr w:type="spellStart"/>
      <w:r>
        <w:rPr>
          <w:rFonts w:ascii="Calibri" w:eastAsia="Times New Roman" w:hAnsi="Calibri" w:cs="Calibri"/>
        </w:rPr>
        <w:t>slackwater</w:t>
      </w:r>
      <w:proofErr w:type="spellEnd"/>
      <w:r>
        <w:rPr>
          <w:rFonts w:ascii="Calibri" w:eastAsia="Times New Roman" w:hAnsi="Calibri" w:cs="Calibri"/>
        </w:rPr>
        <w:t xml:space="preserve"> was sampled for invertebrates with three replicate sweep samples. Replicate sampling areas were randomly located,</w:t>
      </w:r>
      <w:r w:rsidRPr="00455D99">
        <w:rPr>
          <w:rFonts w:ascii="Calibri" w:eastAsia="Times New Roman" w:hAnsi="Calibri" w:cs="Calibri"/>
        </w:rPr>
        <w:t xml:space="preserve"> </w:t>
      </w:r>
      <w:r>
        <w:rPr>
          <w:rFonts w:ascii="Calibri" w:eastAsia="Times New Roman" w:hAnsi="Calibri" w:cs="Calibri"/>
        </w:rPr>
        <w:t xml:space="preserve">and each covered an area bounded by the waterline and the </w:t>
      </w:r>
      <w:proofErr w:type="spellStart"/>
      <w:r>
        <w:rPr>
          <w:rFonts w:ascii="Calibri" w:eastAsia="Times New Roman" w:hAnsi="Calibri" w:cs="Calibri"/>
        </w:rPr>
        <w:t>slackwater</w:t>
      </w:r>
      <w:proofErr w:type="spellEnd"/>
      <w:r>
        <w:rPr>
          <w:rFonts w:ascii="Calibri" w:eastAsia="Times New Roman" w:hAnsi="Calibri" w:cs="Calibri"/>
        </w:rPr>
        <w:t xml:space="preserve"> boundary and extending for 10 % </w:t>
      </w:r>
      <w:r>
        <w:rPr>
          <w:rFonts w:ascii="Calibri" w:eastAsia="Times New Roman" w:hAnsi="Calibri" w:cs="Calibri"/>
        </w:rPr>
        <w:lastRenderedPageBreak/>
        <w:t xml:space="preserve">of total </w:t>
      </w:r>
      <w:proofErr w:type="spellStart"/>
      <w:r>
        <w:rPr>
          <w:rFonts w:ascii="Calibri" w:eastAsia="Times New Roman" w:hAnsi="Calibri" w:cs="Calibri"/>
        </w:rPr>
        <w:t>slackwater</w:t>
      </w:r>
      <w:proofErr w:type="spellEnd"/>
      <w:r>
        <w:rPr>
          <w:rFonts w:ascii="Calibri" w:eastAsia="Times New Roman" w:hAnsi="Calibri" w:cs="Calibri"/>
        </w:rPr>
        <w:t xml:space="preserve"> length. A standard dipnet (frame: 300 mm × 300 mm; mesh: 500 µm) was swept vigorously through each replicate area for approximately 30s until all parts of the area had been sampled. Samples were p</w:t>
      </w:r>
      <w:r w:rsidRPr="00455D99">
        <w:rPr>
          <w:rFonts w:ascii="Calibri" w:eastAsia="Times New Roman" w:hAnsi="Calibri" w:cs="Calibri"/>
        </w:rPr>
        <w:t xml:space="preserve">ooled to produce one sample </w:t>
      </w:r>
      <w:r>
        <w:rPr>
          <w:rFonts w:ascii="Calibri" w:eastAsia="Times New Roman" w:hAnsi="Calibri" w:cs="Calibri"/>
        </w:rPr>
        <w:t>of invertebrates per</w:t>
      </w:r>
      <w:r w:rsidRPr="00455D99">
        <w:rPr>
          <w:rFonts w:ascii="Calibri" w:eastAsia="Times New Roman" w:hAnsi="Calibri" w:cs="Calibri"/>
        </w:rPr>
        <w:t xml:space="preserve"> </w:t>
      </w:r>
      <w:proofErr w:type="spellStart"/>
      <w:r w:rsidRPr="00455D99">
        <w:rPr>
          <w:rFonts w:ascii="Calibri" w:eastAsia="Times New Roman" w:hAnsi="Calibri" w:cs="Calibri"/>
        </w:rPr>
        <w:t>slackwater</w:t>
      </w:r>
      <w:proofErr w:type="spellEnd"/>
      <w:r>
        <w:rPr>
          <w:rFonts w:ascii="Calibri" w:eastAsia="Times New Roman" w:hAnsi="Calibri" w:cs="Calibri"/>
        </w:rPr>
        <w:t xml:space="preserve">, collected from approximately 30 % of the </w:t>
      </w:r>
      <w:proofErr w:type="spellStart"/>
      <w:r>
        <w:rPr>
          <w:rFonts w:ascii="Calibri" w:eastAsia="Times New Roman" w:hAnsi="Calibri" w:cs="Calibri"/>
        </w:rPr>
        <w:t>slackwater</w:t>
      </w:r>
      <w:proofErr w:type="spellEnd"/>
      <w:r>
        <w:rPr>
          <w:rFonts w:ascii="Calibri" w:eastAsia="Times New Roman" w:hAnsi="Calibri" w:cs="Calibri"/>
        </w:rPr>
        <w:t xml:space="preserve"> area</w:t>
      </w:r>
      <w:r w:rsidRPr="00455D99">
        <w:rPr>
          <w:rFonts w:ascii="Calibri" w:eastAsia="Times New Roman" w:hAnsi="Calibri" w:cs="Calibri"/>
        </w:rPr>
        <w:t>.</w:t>
      </w:r>
      <w:r>
        <w:rPr>
          <w:rFonts w:ascii="Calibri" w:eastAsia="Times New Roman" w:hAnsi="Calibri" w:cs="Calibri"/>
        </w:rPr>
        <w:t xml:space="preserve"> </w:t>
      </w:r>
      <w:r w:rsidRPr="00455D99">
        <w:rPr>
          <w:rFonts w:ascii="Calibri" w:eastAsia="Times New Roman" w:hAnsi="Calibri" w:cs="Calibri"/>
        </w:rPr>
        <w:t xml:space="preserve">Samples </w:t>
      </w:r>
      <w:r>
        <w:rPr>
          <w:rFonts w:ascii="Calibri" w:eastAsia="Times New Roman" w:hAnsi="Calibri" w:cs="Calibri"/>
        </w:rPr>
        <w:t>were preserved in 70 % Ethanol and will be processed later in 2021.</w:t>
      </w:r>
    </w:p>
    <w:p w14:paraId="412AA82E" w14:textId="49562288" w:rsidR="000D7E75" w:rsidRDefault="000D7E75" w:rsidP="00171C6D">
      <w:pPr>
        <w:pStyle w:val="Heading2"/>
      </w:pPr>
      <w:bookmarkStart w:id="700" w:name="_Toc84417438"/>
      <w:bookmarkStart w:id="701" w:name="_Toc84475730"/>
      <w:r>
        <w:t xml:space="preserve">Field </w:t>
      </w:r>
      <w:r w:rsidR="001874ED">
        <w:t>e</w:t>
      </w:r>
      <w:r>
        <w:t>xperiment</w:t>
      </w:r>
      <w:bookmarkEnd w:id="700"/>
      <w:bookmarkEnd w:id="701"/>
    </w:p>
    <w:p w14:paraId="1C82C4E7" w14:textId="77777777" w:rsidR="000D7E75" w:rsidRPr="008969B8" w:rsidRDefault="000D7E75" w:rsidP="008969B8">
      <w:pPr>
        <w:rPr>
          <w:lang w:eastAsia="en-US"/>
        </w:rPr>
      </w:pPr>
      <w:r w:rsidRPr="008969B8">
        <w:rPr>
          <w:lang w:eastAsia="en-US"/>
        </w:rPr>
        <w:t xml:space="preserve">Plant detritus (leaves, bark, wood) is an important base resource that provides food and habitat for a variety of small organisms such as shrimp, aquatic insects and potentially, larval fishes. In rivers, plant detritus accumulates by deposition in hydraulic dead-zones (hydraulic retention) and on hard structures such as wood and vegetation that trap and hold onto drifting detritus in flowing water (structural retention). </w:t>
      </w:r>
    </w:p>
    <w:p w14:paraId="5FC8A3BD" w14:textId="61EE95D5" w:rsidR="000D7E75" w:rsidRPr="008969B8" w:rsidRDefault="000D7E75" w:rsidP="008969B8">
      <w:pPr>
        <w:rPr>
          <w:lang w:eastAsia="en-US"/>
        </w:rPr>
      </w:pPr>
      <w:proofErr w:type="spellStart"/>
      <w:r w:rsidRPr="008969B8">
        <w:rPr>
          <w:lang w:eastAsia="en-US"/>
        </w:rPr>
        <w:t>Slackwaters</w:t>
      </w:r>
      <w:proofErr w:type="spellEnd"/>
      <w:r w:rsidRPr="008969B8">
        <w:rPr>
          <w:lang w:eastAsia="en-US"/>
        </w:rPr>
        <w:t xml:space="preserve"> may accumulate detritus by hydraulic retention, but many of the </w:t>
      </w:r>
      <w:proofErr w:type="spellStart"/>
      <w:r w:rsidRPr="008969B8">
        <w:rPr>
          <w:lang w:eastAsia="en-US"/>
        </w:rPr>
        <w:t>slackwaters</w:t>
      </w:r>
      <w:proofErr w:type="spellEnd"/>
      <w:r w:rsidRPr="008969B8">
        <w:rPr>
          <w:lang w:eastAsia="en-US"/>
        </w:rPr>
        <w:t xml:space="preserve"> studied in Survey 2 lack significant structural features (wood, vegetation). We predict that stocks of detritus may be washed away from these </w:t>
      </w:r>
      <w:proofErr w:type="spellStart"/>
      <w:r w:rsidRPr="008969B8">
        <w:rPr>
          <w:lang w:eastAsia="en-US"/>
        </w:rPr>
        <w:t>slackwaters</w:t>
      </w:r>
      <w:proofErr w:type="spellEnd"/>
      <w:r w:rsidRPr="008969B8">
        <w:rPr>
          <w:lang w:eastAsia="en-US"/>
        </w:rPr>
        <w:t xml:space="preserve"> during periods of elevated discharge and that, without a stable supply of detrital resources, these </w:t>
      </w:r>
      <w:proofErr w:type="spellStart"/>
      <w:r w:rsidRPr="008969B8">
        <w:rPr>
          <w:lang w:eastAsia="en-US"/>
        </w:rPr>
        <w:t>slackwaters</w:t>
      </w:r>
      <w:proofErr w:type="spellEnd"/>
      <w:r w:rsidRPr="008969B8">
        <w:rPr>
          <w:lang w:eastAsia="en-US"/>
        </w:rPr>
        <w:t xml:space="preserve"> may not be able to support large abundances and diversity of organisms.</w:t>
      </w:r>
    </w:p>
    <w:p w14:paraId="2F3E70FD" w14:textId="767166C2" w:rsidR="000D7E75" w:rsidRPr="008969B8" w:rsidRDefault="000D7E75" w:rsidP="008969B8">
      <w:pPr>
        <w:rPr>
          <w:lang w:eastAsia="en-US"/>
        </w:rPr>
      </w:pPr>
      <w:r w:rsidRPr="008969B8">
        <w:rPr>
          <w:lang w:eastAsia="en-US"/>
        </w:rPr>
        <w:t xml:space="preserve">To test for and mitigate these hypothesised effects we designed an experiment to increase densities of plant detritus and dependent organisms in </w:t>
      </w:r>
      <w:proofErr w:type="spellStart"/>
      <w:r w:rsidRPr="008969B8">
        <w:rPr>
          <w:lang w:eastAsia="en-US"/>
        </w:rPr>
        <w:t>slackwaters</w:t>
      </w:r>
      <w:proofErr w:type="spellEnd"/>
      <w:r w:rsidRPr="008969B8">
        <w:rPr>
          <w:lang w:eastAsia="en-US"/>
        </w:rPr>
        <w:t>, by augmenting amounts of hard retentive structure. Other studies have used hardwood garden stakes, driven into the riverbed, to successfully boost structural retentiveness and increase densities of detritus and invertebrates in streams in central Victoria</w:t>
      </w:r>
      <w:r>
        <w:rPr>
          <w:lang w:eastAsia="en-US"/>
        </w:rPr>
        <w:t xml:space="preserve"> </w:t>
      </w:r>
      <w:r w:rsidR="00AC34E7">
        <w:rPr>
          <w:noProof/>
          <w:lang w:eastAsia="en-US"/>
        </w:rPr>
        <w:t>(Lancaster &amp; Downes 2017, Lancaster &amp; Downes 2021)</w:t>
      </w:r>
      <w:r w:rsidRPr="008969B8">
        <w:rPr>
          <w:lang w:eastAsia="en-US"/>
        </w:rPr>
        <w:t xml:space="preserve">. We applied similar methods to establish a manipulative field experiment in the same 24 </w:t>
      </w:r>
      <w:proofErr w:type="spellStart"/>
      <w:r w:rsidRPr="008969B8">
        <w:rPr>
          <w:lang w:eastAsia="en-US"/>
        </w:rPr>
        <w:t>slackwaters</w:t>
      </w:r>
      <w:proofErr w:type="spellEnd"/>
      <w:r w:rsidRPr="008969B8">
        <w:rPr>
          <w:lang w:eastAsia="en-US"/>
        </w:rPr>
        <w:t xml:space="preserve"> studied in Survey 2 (4 </w:t>
      </w:r>
      <w:proofErr w:type="gramStart"/>
      <w:r w:rsidRPr="008969B8">
        <w:rPr>
          <w:lang w:eastAsia="en-US"/>
        </w:rPr>
        <w:t>sites;</w:t>
      </w:r>
      <w:proofErr w:type="gramEnd"/>
      <w:r w:rsidRPr="008969B8">
        <w:rPr>
          <w:lang w:eastAsia="en-US"/>
        </w:rPr>
        <w:t xml:space="preserve"> 3 Wide, 3 Narrow </w:t>
      </w:r>
      <w:proofErr w:type="spellStart"/>
      <w:r w:rsidRPr="008969B8">
        <w:rPr>
          <w:lang w:eastAsia="en-US"/>
        </w:rPr>
        <w:t>slackwaters</w:t>
      </w:r>
      <w:proofErr w:type="spellEnd"/>
      <w:r w:rsidRPr="008969B8">
        <w:rPr>
          <w:lang w:eastAsia="en-US"/>
        </w:rPr>
        <w:t xml:space="preserve"> per site). The experiment will test 3 simple hypotheses that, compared to controls, areas with added retentive structure will have:</w:t>
      </w:r>
    </w:p>
    <w:p w14:paraId="09815FE6" w14:textId="77777777" w:rsidR="000D7E75" w:rsidRPr="007B2FF6" w:rsidRDefault="000D7E75" w:rsidP="000D7E75">
      <w:pPr>
        <w:ind w:left="720"/>
        <w:rPr>
          <w:rFonts w:eastAsia="Times New Roman" w:cstheme="minorHAnsi"/>
          <w:i/>
          <w:szCs w:val="20"/>
        </w:rPr>
      </w:pPr>
      <w:r w:rsidRPr="007B2FF6">
        <w:rPr>
          <w:rFonts w:eastAsia="Times New Roman" w:cstheme="minorHAnsi"/>
          <w:b/>
          <w:i/>
          <w:szCs w:val="20"/>
        </w:rPr>
        <w:t>H</w:t>
      </w:r>
      <w:r w:rsidRPr="007B2FF6">
        <w:rPr>
          <w:rFonts w:eastAsia="Times New Roman" w:cstheme="minorHAnsi"/>
          <w:b/>
          <w:i/>
          <w:szCs w:val="20"/>
          <w:vertAlign w:val="subscript"/>
        </w:rPr>
        <w:t>5</w:t>
      </w:r>
      <w:r w:rsidRPr="007B2FF6">
        <w:rPr>
          <w:rFonts w:eastAsia="Times New Roman" w:cstheme="minorHAnsi"/>
          <w:b/>
          <w:i/>
          <w:szCs w:val="20"/>
        </w:rPr>
        <w:t>:</w:t>
      </w:r>
      <w:r w:rsidRPr="007B2FF6">
        <w:rPr>
          <w:rFonts w:eastAsia="Times New Roman" w:cstheme="minorHAnsi"/>
          <w:i/>
          <w:szCs w:val="20"/>
        </w:rPr>
        <w:t xml:space="preserve"> </w:t>
      </w:r>
      <w:r>
        <w:rPr>
          <w:rFonts w:eastAsia="Times New Roman" w:cstheme="minorHAnsi"/>
          <w:i/>
          <w:szCs w:val="20"/>
        </w:rPr>
        <w:t>M</w:t>
      </w:r>
      <w:r w:rsidRPr="007B2FF6">
        <w:rPr>
          <w:rFonts w:eastAsia="Times New Roman" w:cstheme="minorHAnsi"/>
          <w:i/>
          <w:szCs w:val="20"/>
        </w:rPr>
        <w:t>ore resources of plant detritus.</w:t>
      </w:r>
    </w:p>
    <w:p w14:paraId="4348A0B1" w14:textId="77777777" w:rsidR="000D7E75" w:rsidRPr="007B2FF6" w:rsidRDefault="000D7E75" w:rsidP="000D7E75">
      <w:pPr>
        <w:ind w:left="720"/>
        <w:rPr>
          <w:rFonts w:eastAsia="Times New Roman" w:cstheme="minorHAnsi"/>
          <w:i/>
          <w:szCs w:val="20"/>
        </w:rPr>
      </w:pPr>
      <w:r w:rsidRPr="007B2FF6">
        <w:rPr>
          <w:rFonts w:eastAsia="Times New Roman" w:cstheme="minorHAnsi"/>
          <w:b/>
          <w:i/>
          <w:szCs w:val="20"/>
        </w:rPr>
        <w:t>H</w:t>
      </w:r>
      <w:r w:rsidRPr="007B2FF6">
        <w:rPr>
          <w:rFonts w:eastAsia="Times New Roman" w:cstheme="minorHAnsi"/>
          <w:b/>
          <w:i/>
          <w:szCs w:val="20"/>
          <w:vertAlign w:val="subscript"/>
        </w:rPr>
        <w:t>6</w:t>
      </w:r>
      <w:r w:rsidRPr="007B2FF6">
        <w:rPr>
          <w:rFonts w:eastAsia="Times New Roman" w:cstheme="minorHAnsi"/>
          <w:b/>
          <w:i/>
          <w:szCs w:val="20"/>
        </w:rPr>
        <w:t xml:space="preserve">: </w:t>
      </w:r>
      <w:r>
        <w:rPr>
          <w:rFonts w:eastAsia="Times New Roman" w:cstheme="minorHAnsi"/>
          <w:i/>
          <w:szCs w:val="20"/>
        </w:rPr>
        <w:t>H</w:t>
      </w:r>
      <w:r w:rsidRPr="007B2FF6">
        <w:rPr>
          <w:rFonts w:eastAsia="Times New Roman" w:cstheme="minorHAnsi"/>
          <w:i/>
          <w:szCs w:val="20"/>
        </w:rPr>
        <w:t>igher densities of aquatic invertebrates</w:t>
      </w:r>
      <w:r>
        <w:rPr>
          <w:rFonts w:eastAsia="Times New Roman" w:cstheme="minorHAnsi"/>
          <w:i/>
          <w:szCs w:val="20"/>
        </w:rPr>
        <w:t xml:space="preserve"> and larval and small-bodied fishes</w:t>
      </w:r>
    </w:p>
    <w:p w14:paraId="54499199" w14:textId="77777777" w:rsidR="000D7E75" w:rsidRPr="007B2FF6" w:rsidRDefault="000D7E75" w:rsidP="000D7E75">
      <w:pPr>
        <w:ind w:firstLine="720"/>
        <w:rPr>
          <w:rFonts w:eastAsia="Times New Roman" w:cstheme="minorHAnsi"/>
          <w:i/>
          <w:szCs w:val="20"/>
        </w:rPr>
      </w:pPr>
      <w:r w:rsidRPr="007B2FF6">
        <w:rPr>
          <w:rFonts w:eastAsia="Times New Roman" w:cstheme="minorHAnsi"/>
          <w:b/>
          <w:i/>
          <w:szCs w:val="20"/>
        </w:rPr>
        <w:t>H</w:t>
      </w:r>
      <w:r w:rsidRPr="007B2FF6">
        <w:rPr>
          <w:rFonts w:eastAsia="Times New Roman" w:cstheme="minorHAnsi"/>
          <w:b/>
          <w:i/>
          <w:szCs w:val="20"/>
          <w:vertAlign w:val="subscript"/>
        </w:rPr>
        <w:t>7</w:t>
      </w:r>
      <w:r w:rsidRPr="007B2FF6">
        <w:rPr>
          <w:rFonts w:eastAsia="Times New Roman" w:cstheme="minorHAnsi"/>
          <w:b/>
          <w:i/>
          <w:szCs w:val="20"/>
        </w:rPr>
        <w:t xml:space="preserve">: </w:t>
      </w:r>
      <w:r>
        <w:rPr>
          <w:rFonts w:eastAsia="Times New Roman" w:cstheme="minorHAnsi"/>
          <w:i/>
          <w:szCs w:val="20"/>
        </w:rPr>
        <w:t>H</w:t>
      </w:r>
      <w:r w:rsidRPr="007B2FF6">
        <w:rPr>
          <w:rFonts w:eastAsia="Times New Roman" w:cstheme="minorHAnsi"/>
          <w:i/>
          <w:szCs w:val="20"/>
        </w:rPr>
        <w:t>igher diversity of aquatic invertebrates</w:t>
      </w:r>
      <w:r w:rsidRPr="004F219E">
        <w:rPr>
          <w:rFonts w:eastAsia="Times New Roman" w:cstheme="minorHAnsi"/>
          <w:i/>
          <w:szCs w:val="20"/>
        </w:rPr>
        <w:t xml:space="preserve"> </w:t>
      </w:r>
      <w:r>
        <w:rPr>
          <w:rFonts w:eastAsia="Times New Roman" w:cstheme="minorHAnsi"/>
          <w:i/>
          <w:szCs w:val="20"/>
        </w:rPr>
        <w:t>and larval and small-bodied fishes</w:t>
      </w:r>
    </w:p>
    <w:p w14:paraId="2563789E" w14:textId="77777777" w:rsidR="000D7E75" w:rsidRDefault="000D7E75" w:rsidP="00115733"/>
    <w:p w14:paraId="74171DA9" w14:textId="77777777" w:rsidR="000D7E75" w:rsidRPr="00115733" w:rsidRDefault="000D7E75" w:rsidP="00115733">
      <w:pPr>
        <w:rPr>
          <w:b/>
          <w:i/>
          <w:lang w:eastAsia="en-US"/>
        </w:rPr>
      </w:pPr>
      <w:r w:rsidRPr="00115733">
        <w:rPr>
          <w:b/>
          <w:i/>
          <w:lang w:eastAsia="en-US"/>
        </w:rPr>
        <w:t>Experimental design</w:t>
      </w:r>
    </w:p>
    <w:p w14:paraId="35D9DB8C" w14:textId="1E229F55" w:rsidR="000D7E75" w:rsidRDefault="000D7E75" w:rsidP="000D7E75">
      <w:pPr>
        <w:tabs>
          <w:tab w:val="num" w:pos="1440"/>
        </w:tabs>
        <w:rPr>
          <w:lang w:val="en-US"/>
        </w:rPr>
      </w:pPr>
      <w:r w:rsidRPr="007B2FF6">
        <w:rPr>
          <w:rFonts w:eastAsia="Times New Roman" w:cstheme="minorHAnsi"/>
          <w:szCs w:val="20"/>
        </w:rPr>
        <w:t xml:space="preserve">To allow direct comparisons between Wide and Narrow </w:t>
      </w:r>
      <w:proofErr w:type="spellStart"/>
      <w:r w:rsidRPr="007B2FF6">
        <w:rPr>
          <w:rFonts w:eastAsia="Times New Roman" w:cstheme="minorHAnsi"/>
          <w:szCs w:val="20"/>
        </w:rPr>
        <w:t>slackwaters</w:t>
      </w:r>
      <w:proofErr w:type="spellEnd"/>
      <w:r w:rsidRPr="007B2FF6">
        <w:rPr>
          <w:rFonts w:eastAsia="Times New Roman" w:cstheme="minorHAnsi"/>
          <w:szCs w:val="20"/>
        </w:rPr>
        <w:t xml:space="preserve">, </w:t>
      </w:r>
      <w:proofErr w:type="spellStart"/>
      <w:r w:rsidRPr="007B2FF6">
        <w:rPr>
          <w:rFonts w:eastAsia="Times New Roman" w:cstheme="minorHAnsi"/>
          <w:szCs w:val="20"/>
        </w:rPr>
        <w:t>slackwater</w:t>
      </w:r>
      <w:proofErr w:type="spellEnd"/>
      <w:r w:rsidRPr="007B2FF6">
        <w:rPr>
          <w:rFonts w:eastAsia="Times New Roman" w:cstheme="minorHAnsi"/>
          <w:szCs w:val="20"/>
        </w:rPr>
        <w:t xml:space="preserve"> area was standardised to areas 30 m long and 1.5 m wide. This matches the average dimensions of Narrow </w:t>
      </w:r>
      <w:proofErr w:type="spellStart"/>
      <w:r w:rsidRPr="007B2FF6">
        <w:rPr>
          <w:rFonts w:eastAsia="Times New Roman" w:cstheme="minorHAnsi"/>
          <w:szCs w:val="20"/>
        </w:rPr>
        <w:t>slackwaters</w:t>
      </w:r>
      <w:proofErr w:type="spellEnd"/>
      <w:r w:rsidRPr="007B2FF6">
        <w:rPr>
          <w:rFonts w:eastAsia="Times New Roman" w:cstheme="minorHAnsi"/>
          <w:szCs w:val="20"/>
        </w:rPr>
        <w:t xml:space="preserve"> in Survey 2. For Wide </w:t>
      </w:r>
      <w:proofErr w:type="spellStart"/>
      <w:r w:rsidRPr="007B2FF6">
        <w:rPr>
          <w:rFonts w:eastAsia="Times New Roman" w:cstheme="minorHAnsi"/>
          <w:szCs w:val="20"/>
        </w:rPr>
        <w:t>slackwaters</w:t>
      </w:r>
      <w:proofErr w:type="spellEnd"/>
      <w:r w:rsidRPr="007B2FF6">
        <w:rPr>
          <w:rFonts w:eastAsia="Times New Roman" w:cstheme="minorHAnsi"/>
          <w:szCs w:val="20"/>
        </w:rPr>
        <w:t>, which were typically larger,</w:t>
      </w:r>
      <w:r w:rsidRPr="007B2FF6">
        <w:rPr>
          <w:rFonts w:eastAsia="Times New Roman" w:cstheme="minorHAnsi"/>
        </w:rPr>
        <w:t xml:space="preserve"> we selected a random 30 m length of </w:t>
      </w:r>
      <w:proofErr w:type="spellStart"/>
      <w:r w:rsidRPr="007B2FF6">
        <w:rPr>
          <w:rFonts w:eastAsia="Times New Roman" w:cstheme="minorHAnsi"/>
        </w:rPr>
        <w:t>slackwater</w:t>
      </w:r>
      <w:proofErr w:type="spellEnd"/>
      <w:r w:rsidRPr="007B2FF6">
        <w:rPr>
          <w:rFonts w:eastAsia="Times New Roman" w:cstheme="minorHAnsi"/>
        </w:rPr>
        <w:t xml:space="preserve"> for the experiment. Within each experimental area we established four replicate experimental units, two units with stakes and two control units without stakes (</w:t>
      </w:r>
      <w:r w:rsidR="00B84C56">
        <w:t xml:space="preserve">Figure </w:t>
      </w:r>
      <w:r w:rsidR="00B84C56">
        <w:rPr>
          <w:noProof/>
        </w:rPr>
        <w:t>12</w:t>
      </w:r>
      <w:r w:rsidR="00B84C56">
        <w:noBreakHyphen/>
      </w:r>
      <w:r w:rsidR="00B84C56">
        <w:rPr>
          <w:noProof/>
        </w:rPr>
        <w:t>5</w:t>
      </w:r>
      <w:r w:rsidRPr="007B2FF6">
        <w:rPr>
          <w:rFonts w:eastAsia="Times New Roman" w:cstheme="minorHAnsi"/>
        </w:rPr>
        <w:t xml:space="preserve">). </w:t>
      </w:r>
      <w:r w:rsidRPr="007B2FF6">
        <w:rPr>
          <w:rFonts w:cstheme="minorHAnsi"/>
          <w:lang w:val="en-US"/>
        </w:rPr>
        <w:t>Replicate units were a constant size (4 m X 2.5 m = 10 m</w:t>
      </w:r>
      <w:r w:rsidRPr="007B2FF6">
        <w:rPr>
          <w:rFonts w:cstheme="minorHAnsi"/>
          <w:vertAlign w:val="superscript"/>
          <w:lang w:val="en-US"/>
        </w:rPr>
        <w:t>2</w:t>
      </w:r>
      <w:r w:rsidRPr="007B2FF6">
        <w:rPr>
          <w:rFonts w:cstheme="minorHAnsi"/>
          <w:lang w:val="en-US"/>
        </w:rPr>
        <w:t>) and were divided into two zones centered around the 1000 ML/day water level. Discharge in the Lower Goulburn River rarely falls below 1000 ML/day, so we established a 6 m</w:t>
      </w:r>
      <w:r w:rsidRPr="007B2FF6">
        <w:rPr>
          <w:rFonts w:cstheme="minorHAnsi"/>
          <w:vertAlign w:val="superscript"/>
          <w:lang w:val="en-US"/>
        </w:rPr>
        <w:t>2</w:t>
      </w:r>
      <w:r w:rsidRPr="007B2FF6">
        <w:rPr>
          <w:rFonts w:cstheme="minorHAnsi"/>
          <w:lang w:val="en-US"/>
        </w:rPr>
        <w:t xml:space="preserve"> ‘permanently wet’ zone below the 1000 ML/day water level and 4 m</w:t>
      </w:r>
      <w:r w:rsidRPr="007B2FF6">
        <w:rPr>
          <w:rFonts w:cstheme="minorHAnsi"/>
          <w:vertAlign w:val="superscript"/>
          <w:lang w:val="en-US"/>
        </w:rPr>
        <w:t>2</w:t>
      </w:r>
      <w:r w:rsidRPr="007B2FF6">
        <w:rPr>
          <w:rFonts w:cstheme="minorHAnsi"/>
          <w:lang w:val="en-US"/>
        </w:rPr>
        <w:t xml:space="preserve"> ‘lower bank’ zone above the 1000 ML/day water </w:t>
      </w:r>
      <w:r w:rsidRPr="00C52985">
        <w:rPr>
          <w:rFonts w:cstheme="minorHAnsi"/>
          <w:lang w:val="en-US"/>
        </w:rPr>
        <w:t>level. Samples and surveys from</w:t>
      </w:r>
      <w:r w:rsidRPr="00C52985">
        <w:rPr>
          <w:lang w:val="en-US"/>
        </w:rPr>
        <w:t xml:space="preserve"> the permanently wet zone will test the main hypotheses (H</w:t>
      </w:r>
      <w:r w:rsidRPr="00C52985">
        <w:rPr>
          <w:vertAlign w:val="subscript"/>
          <w:lang w:val="en-US"/>
        </w:rPr>
        <w:t>5-7</w:t>
      </w:r>
      <w:r w:rsidRPr="00C52985">
        <w:rPr>
          <w:lang w:val="en-US"/>
        </w:rPr>
        <w:t>). The lower bank zone was established to test whether added structural retentiveness on the lower bank can increase stability in this zone by increasing deposition and reducing export of sediments and plant seeds. We will test</w:t>
      </w:r>
      <w:r w:rsidRPr="00C52985">
        <w:rPr>
          <w:b/>
          <w:lang w:val="en-US"/>
        </w:rPr>
        <w:t xml:space="preserve"> </w:t>
      </w:r>
      <w:r w:rsidRPr="00C52985">
        <w:rPr>
          <w:lang w:val="en-US"/>
        </w:rPr>
        <w:t xml:space="preserve">the hypothesis </w:t>
      </w:r>
      <w:r>
        <w:rPr>
          <w:lang w:val="en-US"/>
        </w:rPr>
        <w:t>that:</w:t>
      </w:r>
    </w:p>
    <w:p w14:paraId="01C86D25" w14:textId="77777777" w:rsidR="000D7E75" w:rsidRPr="00391723" w:rsidRDefault="000D7E75" w:rsidP="000D7E75">
      <w:pPr>
        <w:tabs>
          <w:tab w:val="num" w:pos="709"/>
        </w:tabs>
        <w:rPr>
          <w:i/>
          <w:color w:val="0070C0"/>
          <w:lang w:val="en-US"/>
        </w:rPr>
      </w:pPr>
      <w:r>
        <w:rPr>
          <w:rFonts w:eastAsia="Times New Roman" w:cstheme="minorHAnsi"/>
          <w:b/>
          <w:szCs w:val="20"/>
        </w:rPr>
        <w:tab/>
      </w:r>
      <w:r w:rsidRPr="00391723">
        <w:rPr>
          <w:rFonts w:eastAsia="Times New Roman" w:cstheme="minorHAnsi"/>
          <w:b/>
          <w:i/>
          <w:szCs w:val="20"/>
        </w:rPr>
        <w:t>H</w:t>
      </w:r>
      <w:r w:rsidRPr="00391723">
        <w:rPr>
          <w:rFonts w:eastAsia="Times New Roman" w:cstheme="minorHAnsi"/>
          <w:b/>
          <w:i/>
          <w:szCs w:val="20"/>
          <w:vertAlign w:val="subscript"/>
        </w:rPr>
        <w:t>8</w:t>
      </w:r>
      <w:r w:rsidRPr="00391723">
        <w:rPr>
          <w:rFonts w:eastAsia="Times New Roman" w:cstheme="minorHAnsi"/>
          <w:b/>
          <w:i/>
          <w:szCs w:val="20"/>
        </w:rPr>
        <w:t xml:space="preserve">: </w:t>
      </w:r>
      <w:r w:rsidRPr="00391723">
        <w:rPr>
          <w:i/>
          <w:lang w:val="en-US"/>
        </w:rPr>
        <w:t>recruitment of littoral vegetation is higher in staked vs control areas</w:t>
      </w:r>
    </w:p>
    <w:p w14:paraId="010FCB69" w14:textId="77777777" w:rsidR="000D7E75" w:rsidRDefault="000D7E75" w:rsidP="000D7E75">
      <w:pPr>
        <w:rPr>
          <w:lang w:val="en-US"/>
        </w:rPr>
      </w:pPr>
    </w:p>
    <w:p w14:paraId="6A2CB74A" w14:textId="77777777" w:rsidR="000D7E75" w:rsidRDefault="000D7E75" w:rsidP="00115733">
      <w:pPr>
        <w:keepNext/>
        <w:jc w:val="center"/>
      </w:pPr>
      <w:r>
        <w:rPr>
          <w:noProof/>
          <w:lang w:val="en-GB"/>
        </w:rPr>
        <w:drawing>
          <wp:inline distT="0" distB="0" distL="0" distR="0" wp14:anchorId="4088BE57" wp14:editId="006A3245">
            <wp:extent cx="6248716" cy="909268"/>
            <wp:effectExtent l="0" t="0" r="0" b="5715"/>
            <wp:docPr id="491" name="Picture 491"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Graphical user interface, diagram&#10;&#10;Description automatically generated"/>
                    <pic:cNvPicPr/>
                  </pic:nvPicPr>
                  <pic:blipFill>
                    <a:blip r:embed="rId110" cstate="email">
                      <a:extLst>
                        <a:ext uri="{28A0092B-C50C-407E-A947-70E740481C1C}">
                          <a14:useLocalDpi xmlns:a14="http://schemas.microsoft.com/office/drawing/2010/main"/>
                        </a:ext>
                      </a:extLst>
                    </a:blip>
                    <a:stretch>
                      <a:fillRect/>
                    </a:stretch>
                  </pic:blipFill>
                  <pic:spPr>
                    <a:xfrm>
                      <a:off x="0" y="0"/>
                      <a:ext cx="6333732" cy="921639"/>
                    </a:xfrm>
                    <a:prstGeom prst="rect">
                      <a:avLst/>
                    </a:prstGeom>
                  </pic:spPr>
                </pic:pic>
              </a:graphicData>
            </a:graphic>
          </wp:inline>
        </w:drawing>
      </w:r>
    </w:p>
    <w:p w14:paraId="29361388" w14:textId="63A2FEA5" w:rsidR="00115733" w:rsidRDefault="00115733" w:rsidP="00115733">
      <w:pPr>
        <w:pStyle w:val="Caption"/>
      </w:pPr>
      <w:bookmarkStart w:id="702" w:name="_Ref83828498"/>
      <w:bookmarkStart w:id="703" w:name="_Toc83907804"/>
      <w:bookmarkStart w:id="704" w:name="_Toc84475781"/>
      <w:r>
        <w:t xml:space="preserve">Figure </w:t>
      </w:r>
      <w:r w:rsidR="00B23510">
        <w:rPr>
          <w:noProof/>
        </w:rPr>
        <w:t>12</w:t>
      </w:r>
      <w:r w:rsidR="00B85158">
        <w:noBreakHyphen/>
      </w:r>
      <w:r w:rsidR="00B23510">
        <w:rPr>
          <w:noProof/>
        </w:rPr>
        <w:t>5</w:t>
      </w:r>
      <w:bookmarkEnd w:id="702"/>
      <w:r>
        <w:t xml:space="preserve"> </w:t>
      </w:r>
      <w:r w:rsidRPr="00125D33">
        <w:t xml:space="preserve">Layout of experimental units within each </w:t>
      </w:r>
      <w:proofErr w:type="spellStart"/>
      <w:r w:rsidRPr="00125D33">
        <w:t>slackwater</w:t>
      </w:r>
      <w:proofErr w:type="spellEnd"/>
      <w:r w:rsidRPr="00125D33">
        <w:t xml:space="preserve">. Experimental units were evenly spaced to maximise independence. Treatment (Stakes, Control) was allocated at random to the first experimental unit and alternated thereafter. </w:t>
      </w:r>
      <w:r>
        <w:t xml:space="preserve">Each unit was established around with 1,000 ML/day water level, with an area 1 m </w:t>
      </w:r>
      <w:r>
        <w:rPr>
          <w:rFonts w:cstheme="minorHAnsi"/>
        </w:rPr>
        <w:t>×</w:t>
      </w:r>
      <w:r>
        <w:t xml:space="preserve"> 4 m located above the 1,000 ML/day waterline and with an area 1.5 m </w:t>
      </w:r>
      <w:r>
        <w:rPr>
          <w:rFonts w:cstheme="minorHAnsi"/>
        </w:rPr>
        <w:t>×</w:t>
      </w:r>
      <w:r>
        <w:t xml:space="preserve"> 4 m located below the 1,000 ML/day waterline.</w:t>
      </w:r>
      <w:bookmarkEnd w:id="703"/>
      <w:bookmarkEnd w:id="704"/>
    </w:p>
    <w:p w14:paraId="1386F828" w14:textId="77777777" w:rsidR="000D7E75" w:rsidRPr="00A86C9A" w:rsidRDefault="000D7E75" w:rsidP="000D7E75"/>
    <w:p w14:paraId="3BEAE38F" w14:textId="326EF228" w:rsidR="000D7E75" w:rsidRPr="00D70967" w:rsidRDefault="000D7E75" w:rsidP="000D7E75">
      <w:pPr>
        <w:rPr>
          <w:lang w:val="en-US"/>
        </w:rPr>
      </w:pPr>
      <w:r w:rsidRPr="00C42C9A">
        <w:rPr>
          <w:bCs/>
          <w:lang w:val="en-US"/>
        </w:rPr>
        <w:lastRenderedPageBreak/>
        <w:t xml:space="preserve">Stake densities </w:t>
      </w:r>
      <w:r w:rsidRPr="00C42C9A">
        <w:rPr>
          <w:lang w:val="en-US"/>
        </w:rPr>
        <w:t xml:space="preserve">were determined from a </w:t>
      </w:r>
      <w:r>
        <w:rPr>
          <w:lang w:val="en-US"/>
        </w:rPr>
        <w:t>range</w:t>
      </w:r>
      <w:r w:rsidRPr="00C42C9A">
        <w:rPr>
          <w:lang w:val="en-US"/>
        </w:rPr>
        <w:t xml:space="preserve"> of potential configurations, simulated </w:t>
      </w:r>
      <w:r>
        <w:rPr>
          <w:lang w:val="en-US"/>
        </w:rPr>
        <w:t>with a mock-up experimental area</w:t>
      </w:r>
      <w:r w:rsidRPr="00C42C9A">
        <w:rPr>
          <w:lang w:val="en-US"/>
        </w:rPr>
        <w:t xml:space="preserve"> during covid lockdown (</w:t>
      </w:r>
      <w:r w:rsidR="00B23510">
        <w:t xml:space="preserve">Figure </w:t>
      </w:r>
      <w:r w:rsidR="00B23510">
        <w:rPr>
          <w:noProof/>
        </w:rPr>
        <w:t>12</w:t>
      </w:r>
      <w:r w:rsidR="00B23510">
        <w:noBreakHyphen/>
      </w:r>
      <w:r w:rsidR="00B23510">
        <w:rPr>
          <w:noProof/>
        </w:rPr>
        <w:t>6</w:t>
      </w:r>
      <w:r w:rsidRPr="00C42C9A">
        <w:rPr>
          <w:lang w:val="en-US"/>
        </w:rPr>
        <w:t xml:space="preserve">). </w:t>
      </w:r>
      <w:r w:rsidRPr="00D70967">
        <w:rPr>
          <w:lang w:val="en-US"/>
        </w:rPr>
        <w:t xml:space="preserve">We </w:t>
      </w:r>
      <w:r>
        <w:rPr>
          <w:lang w:val="en-US"/>
        </w:rPr>
        <w:t>selected</w:t>
      </w:r>
      <w:r w:rsidRPr="00D70967">
        <w:rPr>
          <w:lang w:val="en-US"/>
        </w:rPr>
        <w:t xml:space="preserve"> a density of 30 stakes per experimental unit, arranged as 15 pairs of stakes spaced 30cm apart. This was the highest density logistically feasible, equivalent to 7.5 times the density of stakes used in previous research </w:t>
      </w:r>
      <w:r w:rsidR="00AC34E7">
        <w:rPr>
          <w:noProof/>
          <w:lang w:val="en-US"/>
        </w:rPr>
        <w:t>(Lancaster &amp; Downes 2017)</w:t>
      </w:r>
      <w:r w:rsidRPr="00276F29">
        <w:rPr>
          <w:lang w:val="en-US"/>
        </w:rPr>
        <w:t xml:space="preserve"> </w:t>
      </w:r>
      <w:r>
        <w:rPr>
          <w:lang w:val="en-US"/>
        </w:rPr>
        <w:t>and is expected to</w:t>
      </w:r>
      <w:r w:rsidRPr="00D70967">
        <w:rPr>
          <w:lang w:val="en-US"/>
        </w:rPr>
        <w:t xml:space="preserve"> </w:t>
      </w:r>
      <w:r>
        <w:rPr>
          <w:lang w:val="en-US"/>
        </w:rPr>
        <w:t>provide the best chance</w:t>
      </w:r>
      <w:r w:rsidRPr="00D70967">
        <w:rPr>
          <w:lang w:val="en-US"/>
        </w:rPr>
        <w:t xml:space="preserve"> of accumulating high densities of detritus in treatment areas.</w:t>
      </w:r>
    </w:p>
    <w:p w14:paraId="164ED9A4" w14:textId="77777777" w:rsidR="000D7E75" w:rsidRPr="00D70967" w:rsidRDefault="000D7E75" w:rsidP="000D7E75">
      <w:pPr>
        <w:rPr>
          <w:lang w:val="en-US"/>
        </w:rPr>
      </w:pPr>
    </w:p>
    <w:p w14:paraId="5D99AF29" w14:textId="77777777" w:rsidR="000D7E75" w:rsidRPr="00115733" w:rsidRDefault="000D7E75" w:rsidP="00115733">
      <w:pPr>
        <w:rPr>
          <w:b/>
          <w:i/>
          <w:lang w:eastAsia="en-US"/>
        </w:rPr>
      </w:pPr>
      <w:r w:rsidRPr="00115733">
        <w:rPr>
          <w:b/>
          <w:i/>
          <w:lang w:eastAsia="en-US"/>
        </w:rPr>
        <w:t>Data collection</w:t>
      </w:r>
    </w:p>
    <w:p w14:paraId="6BE192C8" w14:textId="77777777" w:rsidR="000D7E75" w:rsidRDefault="000D7E75" w:rsidP="000D7E75">
      <w:pPr>
        <w:rPr>
          <w:lang w:val="en-US"/>
        </w:rPr>
      </w:pPr>
      <w:r w:rsidRPr="00C25458">
        <w:rPr>
          <w:lang w:val="en-US"/>
        </w:rPr>
        <w:t>Before inserting stakes</w:t>
      </w:r>
      <w:r>
        <w:rPr>
          <w:lang w:val="en-US"/>
        </w:rPr>
        <w:t>,</w:t>
      </w:r>
      <w:r w:rsidRPr="00C25458">
        <w:rPr>
          <w:lang w:val="en-US"/>
        </w:rPr>
        <w:t xml:space="preserve"> we surveyed each Staked and Control area to establish the background densities of wood, </w:t>
      </w:r>
      <w:proofErr w:type="gramStart"/>
      <w:r w:rsidRPr="00C25458">
        <w:rPr>
          <w:lang w:val="en-US"/>
        </w:rPr>
        <w:t>vegetation</w:t>
      </w:r>
      <w:proofErr w:type="gramEnd"/>
      <w:r w:rsidRPr="00C25458">
        <w:rPr>
          <w:lang w:val="en-US"/>
        </w:rPr>
        <w:t xml:space="preserve"> and detritus. Each was surveyed with three randomly located transects, using methods described above (Survey 2). Analysis of these survey data is underway. </w:t>
      </w:r>
    </w:p>
    <w:p w14:paraId="47C8E928" w14:textId="1A468FF0" w:rsidR="000D7E75" w:rsidRPr="006F63A7" w:rsidRDefault="000D7E75" w:rsidP="000D7E75">
      <w:pPr>
        <w:rPr>
          <w:lang w:val="en-US"/>
        </w:rPr>
      </w:pPr>
      <w:r w:rsidRPr="006F63A7">
        <w:rPr>
          <w:rFonts w:ascii="Calibri" w:eastAsia="Times New Roman" w:hAnsi="Calibri" w:cs="Calibri"/>
        </w:rPr>
        <w:t>The experiment was established in June and will remain in place for at least 12 months. Multiple surveys (wood, vegetation, detritus) and samples of aquatic organisms will be collected during this period to compare densities of resources and biota between staked and control areas. Since establishing the experiment</w:t>
      </w:r>
      <w:r>
        <w:rPr>
          <w:rFonts w:ascii="Calibri" w:eastAsia="Times New Roman" w:hAnsi="Calibri" w:cs="Calibri"/>
        </w:rPr>
        <w:t>,</w:t>
      </w:r>
      <w:r w:rsidRPr="006F63A7">
        <w:rPr>
          <w:rFonts w:ascii="Calibri" w:eastAsia="Times New Roman" w:hAnsi="Calibri" w:cs="Calibri"/>
        </w:rPr>
        <w:t xml:space="preserve"> a large winter fresh (environmental water followed by sustained natural flows) has drowned the experimental units with flows up to 9</w:t>
      </w:r>
      <w:r w:rsidR="00276F29">
        <w:rPr>
          <w:rFonts w:ascii="Calibri" w:eastAsia="Times New Roman" w:hAnsi="Calibri" w:cs="Calibri"/>
        </w:rPr>
        <w:t>,</w:t>
      </w:r>
      <w:r w:rsidRPr="006F63A7">
        <w:rPr>
          <w:rFonts w:ascii="Calibri" w:eastAsia="Times New Roman" w:hAnsi="Calibri" w:cs="Calibri"/>
        </w:rPr>
        <w:t xml:space="preserve">400 ML/day. Due to covid lockdown it is not currently possible to assess the effects that these elevated flows have had on experimental units, but stakes were driven ~0.5 m into the riverbed and are expected to be robust to the physical forces of elevated flows. The main predicted effect of the sustained winter fresh is that these flows may mobilise detritus from the riverbank and deliver it to staked areas, but this remains to be determined.  </w:t>
      </w:r>
    </w:p>
    <w:p w14:paraId="01A58FF5" w14:textId="77777777" w:rsidR="000D7E75" w:rsidRDefault="000D7E75" w:rsidP="000D7E75"/>
    <w:p w14:paraId="4790571C" w14:textId="77777777" w:rsidR="000D7E75" w:rsidRDefault="000D7E75" w:rsidP="000D7E75"/>
    <w:p w14:paraId="076AB45A" w14:textId="77777777" w:rsidR="000D7E75" w:rsidRDefault="000D7E75" w:rsidP="000D7E75"/>
    <w:p w14:paraId="2395A435" w14:textId="77777777" w:rsidR="000D7E75" w:rsidRDefault="000D7E75" w:rsidP="000D7E75"/>
    <w:p w14:paraId="3EC951FB" w14:textId="77777777" w:rsidR="000D7E75" w:rsidRDefault="000D7E75" w:rsidP="000D7E75"/>
    <w:p w14:paraId="4C5AE406" w14:textId="77777777" w:rsidR="000D7E75" w:rsidRDefault="000D7E75" w:rsidP="000D7E75"/>
    <w:p w14:paraId="55EA8BDA" w14:textId="77777777" w:rsidR="000D7E75" w:rsidRDefault="000D7E75" w:rsidP="000D7E75"/>
    <w:p w14:paraId="22040396" w14:textId="77777777" w:rsidR="000D7E75" w:rsidRDefault="000D7E75" w:rsidP="000D7E75"/>
    <w:p w14:paraId="0F0A5FB8" w14:textId="77777777" w:rsidR="000D7E75" w:rsidRPr="00A74177" w:rsidRDefault="000D7E75" w:rsidP="000D7E75"/>
    <w:p w14:paraId="1C06E199" w14:textId="77777777" w:rsidR="000D7E75" w:rsidRPr="00BA2632" w:rsidRDefault="000D7E75" w:rsidP="000D7E75"/>
    <w:p w14:paraId="4F09768F" w14:textId="77777777" w:rsidR="000D7E75" w:rsidRDefault="000D7E75" w:rsidP="000D7E75">
      <w:pPr>
        <w:jc w:val="center"/>
      </w:pPr>
    </w:p>
    <w:p w14:paraId="39162CD5" w14:textId="77777777" w:rsidR="000D7E75" w:rsidRDefault="000D7E75" w:rsidP="000D7E75">
      <w:pPr>
        <w:jc w:val="center"/>
      </w:pPr>
    </w:p>
    <w:p w14:paraId="2D742C51" w14:textId="77777777" w:rsidR="000D7E75" w:rsidRDefault="000D7E75" w:rsidP="00115733">
      <w:pPr>
        <w:keepNext/>
        <w:jc w:val="center"/>
      </w:pPr>
      <w:r>
        <w:rPr>
          <w:noProof/>
          <w:lang w:val="en-GB"/>
        </w:rPr>
        <w:lastRenderedPageBreak/>
        <w:drawing>
          <wp:inline distT="0" distB="0" distL="0" distR="0" wp14:anchorId="2DD780B5" wp14:editId="1EBF1BD5">
            <wp:extent cx="5943600" cy="6169025"/>
            <wp:effectExtent l="0" t="0" r="0" b="3175"/>
            <wp:docPr id="492" name="Picture 492" descr="A picture containing water, outdoor, river,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A picture containing water, outdoor, river, lake&#10;&#10;Description automatically generated"/>
                    <pic:cNvPicPr/>
                  </pic:nvPicPr>
                  <pic:blipFill>
                    <a:blip r:embed="rId111" cstate="email">
                      <a:extLst>
                        <a:ext uri="{28A0092B-C50C-407E-A947-70E740481C1C}">
                          <a14:useLocalDpi xmlns:a14="http://schemas.microsoft.com/office/drawing/2010/main"/>
                        </a:ext>
                      </a:extLst>
                    </a:blip>
                    <a:stretch>
                      <a:fillRect/>
                    </a:stretch>
                  </pic:blipFill>
                  <pic:spPr>
                    <a:xfrm>
                      <a:off x="0" y="0"/>
                      <a:ext cx="5943600" cy="6169025"/>
                    </a:xfrm>
                    <a:prstGeom prst="rect">
                      <a:avLst/>
                    </a:prstGeom>
                  </pic:spPr>
                </pic:pic>
              </a:graphicData>
            </a:graphic>
          </wp:inline>
        </w:drawing>
      </w:r>
    </w:p>
    <w:p w14:paraId="14A53B9C" w14:textId="6B618800" w:rsidR="000D7E75" w:rsidRDefault="00115733" w:rsidP="00115733">
      <w:pPr>
        <w:pStyle w:val="Caption"/>
      </w:pPr>
      <w:bookmarkStart w:id="705" w:name="_Ref83828499"/>
      <w:bookmarkStart w:id="706" w:name="_Toc83907805"/>
      <w:bookmarkStart w:id="707" w:name="_Toc84475782"/>
      <w:r>
        <w:t xml:space="preserve">Figure </w:t>
      </w:r>
      <w:r w:rsidR="00831EB0">
        <w:rPr>
          <w:noProof/>
        </w:rPr>
        <w:t>12</w:t>
      </w:r>
      <w:r w:rsidR="00B85158">
        <w:noBreakHyphen/>
      </w:r>
      <w:r w:rsidR="00831EB0">
        <w:rPr>
          <w:noProof/>
        </w:rPr>
        <w:t>6</w:t>
      </w:r>
      <w:bookmarkEnd w:id="705"/>
      <w:r w:rsidR="000D7E75" w:rsidRPr="006D7283">
        <w:t xml:space="preserve"> Top</w:t>
      </w:r>
      <w:r w:rsidR="000D7E75">
        <w:t xml:space="preserve">: Backyard mock-up of an experimental unit during Covid lockdown. Beer bottles were arranged in different densities and configurations to determine the optimal number and arrangement of stakes. Bottom: examples of experimental units established in Narrow and Wide </w:t>
      </w:r>
      <w:proofErr w:type="spellStart"/>
      <w:r w:rsidR="000D7E75">
        <w:t>slackwaters</w:t>
      </w:r>
      <w:proofErr w:type="spellEnd"/>
      <w:r w:rsidR="000D7E75">
        <w:t xml:space="preserve"> at the McCoy’s Bridge site. A second experimental unit is visible in the background of each photograph. Note the steep slope of the </w:t>
      </w:r>
      <w:r w:rsidRPr="00115733">
        <w:t>Narrow</w:t>
      </w:r>
      <w:r w:rsidR="000D7E75">
        <w:t xml:space="preserve"> </w:t>
      </w:r>
      <w:proofErr w:type="spellStart"/>
      <w:r w:rsidR="000D7E75">
        <w:t>slackwater</w:t>
      </w:r>
      <w:proofErr w:type="spellEnd"/>
      <w:r w:rsidR="000D7E75">
        <w:t>, where some stakes are fully submerged.</w:t>
      </w:r>
      <w:bookmarkEnd w:id="706"/>
      <w:bookmarkEnd w:id="707"/>
    </w:p>
    <w:p w14:paraId="21EC834D" w14:textId="77777777" w:rsidR="000D7E75" w:rsidRPr="00BA2632" w:rsidRDefault="000D7E75" w:rsidP="000D7E75">
      <w:pPr>
        <w:rPr>
          <w:rFonts w:ascii="Georgia" w:eastAsia="SimHei" w:hAnsi="Georgia" w:cs="Times New Roman"/>
          <w:b/>
          <w:color w:val="094183"/>
          <w:sz w:val="32"/>
          <w:szCs w:val="32"/>
          <w:lang w:eastAsia="en-US"/>
        </w:rPr>
      </w:pPr>
    </w:p>
    <w:p w14:paraId="7F115287" w14:textId="26A967EE" w:rsidR="00CF402C" w:rsidRDefault="00CF402C">
      <w:r>
        <w:br w:type="page"/>
      </w:r>
    </w:p>
    <w:p w14:paraId="1EC4856A" w14:textId="1FB5E128" w:rsidR="0073393B" w:rsidRPr="005577F8" w:rsidRDefault="008C3BE6" w:rsidP="00CF402C">
      <w:pPr>
        <w:pStyle w:val="Heading1"/>
      </w:pPr>
      <w:bookmarkStart w:id="708" w:name="_Toc84416137"/>
      <w:bookmarkStart w:id="709" w:name="_Toc84417439"/>
      <w:bookmarkStart w:id="710" w:name="_Toc84475731"/>
      <w:r w:rsidRPr="005577F8">
        <w:lastRenderedPageBreak/>
        <w:t>Engagement and Communication</w:t>
      </w:r>
      <w:bookmarkEnd w:id="708"/>
      <w:bookmarkEnd w:id="709"/>
      <w:bookmarkEnd w:id="710"/>
      <w:r w:rsidRPr="005577F8">
        <w:t xml:space="preserve">  </w:t>
      </w:r>
    </w:p>
    <w:p w14:paraId="6D6CEDD8" w14:textId="000FF615" w:rsidR="00273405" w:rsidRPr="00BA2632" w:rsidRDefault="00273405" w:rsidP="00886D21">
      <w:pPr>
        <w:pStyle w:val="Heading2"/>
        <w:tabs>
          <w:tab w:val="left" w:pos="709"/>
        </w:tabs>
        <w:spacing w:before="240" w:after="120" w:line="240" w:lineRule="atLeast"/>
        <w:ind w:left="1418" w:hanging="1418"/>
        <w:jc w:val="left"/>
      </w:pPr>
      <w:bookmarkStart w:id="711" w:name="_Toc84416138"/>
      <w:bookmarkStart w:id="712" w:name="_Toc84417440"/>
      <w:bookmarkStart w:id="713" w:name="_Toc84475732"/>
      <w:r w:rsidRPr="00BA2632">
        <w:t>Engagement</w:t>
      </w:r>
      <w:bookmarkEnd w:id="711"/>
      <w:bookmarkEnd w:id="712"/>
      <w:bookmarkEnd w:id="713"/>
    </w:p>
    <w:p w14:paraId="39260DFD" w14:textId="107A76A0" w:rsidR="006667C6" w:rsidRPr="00973D7D" w:rsidRDefault="006667C6" w:rsidP="006667C6">
      <w:pPr>
        <w:rPr>
          <w:iCs/>
          <w:color w:val="000000" w:themeColor="hyperlink"/>
        </w:rPr>
      </w:pPr>
      <w:r w:rsidRPr="00BA2632">
        <w:t>The health and management</w:t>
      </w:r>
      <w:r>
        <w:t xml:space="preserve"> of the Goulburn River continued to </w:t>
      </w:r>
      <w:r w:rsidRPr="00BA2632">
        <w:t>be</w:t>
      </w:r>
      <w:r>
        <w:t xml:space="preserve"> a focus of the local and regional community as the Victorian </w:t>
      </w:r>
      <w:r w:rsidR="00E44F85">
        <w:t>Government reviewed</w:t>
      </w:r>
      <w:r>
        <w:t xml:space="preserve"> the rules governing the trade and delivery of water from the Goulburn River to the Murray River. The review set out preferred changes to the rules to avoid sustained high flows during summer and autumn, because these have caused environmental damage.</w:t>
      </w:r>
      <w:r w:rsidRPr="00BA2632">
        <w:t xml:space="preserve"> Anglers, local government, </w:t>
      </w:r>
      <w:proofErr w:type="gramStart"/>
      <w:r w:rsidRPr="00BA2632">
        <w:t>businesses</w:t>
      </w:r>
      <w:proofErr w:type="gramEnd"/>
      <w:r w:rsidRPr="00BA2632">
        <w:t xml:space="preserve"> and the broader community sought information from the GB CMA, collected as part of current and past monitoring programs, to </w:t>
      </w:r>
      <w:r>
        <w:t>provide feedback on the proposed rule changes</w:t>
      </w:r>
      <w:r w:rsidRPr="00BA2632">
        <w:t xml:space="preserve">. </w:t>
      </w:r>
      <w:r>
        <w:t xml:space="preserve">In June 2021, the Victorian Government announced that it would introduce an interim trade rule for 2021-22 and extend interim operating arrangements for another 12 months. In addition, the Victorian Government committed $2.7 million for monitoring over the next three year to help inform long-term improvements to the rules. </w:t>
      </w:r>
      <w:r w:rsidRPr="00BA2632">
        <w:t xml:space="preserve">Collaborating with and empowering the community to bring about </w:t>
      </w:r>
      <w:proofErr w:type="gramStart"/>
      <w:r w:rsidRPr="00BA2632">
        <w:t>these change</w:t>
      </w:r>
      <w:proofErr w:type="gramEnd"/>
      <w:r w:rsidRPr="00BA2632">
        <w:t xml:space="preserve"> is a perfect example of best-practice community engagement </w:t>
      </w:r>
      <w:r w:rsidRPr="00946134">
        <w:rPr>
          <w:iCs/>
        </w:rPr>
        <w:t>(IAP2 public participation spectrum - https://www.iap2.org.au/resources/spectrum/).</w:t>
      </w:r>
    </w:p>
    <w:p w14:paraId="03F37C74" w14:textId="77777777" w:rsidR="006667C6" w:rsidRPr="00BA2632" w:rsidRDefault="006667C6" w:rsidP="006667C6">
      <w:r w:rsidRPr="00BA2632">
        <w:t xml:space="preserve">The Victorian Government’s communication protocols during the coronavirus pandemic created challenges, </w:t>
      </w:r>
      <w:r>
        <w:t>but</w:t>
      </w:r>
      <w:r w:rsidRPr="00BA2632">
        <w:t xml:space="preserve"> the GB CMA was able to continue to communicate about the monitoring program, albeit slightly less frequently, by drawing on community networks and with support from the CEWO and VEWH. </w:t>
      </w:r>
    </w:p>
    <w:p w14:paraId="2EFA23F1" w14:textId="3DCD886F" w:rsidR="006667C6" w:rsidRPr="00BA2632" w:rsidRDefault="006667C6" w:rsidP="006667C6">
      <w:r w:rsidRPr="00BA2632">
        <w:t xml:space="preserve">Through various advisory groups we have continued to involve and consult with Yorta </w:t>
      </w:r>
      <w:proofErr w:type="spellStart"/>
      <w:r w:rsidRPr="00BA2632">
        <w:t>Yorta</w:t>
      </w:r>
      <w:proofErr w:type="spellEnd"/>
      <w:r w:rsidRPr="00BA2632">
        <w:t xml:space="preserve"> Nation </w:t>
      </w:r>
      <w:r>
        <w:t xml:space="preserve">and </w:t>
      </w:r>
      <w:proofErr w:type="spellStart"/>
      <w:r>
        <w:t>Taungurung</w:t>
      </w:r>
      <w:proofErr w:type="spellEnd"/>
      <w:r>
        <w:t xml:space="preserve"> Land and Waters Council </w:t>
      </w:r>
      <w:r w:rsidRPr="00BA2632">
        <w:t xml:space="preserve">about environmental flows. </w:t>
      </w:r>
      <w:r>
        <w:t xml:space="preserve">Both Traditional Owner groups also </w:t>
      </w:r>
      <w:r w:rsidRPr="00BA2632">
        <w:t xml:space="preserve">contributed to the development of a new Lower Goulburn River </w:t>
      </w:r>
      <w:r>
        <w:t xml:space="preserve">Environmental </w:t>
      </w:r>
      <w:r w:rsidRPr="00BA2632">
        <w:t>Flows study, which will guide environmental water planning and management for the next 5-10 years</w:t>
      </w:r>
      <w:r w:rsidR="00757F88">
        <w:t xml:space="preserve"> </w:t>
      </w:r>
      <w:r w:rsidR="00757F88">
        <w:rPr>
          <w:noProof/>
        </w:rPr>
        <w:t>(Horne et al. 2020)</w:t>
      </w:r>
      <w:r w:rsidR="001554CA">
        <w:t>.</w:t>
      </w:r>
    </w:p>
    <w:p w14:paraId="166B147B" w14:textId="2494DD05" w:rsidR="00273405" w:rsidRPr="00BA2632" w:rsidRDefault="00273405" w:rsidP="00273405">
      <w:pPr>
        <w:pStyle w:val="Heading2"/>
        <w:tabs>
          <w:tab w:val="left" w:pos="709"/>
        </w:tabs>
        <w:spacing w:before="240" w:after="120" w:line="240" w:lineRule="atLeast"/>
        <w:ind w:left="1418" w:hanging="1418"/>
        <w:jc w:val="left"/>
      </w:pPr>
      <w:bookmarkStart w:id="714" w:name="_Toc84416139"/>
      <w:bookmarkStart w:id="715" w:name="_Toc84417441"/>
      <w:bookmarkStart w:id="716" w:name="_Toc84475733"/>
      <w:r w:rsidRPr="00BA2632">
        <w:t>Communication</w:t>
      </w:r>
      <w:bookmarkEnd w:id="714"/>
      <w:bookmarkEnd w:id="715"/>
      <w:bookmarkEnd w:id="716"/>
    </w:p>
    <w:p w14:paraId="660A2DB8" w14:textId="1E2EF5AF" w:rsidR="00542B47" w:rsidRPr="00BA2632" w:rsidRDefault="00542B47" w:rsidP="00542B47">
      <w:bookmarkStart w:id="717" w:name="_Hlk520128175"/>
      <w:bookmarkStart w:id="718" w:name="_Toc26772981"/>
      <w:bookmarkEnd w:id="717"/>
      <w:r w:rsidRPr="00BA2632">
        <w:t>The following communication and engagement actives were undertaken during 20</w:t>
      </w:r>
      <w:r>
        <w:t>20</w:t>
      </w:r>
      <w:r w:rsidRPr="00BA2632">
        <w:t>-2</w:t>
      </w:r>
      <w:r>
        <w:t>1</w:t>
      </w:r>
      <w:r w:rsidRPr="00BA2632">
        <w:t xml:space="preserve"> to inform stakeholders and the broader community about the aims and results of the Goulburn River F</w:t>
      </w:r>
      <w:r>
        <w:t>low</w:t>
      </w:r>
      <w:r w:rsidRPr="00BA2632">
        <w:t xml:space="preserve">-MER Project and the role of the Commonwealth Environmental Water Office in environmental water management. Selected examples of communications are included in </w:t>
      </w:r>
      <w:r w:rsidRPr="00811C4C">
        <w:t xml:space="preserve">Appendix </w:t>
      </w:r>
      <w:r w:rsidR="0097756A">
        <w:t>L</w:t>
      </w:r>
      <w:r w:rsidRPr="00811C4C">
        <w:t>.</w:t>
      </w:r>
    </w:p>
    <w:p w14:paraId="2802E78B" w14:textId="2D9FED7A" w:rsidR="00273405" w:rsidRPr="00BA2632" w:rsidRDefault="00273405" w:rsidP="006671ED">
      <w:pPr>
        <w:pStyle w:val="Heading3"/>
      </w:pPr>
      <w:bookmarkStart w:id="719" w:name="_Toc84417442"/>
      <w:r w:rsidRPr="00BA2632">
        <w:t>Media releases and other articles</w:t>
      </w:r>
      <w:bookmarkEnd w:id="719"/>
      <w:r w:rsidRPr="00BA2632">
        <w:t xml:space="preserve"> </w:t>
      </w:r>
      <w:bookmarkEnd w:id="718"/>
    </w:p>
    <w:p w14:paraId="2F7405DC" w14:textId="6C55FB84" w:rsidR="00E44F85" w:rsidRPr="00BA2632" w:rsidRDefault="00E44F85" w:rsidP="00E44F85">
      <w:pPr>
        <w:rPr>
          <w:szCs w:val="24"/>
        </w:rPr>
      </w:pPr>
      <w:bookmarkStart w:id="720" w:name="_Toc26772982"/>
      <w:r w:rsidRPr="00BA2632">
        <w:t>Between July 20</w:t>
      </w:r>
      <w:r>
        <w:t>20</w:t>
      </w:r>
      <w:r w:rsidRPr="00BA2632">
        <w:t xml:space="preserve"> and June 202</w:t>
      </w:r>
      <w:r>
        <w:t>1,</w:t>
      </w:r>
      <w:r w:rsidRPr="00BA2632">
        <w:t xml:space="preserve"> </w:t>
      </w:r>
      <w:proofErr w:type="gramStart"/>
      <w:r>
        <w:t>a number of</w:t>
      </w:r>
      <w:proofErr w:type="gramEnd"/>
      <w:r>
        <w:t xml:space="preserve"> </w:t>
      </w:r>
      <w:r w:rsidRPr="00BA2632">
        <w:t>media releases were prepared</w:t>
      </w:r>
      <w:r>
        <w:t>,</w:t>
      </w:r>
      <w:r w:rsidRPr="00BA2632">
        <w:t xml:space="preserve"> and 20 columns/advertisements were run in the </w:t>
      </w:r>
      <w:r w:rsidRPr="00BA2632">
        <w:rPr>
          <w:i/>
        </w:rPr>
        <w:t>Shepparton Advisor</w:t>
      </w:r>
      <w:r w:rsidRPr="00BA2632">
        <w:t xml:space="preserve"> (free – circulation 60,000) and the </w:t>
      </w:r>
      <w:r w:rsidRPr="00BA2632">
        <w:rPr>
          <w:i/>
        </w:rPr>
        <w:t>Country New</w:t>
      </w:r>
      <w:r w:rsidRPr="00BA2632">
        <w:t>s (paid - circulation 35,000). These promoted the project, Commonwealth environmental water use in the Goulburn River and ecological responses (native fish movement and breeding,</w:t>
      </w:r>
      <w:r>
        <w:t xml:space="preserve"> changes to macroinvertebrate biomass,</w:t>
      </w:r>
      <w:r w:rsidRPr="00BA2632">
        <w:t xml:space="preserve"> bank vegetation growth and bank erosion) to environmental flows. There were corresponding articles published in local newspapers including the </w:t>
      </w:r>
      <w:r w:rsidRPr="00BA2632">
        <w:rPr>
          <w:i/>
        </w:rPr>
        <w:t xml:space="preserve">Shepparton Advisor, Alexandra Standard, Riverine </w:t>
      </w:r>
      <w:proofErr w:type="gramStart"/>
      <w:r w:rsidRPr="00BA2632">
        <w:rPr>
          <w:i/>
        </w:rPr>
        <w:t>Herald</w:t>
      </w:r>
      <w:proofErr w:type="gramEnd"/>
      <w:r w:rsidRPr="00BA2632">
        <w:t xml:space="preserve"> and the </w:t>
      </w:r>
      <w:r w:rsidRPr="00BA2632">
        <w:rPr>
          <w:i/>
        </w:rPr>
        <w:t>Country New</w:t>
      </w:r>
      <w:r w:rsidRPr="00BA2632">
        <w:t xml:space="preserve">s. ABC Goulburn Murray and local TV stations (WIN and Nine) also interviewed staff and/or ran the media releases in their news bulletins. </w:t>
      </w:r>
      <w:proofErr w:type="gramStart"/>
      <w:r>
        <w:t>A number</w:t>
      </w:r>
      <w:r w:rsidRPr="00BA2632">
        <w:t xml:space="preserve"> of</w:t>
      </w:r>
      <w:proofErr w:type="gramEnd"/>
      <w:r w:rsidRPr="00BA2632">
        <w:t xml:space="preserve"> the articles focused on the impact of the high IVT flows on lower Goulburn River ecological values and how monitoring is informing mitigation measures. Articles were also included in the GB CMA electronic newsletter </w:t>
      </w:r>
      <w:r w:rsidRPr="00BA2632">
        <w:rPr>
          <w:i/>
        </w:rPr>
        <w:t>Connecting Community and Catchment</w:t>
      </w:r>
      <w:r w:rsidRPr="00BA2632">
        <w:t xml:space="preserve">, which has over 1100 subscribers. </w:t>
      </w:r>
      <w:proofErr w:type="spellStart"/>
      <w:r w:rsidRPr="00BA2632">
        <w:t>Streamology</w:t>
      </w:r>
      <w:proofErr w:type="spellEnd"/>
      <w:r w:rsidRPr="00BA2632">
        <w:t xml:space="preserve"> also promotes the Goulburn River F</w:t>
      </w:r>
      <w:r>
        <w:t>low</w:t>
      </w:r>
      <w:r w:rsidRPr="00BA2632">
        <w:t>-MER Project research it undertakes on its website and through their electronic newsletter.</w:t>
      </w:r>
    </w:p>
    <w:p w14:paraId="11118817" w14:textId="77777777" w:rsidR="00E44F85" w:rsidRPr="00BA2632" w:rsidRDefault="00E44F85" w:rsidP="00E44F85">
      <w:r w:rsidRPr="00BA2632">
        <w:t xml:space="preserve">Anglers continue to be passionate advocates for river health </w:t>
      </w:r>
      <w:proofErr w:type="gramStart"/>
      <w:r w:rsidRPr="00BA2632">
        <w:t>activities</w:t>
      </w:r>
      <w:proofErr w:type="gramEnd"/>
      <w:r w:rsidRPr="00BA2632">
        <w:t xml:space="preserve"> and we continue to engage with them via a number of platforms, including fishing shows and expos.   </w:t>
      </w:r>
    </w:p>
    <w:p w14:paraId="607BDBAF" w14:textId="0B30101D" w:rsidR="00273405" w:rsidRPr="00BA2632" w:rsidRDefault="00273405" w:rsidP="006671ED">
      <w:pPr>
        <w:pStyle w:val="Heading3"/>
      </w:pPr>
      <w:bookmarkStart w:id="721" w:name="_Toc84417443"/>
      <w:r w:rsidRPr="00BA2632">
        <w:t>Technical publications</w:t>
      </w:r>
      <w:bookmarkEnd w:id="720"/>
      <w:bookmarkEnd w:id="721"/>
    </w:p>
    <w:p w14:paraId="0D5FB56A" w14:textId="77777777" w:rsidR="00E44F85" w:rsidRPr="00645964" w:rsidRDefault="00E44F85" w:rsidP="00E44F85">
      <w:pPr>
        <w:rPr>
          <w:szCs w:val="24"/>
        </w:rPr>
      </w:pPr>
      <w:r>
        <w:t xml:space="preserve">Technical communication and engagement activities were limited compared to prior years due to COVID-19 restrictions impacting the latter half of the year. However, </w:t>
      </w:r>
      <w:r w:rsidRPr="00BA2632">
        <w:t xml:space="preserve">several publications have appeared in or been submitted to the peer-reviewed scientific literature that incorporate aspects of the Goulburn River LTIM and MER projects. These </w:t>
      </w:r>
      <w:r>
        <w:t xml:space="preserve">including two </w:t>
      </w:r>
      <w:r w:rsidRPr="00BA2632">
        <w:rPr>
          <w:szCs w:val="24"/>
        </w:rPr>
        <w:t xml:space="preserve">papers </w:t>
      </w:r>
      <w:r>
        <w:rPr>
          <w:szCs w:val="24"/>
        </w:rPr>
        <w:t xml:space="preserve">that </w:t>
      </w:r>
      <w:r w:rsidRPr="00BA2632">
        <w:rPr>
          <w:szCs w:val="24"/>
        </w:rPr>
        <w:t xml:space="preserve">appeared in a special issue of the journal </w:t>
      </w:r>
      <w:r w:rsidRPr="00BA2632">
        <w:rPr>
          <w:i/>
          <w:iCs/>
          <w:szCs w:val="24"/>
        </w:rPr>
        <w:t>River Research and Applications</w:t>
      </w:r>
      <w:r w:rsidRPr="00BA2632">
        <w:rPr>
          <w:szCs w:val="24"/>
        </w:rPr>
        <w:t xml:space="preserve"> to honour the life and memory of Professor Wayne Erskine</w:t>
      </w:r>
      <w:r>
        <w:rPr>
          <w:szCs w:val="24"/>
        </w:rPr>
        <w:t>:</w:t>
      </w:r>
    </w:p>
    <w:p w14:paraId="6941B325" w14:textId="4154BA2C" w:rsidR="00E44F85" w:rsidRPr="006A6A97" w:rsidRDefault="00E44F85" w:rsidP="00DE6E94">
      <w:pPr>
        <w:pStyle w:val="ListParagraph"/>
        <w:numPr>
          <w:ilvl w:val="0"/>
          <w:numId w:val="102"/>
        </w:numPr>
        <w:rPr>
          <w:rFonts w:cstheme="minorHAnsi"/>
          <w:szCs w:val="20"/>
          <w:lang w:val="en-US"/>
        </w:rPr>
      </w:pPr>
      <w:r w:rsidRPr="006A6A97">
        <w:rPr>
          <w:rFonts w:cstheme="minorHAnsi"/>
          <w:szCs w:val="20"/>
        </w:rPr>
        <w:t xml:space="preserve">Watts et al. (2020), which examined how adaptive management is being applied across the LTIM/MER selected areas and how learnings from one Selected Area may be better captured to inform future management at other areas. </w:t>
      </w:r>
      <w:r w:rsidRPr="006A6A97">
        <w:rPr>
          <w:rFonts w:cstheme="minorHAnsi"/>
          <w:szCs w:val="20"/>
          <w:lang w:val="en-US"/>
        </w:rPr>
        <w:t xml:space="preserve">(Watts RJ, Dyer F, Frazier P, </w:t>
      </w:r>
      <w:proofErr w:type="spellStart"/>
      <w:r w:rsidRPr="006A6A97">
        <w:rPr>
          <w:rFonts w:cstheme="minorHAnsi"/>
          <w:szCs w:val="20"/>
          <w:lang w:val="en-US"/>
        </w:rPr>
        <w:t>Gawne</w:t>
      </w:r>
      <w:proofErr w:type="spellEnd"/>
      <w:r w:rsidRPr="006A6A97">
        <w:rPr>
          <w:rFonts w:cstheme="minorHAnsi"/>
          <w:szCs w:val="20"/>
          <w:lang w:val="en-US"/>
        </w:rPr>
        <w:t xml:space="preserve"> B, Marsh P, Ryder DS, </w:t>
      </w:r>
      <w:proofErr w:type="spellStart"/>
      <w:r w:rsidRPr="006A6A97">
        <w:rPr>
          <w:rFonts w:cstheme="minorHAnsi"/>
          <w:szCs w:val="20"/>
          <w:lang w:val="en-US"/>
        </w:rPr>
        <w:t>Southwell</w:t>
      </w:r>
      <w:proofErr w:type="spellEnd"/>
      <w:r w:rsidRPr="006A6A97">
        <w:rPr>
          <w:rFonts w:cstheme="minorHAnsi"/>
          <w:szCs w:val="20"/>
          <w:lang w:val="en-US"/>
        </w:rPr>
        <w:t xml:space="preserve"> M, </w:t>
      </w:r>
      <w:proofErr w:type="spellStart"/>
      <w:r w:rsidRPr="006A6A97">
        <w:rPr>
          <w:rFonts w:cstheme="minorHAnsi"/>
          <w:szCs w:val="20"/>
          <w:lang w:val="en-US"/>
        </w:rPr>
        <w:t>Wassens</w:t>
      </w:r>
      <w:proofErr w:type="spellEnd"/>
      <w:r w:rsidRPr="006A6A97">
        <w:rPr>
          <w:rFonts w:cstheme="minorHAnsi"/>
          <w:szCs w:val="20"/>
          <w:lang w:val="en-US"/>
        </w:rPr>
        <w:t xml:space="preserve"> S, Webb JA, Ye Q (2020) </w:t>
      </w:r>
      <w:r w:rsidRPr="006A6A97">
        <w:rPr>
          <w:rFonts w:cstheme="minorHAnsi"/>
          <w:szCs w:val="20"/>
          <w:lang w:val="en-US"/>
        </w:rPr>
        <w:lastRenderedPageBreak/>
        <w:t xml:space="preserve">Learning from concurrent adaptive management in multiple catchments within a large environmental flows program in Australia. </w:t>
      </w:r>
      <w:r w:rsidRPr="006A6A97">
        <w:rPr>
          <w:rFonts w:cstheme="minorHAnsi"/>
          <w:i/>
          <w:szCs w:val="20"/>
          <w:lang w:val="en-US"/>
        </w:rPr>
        <w:t>Riv. Res. Appl.</w:t>
      </w:r>
      <w:r w:rsidRPr="006A6A97">
        <w:rPr>
          <w:rFonts w:cstheme="minorHAnsi"/>
          <w:szCs w:val="20"/>
          <w:lang w:val="en-US"/>
        </w:rPr>
        <w:t xml:space="preserve"> </w:t>
      </w:r>
      <w:r w:rsidRPr="006A6A97">
        <w:rPr>
          <w:rFonts w:cstheme="minorHAnsi"/>
          <w:b/>
          <w:szCs w:val="20"/>
          <w:lang w:val="en-US"/>
        </w:rPr>
        <w:t>36</w:t>
      </w:r>
      <w:r w:rsidRPr="006A6A97">
        <w:rPr>
          <w:rFonts w:cstheme="minorHAnsi"/>
          <w:szCs w:val="20"/>
          <w:lang w:val="en-US"/>
        </w:rPr>
        <w:t>, 668-680.)</w:t>
      </w:r>
    </w:p>
    <w:p w14:paraId="2B282BAF" w14:textId="6FC30345" w:rsidR="002E51D9" w:rsidRPr="006A6A97" w:rsidRDefault="00E44F85" w:rsidP="00DE6E94">
      <w:pPr>
        <w:pStyle w:val="ListParagraph"/>
        <w:numPr>
          <w:ilvl w:val="0"/>
          <w:numId w:val="102"/>
        </w:numPr>
        <w:rPr>
          <w:rFonts w:cstheme="minorHAnsi"/>
          <w:szCs w:val="20"/>
          <w:lang w:val="en-US"/>
        </w:rPr>
      </w:pPr>
      <w:proofErr w:type="spellStart"/>
      <w:r w:rsidRPr="006A6A97">
        <w:rPr>
          <w:rFonts w:cstheme="minorHAnsi"/>
          <w:szCs w:val="20"/>
        </w:rPr>
        <w:t>Gawne</w:t>
      </w:r>
      <w:proofErr w:type="spellEnd"/>
      <w:r w:rsidRPr="006A6A97">
        <w:rPr>
          <w:rFonts w:cstheme="minorHAnsi"/>
          <w:szCs w:val="20"/>
        </w:rPr>
        <w:t xml:space="preserve"> et al. (2020), which provides an overview of the LTIM/MER approach to large-scale monitoring and evaluation of environmental flows, given that these programs have no parallel anywhere in the world (</w:t>
      </w:r>
      <w:proofErr w:type="spellStart"/>
      <w:r w:rsidRPr="006A6A97">
        <w:rPr>
          <w:rFonts w:cstheme="minorHAnsi"/>
          <w:szCs w:val="20"/>
          <w:lang w:val="en-US"/>
        </w:rPr>
        <w:t>Gawne</w:t>
      </w:r>
      <w:proofErr w:type="spellEnd"/>
      <w:r w:rsidRPr="006A6A97">
        <w:rPr>
          <w:rFonts w:cstheme="minorHAnsi"/>
          <w:szCs w:val="20"/>
          <w:lang w:val="en-US"/>
        </w:rPr>
        <w:t xml:space="preserve"> B, Hale J, Stewardson MJ, Webb JA, Ryder DS, Brooks SS, Campbell CJ, Capon SJ, Everingham P, Grace MR, Guarino F, </w:t>
      </w:r>
      <w:proofErr w:type="spellStart"/>
      <w:r w:rsidRPr="006A6A97">
        <w:rPr>
          <w:rFonts w:cstheme="minorHAnsi"/>
          <w:szCs w:val="20"/>
          <w:lang w:val="en-US"/>
        </w:rPr>
        <w:t>Stoffels</w:t>
      </w:r>
      <w:proofErr w:type="spellEnd"/>
      <w:r w:rsidRPr="006A6A97">
        <w:rPr>
          <w:rFonts w:cstheme="minorHAnsi"/>
          <w:szCs w:val="20"/>
          <w:lang w:val="en-US"/>
        </w:rPr>
        <w:t xml:space="preserve"> RJ (2020) Monitoring of environmental flow outcomes in a large river basin: The Commonwealth Environmental Water Holder's long‐term intervention in the Murray–Darling Basin, Australia. </w:t>
      </w:r>
      <w:r w:rsidRPr="006A6A97">
        <w:rPr>
          <w:rFonts w:cstheme="minorHAnsi"/>
          <w:i/>
          <w:szCs w:val="20"/>
          <w:lang w:val="en-US"/>
        </w:rPr>
        <w:t>Riv. Res. Appl.</w:t>
      </w:r>
      <w:r w:rsidRPr="006A6A97">
        <w:rPr>
          <w:rFonts w:cstheme="minorHAnsi"/>
          <w:szCs w:val="20"/>
          <w:lang w:val="en-US"/>
        </w:rPr>
        <w:t xml:space="preserve"> </w:t>
      </w:r>
      <w:r w:rsidRPr="006A6A97">
        <w:rPr>
          <w:rFonts w:cstheme="minorHAnsi"/>
          <w:b/>
          <w:szCs w:val="20"/>
          <w:lang w:val="en-US"/>
        </w:rPr>
        <w:t>36</w:t>
      </w:r>
      <w:r w:rsidRPr="006A6A97">
        <w:rPr>
          <w:rFonts w:cstheme="minorHAnsi"/>
          <w:szCs w:val="20"/>
          <w:lang w:val="en-US"/>
        </w:rPr>
        <w:t>, 630-644.)</w:t>
      </w:r>
    </w:p>
    <w:p w14:paraId="62E8E909" w14:textId="6AD4D705" w:rsidR="002E51D9" w:rsidRPr="002E51D9" w:rsidRDefault="002E51D9" w:rsidP="00DE6E94">
      <w:pPr>
        <w:pStyle w:val="ListParagraph"/>
        <w:numPr>
          <w:ilvl w:val="0"/>
          <w:numId w:val="102"/>
        </w:numPr>
      </w:pPr>
      <w:r w:rsidRPr="006A6A97">
        <w:rPr>
          <w:rFonts w:cstheme="minorHAnsi"/>
          <w:szCs w:val="20"/>
        </w:rPr>
        <w:t xml:space="preserve">Geoff </w:t>
      </w:r>
      <w:proofErr w:type="spellStart"/>
      <w:r w:rsidRPr="006A6A97">
        <w:rPr>
          <w:rFonts w:cstheme="minorHAnsi"/>
          <w:szCs w:val="20"/>
        </w:rPr>
        <w:t>Vietz</w:t>
      </w:r>
      <w:proofErr w:type="spellEnd"/>
      <w:r w:rsidRPr="006A6A97">
        <w:rPr>
          <w:rFonts w:cstheme="minorHAnsi"/>
          <w:szCs w:val="20"/>
        </w:rPr>
        <w:t>, Neil Sutton, Jess Houghton, Thom Gower, and Christine Lauchlan Arrowsmith, 2021. Assessing waterways from the sky: A new era in monitoring using drones. Proceedings of the 10th Australian Stream Management Conference 2020, Kingscliff, NSW.</w:t>
      </w:r>
    </w:p>
    <w:p w14:paraId="608080CE" w14:textId="77777777" w:rsidR="00E44F85" w:rsidRDefault="00E44F85" w:rsidP="00E44F85">
      <w:pPr>
        <w:rPr>
          <w:lang w:val="en-US"/>
        </w:rPr>
      </w:pPr>
    </w:p>
    <w:p w14:paraId="3CDA59F2" w14:textId="77777777" w:rsidR="00E44F85" w:rsidRPr="00C51BB7" w:rsidRDefault="00E44F85" w:rsidP="00E44F85">
      <w:pPr>
        <w:rPr>
          <w:color w:val="000000" w:themeColor="text1"/>
        </w:rPr>
      </w:pPr>
      <w:r w:rsidRPr="00C51BB7">
        <w:rPr>
          <w:color w:val="000000" w:themeColor="text1"/>
        </w:rPr>
        <w:t xml:space="preserve">Goulburn MER research was </w:t>
      </w:r>
      <w:r>
        <w:rPr>
          <w:color w:val="000000" w:themeColor="text1"/>
        </w:rPr>
        <w:t xml:space="preserve">also </w:t>
      </w:r>
      <w:r w:rsidRPr="00C51BB7">
        <w:rPr>
          <w:color w:val="000000" w:themeColor="text1"/>
        </w:rPr>
        <w:t>used to contribute to the following external programs:</w:t>
      </w:r>
    </w:p>
    <w:p w14:paraId="1FB95D1A" w14:textId="77777777" w:rsidR="00E44F85" w:rsidRPr="00C51BB7" w:rsidRDefault="00E44F85" w:rsidP="00DE6E94">
      <w:pPr>
        <w:pStyle w:val="ListParagraph"/>
        <w:numPr>
          <w:ilvl w:val="0"/>
          <w:numId w:val="57"/>
        </w:numPr>
        <w:rPr>
          <w:szCs w:val="24"/>
        </w:rPr>
      </w:pPr>
      <w:r w:rsidRPr="00C51BB7">
        <w:rPr>
          <w:szCs w:val="24"/>
        </w:rPr>
        <w:t xml:space="preserve">GBCMA </w:t>
      </w:r>
      <w:r>
        <w:rPr>
          <w:szCs w:val="24"/>
        </w:rPr>
        <w:t xml:space="preserve">Environmental Water Program funding proposal </w:t>
      </w:r>
      <w:r w:rsidRPr="00C51BB7">
        <w:rPr>
          <w:szCs w:val="24"/>
        </w:rPr>
        <w:t>for EC5 (Environmental Contributions Levy)</w:t>
      </w:r>
    </w:p>
    <w:p w14:paraId="25356D2A" w14:textId="77777777" w:rsidR="00E44F85" w:rsidRPr="00C51BB7" w:rsidRDefault="00E44F85" w:rsidP="00DE6E94">
      <w:pPr>
        <w:pStyle w:val="ListParagraph"/>
        <w:numPr>
          <w:ilvl w:val="0"/>
          <w:numId w:val="57"/>
        </w:numPr>
        <w:rPr>
          <w:szCs w:val="24"/>
        </w:rPr>
      </w:pPr>
      <w:r w:rsidRPr="00C51BB7">
        <w:rPr>
          <w:szCs w:val="24"/>
        </w:rPr>
        <w:t xml:space="preserve">Goulburn </w:t>
      </w:r>
      <w:r>
        <w:rPr>
          <w:szCs w:val="24"/>
        </w:rPr>
        <w:t>to Murray Trade Review Regulatory Impact Statement</w:t>
      </w:r>
    </w:p>
    <w:p w14:paraId="4278D8FB" w14:textId="51077765" w:rsidR="00273405" w:rsidRPr="00E44F85" w:rsidRDefault="00E44F85" w:rsidP="00DE6E94">
      <w:pPr>
        <w:pStyle w:val="ListParagraph"/>
        <w:numPr>
          <w:ilvl w:val="0"/>
          <w:numId w:val="57"/>
        </w:numPr>
        <w:rPr>
          <w:szCs w:val="24"/>
        </w:rPr>
      </w:pPr>
      <w:r>
        <w:rPr>
          <w:szCs w:val="24"/>
        </w:rPr>
        <w:t>Operating Plan for the delivery of water from the Goulburn IVT Account</w:t>
      </w:r>
    </w:p>
    <w:p w14:paraId="3128DE8A" w14:textId="75736EA8" w:rsidR="00273405" w:rsidRPr="00BA2632" w:rsidRDefault="00273405" w:rsidP="006671ED">
      <w:pPr>
        <w:pStyle w:val="Heading3"/>
      </w:pPr>
      <w:bookmarkStart w:id="722" w:name="_Toc26772983"/>
      <w:bookmarkStart w:id="723" w:name="_Toc84417444"/>
      <w:r w:rsidRPr="00BA2632">
        <w:t>Social Media</w:t>
      </w:r>
      <w:bookmarkEnd w:id="722"/>
      <w:bookmarkEnd w:id="723"/>
    </w:p>
    <w:p w14:paraId="7D8D453E" w14:textId="77777777" w:rsidR="00E44F85" w:rsidRPr="00BA2632" w:rsidRDefault="00E44F85" w:rsidP="00313A63">
      <w:pPr>
        <w:rPr>
          <w:szCs w:val="24"/>
        </w:rPr>
      </w:pPr>
      <w:r w:rsidRPr="00BA2632">
        <w:t>Numerous Facebook and Instagram posts and tweets promoted the project and the benefits of environmental water. These were viewed thousands of times and are usually amongst GB CMA’s most popular and engaging posts. Currently, the GB CMA has over 4,700 social media followers.</w:t>
      </w:r>
    </w:p>
    <w:p w14:paraId="2FA65163" w14:textId="447FF5EF" w:rsidR="00E44F85" w:rsidRPr="00BA2632" w:rsidRDefault="00E44F85" w:rsidP="00DE6E94">
      <w:pPr>
        <w:pStyle w:val="ListParagraph"/>
        <w:numPr>
          <w:ilvl w:val="0"/>
          <w:numId w:val="98"/>
        </w:numPr>
      </w:pPr>
      <w:r w:rsidRPr="004C3278">
        <w:t>https://www.facebook.com/gbcma</w:t>
      </w:r>
    </w:p>
    <w:p w14:paraId="1A8D122B" w14:textId="73BB8032" w:rsidR="00E44F85" w:rsidRPr="00BA2632" w:rsidRDefault="00E44F85" w:rsidP="00DE6E94">
      <w:pPr>
        <w:pStyle w:val="ListParagraph"/>
        <w:numPr>
          <w:ilvl w:val="0"/>
          <w:numId w:val="98"/>
        </w:numPr>
      </w:pPr>
      <w:r w:rsidRPr="004C3278">
        <w:t>https://twitter.com/gbcma</w:t>
      </w:r>
    </w:p>
    <w:p w14:paraId="30FEAEE0" w14:textId="76DA7C2B" w:rsidR="00E44F85" w:rsidRPr="00BA2632" w:rsidRDefault="00E44F85" w:rsidP="00DE6E94">
      <w:pPr>
        <w:pStyle w:val="ListParagraph"/>
        <w:numPr>
          <w:ilvl w:val="0"/>
          <w:numId w:val="98"/>
        </w:numPr>
      </w:pPr>
      <w:r w:rsidRPr="004C3278">
        <w:t>https://www.instagram.com/goulburnbrokencma/</w:t>
      </w:r>
    </w:p>
    <w:p w14:paraId="35878425" w14:textId="77777777" w:rsidR="00E44F85" w:rsidRPr="00BA2632" w:rsidRDefault="00E44F85" w:rsidP="00E44F85">
      <w:r w:rsidRPr="00BA2632">
        <w:t xml:space="preserve">To acknowledging the Traditional Owners (Yorta </w:t>
      </w:r>
      <w:proofErr w:type="spellStart"/>
      <w:r w:rsidRPr="00BA2632">
        <w:t>Yorta</w:t>
      </w:r>
      <w:proofErr w:type="spellEnd"/>
      <w:r w:rsidRPr="00BA2632">
        <w:t xml:space="preserve"> Nation Aboriginal Corporation), they are usually tagged in social media and they along with MLDRIN, frequently share information about the monitoring program and outcomes among their networks.</w:t>
      </w:r>
    </w:p>
    <w:p w14:paraId="2AE53ED5" w14:textId="77777777" w:rsidR="00E44F85" w:rsidRPr="00BA2632" w:rsidRDefault="00E44F85" w:rsidP="00E44F85">
      <w:r w:rsidRPr="00BA2632">
        <w:t xml:space="preserve">Innovative approaches, such as </w:t>
      </w:r>
      <w:proofErr w:type="spellStart"/>
      <w:r w:rsidRPr="00BA2632">
        <w:t>Streamology</w:t>
      </w:r>
      <w:proofErr w:type="spellEnd"/>
      <w:r w:rsidRPr="00BA2632">
        <w:t xml:space="preserve"> using drones to monitor bank condition, continue to attract community and media attention, with posts on this topic among the most popular and engaging.</w:t>
      </w:r>
    </w:p>
    <w:p w14:paraId="7B9BC78E" w14:textId="741C6899" w:rsidR="00273405" w:rsidRPr="00BA2632" w:rsidRDefault="00273405" w:rsidP="006671ED">
      <w:pPr>
        <w:pStyle w:val="Heading3"/>
      </w:pPr>
      <w:bookmarkStart w:id="724" w:name="_Toc84417445"/>
      <w:r w:rsidRPr="00BA2632">
        <w:t>Websites</w:t>
      </w:r>
      <w:bookmarkEnd w:id="724"/>
    </w:p>
    <w:p w14:paraId="158BCC13" w14:textId="50330D6F" w:rsidR="00E44F85" w:rsidRDefault="00E44F85" w:rsidP="00E44F85">
      <w:bookmarkStart w:id="725" w:name="_Toc26772985"/>
      <w:r w:rsidRPr="00BA2632">
        <w:t>The Water for the Environment section of the GB CMA’s website was updated and given greater prominence in-line with an overall update and revamp of site. The development of the FLOW-MER website and the ability to link to it helps provide better context for how the Goulburn project aligns with the broader Basin monitoring activities as well as providing access to regularly updated science and information via newsletters and other material generated by CEWO.</w:t>
      </w:r>
      <w:r w:rsidR="00FF5512">
        <w:t xml:space="preserve"> The bank condition monitoring program was </w:t>
      </w:r>
      <w:r w:rsidR="00134347">
        <w:t>described in the Flow-MER story below</w:t>
      </w:r>
    </w:p>
    <w:p w14:paraId="23909983" w14:textId="7D5E0470" w:rsidR="004866AF" w:rsidRPr="00065365" w:rsidRDefault="004866AF" w:rsidP="00134347">
      <w:pPr>
        <w:ind w:firstLine="720"/>
        <w:rPr>
          <w:szCs w:val="24"/>
          <w:u w:val="single"/>
        </w:rPr>
      </w:pPr>
      <w:r w:rsidRPr="00065365">
        <w:rPr>
          <w:u w:val="single"/>
        </w:rPr>
        <w:t>https://flow-mer.org.au/assessing-soil-from-the-sky-drone-monitoring-in-the-murray-darling-basin/</w:t>
      </w:r>
      <w:r w:rsidRPr="00065365">
        <w:rPr>
          <w:u w:val="single"/>
        </w:rPr>
        <w:br/>
      </w:r>
    </w:p>
    <w:p w14:paraId="1283423D" w14:textId="08A48989" w:rsidR="00273405" w:rsidRPr="00BA2632" w:rsidRDefault="00273405" w:rsidP="006671ED">
      <w:pPr>
        <w:pStyle w:val="Heading3"/>
      </w:pPr>
      <w:bookmarkStart w:id="726" w:name="_Toc84417446"/>
      <w:r w:rsidRPr="00BA2632">
        <w:t>Presentations</w:t>
      </w:r>
      <w:bookmarkEnd w:id="725"/>
      <w:bookmarkEnd w:id="726"/>
    </w:p>
    <w:p w14:paraId="4E031BBA" w14:textId="77777777" w:rsidR="00E44F85" w:rsidRPr="00313A63" w:rsidRDefault="00E44F85" w:rsidP="00E44F85">
      <w:r w:rsidRPr="00BA2632">
        <w:t xml:space="preserve">GB CMA staff </w:t>
      </w:r>
      <w:r>
        <w:t xml:space="preserve">and research leads </w:t>
      </w:r>
      <w:r w:rsidRPr="00BA2632">
        <w:t xml:space="preserve">presented/provided updates to </w:t>
      </w:r>
      <w:proofErr w:type="gramStart"/>
      <w:r w:rsidRPr="00BA2632">
        <w:t>a number of</w:t>
      </w:r>
      <w:proofErr w:type="gramEnd"/>
      <w:r w:rsidRPr="00BA2632">
        <w:t xml:space="preserve"> government, community and agency groups throughout the year on environmental water management and the Goulburn FLOW-MER project. These groups included:</w:t>
      </w:r>
    </w:p>
    <w:p w14:paraId="684B92E6" w14:textId="77777777" w:rsidR="00E44F85" w:rsidRPr="00BA2632" w:rsidRDefault="00E44F85" w:rsidP="00DE6E94">
      <w:pPr>
        <w:pStyle w:val="ListParagraph"/>
        <w:numPr>
          <w:ilvl w:val="0"/>
          <w:numId w:val="58"/>
        </w:numPr>
      </w:pPr>
      <w:r w:rsidRPr="00BA2632">
        <w:t xml:space="preserve">Yorta </w:t>
      </w:r>
      <w:proofErr w:type="spellStart"/>
      <w:r w:rsidRPr="00BA2632">
        <w:t>Yorta</w:t>
      </w:r>
      <w:proofErr w:type="spellEnd"/>
      <w:r w:rsidRPr="00BA2632">
        <w:t xml:space="preserve"> Nation Aboriginal </w:t>
      </w:r>
      <w:proofErr w:type="gramStart"/>
      <w:r w:rsidRPr="00BA2632">
        <w:t>Corporation;</w:t>
      </w:r>
      <w:proofErr w:type="gramEnd"/>
    </w:p>
    <w:p w14:paraId="364F63B6" w14:textId="77777777" w:rsidR="00E44F85" w:rsidRPr="00BA2632" w:rsidRDefault="00E44F85" w:rsidP="00DE6E94">
      <w:pPr>
        <w:pStyle w:val="ListParagraph"/>
        <w:numPr>
          <w:ilvl w:val="0"/>
          <w:numId w:val="58"/>
        </w:numPr>
      </w:pPr>
      <w:proofErr w:type="spellStart"/>
      <w:r w:rsidRPr="00BA2632">
        <w:t>Taungurung</w:t>
      </w:r>
      <w:proofErr w:type="spellEnd"/>
      <w:r w:rsidRPr="00BA2632">
        <w:t xml:space="preserve"> Land and Waters </w:t>
      </w:r>
      <w:proofErr w:type="gramStart"/>
      <w:r w:rsidRPr="00BA2632">
        <w:t>Council;</w:t>
      </w:r>
      <w:proofErr w:type="gramEnd"/>
    </w:p>
    <w:p w14:paraId="1EB11503" w14:textId="77777777" w:rsidR="00E44F85" w:rsidRPr="00BA2632" w:rsidRDefault="00E44F85" w:rsidP="00DE6E94">
      <w:pPr>
        <w:pStyle w:val="ListParagraph"/>
        <w:numPr>
          <w:ilvl w:val="0"/>
          <w:numId w:val="58"/>
        </w:numPr>
      </w:pPr>
      <w:r w:rsidRPr="00BA2632">
        <w:t xml:space="preserve">Parks </w:t>
      </w:r>
      <w:proofErr w:type="gramStart"/>
      <w:r w:rsidRPr="00BA2632">
        <w:t>Victoria;</w:t>
      </w:r>
      <w:proofErr w:type="gramEnd"/>
    </w:p>
    <w:p w14:paraId="0A7FCA0B" w14:textId="77777777" w:rsidR="00E44F85" w:rsidRPr="00BA2632" w:rsidRDefault="00E44F85" w:rsidP="00DE6E94">
      <w:pPr>
        <w:pStyle w:val="ListParagraph"/>
        <w:numPr>
          <w:ilvl w:val="0"/>
          <w:numId w:val="58"/>
        </w:numPr>
      </w:pPr>
      <w:proofErr w:type="gramStart"/>
      <w:r w:rsidRPr="00BA2632">
        <w:t>DELWP;</w:t>
      </w:r>
      <w:proofErr w:type="gramEnd"/>
    </w:p>
    <w:p w14:paraId="6376B314" w14:textId="77777777" w:rsidR="00E44F85" w:rsidRPr="00BA2632" w:rsidRDefault="00E44F85" w:rsidP="00DE6E94">
      <w:pPr>
        <w:pStyle w:val="ListParagraph"/>
        <w:numPr>
          <w:ilvl w:val="0"/>
          <w:numId w:val="58"/>
        </w:numPr>
      </w:pPr>
      <w:r w:rsidRPr="00BA2632">
        <w:t xml:space="preserve">Goulburn-Murray </w:t>
      </w:r>
      <w:proofErr w:type="gramStart"/>
      <w:r w:rsidRPr="00BA2632">
        <w:t>Water;</w:t>
      </w:r>
      <w:proofErr w:type="gramEnd"/>
      <w:r w:rsidRPr="00BA2632">
        <w:t xml:space="preserve"> </w:t>
      </w:r>
    </w:p>
    <w:p w14:paraId="5BC0F11D" w14:textId="77777777" w:rsidR="00E44F85" w:rsidRPr="00BA2632" w:rsidRDefault="00E44F85" w:rsidP="00DE6E94">
      <w:pPr>
        <w:pStyle w:val="ListParagraph"/>
        <w:numPr>
          <w:ilvl w:val="0"/>
          <w:numId w:val="58"/>
        </w:numPr>
      </w:pPr>
      <w:proofErr w:type="gramStart"/>
      <w:r w:rsidRPr="00BA2632">
        <w:lastRenderedPageBreak/>
        <w:t>Schools;</w:t>
      </w:r>
      <w:proofErr w:type="gramEnd"/>
    </w:p>
    <w:p w14:paraId="13EEC020" w14:textId="77777777" w:rsidR="00E44F85" w:rsidRPr="00BA2632" w:rsidRDefault="00E44F85" w:rsidP="00DE6E94">
      <w:pPr>
        <w:pStyle w:val="ListParagraph"/>
        <w:numPr>
          <w:ilvl w:val="0"/>
          <w:numId w:val="58"/>
        </w:numPr>
      </w:pPr>
      <w:r w:rsidRPr="00BA2632">
        <w:t xml:space="preserve">Recreational fishing groups and fish management </w:t>
      </w:r>
      <w:proofErr w:type="gramStart"/>
      <w:r w:rsidRPr="00BA2632">
        <w:t>agencies;</w:t>
      </w:r>
      <w:proofErr w:type="gramEnd"/>
    </w:p>
    <w:p w14:paraId="494D5641" w14:textId="77777777" w:rsidR="00E44F85" w:rsidRPr="00BA2632" w:rsidRDefault="00E44F85" w:rsidP="00DE6E94">
      <w:pPr>
        <w:pStyle w:val="ListParagraph"/>
        <w:numPr>
          <w:ilvl w:val="0"/>
          <w:numId w:val="58"/>
        </w:numPr>
      </w:pPr>
      <w:r w:rsidRPr="00BA2632">
        <w:t>GB CMA partnership group; and</w:t>
      </w:r>
    </w:p>
    <w:p w14:paraId="36F2D228" w14:textId="77777777" w:rsidR="00E44F85" w:rsidRPr="00BA2632" w:rsidRDefault="00E44F85" w:rsidP="00DE6E94">
      <w:pPr>
        <w:pStyle w:val="ListParagraph"/>
        <w:numPr>
          <w:ilvl w:val="0"/>
          <w:numId w:val="58"/>
        </w:numPr>
      </w:pPr>
      <w:r w:rsidRPr="00BA2632">
        <w:t xml:space="preserve">Environmental Water Advisory Groups. </w:t>
      </w:r>
    </w:p>
    <w:p w14:paraId="1C751A81" w14:textId="25BD0AF4" w:rsidR="00E44F85" w:rsidRDefault="00E44F85" w:rsidP="00E44F85">
      <w:r>
        <w:t xml:space="preserve">Of note, La Trobe University staff ran two successful workshops in May (in between COVID-19 travel restrictions) on the macroinvertebrate monitoring undertaken as part of the </w:t>
      </w:r>
      <w:r w:rsidRPr="00BA2632">
        <w:t>Goulburn FLOW-MER project</w:t>
      </w:r>
      <w:r>
        <w:t xml:space="preserve">. The workshops were attended by the GB CMA’s environmental water delivery partners (GMW, PV, Greater Shepparton City Council, DELWP and CEWO) and youth members of the </w:t>
      </w:r>
      <w:proofErr w:type="spellStart"/>
      <w:r>
        <w:t>Burnanga</w:t>
      </w:r>
      <w:proofErr w:type="spellEnd"/>
      <w:r>
        <w:t xml:space="preserve"> Indigenous Fishing Group (</w:t>
      </w:r>
      <w:r w:rsidRPr="00946134">
        <w:t>https://burnanga.com.au/</w:t>
      </w:r>
      <w:r>
        <w:t xml:space="preserve">). The workshops included hands on experience in the water quality monitoring techniques and macroinvertebrate identification. </w:t>
      </w:r>
    </w:p>
    <w:p w14:paraId="3F4AEF9B" w14:textId="589C588C" w:rsidR="00645683" w:rsidRDefault="00645683" w:rsidP="00E44F85">
      <w:r>
        <w:t>The drone-based program was featured as part of the basin-scale team’s ‘Flow-MER Fridays’ series of presentations.</w:t>
      </w:r>
    </w:p>
    <w:p w14:paraId="67764FCF" w14:textId="77FAEC13" w:rsidR="004866AF" w:rsidRPr="00065365" w:rsidRDefault="004866AF" w:rsidP="00645683">
      <w:pPr>
        <w:ind w:left="426" w:firstLine="6"/>
        <w:rPr>
          <w:u w:val="single"/>
        </w:rPr>
      </w:pPr>
      <w:r w:rsidRPr="00065365">
        <w:rPr>
          <w:u w:val="single"/>
        </w:rPr>
        <w:t>https://flow-mer.org.au/series-2-webisode-4-assessing-soil-and-plants-from-the-sky-a-new-era-in-waterway-monitoring-using-drones/</w:t>
      </w:r>
    </w:p>
    <w:p w14:paraId="23A40C3D" w14:textId="77777777" w:rsidR="004866AF" w:rsidRDefault="004866AF" w:rsidP="00E44F85"/>
    <w:p w14:paraId="119EEB53" w14:textId="77777777" w:rsidR="009145A2" w:rsidRPr="00BA2632" w:rsidRDefault="009145A2" w:rsidP="00F70570">
      <w:pPr>
        <w:rPr>
          <w:rFonts w:ascii="Georgia" w:eastAsia="SimHei" w:hAnsi="Georgia" w:cs="Times New Roman"/>
          <w:color w:val="094183"/>
          <w:sz w:val="32"/>
          <w:szCs w:val="32"/>
          <w:lang w:eastAsia="en-US"/>
        </w:rPr>
      </w:pPr>
      <w:r w:rsidRPr="00BA2632">
        <w:br w:type="page"/>
      </w:r>
    </w:p>
    <w:p w14:paraId="58A60639" w14:textId="16B03E13" w:rsidR="00BF58FB" w:rsidRPr="00BA2632" w:rsidRDefault="00B51F28" w:rsidP="00C6595B">
      <w:pPr>
        <w:pStyle w:val="Heading1"/>
      </w:pPr>
      <w:bookmarkStart w:id="727" w:name="_Toc84416140"/>
      <w:bookmarkStart w:id="728" w:name="_Toc84417447"/>
      <w:bookmarkStart w:id="729" w:name="_Toc84475734"/>
      <w:r w:rsidRPr="00BA2632">
        <w:lastRenderedPageBreak/>
        <w:t>References</w:t>
      </w:r>
      <w:bookmarkEnd w:id="727"/>
      <w:bookmarkEnd w:id="728"/>
      <w:bookmarkEnd w:id="729"/>
    </w:p>
    <w:p w14:paraId="011881F4" w14:textId="2F5F30F6" w:rsidR="00B84C56" w:rsidRPr="00B84C56" w:rsidRDefault="00B84C56" w:rsidP="00065365">
      <w:r w:rsidRPr="00B84C56">
        <w:t xml:space="preserve">Abernethy, </w:t>
      </w:r>
      <w:proofErr w:type="gramStart"/>
      <w:r w:rsidRPr="00B84C56">
        <w:t>B.</w:t>
      </w:r>
      <w:proofErr w:type="gramEnd"/>
      <w:r w:rsidRPr="00B84C56">
        <w:t xml:space="preserve"> and I. D. Rutherfurd (1998). "Where along a river's length will vegetation most effectively stabilise stream banks?" </w:t>
      </w:r>
      <w:r w:rsidRPr="00B84C56">
        <w:rPr>
          <w:u w:val="single"/>
        </w:rPr>
        <w:t>Geomorphology</w:t>
      </w:r>
      <w:r w:rsidRPr="00B84C56">
        <w:t xml:space="preserve"> </w:t>
      </w:r>
      <w:r w:rsidRPr="00B84C56">
        <w:rPr>
          <w:b/>
        </w:rPr>
        <w:t>23</w:t>
      </w:r>
      <w:r w:rsidRPr="00B84C56">
        <w:t>(1): 55-75.</w:t>
      </w:r>
    </w:p>
    <w:p w14:paraId="3932F917" w14:textId="77777777" w:rsidR="00B84C56" w:rsidRPr="00B84C56" w:rsidRDefault="00B84C56" w:rsidP="00065365">
      <w:proofErr w:type="spellStart"/>
      <w:r w:rsidRPr="00B84C56">
        <w:t>Abt</w:t>
      </w:r>
      <w:proofErr w:type="spellEnd"/>
      <w:r w:rsidRPr="00B84C56">
        <w:t xml:space="preserve">, S. R., W. P. </w:t>
      </w:r>
      <w:proofErr w:type="gramStart"/>
      <w:r w:rsidRPr="00B84C56">
        <w:t>Clary</w:t>
      </w:r>
      <w:proofErr w:type="gramEnd"/>
      <w:r w:rsidRPr="00B84C56">
        <w:t xml:space="preserve"> and C. I. Thornton (1994). "Sediment deposition and entrapment in vegetated streambeds." </w:t>
      </w:r>
      <w:r w:rsidRPr="00B84C56">
        <w:rPr>
          <w:u w:val="single"/>
        </w:rPr>
        <w:t>Journal of Irrigation and Drainage Engineering</w:t>
      </w:r>
      <w:r w:rsidRPr="00B84C56">
        <w:t xml:space="preserve"> </w:t>
      </w:r>
      <w:r w:rsidRPr="00B84C56">
        <w:rPr>
          <w:b/>
        </w:rPr>
        <w:t>120</w:t>
      </w:r>
      <w:r w:rsidRPr="00B84C56">
        <w:t>(6): 1098-1111.</w:t>
      </w:r>
    </w:p>
    <w:p w14:paraId="7F35E177" w14:textId="77777777" w:rsidR="00B84C56" w:rsidRPr="00B84C56" w:rsidRDefault="00B84C56" w:rsidP="00065365">
      <w:r w:rsidRPr="00B84C56">
        <w:t xml:space="preserve">Appling, A. P., R. O. Hall Jr, C. B. </w:t>
      </w:r>
      <w:proofErr w:type="spellStart"/>
      <w:r w:rsidRPr="00B84C56">
        <w:t>Yackulic</w:t>
      </w:r>
      <w:proofErr w:type="spellEnd"/>
      <w:r w:rsidRPr="00B84C56">
        <w:t xml:space="preserve"> and M. </w:t>
      </w:r>
      <w:proofErr w:type="spellStart"/>
      <w:r w:rsidRPr="00B84C56">
        <w:t>Arroita</w:t>
      </w:r>
      <w:proofErr w:type="spellEnd"/>
      <w:r w:rsidRPr="00B84C56">
        <w:t xml:space="preserve"> (2018). "Overcoming equifinality: Leveraging long time series for stream metabolism estimation." </w:t>
      </w:r>
      <w:r w:rsidRPr="00B84C56">
        <w:rPr>
          <w:u w:val="single"/>
        </w:rPr>
        <w:t xml:space="preserve">Journal of Geophysical Research: </w:t>
      </w:r>
      <w:proofErr w:type="spellStart"/>
      <w:r w:rsidRPr="00B84C56">
        <w:rPr>
          <w:u w:val="single"/>
        </w:rPr>
        <w:t>Biogeosciences</w:t>
      </w:r>
      <w:proofErr w:type="spellEnd"/>
      <w:r w:rsidRPr="00B84C56">
        <w:t xml:space="preserve"> </w:t>
      </w:r>
      <w:r w:rsidRPr="00B84C56">
        <w:rPr>
          <w:b/>
        </w:rPr>
        <w:t>123</w:t>
      </w:r>
      <w:r w:rsidRPr="00B84C56">
        <w:t>(2): 624-645.</w:t>
      </w:r>
    </w:p>
    <w:p w14:paraId="1B4EAE50" w14:textId="77777777" w:rsidR="00B84C56" w:rsidRPr="00B84C56" w:rsidRDefault="00B84C56" w:rsidP="00065365">
      <w:r w:rsidRPr="00B84C56">
        <w:t xml:space="preserve">Bernhardt, E. S., J. B. Heffernan, N. B. Grimm, E. H. Stanley, J. Harvey, M. </w:t>
      </w:r>
      <w:proofErr w:type="spellStart"/>
      <w:r w:rsidRPr="00B84C56">
        <w:t>Arroita</w:t>
      </w:r>
      <w:proofErr w:type="spellEnd"/>
      <w:r w:rsidRPr="00B84C56">
        <w:t xml:space="preserve">, A. P. Appling, M. Cohen, W. H. </w:t>
      </w:r>
      <w:proofErr w:type="gramStart"/>
      <w:r w:rsidRPr="00B84C56">
        <w:t>McDowell</w:t>
      </w:r>
      <w:proofErr w:type="gramEnd"/>
      <w:r w:rsidRPr="00B84C56">
        <w:t xml:space="preserve"> and R. Hall Jr (2018). "The metabolic regimes of flowing waters." </w:t>
      </w:r>
      <w:r w:rsidRPr="00B84C56">
        <w:rPr>
          <w:u w:val="single"/>
        </w:rPr>
        <w:t>Limnology and Oceanography</w:t>
      </w:r>
      <w:r w:rsidRPr="00B84C56">
        <w:t xml:space="preserve"> </w:t>
      </w:r>
      <w:r w:rsidRPr="00B84C56">
        <w:rPr>
          <w:b/>
        </w:rPr>
        <w:t>63</w:t>
      </w:r>
      <w:r w:rsidRPr="00B84C56">
        <w:t>(S1): S99-S118.</w:t>
      </w:r>
    </w:p>
    <w:p w14:paraId="7FDBAFF5" w14:textId="77777777" w:rsidR="00B84C56" w:rsidRPr="00B84C56" w:rsidRDefault="00B84C56" w:rsidP="00065365">
      <w:proofErr w:type="spellStart"/>
      <w:r w:rsidRPr="00B84C56">
        <w:rPr>
          <w:rFonts w:hint="eastAsia"/>
        </w:rPr>
        <w:t>Bernot</w:t>
      </w:r>
      <w:proofErr w:type="spellEnd"/>
      <w:r w:rsidRPr="00B84C56">
        <w:rPr>
          <w:rFonts w:hint="eastAsia"/>
        </w:rPr>
        <w:t xml:space="preserve">, M. J., D. J. </w:t>
      </w:r>
      <w:proofErr w:type="spellStart"/>
      <w:r w:rsidRPr="00B84C56">
        <w:rPr>
          <w:rFonts w:hint="eastAsia"/>
        </w:rPr>
        <w:t>Sobota</w:t>
      </w:r>
      <w:proofErr w:type="spellEnd"/>
      <w:r w:rsidRPr="00B84C56">
        <w:rPr>
          <w:rFonts w:hint="eastAsia"/>
        </w:rPr>
        <w:t xml:space="preserve">, R. O. Hall Jr, P. J. Mulholland, W. K. </w:t>
      </w:r>
      <w:proofErr w:type="spellStart"/>
      <w:r w:rsidRPr="00B84C56">
        <w:rPr>
          <w:rFonts w:hint="eastAsia"/>
        </w:rPr>
        <w:t>Dodds</w:t>
      </w:r>
      <w:proofErr w:type="spellEnd"/>
      <w:r w:rsidRPr="00B84C56">
        <w:rPr>
          <w:rFonts w:hint="eastAsia"/>
        </w:rPr>
        <w:t xml:space="preserve">, J. R. Webster, J. L. Tank, L. R. </w:t>
      </w:r>
      <w:proofErr w:type="spellStart"/>
      <w:r w:rsidRPr="00B84C56">
        <w:rPr>
          <w:rFonts w:hint="eastAsia"/>
        </w:rPr>
        <w:t>Ashkenas</w:t>
      </w:r>
      <w:proofErr w:type="spellEnd"/>
      <w:r w:rsidRPr="00B84C56">
        <w:rPr>
          <w:rFonts w:hint="eastAsia"/>
        </w:rPr>
        <w:t xml:space="preserve">, L. W. Cooper and C. N. </w:t>
      </w:r>
      <w:proofErr w:type="spellStart"/>
      <w:r w:rsidRPr="00B84C56">
        <w:rPr>
          <w:rFonts w:hint="eastAsia"/>
        </w:rPr>
        <w:t>Dahm</w:t>
      </w:r>
      <w:proofErr w:type="spellEnd"/>
      <w:r w:rsidRPr="00B84C56">
        <w:rPr>
          <w:rFonts w:hint="eastAsia"/>
        </w:rPr>
        <w:t xml:space="preserve"> (2010). "Inter</w:t>
      </w:r>
      <w:r w:rsidRPr="00B84C56">
        <w:rPr>
          <w:rFonts w:hint="eastAsia"/>
        </w:rPr>
        <w:t>‐</w:t>
      </w:r>
      <w:r w:rsidRPr="00B84C56">
        <w:rPr>
          <w:rFonts w:hint="eastAsia"/>
        </w:rPr>
        <w:t>regional comparison of land</w:t>
      </w:r>
      <w:r w:rsidRPr="00B84C56">
        <w:rPr>
          <w:rFonts w:hint="eastAsia"/>
        </w:rPr>
        <w:t>‐</w:t>
      </w:r>
      <w:r w:rsidRPr="00B84C56">
        <w:rPr>
          <w:rFonts w:hint="eastAsia"/>
        </w:rPr>
        <w:t>use effects on stream metabolism.</w:t>
      </w:r>
      <w:r w:rsidRPr="00B84C56">
        <w:t xml:space="preserve">" </w:t>
      </w:r>
      <w:r w:rsidRPr="00B84C56">
        <w:rPr>
          <w:u w:val="single"/>
        </w:rPr>
        <w:t>Freshwater Biology</w:t>
      </w:r>
      <w:r w:rsidRPr="00B84C56">
        <w:t xml:space="preserve"> </w:t>
      </w:r>
      <w:r w:rsidRPr="00B84C56">
        <w:rPr>
          <w:b/>
        </w:rPr>
        <w:t>55</w:t>
      </w:r>
      <w:r w:rsidRPr="00B84C56">
        <w:t>(9): 1874-1890.</w:t>
      </w:r>
    </w:p>
    <w:p w14:paraId="00823613" w14:textId="77777777" w:rsidR="00B84C56" w:rsidRPr="00B84C56" w:rsidRDefault="00B84C56" w:rsidP="00065365">
      <w:proofErr w:type="spellStart"/>
      <w:r w:rsidRPr="00B84C56">
        <w:t>Bovill</w:t>
      </w:r>
      <w:proofErr w:type="spellEnd"/>
      <w:r w:rsidRPr="00B84C56">
        <w:t xml:space="preserve">, W. D., B. J. Downes and P. S. Lake (2020). "A novel method reveals how channel retentiveness and stocks of detritus (CPOM) vary among streams differing in bed roughness." </w:t>
      </w:r>
      <w:r w:rsidRPr="00B84C56">
        <w:rPr>
          <w:u w:val="single"/>
        </w:rPr>
        <w:t>Freshwater Biology</w:t>
      </w:r>
      <w:r w:rsidRPr="00B84C56">
        <w:t xml:space="preserve"> </w:t>
      </w:r>
      <w:r w:rsidRPr="00B84C56">
        <w:rPr>
          <w:b/>
        </w:rPr>
        <w:t>65</w:t>
      </w:r>
      <w:r w:rsidRPr="00B84C56">
        <w:t>(8): 1313-1324.</w:t>
      </w:r>
    </w:p>
    <w:p w14:paraId="12A625C4" w14:textId="77777777" w:rsidR="00B84C56" w:rsidRPr="00B84C56" w:rsidRDefault="00B84C56" w:rsidP="00065365">
      <w:r w:rsidRPr="00B84C56">
        <w:t>CEWO (2020a). "Commonwealth Environmental Water Office Water Management Plan 2020-21, Commonwealth of Australia, 2020."</w:t>
      </w:r>
    </w:p>
    <w:p w14:paraId="5C040428" w14:textId="77777777" w:rsidR="00B84C56" w:rsidRPr="00B84C56" w:rsidRDefault="00B84C56" w:rsidP="00065365">
      <w:r w:rsidRPr="00B84C56">
        <w:t xml:space="preserve">CEWO (2020b). Lower Goulburn Selected Area 2019/20 Acquittal report. Report </w:t>
      </w:r>
      <w:proofErr w:type="spellStart"/>
      <w:r w:rsidRPr="00B84C56">
        <w:t>prepeared</w:t>
      </w:r>
      <w:proofErr w:type="spellEnd"/>
      <w:r w:rsidRPr="00B84C56">
        <w:t xml:space="preserve"> by the Commonwealth </w:t>
      </w:r>
      <w:proofErr w:type="spellStart"/>
      <w:r w:rsidRPr="00B84C56">
        <w:t>Enviornmental</w:t>
      </w:r>
      <w:proofErr w:type="spellEnd"/>
      <w:r w:rsidRPr="00B84C56">
        <w:t xml:space="preserve"> Water Office</w:t>
      </w:r>
      <w:proofErr w:type="gramStart"/>
      <w:r w:rsidRPr="00B84C56">
        <w:t>. ,</w:t>
      </w:r>
      <w:proofErr w:type="gramEnd"/>
      <w:r w:rsidRPr="00B84C56">
        <w:t xml:space="preserve"> Commonwealth Environmental Water Office.</w:t>
      </w:r>
    </w:p>
    <w:p w14:paraId="6F177A8B" w14:textId="77777777" w:rsidR="00B84C56" w:rsidRPr="00B84C56" w:rsidRDefault="00B84C56" w:rsidP="00065365">
      <w:proofErr w:type="spellStart"/>
      <w:r w:rsidRPr="00B84C56">
        <w:t>Colmer</w:t>
      </w:r>
      <w:proofErr w:type="spellEnd"/>
      <w:r w:rsidRPr="00B84C56">
        <w:t xml:space="preserve">, T. D., A. Winkel and O. Pedersen (2011). "A perspective on underwater photosynthesis in submerged terrestrial wetland plants." </w:t>
      </w:r>
      <w:proofErr w:type="spellStart"/>
      <w:r w:rsidRPr="00B84C56">
        <w:rPr>
          <w:u w:val="single"/>
        </w:rPr>
        <w:t>AoB</w:t>
      </w:r>
      <w:proofErr w:type="spellEnd"/>
      <w:r w:rsidRPr="00B84C56">
        <w:rPr>
          <w:u w:val="single"/>
        </w:rPr>
        <w:t xml:space="preserve"> Plants</w:t>
      </w:r>
      <w:r w:rsidRPr="00B84C56">
        <w:t xml:space="preserve"> </w:t>
      </w:r>
      <w:r w:rsidRPr="00B84C56">
        <w:rPr>
          <w:b/>
        </w:rPr>
        <w:t>2011</w:t>
      </w:r>
      <w:r w:rsidRPr="00B84C56">
        <w:t>.</w:t>
      </w:r>
    </w:p>
    <w:p w14:paraId="7EE3CEE1" w14:textId="77777777" w:rsidR="00B84C56" w:rsidRPr="00B84C56" w:rsidRDefault="00B84C56" w:rsidP="00065365">
      <w:r w:rsidRPr="00B84C56">
        <w:t>Cottingham, P. and SKM (2011). Environmental water delivery: lower Goulburn River, Report prepared for Commonwealth Environmental Water, Department of Sustainability, Environment, Water, Populations and Communities.  Canberra.</w:t>
      </w:r>
    </w:p>
    <w:p w14:paraId="3B78198A" w14:textId="77777777" w:rsidR="00B84C56" w:rsidRPr="00B84C56" w:rsidRDefault="00B84C56" w:rsidP="00065365">
      <w:r w:rsidRPr="00B84C56">
        <w:t xml:space="preserve">Cottingham, P., G. </w:t>
      </w:r>
      <w:proofErr w:type="spellStart"/>
      <w:r w:rsidRPr="00B84C56">
        <w:t>Vietz</w:t>
      </w:r>
      <w:proofErr w:type="spellEnd"/>
      <w:r w:rsidRPr="00B84C56">
        <w:t xml:space="preserve">, J. Roberts, D. </w:t>
      </w:r>
      <w:proofErr w:type="spellStart"/>
      <w:r w:rsidRPr="00B84C56">
        <w:t>Frood</w:t>
      </w:r>
      <w:proofErr w:type="spellEnd"/>
      <w:r w:rsidRPr="00B84C56">
        <w:t xml:space="preserve">, A. </w:t>
      </w:r>
      <w:proofErr w:type="spellStart"/>
      <w:r w:rsidRPr="00B84C56">
        <w:t>Graesser</w:t>
      </w:r>
      <w:proofErr w:type="spellEnd"/>
      <w:r w:rsidRPr="00B84C56">
        <w:t xml:space="preserve">, J. </w:t>
      </w:r>
      <w:proofErr w:type="gramStart"/>
      <w:r w:rsidRPr="00B84C56">
        <w:t>Kaye</w:t>
      </w:r>
      <w:proofErr w:type="gramEnd"/>
      <w:r w:rsidRPr="00B84C56">
        <w:t xml:space="preserve"> and A. Shields (2013). Lower Goulburn River: observations on managing water releases </w:t>
      </w:r>
      <w:proofErr w:type="gramStart"/>
      <w:r w:rsidRPr="00B84C56">
        <w:t>in light of</w:t>
      </w:r>
      <w:proofErr w:type="gramEnd"/>
      <w:r w:rsidRPr="00B84C56">
        <w:t xml:space="preserve"> recent bank slumping. Report prepared for the Goulburn Broken Catchment Management Authority. Melbourne, Peter </w:t>
      </w:r>
      <w:proofErr w:type="gramStart"/>
      <w:r w:rsidRPr="00B84C56">
        <w:t>Cottingham</w:t>
      </w:r>
      <w:proofErr w:type="gramEnd"/>
      <w:r w:rsidRPr="00B84C56">
        <w:t xml:space="preserve"> and Associates.</w:t>
      </w:r>
    </w:p>
    <w:p w14:paraId="12DABF9B" w14:textId="77777777" w:rsidR="00B84C56" w:rsidRPr="00B84C56" w:rsidRDefault="00B84C56" w:rsidP="00065365">
      <w:r w:rsidRPr="00B84C56">
        <w:t xml:space="preserve">CSIRO (2008). Water availability in the Goulburn-Broken. </w:t>
      </w:r>
      <w:r w:rsidRPr="00B84C56">
        <w:rPr>
          <w:u w:val="single"/>
        </w:rPr>
        <w:t>Report for the Australian Government</w:t>
      </w:r>
      <w:r w:rsidRPr="00B84C56">
        <w:t>, Commonwealth Industrial and Scientific Research Organisation.</w:t>
      </w:r>
    </w:p>
    <w:p w14:paraId="19C1855A" w14:textId="77777777" w:rsidR="00B84C56" w:rsidRPr="00B84C56" w:rsidRDefault="00B84C56" w:rsidP="00065365">
      <w:r w:rsidRPr="00B84C56">
        <w:t>DELWP (2015). Water measurement information system, Department of Environment, Land, Water and Planning.</w:t>
      </w:r>
    </w:p>
    <w:p w14:paraId="0BAAAC4C" w14:textId="77777777" w:rsidR="00B84C56" w:rsidRPr="00B84C56" w:rsidRDefault="00B84C56" w:rsidP="00065365">
      <w:r w:rsidRPr="00B84C56">
        <w:t xml:space="preserve">EPA Victoria (2003). </w:t>
      </w:r>
      <w:r w:rsidRPr="00B84C56">
        <w:rPr>
          <w:u w:val="single"/>
        </w:rPr>
        <w:t>Guideline for Environmental Management: Rapid Bioassessment Methodology for Rivers and Streams</w:t>
      </w:r>
      <w:r w:rsidRPr="00B84C56">
        <w:t>. Southbank, Victoria., Environment Protection Authority.</w:t>
      </w:r>
    </w:p>
    <w:p w14:paraId="1616097A" w14:textId="77777777" w:rsidR="00B84C56" w:rsidRPr="00B84C56" w:rsidRDefault="00B84C56" w:rsidP="00065365">
      <w:r w:rsidRPr="00B84C56">
        <w:t>GBCMA (2021). "Goulburn River Seasonal Watering Proposal 2021/2022. Goulburn Broken Catchment Management Authority, Shepparton.".</w:t>
      </w:r>
    </w:p>
    <w:p w14:paraId="3CC97FA7" w14:textId="77777777" w:rsidR="00B84C56" w:rsidRPr="00B84C56" w:rsidRDefault="00B84C56" w:rsidP="00065365">
      <w:r w:rsidRPr="00B84C56">
        <w:t>Grace, M. (2018). 2016–17 Basin-scale evaluation of Commonwealth environmental water — Stream Metabolism and Water Quality. Final report prepared for the Commonwealth Environmental Water Office by La Trobe University, Publication 189/2018, September, 82 pp., La Trobe University.</w:t>
      </w:r>
    </w:p>
    <w:p w14:paraId="1FB123DE" w14:textId="77777777" w:rsidR="00B84C56" w:rsidRPr="00B84C56" w:rsidRDefault="00B84C56" w:rsidP="00065365">
      <w:r w:rsidRPr="00B84C56">
        <w:t>Grace, M. (2020). 2018–19 Basin scale evaluation of Commonwealth environmental water — Stream Metabolism and Water Quality. Final Report prepared for the Commonwealth Environmental Water Office by La Trobe University, Publication 247/2020, 110 pp plus annexes.</w:t>
      </w:r>
    </w:p>
    <w:p w14:paraId="6C1CA394" w14:textId="77777777" w:rsidR="00B84C56" w:rsidRPr="00B84C56" w:rsidRDefault="00B84C56" w:rsidP="00065365">
      <w:r w:rsidRPr="00B84C56">
        <w:t xml:space="preserve">Grace, </w:t>
      </w:r>
      <w:proofErr w:type="gramStart"/>
      <w:r w:rsidRPr="00B84C56">
        <w:t>M.</w:t>
      </w:r>
      <w:proofErr w:type="gramEnd"/>
      <w:r w:rsidRPr="00B84C56">
        <w:t xml:space="preserve"> and S. </w:t>
      </w:r>
      <w:proofErr w:type="spellStart"/>
      <w:r w:rsidRPr="00B84C56">
        <w:t>Imberger</w:t>
      </w:r>
      <w:proofErr w:type="spellEnd"/>
      <w:r w:rsidRPr="00B84C56">
        <w:t xml:space="preserve"> (2006). "Stream metabolism: performing &amp; interpreting measurements." </w:t>
      </w:r>
      <w:r w:rsidRPr="00B84C56">
        <w:rPr>
          <w:u w:val="single"/>
        </w:rPr>
        <w:t>Water Studies Centre Monash University, Murray Darling Basin Commission and New South Wales Department of Environment and Climate Change</w:t>
      </w:r>
      <w:r w:rsidRPr="00B84C56">
        <w:t xml:space="preserve"> </w:t>
      </w:r>
      <w:r w:rsidRPr="00B84C56">
        <w:rPr>
          <w:b/>
        </w:rPr>
        <w:t>204</w:t>
      </w:r>
      <w:r w:rsidRPr="00B84C56">
        <w:t>: 1-204.</w:t>
      </w:r>
    </w:p>
    <w:p w14:paraId="172CB758" w14:textId="77777777" w:rsidR="00B84C56" w:rsidRPr="00B84C56" w:rsidRDefault="00B84C56" w:rsidP="00065365">
      <w:r w:rsidRPr="00B84C56">
        <w:rPr>
          <w:rFonts w:hint="eastAsia"/>
        </w:rPr>
        <w:t xml:space="preserve">Grace, M. R., D. P. </w:t>
      </w:r>
      <w:proofErr w:type="spellStart"/>
      <w:r w:rsidRPr="00B84C56">
        <w:rPr>
          <w:rFonts w:hint="eastAsia"/>
        </w:rPr>
        <w:t>Giling</w:t>
      </w:r>
      <w:proofErr w:type="spellEnd"/>
      <w:r w:rsidRPr="00B84C56">
        <w:rPr>
          <w:rFonts w:hint="eastAsia"/>
        </w:rPr>
        <w:t xml:space="preserve">, S. </w:t>
      </w:r>
      <w:proofErr w:type="spellStart"/>
      <w:r w:rsidRPr="00B84C56">
        <w:rPr>
          <w:rFonts w:hint="eastAsia"/>
        </w:rPr>
        <w:t>Hladyz</w:t>
      </w:r>
      <w:proofErr w:type="spellEnd"/>
      <w:r w:rsidRPr="00B84C56">
        <w:rPr>
          <w:rFonts w:hint="eastAsia"/>
        </w:rPr>
        <w:t xml:space="preserve">, V. Caron, R. M. </w:t>
      </w:r>
      <w:proofErr w:type="gramStart"/>
      <w:r w:rsidRPr="00B84C56">
        <w:rPr>
          <w:rFonts w:hint="eastAsia"/>
        </w:rPr>
        <w:t>Thompson</w:t>
      </w:r>
      <w:proofErr w:type="gramEnd"/>
      <w:r w:rsidRPr="00B84C56">
        <w:rPr>
          <w:rFonts w:hint="eastAsia"/>
        </w:rPr>
        <w:t xml:space="preserve"> and R. Mac Nally (2015). "Fast processing of diel oxygen curves: Estimating stream metabolism with BASE (BA </w:t>
      </w:r>
      <w:proofErr w:type="spellStart"/>
      <w:r w:rsidRPr="00B84C56">
        <w:rPr>
          <w:rFonts w:hint="eastAsia"/>
        </w:rPr>
        <w:t>yesian</w:t>
      </w:r>
      <w:proofErr w:type="spellEnd"/>
      <w:r w:rsidRPr="00B84C56">
        <w:rPr>
          <w:rFonts w:hint="eastAsia"/>
        </w:rPr>
        <w:t xml:space="preserve"> S ingle</w:t>
      </w:r>
      <w:r w:rsidRPr="00B84C56">
        <w:rPr>
          <w:rFonts w:hint="eastAsia"/>
        </w:rPr>
        <w:t>‐</w:t>
      </w:r>
      <w:r w:rsidRPr="00B84C56">
        <w:rPr>
          <w:rFonts w:hint="eastAsia"/>
        </w:rPr>
        <w:t xml:space="preserve">station E </w:t>
      </w:r>
      <w:proofErr w:type="spellStart"/>
      <w:r w:rsidRPr="00B84C56">
        <w:rPr>
          <w:rFonts w:hint="eastAsia"/>
        </w:rPr>
        <w:t>stimation</w:t>
      </w:r>
      <w:proofErr w:type="spellEnd"/>
      <w:r w:rsidRPr="00B84C56">
        <w:rPr>
          <w:rFonts w:hint="eastAsia"/>
        </w:rPr>
        <w:t xml:space="preserve">)." </w:t>
      </w:r>
      <w:r w:rsidRPr="00B84C56">
        <w:rPr>
          <w:rFonts w:hint="eastAsia"/>
          <w:u w:val="single"/>
        </w:rPr>
        <w:t xml:space="preserve">Limnology </w:t>
      </w:r>
      <w:r w:rsidRPr="00B84C56">
        <w:rPr>
          <w:u w:val="single"/>
        </w:rPr>
        <w:t>and Oceanography: Methods</w:t>
      </w:r>
      <w:r w:rsidRPr="00B84C56">
        <w:t xml:space="preserve"> </w:t>
      </w:r>
      <w:r w:rsidRPr="00B84C56">
        <w:rPr>
          <w:b/>
        </w:rPr>
        <w:t>13</w:t>
      </w:r>
      <w:r w:rsidRPr="00B84C56">
        <w:t>(3): 103-114.</w:t>
      </w:r>
    </w:p>
    <w:p w14:paraId="5DBAA42B" w14:textId="77777777" w:rsidR="00B84C56" w:rsidRPr="00B84C56" w:rsidRDefault="00B84C56" w:rsidP="00065365">
      <w:r w:rsidRPr="00B84C56">
        <w:lastRenderedPageBreak/>
        <w:t xml:space="preserve">Hale, J., R. </w:t>
      </w:r>
      <w:proofErr w:type="spellStart"/>
      <w:r w:rsidRPr="00B84C56">
        <w:t>Stoffels</w:t>
      </w:r>
      <w:proofErr w:type="spellEnd"/>
      <w:r w:rsidRPr="00B84C56">
        <w:t xml:space="preserve">, R. Butcher, M. Shackleton, S. Brooks, B. </w:t>
      </w:r>
      <w:proofErr w:type="spellStart"/>
      <w:r w:rsidRPr="00B84C56">
        <w:t>Gawne</w:t>
      </w:r>
      <w:proofErr w:type="spellEnd"/>
      <w:r w:rsidRPr="00B84C56">
        <w:t xml:space="preserve"> and M. Stewardson (2014). "Commonwealth Environmental Water Office Long Term Intervention Monitoring Project – standard methods: Report prepared for the Commonwealth Environmental Water Office p. 175. Murray-Darling Freshwater Research Centre, Albury.".</w:t>
      </w:r>
    </w:p>
    <w:p w14:paraId="6FD31661" w14:textId="77777777" w:rsidR="00B84C56" w:rsidRPr="00B84C56" w:rsidRDefault="00B84C56" w:rsidP="00065365">
      <w:r w:rsidRPr="00B84C56">
        <w:t xml:space="preserve">Hall, R. </w:t>
      </w:r>
      <w:proofErr w:type="gramStart"/>
      <w:r w:rsidRPr="00B84C56">
        <w:t>O.</w:t>
      </w:r>
      <w:proofErr w:type="gramEnd"/>
      <w:r w:rsidRPr="00B84C56">
        <w:t xml:space="preserve"> and J. J. Beaulieu (2013). "Estimating autotrophic respiration in streams using daily metabolism data." </w:t>
      </w:r>
      <w:r w:rsidRPr="00B84C56">
        <w:rPr>
          <w:u w:val="single"/>
        </w:rPr>
        <w:t>Freshwater Science</w:t>
      </w:r>
      <w:r w:rsidRPr="00B84C56">
        <w:t xml:space="preserve"> </w:t>
      </w:r>
      <w:r w:rsidRPr="00B84C56">
        <w:rPr>
          <w:b/>
        </w:rPr>
        <w:t>32</w:t>
      </w:r>
      <w:r w:rsidRPr="00B84C56">
        <w:t>(2): 507-516.</w:t>
      </w:r>
    </w:p>
    <w:p w14:paraId="15BCEAD7" w14:textId="77777777" w:rsidR="00B84C56" w:rsidRPr="00B84C56" w:rsidRDefault="00B84C56" w:rsidP="00065365">
      <w:r w:rsidRPr="00B84C56">
        <w:t xml:space="preserve">Hall, R. O., J. L. Tank, M. A. Baker, E. J. </w:t>
      </w:r>
      <w:proofErr w:type="spellStart"/>
      <w:r w:rsidRPr="00B84C56">
        <w:t>Rosi</w:t>
      </w:r>
      <w:proofErr w:type="spellEnd"/>
      <w:r w:rsidRPr="00B84C56">
        <w:t>-</w:t>
      </w:r>
      <w:proofErr w:type="gramStart"/>
      <w:r w:rsidRPr="00B84C56">
        <w:t>Marshall</w:t>
      </w:r>
      <w:proofErr w:type="gramEnd"/>
      <w:r w:rsidRPr="00B84C56">
        <w:t xml:space="preserve"> and E. R. Hotchkiss (2016). "Metabolism, gas exchange, and carbon </w:t>
      </w:r>
      <w:proofErr w:type="spellStart"/>
      <w:r w:rsidRPr="00B84C56">
        <w:t>spiraling</w:t>
      </w:r>
      <w:proofErr w:type="spellEnd"/>
      <w:r w:rsidRPr="00B84C56">
        <w:t xml:space="preserve"> in rivers." </w:t>
      </w:r>
      <w:r w:rsidRPr="00B84C56">
        <w:rPr>
          <w:u w:val="single"/>
        </w:rPr>
        <w:t>Ecosystems</w:t>
      </w:r>
      <w:r w:rsidRPr="00B84C56">
        <w:t xml:space="preserve"> </w:t>
      </w:r>
      <w:r w:rsidRPr="00B84C56">
        <w:rPr>
          <w:b/>
        </w:rPr>
        <w:t>19</w:t>
      </w:r>
      <w:r w:rsidRPr="00B84C56">
        <w:t>(1): 73-86.</w:t>
      </w:r>
    </w:p>
    <w:p w14:paraId="1FD1C099" w14:textId="77777777" w:rsidR="00B84C56" w:rsidRPr="00B84C56" w:rsidRDefault="00B84C56" w:rsidP="00065365">
      <w:proofErr w:type="spellStart"/>
      <w:r w:rsidRPr="00B84C56">
        <w:t>Harmel</w:t>
      </w:r>
      <w:proofErr w:type="spellEnd"/>
      <w:r w:rsidRPr="00B84C56">
        <w:t xml:space="preserve">, R., C. </w:t>
      </w:r>
      <w:proofErr w:type="spellStart"/>
      <w:r w:rsidRPr="00B84C56">
        <w:t>Haan</w:t>
      </w:r>
      <w:proofErr w:type="spellEnd"/>
      <w:r w:rsidRPr="00B84C56">
        <w:t xml:space="preserve"> and R. </w:t>
      </w:r>
      <w:proofErr w:type="spellStart"/>
      <w:r w:rsidRPr="00B84C56">
        <w:t>Dutnell</w:t>
      </w:r>
      <w:proofErr w:type="spellEnd"/>
      <w:r w:rsidRPr="00B84C56">
        <w:t xml:space="preserve"> (1999). "Bank erosion and riparian vegetation influences: Upper Illinois River, Oklahoma." </w:t>
      </w:r>
      <w:r w:rsidRPr="00B84C56">
        <w:rPr>
          <w:u w:val="single"/>
        </w:rPr>
        <w:t>Transactions of the ASAE</w:t>
      </w:r>
      <w:r w:rsidRPr="00B84C56">
        <w:t xml:space="preserve"> </w:t>
      </w:r>
      <w:r w:rsidRPr="00B84C56">
        <w:rPr>
          <w:b/>
        </w:rPr>
        <w:t>42</w:t>
      </w:r>
      <w:r w:rsidRPr="00B84C56">
        <w:t>(5): 1321.</w:t>
      </w:r>
    </w:p>
    <w:p w14:paraId="59F1301E" w14:textId="77777777" w:rsidR="00B84C56" w:rsidRPr="00B84C56" w:rsidRDefault="00B84C56" w:rsidP="00065365">
      <w:r w:rsidRPr="00B84C56">
        <w:t xml:space="preserve">Herbert, B. (2005). </w:t>
      </w:r>
      <w:r w:rsidRPr="00B84C56">
        <w:rPr>
          <w:u w:val="single"/>
        </w:rPr>
        <w:t>Feeding and growth of Golden Perch (</w:t>
      </w:r>
      <w:proofErr w:type="spellStart"/>
      <w:r w:rsidRPr="00B84C56">
        <w:rPr>
          <w:u w:val="single"/>
        </w:rPr>
        <w:t>Maquaria</w:t>
      </w:r>
      <w:proofErr w:type="spellEnd"/>
      <w:r w:rsidRPr="00B84C56">
        <w:rPr>
          <w:u w:val="single"/>
        </w:rPr>
        <w:t xml:space="preserve"> </w:t>
      </w:r>
      <w:proofErr w:type="spellStart"/>
      <w:r w:rsidRPr="00B84C56">
        <w:rPr>
          <w:u w:val="single"/>
        </w:rPr>
        <w:t>ambigua</w:t>
      </w:r>
      <w:proofErr w:type="spellEnd"/>
      <w:r w:rsidRPr="00B84C56">
        <w:rPr>
          <w:u w:val="single"/>
        </w:rPr>
        <w:t>), and assessment of its potential for aquaculture</w:t>
      </w:r>
      <w:r w:rsidRPr="00B84C56">
        <w:t xml:space="preserve"> PhD thesis, James Cook University.</w:t>
      </w:r>
    </w:p>
    <w:p w14:paraId="2F89C28D" w14:textId="77777777" w:rsidR="00B84C56" w:rsidRPr="00B84C56" w:rsidRDefault="00B84C56" w:rsidP="00065365">
      <w:r w:rsidRPr="00B84C56">
        <w:t xml:space="preserve">Horne, A., A. Webb, L. </w:t>
      </w:r>
      <w:proofErr w:type="spellStart"/>
      <w:r w:rsidRPr="00B84C56">
        <w:t>Rumpff</w:t>
      </w:r>
      <w:proofErr w:type="spellEnd"/>
      <w:r w:rsidRPr="00B84C56">
        <w:t xml:space="preserve">, M. </w:t>
      </w:r>
      <w:proofErr w:type="spellStart"/>
      <w:r w:rsidRPr="00B84C56">
        <w:t>Mussehl</w:t>
      </w:r>
      <w:proofErr w:type="spellEnd"/>
      <w:r w:rsidRPr="00B84C56">
        <w:t>, K. Fowler and A. John (2020). "</w:t>
      </w:r>
      <w:proofErr w:type="spellStart"/>
      <w:r w:rsidRPr="00B84C56">
        <w:t>Kaiela</w:t>
      </w:r>
      <w:proofErr w:type="spellEnd"/>
      <w:r w:rsidRPr="00B84C56">
        <w:t xml:space="preserve"> (Lower Goulburn River) Environmental Flows Study Final Report."</w:t>
      </w:r>
    </w:p>
    <w:p w14:paraId="47A0F318" w14:textId="77777777" w:rsidR="00B84C56" w:rsidRPr="00B84C56" w:rsidRDefault="00B84C56" w:rsidP="00065365">
      <w:r w:rsidRPr="00B84C56">
        <w:t xml:space="preserve">King, A. J., D. C. Gwinn, Z. Tonkin, J. Mahoney, S. </w:t>
      </w:r>
      <w:proofErr w:type="gramStart"/>
      <w:r w:rsidRPr="00B84C56">
        <w:t>Raymond</w:t>
      </w:r>
      <w:proofErr w:type="gramEnd"/>
      <w:r w:rsidRPr="00B84C56">
        <w:t xml:space="preserve"> and L. </w:t>
      </w:r>
      <w:proofErr w:type="spellStart"/>
      <w:r w:rsidRPr="00B84C56">
        <w:t>Beesley</w:t>
      </w:r>
      <w:proofErr w:type="spellEnd"/>
      <w:r w:rsidRPr="00B84C56">
        <w:t xml:space="preserve"> (2016). "Using abiotic drivers of fish spawning to inform environmental flow management." </w:t>
      </w:r>
      <w:r w:rsidRPr="00B84C56">
        <w:rPr>
          <w:u w:val="single"/>
        </w:rPr>
        <w:t>Journal of Applied Ecology</w:t>
      </w:r>
      <w:r w:rsidRPr="00B84C56">
        <w:t xml:space="preserve"> </w:t>
      </w:r>
      <w:r w:rsidRPr="00B84C56">
        <w:rPr>
          <w:b/>
        </w:rPr>
        <w:t>53</w:t>
      </w:r>
      <w:r w:rsidRPr="00B84C56">
        <w:t>(1): 34-43.</w:t>
      </w:r>
    </w:p>
    <w:p w14:paraId="320546B2" w14:textId="77777777" w:rsidR="00B84C56" w:rsidRPr="00B84C56" w:rsidRDefault="00B84C56" w:rsidP="00065365">
      <w:proofErr w:type="spellStart"/>
      <w:r w:rsidRPr="00B84C56">
        <w:t>Koster</w:t>
      </w:r>
      <w:proofErr w:type="spellEnd"/>
      <w:r w:rsidRPr="00B84C56">
        <w:t xml:space="preserve">, W. M., I. Stuart, Z. Tonkin, D. </w:t>
      </w:r>
      <w:proofErr w:type="gramStart"/>
      <w:r w:rsidRPr="00B84C56">
        <w:t>Dawson</w:t>
      </w:r>
      <w:proofErr w:type="gramEnd"/>
      <w:r w:rsidRPr="00B84C56">
        <w:t xml:space="preserve"> and B. </w:t>
      </w:r>
      <w:proofErr w:type="spellStart"/>
      <w:r w:rsidRPr="00B84C56">
        <w:t>Fanson</w:t>
      </w:r>
      <w:proofErr w:type="spellEnd"/>
      <w:r w:rsidRPr="00B84C56">
        <w:t xml:space="preserve"> (2021). "Environmental influences on migration patterns and pathways of a threatened potamodromous fish in a regulated lowland river network." </w:t>
      </w:r>
      <w:r w:rsidRPr="00B84C56">
        <w:rPr>
          <w:u w:val="single"/>
        </w:rPr>
        <w:t>Ecohydrology</w:t>
      </w:r>
      <w:r w:rsidRPr="00B84C56">
        <w:t xml:space="preserve"> </w:t>
      </w:r>
      <w:r w:rsidRPr="00B84C56">
        <w:rPr>
          <w:b/>
        </w:rPr>
        <w:t>14</w:t>
      </w:r>
      <w:r w:rsidRPr="00B84C56">
        <w:t>(2): e2260.</w:t>
      </w:r>
    </w:p>
    <w:p w14:paraId="3B5448FC" w14:textId="77777777" w:rsidR="00B84C56" w:rsidRPr="00B84C56" w:rsidRDefault="00B84C56" w:rsidP="00065365">
      <w:r w:rsidRPr="00B84C56">
        <w:t xml:space="preserve">Lancaster, </w:t>
      </w:r>
      <w:proofErr w:type="gramStart"/>
      <w:r w:rsidRPr="00B84C56">
        <w:t>J.</w:t>
      </w:r>
      <w:proofErr w:type="gramEnd"/>
      <w:r w:rsidRPr="00B84C56">
        <w:t xml:space="preserve"> and B. J. Downes (2017). "A landscape-scale field experiment reveals the importance of dispersal in a resource-limited metacommunity." </w:t>
      </w:r>
      <w:r w:rsidRPr="00B84C56">
        <w:rPr>
          <w:u w:val="single"/>
        </w:rPr>
        <w:t>Ecology</w:t>
      </w:r>
      <w:r w:rsidRPr="00B84C56">
        <w:t xml:space="preserve"> </w:t>
      </w:r>
      <w:r w:rsidRPr="00B84C56">
        <w:rPr>
          <w:b/>
        </w:rPr>
        <w:t>98</w:t>
      </w:r>
      <w:r w:rsidRPr="00B84C56">
        <w:t>(2): 565-575.</w:t>
      </w:r>
    </w:p>
    <w:p w14:paraId="6D2AEB71" w14:textId="77777777" w:rsidR="00B84C56" w:rsidRPr="00B84C56" w:rsidRDefault="00B84C56" w:rsidP="00065365">
      <w:r w:rsidRPr="00B84C56">
        <w:t xml:space="preserve">Lancaster, </w:t>
      </w:r>
      <w:proofErr w:type="gramStart"/>
      <w:r w:rsidRPr="00B84C56">
        <w:t>J.</w:t>
      </w:r>
      <w:proofErr w:type="gramEnd"/>
      <w:r w:rsidRPr="00B84C56">
        <w:t xml:space="preserve"> and B. J. Downes (2021). "Multiyear resource enrichment creates persistently higher species diversity in a landscape-scale field experiment." </w:t>
      </w:r>
      <w:r w:rsidRPr="00B84C56">
        <w:rPr>
          <w:u w:val="single"/>
        </w:rPr>
        <w:t>Ecology</w:t>
      </w:r>
      <w:r w:rsidRPr="00B84C56">
        <w:t xml:space="preserve"> </w:t>
      </w:r>
      <w:r w:rsidRPr="00B84C56">
        <w:rPr>
          <w:b/>
        </w:rPr>
        <w:t>102</w:t>
      </w:r>
      <w:r w:rsidRPr="00B84C56">
        <w:t>(9).</w:t>
      </w:r>
    </w:p>
    <w:p w14:paraId="7352E5CE" w14:textId="77777777" w:rsidR="00B84C56" w:rsidRPr="00B84C56" w:rsidRDefault="00B84C56" w:rsidP="00065365">
      <w:r w:rsidRPr="00B84C56">
        <w:t xml:space="preserve">Leck, M. A. and M. A. Brock (2000). "Ecological and evolutionary trends in wetlands: evidence from seeds and seed banks in New South Wales, Australia and New Jersey, USA." </w:t>
      </w:r>
      <w:r w:rsidRPr="00B84C56">
        <w:rPr>
          <w:u w:val="single"/>
        </w:rPr>
        <w:t>Plant Species Biology</w:t>
      </w:r>
      <w:r w:rsidRPr="00B84C56">
        <w:t xml:space="preserve"> </w:t>
      </w:r>
      <w:r w:rsidRPr="00B84C56">
        <w:rPr>
          <w:b/>
        </w:rPr>
        <w:t>15</w:t>
      </w:r>
      <w:r w:rsidRPr="00B84C56">
        <w:t>: 97-112.</w:t>
      </w:r>
    </w:p>
    <w:p w14:paraId="725FC16D" w14:textId="77777777" w:rsidR="00B84C56" w:rsidRPr="00B84C56" w:rsidRDefault="00B84C56" w:rsidP="00065365">
      <w:r w:rsidRPr="00B84C56">
        <w:t xml:space="preserve">Marcarelli, A. M., C. V. Baxter, M. M. </w:t>
      </w:r>
      <w:proofErr w:type="spellStart"/>
      <w:r w:rsidRPr="00B84C56">
        <w:t>Mineau</w:t>
      </w:r>
      <w:proofErr w:type="spellEnd"/>
      <w:r w:rsidRPr="00B84C56">
        <w:t xml:space="preserve"> and R. O. Hall Jr (2011). "Quantity and quality: unifying food web and ecosystem perspectives on the role of resource subsidies in freshwaters." </w:t>
      </w:r>
      <w:r w:rsidRPr="00B84C56">
        <w:rPr>
          <w:u w:val="single"/>
        </w:rPr>
        <w:t>Ecology</w:t>
      </w:r>
      <w:r w:rsidRPr="00B84C56">
        <w:t xml:space="preserve"> </w:t>
      </w:r>
      <w:r w:rsidRPr="00B84C56">
        <w:rPr>
          <w:b/>
        </w:rPr>
        <w:t>92</w:t>
      </w:r>
      <w:r w:rsidRPr="00B84C56">
        <w:t>(6): 1215-1225.</w:t>
      </w:r>
    </w:p>
    <w:p w14:paraId="3BB729E3" w14:textId="77777777" w:rsidR="00B84C56" w:rsidRPr="00B84C56" w:rsidRDefault="00B84C56" w:rsidP="00065365">
      <w:r w:rsidRPr="00B84C56">
        <w:rPr>
          <w:rFonts w:hint="eastAsia"/>
        </w:rPr>
        <w:t>Miller, K. A., J. A. Webb, S. C. de Little, M. J. Stewardson and I. D. Rutherfurd (2015). How effective are environmental flows? Analyses of flow</w:t>
      </w:r>
      <w:r w:rsidRPr="00B84C56">
        <w:rPr>
          <w:rFonts w:hint="eastAsia"/>
        </w:rPr>
        <w:t>‐</w:t>
      </w:r>
      <w:r w:rsidRPr="00B84C56">
        <w:rPr>
          <w:rFonts w:hint="eastAsia"/>
        </w:rPr>
        <w:t>ecology relationships in the Victorian Environmental Flow Monitoring and Assessment Program (VEFMAP) from 2011</w:t>
      </w:r>
      <w:r w:rsidRPr="00B84C56">
        <w:rPr>
          <w:rFonts w:hint="eastAsia"/>
        </w:rPr>
        <w:t>‐</w:t>
      </w:r>
      <w:r w:rsidRPr="00B84C56">
        <w:rPr>
          <w:rFonts w:hint="eastAsia"/>
        </w:rPr>
        <w:t xml:space="preserve">2014. </w:t>
      </w:r>
      <w:r w:rsidRPr="00B84C56">
        <w:rPr>
          <w:rFonts w:hint="eastAsia"/>
          <w:u w:val="single"/>
        </w:rPr>
        <w:t>A report to the Department of Environment, Land, Water and Planning</w:t>
      </w:r>
      <w:r w:rsidRPr="00B84C56">
        <w:rPr>
          <w:rFonts w:hint="eastAsia"/>
        </w:rPr>
        <w:t>. Melbourne, University of Melbourne</w:t>
      </w:r>
      <w:r w:rsidRPr="00B84C56">
        <w:rPr>
          <w:rFonts w:hint="eastAsia"/>
          <w:b/>
        </w:rPr>
        <w:t xml:space="preserve">: </w:t>
      </w:r>
      <w:r w:rsidRPr="00B84C56">
        <w:rPr>
          <w:rFonts w:hint="eastAsia"/>
        </w:rPr>
        <w:t>xiv + 342.</w:t>
      </w:r>
    </w:p>
    <w:p w14:paraId="6319AC04" w14:textId="77777777" w:rsidR="00B84C56" w:rsidRPr="00B84C56" w:rsidRDefault="00B84C56" w:rsidP="00065365">
      <w:proofErr w:type="spellStart"/>
      <w:r w:rsidRPr="00B84C56">
        <w:t>O'donnell</w:t>
      </w:r>
      <w:proofErr w:type="spellEnd"/>
      <w:r w:rsidRPr="00B84C56">
        <w:t xml:space="preserve">, J., K. </w:t>
      </w:r>
      <w:proofErr w:type="spellStart"/>
      <w:r w:rsidRPr="00B84C56">
        <w:t>Fryirs</w:t>
      </w:r>
      <w:proofErr w:type="spellEnd"/>
      <w:r w:rsidRPr="00B84C56">
        <w:t xml:space="preserve"> and M. Leishman (2015). "Can the regeneration of vegetation from riparian seed banks support </w:t>
      </w:r>
      <w:proofErr w:type="spellStart"/>
      <w:r w:rsidRPr="00B84C56">
        <w:t>biogeomorphic</w:t>
      </w:r>
      <w:proofErr w:type="spellEnd"/>
      <w:r w:rsidRPr="00B84C56">
        <w:t xml:space="preserve"> succession and the geomorphic recovery of degraded river channels?" </w:t>
      </w:r>
      <w:r w:rsidRPr="00B84C56">
        <w:rPr>
          <w:u w:val="single"/>
        </w:rPr>
        <w:t>River Research and Applications</w:t>
      </w:r>
      <w:r w:rsidRPr="00B84C56">
        <w:t xml:space="preserve"> </w:t>
      </w:r>
      <w:r w:rsidRPr="00B84C56">
        <w:rPr>
          <w:b/>
        </w:rPr>
        <w:t>31</w:t>
      </w:r>
      <w:r w:rsidRPr="00B84C56">
        <w:t>(7): 834-846.</w:t>
      </w:r>
    </w:p>
    <w:p w14:paraId="6E153554" w14:textId="77777777" w:rsidR="00B84C56" w:rsidRPr="00B84C56" w:rsidRDefault="00B84C56" w:rsidP="00065365">
      <w:proofErr w:type="spellStart"/>
      <w:r w:rsidRPr="00B84C56">
        <w:t>Odum</w:t>
      </w:r>
      <w:proofErr w:type="spellEnd"/>
      <w:r w:rsidRPr="00B84C56">
        <w:t xml:space="preserve">, H. T. (1956). "Primary production in flowing waters." </w:t>
      </w:r>
      <w:r w:rsidRPr="00B84C56">
        <w:rPr>
          <w:u w:val="single"/>
        </w:rPr>
        <w:t>Limnology and Oceanography</w:t>
      </w:r>
      <w:r w:rsidRPr="00B84C56">
        <w:t xml:space="preserve"> </w:t>
      </w:r>
      <w:r w:rsidRPr="00B84C56">
        <w:rPr>
          <w:b/>
        </w:rPr>
        <w:t>1</w:t>
      </w:r>
      <w:r w:rsidRPr="00B84C56">
        <w:t>: 102-117.</w:t>
      </w:r>
    </w:p>
    <w:p w14:paraId="5F37F9C4" w14:textId="77777777" w:rsidR="00B84C56" w:rsidRPr="00B84C56" w:rsidRDefault="00B84C56" w:rsidP="00065365">
      <w:proofErr w:type="spellStart"/>
      <w:r w:rsidRPr="00B84C56">
        <w:t>Pollino</w:t>
      </w:r>
      <w:proofErr w:type="spellEnd"/>
      <w:r w:rsidRPr="00B84C56">
        <w:t xml:space="preserve">, C. A., P. Feehan, M. R. Grace and B. T. Hart (2004). "Fish communities and habitat changes in the highly modified Goulburn Catchment, Victoria, Australia." </w:t>
      </w:r>
      <w:r w:rsidRPr="00B84C56">
        <w:rPr>
          <w:u w:val="single"/>
        </w:rPr>
        <w:t>Marine and Freshwater Research</w:t>
      </w:r>
      <w:r w:rsidRPr="00B84C56">
        <w:t xml:space="preserve"> </w:t>
      </w:r>
      <w:r w:rsidRPr="00B84C56">
        <w:rPr>
          <w:b/>
        </w:rPr>
        <w:t>55</w:t>
      </w:r>
      <w:r w:rsidRPr="00B84C56">
        <w:t>(8): 769-780.</w:t>
      </w:r>
    </w:p>
    <w:p w14:paraId="3FDFAC03" w14:textId="77777777" w:rsidR="00B84C56" w:rsidRPr="00B84C56" w:rsidRDefault="00B84C56" w:rsidP="00065365">
      <w:r w:rsidRPr="00B84C56">
        <w:t xml:space="preserve">Roberts, B. </w:t>
      </w:r>
      <w:proofErr w:type="gramStart"/>
      <w:r w:rsidRPr="00B84C56">
        <w:t>J.</w:t>
      </w:r>
      <w:proofErr w:type="gramEnd"/>
      <w:r w:rsidRPr="00B84C56">
        <w:t xml:space="preserve"> and J. P. Mulholland (2007). "In-stream biotic control on nutrient biogeochemistry in a forested stream, West Fork of Walker Branch." </w:t>
      </w:r>
      <w:r w:rsidRPr="00B84C56">
        <w:rPr>
          <w:u w:val="single"/>
        </w:rPr>
        <w:t>Journal of Geophysical Research</w:t>
      </w:r>
      <w:r w:rsidRPr="00B84C56">
        <w:t xml:space="preserve"> </w:t>
      </w:r>
      <w:r w:rsidRPr="00B84C56">
        <w:rPr>
          <w:b/>
        </w:rPr>
        <w:t>112</w:t>
      </w:r>
      <w:r w:rsidRPr="00B84C56">
        <w:t>: G04002.</w:t>
      </w:r>
    </w:p>
    <w:p w14:paraId="73667643" w14:textId="77777777" w:rsidR="00B84C56" w:rsidRPr="00B84C56" w:rsidRDefault="00B84C56" w:rsidP="00065365">
      <w:r w:rsidRPr="00B84C56">
        <w:t xml:space="preserve">Rutherfurd, I. (2007). "The influence of riparian management on stream erosion." </w:t>
      </w:r>
      <w:r w:rsidRPr="00B84C56">
        <w:rPr>
          <w:u w:val="single"/>
        </w:rPr>
        <w:t>Principles for Riparian Lands Management. Land &amp; Water Australia, Canberra</w:t>
      </w:r>
      <w:r w:rsidRPr="00B84C56">
        <w:t>: 85-116.</w:t>
      </w:r>
    </w:p>
    <w:p w14:paraId="53B65DFF" w14:textId="77777777" w:rsidR="00B84C56" w:rsidRPr="00B84C56" w:rsidRDefault="00B84C56" w:rsidP="00065365">
      <w:r w:rsidRPr="00B84C56">
        <w:t xml:space="preserve">Song, C., W. K. </w:t>
      </w:r>
      <w:proofErr w:type="spellStart"/>
      <w:r w:rsidRPr="00B84C56">
        <w:t>Dodds</w:t>
      </w:r>
      <w:proofErr w:type="spellEnd"/>
      <w:r w:rsidRPr="00B84C56">
        <w:t xml:space="preserve">, M. T. </w:t>
      </w:r>
      <w:proofErr w:type="spellStart"/>
      <w:r w:rsidRPr="00B84C56">
        <w:t>Trentman</w:t>
      </w:r>
      <w:proofErr w:type="spellEnd"/>
      <w:r w:rsidRPr="00B84C56">
        <w:t xml:space="preserve">, J. </w:t>
      </w:r>
      <w:proofErr w:type="spellStart"/>
      <w:r w:rsidRPr="00B84C56">
        <w:t>Rüegg</w:t>
      </w:r>
      <w:proofErr w:type="spellEnd"/>
      <w:r w:rsidRPr="00B84C56">
        <w:t xml:space="preserve"> and F. Ballantyne IV (2016). "Methods of approximation influence aquatic ecosystem metabolism estimates." </w:t>
      </w:r>
      <w:r w:rsidRPr="00B84C56">
        <w:rPr>
          <w:u w:val="single"/>
        </w:rPr>
        <w:t>Limnology and Oceanography: Methods</w:t>
      </w:r>
      <w:r w:rsidRPr="00B84C56">
        <w:t xml:space="preserve"> </w:t>
      </w:r>
      <w:r w:rsidRPr="00B84C56">
        <w:rPr>
          <w:b/>
        </w:rPr>
        <w:t>14</w:t>
      </w:r>
      <w:r w:rsidRPr="00B84C56">
        <w:t>(9): 557-569.</w:t>
      </w:r>
    </w:p>
    <w:p w14:paraId="2F64BF05" w14:textId="77777777" w:rsidR="00B84C56" w:rsidRPr="00B84C56" w:rsidRDefault="00B84C56" w:rsidP="00065365">
      <w:proofErr w:type="spellStart"/>
      <w:r w:rsidRPr="00B84C56">
        <w:t>Steiger</w:t>
      </w:r>
      <w:proofErr w:type="spellEnd"/>
      <w:r w:rsidRPr="00B84C56">
        <w:t xml:space="preserve">, J., A. M. </w:t>
      </w:r>
      <w:proofErr w:type="spellStart"/>
      <w:r w:rsidRPr="00B84C56">
        <w:t>Gurnell</w:t>
      </w:r>
      <w:proofErr w:type="spellEnd"/>
      <w:r w:rsidRPr="00B84C56">
        <w:t xml:space="preserve"> and G. E. Petts (2001). "Sediment deposition along the channel margins of a reach of the middle River Severn, UK." </w:t>
      </w:r>
      <w:r w:rsidRPr="00B84C56">
        <w:rPr>
          <w:u w:val="single"/>
        </w:rPr>
        <w:t>Regulated Rivers: Research &amp; Management: An International Journal Devoted t</w:t>
      </w:r>
      <w:r w:rsidRPr="00B84C56">
        <w:rPr>
          <w:rFonts w:hint="eastAsia"/>
          <w:u w:val="single"/>
        </w:rPr>
        <w:t>o River Research and Management</w:t>
      </w:r>
      <w:r w:rsidRPr="00B84C56">
        <w:rPr>
          <w:rFonts w:hint="eastAsia"/>
        </w:rPr>
        <w:t xml:space="preserve"> </w:t>
      </w:r>
      <w:r w:rsidRPr="00B84C56">
        <w:rPr>
          <w:rFonts w:hint="eastAsia"/>
          <w:b/>
        </w:rPr>
        <w:t>17</w:t>
      </w:r>
      <w:r w:rsidRPr="00B84C56">
        <w:rPr>
          <w:rFonts w:hint="eastAsia"/>
        </w:rPr>
        <w:t>(4</w:t>
      </w:r>
      <w:r w:rsidRPr="00B84C56">
        <w:rPr>
          <w:rFonts w:hint="eastAsia"/>
        </w:rPr>
        <w:t>‐</w:t>
      </w:r>
      <w:r w:rsidRPr="00B84C56">
        <w:rPr>
          <w:rFonts w:hint="eastAsia"/>
        </w:rPr>
        <w:t>5): 443-460.</w:t>
      </w:r>
    </w:p>
    <w:p w14:paraId="7AAF5C6F" w14:textId="77777777" w:rsidR="00B84C56" w:rsidRPr="00B84C56" w:rsidRDefault="00B84C56" w:rsidP="00065365">
      <w:r w:rsidRPr="00B84C56">
        <w:lastRenderedPageBreak/>
        <w:t xml:space="preserve">Stewardson, M., M. Jones, W. </w:t>
      </w:r>
      <w:proofErr w:type="spellStart"/>
      <w:r w:rsidRPr="00B84C56">
        <w:t>Koster</w:t>
      </w:r>
      <w:proofErr w:type="spellEnd"/>
      <w:r w:rsidRPr="00B84C56">
        <w:t xml:space="preserve">, G. Rees, D. Skinner, R. Thompson, G. </w:t>
      </w:r>
      <w:proofErr w:type="spellStart"/>
      <w:r w:rsidRPr="00B84C56">
        <w:t>Vietz</w:t>
      </w:r>
      <w:proofErr w:type="spellEnd"/>
      <w:r w:rsidRPr="00B84C56">
        <w:t xml:space="preserve"> and A. Webb (2014). Monitoring of ecosystem responses to the delivery of environmental water in the lower Goulburn River and Broken Creek in 2012-13. </w:t>
      </w:r>
      <w:r w:rsidRPr="00B84C56">
        <w:rPr>
          <w:u w:val="single"/>
        </w:rPr>
        <w:t>Report prepared for the Commonwealth Environmental Water Office</w:t>
      </w:r>
      <w:r w:rsidRPr="00B84C56">
        <w:t>. Melbourne, The University of Melbourne</w:t>
      </w:r>
      <w:r w:rsidRPr="00B84C56">
        <w:rPr>
          <w:b/>
        </w:rPr>
        <w:t xml:space="preserve">: </w:t>
      </w:r>
      <w:r w:rsidRPr="00B84C56">
        <w:t>244.</w:t>
      </w:r>
    </w:p>
    <w:p w14:paraId="74D2890D" w14:textId="77777777" w:rsidR="00B84C56" w:rsidRPr="00B84C56" w:rsidRDefault="00B84C56" w:rsidP="00065365">
      <w:r w:rsidRPr="00B84C56">
        <w:rPr>
          <w:rFonts w:hint="eastAsia"/>
        </w:rPr>
        <w:t xml:space="preserve">Stewardson, M. </w:t>
      </w:r>
      <w:proofErr w:type="gramStart"/>
      <w:r w:rsidRPr="00B84C56">
        <w:rPr>
          <w:rFonts w:hint="eastAsia"/>
        </w:rPr>
        <w:t>J.</w:t>
      </w:r>
      <w:proofErr w:type="gramEnd"/>
      <w:r w:rsidRPr="00B84C56">
        <w:rPr>
          <w:rFonts w:hint="eastAsia"/>
        </w:rPr>
        <w:t xml:space="preserve"> and F. Guarino (2018). "Basin</w:t>
      </w:r>
      <w:r w:rsidRPr="00B84C56">
        <w:rPr>
          <w:rFonts w:hint="eastAsia"/>
        </w:rPr>
        <w:t>‐</w:t>
      </w:r>
      <w:r w:rsidRPr="00B84C56">
        <w:rPr>
          <w:rFonts w:hint="eastAsia"/>
        </w:rPr>
        <w:t>scale environmental water delivery in the Murray</w:t>
      </w:r>
      <w:r w:rsidRPr="00B84C56">
        <w:rPr>
          <w:rFonts w:hint="eastAsia"/>
        </w:rPr>
        <w:t>–</w:t>
      </w:r>
      <w:r w:rsidRPr="00B84C56">
        <w:rPr>
          <w:rFonts w:hint="eastAsia"/>
        </w:rPr>
        <w:t>Darling, Australia: A h</w:t>
      </w:r>
      <w:r w:rsidRPr="00B84C56">
        <w:t xml:space="preserve">ydrological perspective." </w:t>
      </w:r>
      <w:r w:rsidRPr="00B84C56">
        <w:rPr>
          <w:u w:val="single"/>
        </w:rPr>
        <w:t>Freshwater Biology</w:t>
      </w:r>
      <w:r w:rsidRPr="00B84C56">
        <w:t xml:space="preserve"> </w:t>
      </w:r>
      <w:r w:rsidRPr="00B84C56">
        <w:rPr>
          <w:b/>
        </w:rPr>
        <w:t>63</w:t>
      </w:r>
      <w:r w:rsidRPr="00B84C56">
        <w:t>(8): 969-985.</w:t>
      </w:r>
    </w:p>
    <w:p w14:paraId="5DA12059" w14:textId="77777777" w:rsidR="00B84C56" w:rsidRPr="00B84C56" w:rsidRDefault="00B84C56" w:rsidP="00065365">
      <w:proofErr w:type="spellStart"/>
      <w:r w:rsidRPr="00B84C56">
        <w:t>Streamology</w:t>
      </w:r>
      <w:proofErr w:type="spellEnd"/>
      <w:r w:rsidRPr="00B84C56">
        <w:t xml:space="preserve"> and Arthur </w:t>
      </w:r>
      <w:proofErr w:type="spellStart"/>
      <w:r w:rsidRPr="00B84C56">
        <w:t>Rylah</w:t>
      </w:r>
      <w:proofErr w:type="spellEnd"/>
      <w:r w:rsidRPr="00B84C56">
        <w:t xml:space="preserve"> Institute (2020). Influence of Intervalley Transfers (IVT) on Riverbanks and Bank Vegetation of the Goulburn and Campaspe Rivers. Prepared for the Department of Environment, Land, Water and Planning.</w:t>
      </w:r>
    </w:p>
    <w:p w14:paraId="7E548E0B" w14:textId="77777777" w:rsidR="00B84C56" w:rsidRPr="00B84C56" w:rsidRDefault="00B84C56" w:rsidP="00065365">
      <w:r w:rsidRPr="00B84C56">
        <w:t xml:space="preserve">The University of Melbourne (2019). Lower Goulburn River Selected Area Monitoring, Evaluation and Research Plan (2019 - 2022). Standard Operating Procedures Macroinvertebrates v2.0. Monitoring, Evaluation and Research </w:t>
      </w:r>
      <w:proofErr w:type="gramStart"/>
      <w:r w:rsidRPr="00B84C56">
        <w:t>Program,,</w:t>
      </w:r>
      <w:proofErr w:type="gramEnd"/>
      <w:r w:rsidRPr="00B84C56">
        <w:t xml:space="preserve"> Commonwealth Environmental Water Office, .</w:t>
      </w:r>
    </w:p>
    <w:p w14:paraId="282DC5C4" w14:textId="77777777" w:rsidR="00B84C56" w:rsidRPr="00B84C56" w:rsidRDefault="00B84C56" w:rsidP="00065365">
      <w:proofErr w:type="spellStart"/>
      <w:r w:rsidRPr="00B84C56">
        <w:t>Thurgate</w:t>
      </w:r>
      <w:proofErr w:type="spellEnd"/>
      <w:r w:rsidRPr="00B84C56">
        <w:t xml:space="preserve">, N., J. </w:t>
      </w:r>
      <w:proofErr w:type="spellStart"/>
      <w:r w:rsidRPr="00B84C56">
        <w:t>Mynott</w:t>
      </w:r>
      <w:proofErr w:type="spellEnd"/>
      <w:r w:rsidRPr="00B84C56">
        <w:t>, L. Smith and N. Bond (2020). "Murray-Darling Basin Environmental Water Knowledge and Research Project—Synthesis Report."</w:t>
      </w:r>
    </w:p>
    <w:p w14:paraId="35D09EF0" w14:textId="77777777" w:rsidR="00B84C56" w:rsidRPr="00B84C56" w:rsidRDefault="00B84C56" w:rsidP="00065365">
      <w:proofErr w:type="spellStart"/>
      <w:r w:rsidRPr="00B84C56">
        <w:t>Uehlinger</w:t>
      </w:r>
      <w:proofErr w:type="spellEnd"/>
      <w:r w:rsidRPr="00B84C56">
        <w:t xml:space="preserve">, U. (2000). "Resistance and resilience of ecosystem metabolism in a flood-prone river system." </w:t>
      </w:r>
      <w:r w:rsidRPr="00B84C56">
        <w:rPr>
          <w:u w:val="single"/>
        </w:rPr>
        <w:t>Freshwater Biology</w:t>
      </w:r>
      <w:r w:rsidRPr="00B84C56">
        <w:t xml:space="preserve"> </w:t>
      </w:r>
      <w:r w:rsidRPr="00B84C56">
        <w:rPr>
          <w:b/>
        </w:rPr>
        <w:t>45</w:t>
      </w:r>
      <w:r w:rsidRPr="00B84C56">
        <w:t>(3): 319-332.</w:t>
      </w:r>
    </w:p>
    <w:p w14:paraId="5F8758A4" w14:textId="77777777" w:rsidR="00B84C56" w:rsidRPr="00B84C56" w:rsidRDefault="00B84C56" w:rsidP="00065365">
      <w:r w:rsidRPr="00B84C56">
        <w:t>VEWH (2020). Seasonal Watering Plans 2019-20. Victorian Environmental Water Holder.</w:t>
      </w:r>
    </w:p>
    <w:p w14:paraId="63269DBF" w14:textId="77777777" w:rsidR="00B84C56" w:rsidRPr="00B84C56" w:rsidRDefault="00B84C56" w:rsidP="00065365">
      <w:proofErr w:type="spellStart"/>
      <w:r w:rsidRPr="00B84C56">
        <w:t>Vietz</w:t>
      </w:r>
      <w:proofErr w:type="spellEnd"/>
      <w:r w:rsidRPr="00B84C56">
        <w:t xml:space="preserve">, G. J., M. J. </w:t>
      </w:r>
      <w:proofErr w:type="spellStart"/>
      <w:r w:rsidRPr="00B84C56">
        <w:t>Sammonds</w:t>
      </w:r>
      <w:proofErr w:type="spellEnd"/>
      <w:r w:rsidRPr="00B84C56">
        <w:t xml:space="preserve"> and M. J. Stewardson (2013). "Impacts of flow regulation on </w:t>
      </w:r>
      <w:proofErr w:type="spellStart"/>
      <w:r w:rsidRPr="00B84C56">
        <w:t>slackwaters</w:t>
      </w:r>
      <w:proofErr w:type="spellEnd"/>
      <w:r w:rsidRPr="00B84C56">
        <w:t xml:space="preserve"> in river channels." </w:t>
      </w:r>
      <w:r w:rsidRPr="00B84C56">
        <w:rPr>
          <w:u w:val="single"/>
        </w:rPr>
        <w:t>Water Resources Research</w:t>
      </w:r>
      <w:r w:rsidRPr="00B84C56">
        <w:t xml:space="preserve"> </w:t>
      </w:r>
      <w:r w:rsidRPr="00B84C56">
        <w:rPr>
          <w:b/>
        </w:rPr>
        <w:t>49</w:t>
      </w:r>
      <w:r w:rsidRPr="00B84C56">
        <w:t>(4): 1797-1811.</w:t>
      </w:r>
    </w:p>
    <w:p w14:paraId="203CB266" w14:textId="77777777" w:rsidR="00B84C56" w:rsidRPr="00B84C56" w:rsidRDefault="00B84C56" w:rsidP="00065365">
      <w:r w:rsidRPr="00B84C56">
        <w:t xml:space="preserve">Warwick, N. </w:t>
      </w:r>
      <w:proofErr w:type="gramStart"/>
      <w:r w:rsidRPr="00B84C56">
        <w:t>W.</w:t>
      </w:r>
      <w:proofErr w:type="gramEnd"/>
      <w:r w:rsidRPr="00B84C56">
        <w:t xml:space="preserve"> and M. A. Brock (2003). "Plant reproduction in temporary wetlands: the effects of seasonal timing, depth, and duration of flooding." </w:t>
      </w:r>
      <w:r w:rsidRPr="00B84C56">
        <w:rPr>
          <w:u w:val="single"/>
        </w:rPr>
        <w:t>Aquatic Botany</w:t>
      </w:r>
      <w:r w:rsidRPr="00B84C56">
        <w:t xml:space="preserve"> </w:t>
      </w:r>
      <w:r w:rsidRPr="00B84C56">
        <w:rPr>
          <w:b/>
        </w:rPr>
        <w:t>77</w:t>
      </w:r>
      <w:r w:rsidRPr="00B84C56">
        <w:t>(2): 153-167.</w:t>
      </w:r>
    </w:p>
    <w:p w14:paraId="567E0537" w14:textId="77777777" w:rsidR="00B84C56" w:rsidRPr="00B84C56" w:rsidRDefault="00B84C56" w:rsidP="00065365">
      <w:r w:rsidRPr="00B84C56">
        <w:t xml:space="preserve">Watts, R., N. </w:t>
      </w:r>
      <w:proofErr w:type="spellStart"/>
      <w:r w:rsidRPr="00B84C56">
        <w:t>McCasker</w:t>
      </w:r>
      <w:proofErr w:type="spellEnd"/>
      <w:r w:rsidRPr="00B84C56">
        <w:t xml:space="preserve">, J. Howitt, J. </w:t>
      </w:r>
      <w:proofErr w:type="spellStart"/>
      <w:r w:rsidRPr="00B84C56">
        <w:t>Thiem</w:t>
      </w:r>
      <w:proofErr w:type="spellEnd"/>
      <w:r w:rsidRPr="00B84C56">
        <w:t xml:space="preserve">, M. Grace, R. Kopf, S. </w:t>
      </w:r>
      <w:proofErr w:type="gramStart"/>
      <w:r w:rsidRPr="00B84C56">
        <w:t>Healy</w:t>
      </w:r>
      <w:proofErr w:type="gramEnd"/>
      <w:r w:rsidRPr="00B84C56">
        <w:t xml:space="preserve"> and N. Bond (2018). Commonwealth Environmental Water Office Long Term Intervention Monitoring Project: Edward-Wakool River System Selected Area Evaluation Report, 2017-18. Report prepared for Commonwealth Environmental Water Office. Commonwealth of Australia, pp 159.</w:t>
      </w:r>
    </w:p>
    <w:p w14:paraId="1FAD6ABB" w14:textId="77777777" w:rsidR="00B84C56" w:rsidRPr="00B84C56" w:rsidRDefault="00B84C56" w:rsidP="00065365">
      <w:r w:rsidRPr="00B84C56">
        <w:t xml:space="preserve">Webb, A., S. </w:t>
      </w:r>
      <w:proofErr w:type="spellStart"/>
      <w:r w:rsidRPr="00B84C56">
        <w:t>Casanelia</w:t>
      </w:r>
      <w:proofErr w:type="spellEnd"/>
      <w:r w:rsidRPr="00B84C56">
        <w:t xml:space="preserve">, G. Earl, M. Grace, E. King, W. </w:t>
      </w:r>
      <w:proofErr w:type="spellStart"/>
      <w:r w:rsidRPr="00B84C56">
        <w:t>Koster</w:t>
      </w:r>
      <w:proofErr w:type="spellEnd"/>
      <w:r w:rsidRPr="00B84C56">
        <w:t xml:space="preserve">, K. Morris, V. </w:t>
      </w:r>
      <w:proofErr w:type="spellStart"/>
      <w:r w:rsidRPr="00B84C56">
        <w:t>Pettigrove</w:t>
      </w:r>
      <w:proofErr w:type="spellEnd"/>
      <w:r w:rsidRPr="00B84C56">
        <w:t xml:space="preserve">, A. Sharpe, K. Townsend, G. </w:t>
      </w:r>
      <w:proofErr w:type="spellStart"/>
      <w:r w:rsidRPr="00B84C56">
        <w:t>Vietz</w:t>
      </w:r>
      <w:proofErr w:type="spellEnd"/>
      <w:r w:rsidRPr="00B84C56">
        <w:t xml:space="preserve">, A. Woodman and A. </w:t>
      </w:r>
      <w:proofErr w:type="spellStart"/>
      <w:r w:rsidRPr="00B84C56">
        <w:t>Ziebell</w:t>
      </w:r>
      <w:proofErr w:type="spellEnd"/>
      <w:r w:rsidRPr="00B84C56">
        <w:t xml:space="preserve"> (2016). "Commonwealth Environmental Water Office Long-Term Intervention Monitoring Project: Goulburn River Selected Area evaluation report 2014-15. Report prepared for the Commonwealth Environmental Water Office."</w:t>
      </w:r>
    </w:p>
    <w:p w14:paraId="45F2EBDC" w14:textId="77777777" w:rsidR="00B84C56" w:rsidRPr="00B84C56" w:rsidRDefault="00B84C56" w:rsidP="00065365">
      <w:r w:rsidRPr="00B84C56">
        <w:t xml:space="preserve">Webb, A., D. Guo, S. Treadwell, B. Baker, S. </w:t>
      </w:r>
      <w:proofErr w:type="spellStart"/>
      <w:r w:rsidRPr="00B84C56">
        <w:t>Casanelia</w:t>
      </w:r>
      <w:proofErr w:type="spellEnd"/>
      <w:r w:rsidRPr="00B84C56">
        <w:t xml:space="preserve">, M. Grace, J. Greet, C. </w:t>
      </w:r>
      <w:proofErr w:type="spellStart"/>
      <w:r w:rsidRPr="00B84C56">
        <w:t>Kellar</w:t>
      </w:r>
      <w:proofErr w:type="spellEnd"/>
      <w:r w:rsidRPr="00B84C56">
        <w:t xml:space="preserve">, W. </w:t>
      </w:r>
      <w:proofErr w:type="spellStart"/>
      <w:r w:rsidRPr="00B84C56">
        <w:t>Koster</w:t>
      </w:r>
      <w:proofErr w:type="spellEnd"/>
      <w:r w:rsidRPr="00B84C56">
        <w:t xml:space="preserve">, D. Lovell, D. McMahon, K. Morris, J. Myers, V. </w:t>
      </w:r>
      <w:proofErr w:type="spellStart"/>
      <w:r w:rsidRPr="00B84C56">
        <w:t>Pettigrove</w:t>
      </w:r>
      <w:proofErr w:type="spellEnd"/>
      <w:r w:rsidRPr="00B84C56">
        <w:t xml:space="preserve"> and G. </w:t>
      </w:r>
      <w:proofErr w:type="spellStart"/>
      <w:r w:rsidRPr="00B84C56">
        <w:t>Vietz</w:t>
      </w:r>
      <w:proofErr w:type="spellEnd"/>
      <w:r w:rsidRPr="00B84C56">
        <w:t xml:space="preserve"> (2019a). Commonwealth Environmental Water Office Long Term Intervention Monitoring Project Goulburn River Selected Area Scientific Report 2018–19. Report prepared for the Commonwealth Environmental Water Office.</w:t>
      </w:r>
    </w:p>
    <w:p w14:paraId="7D18BA5A" w14:textId="77777777" w:rsidR="00B84C56" w:rsidRPr="00B84C56" w:rsidRDefault="00B84C56" w:rsidP="00065365">
      <w:r w:rsidRPr="00B84C56">
        <w:t xml:space="preserve">Webb, A., X. Hou, S. Treadwell, P. </w:t>
      </w:r>
      <w:proofErr w:type="spellStart"/>
      <w:r w:rsidRPr="00B84C56">
        <w:t>Baghbanorandi</w:t>
      </w:r>
      <w:proofErr w:type="spellEnd"/>
      <w:r w:rsidRPr="00B84C56">
        <w:t xml:space="preserve">, B. Baker, W. </w:t>
      </w:r>
      <w:proofErr w:type="spellStart"/>
      <w:r w:rsidRPr="00B84C56">
        <w:t>Bovill</w:t>
      </w:r>
      <w:proofErr w:type="spellEnd"/>
      <w:r w:rsidRPr="00B84C56">
        <w:t xml:space="preserve">, S. </w:t>
      </w:r>
      <w:proofErr w:type="spellStart"/>
      <w:r w:rsidRPr="00B84C56">
        <w:t>Casanelia</w:t>
      </w:r>
      <w:proofErr w:type="spellEnd"/>
      <w:r w:rsidRPr="00B84C56">
        <w:t xml:space="preserve">, N. Christopher, M. Grace, J. Greet, C. </w:t>
      </w:r>
      <w:proofErr w:type="spellStart"/>
      <w:r w:rsidRPr="00B84C56">
        <w:t>Kellar</w:t>
      </w:r>
      <w:proofErr w:type="spellEnd"/>
      <w:r w:rsidRPr="00B84C56">
        <w:t xml:space="preserve">, W. </w:t>
      </w:r>
      <w:proofErr w:type="spellStart"/>
      <w:r w:rsidRPr="00B84C56">
        <w:t>Koster</w:t>
      </w:r>
      <w:proofErr w:type="spellEnd"/>
      <w:r w:rsidRPr="00B84C56">
        <w:t xml:space="preserve">, D. Lovell, D. McMahon, K. Morris, J. Myers, V. </w:t>
      </w:r>
      <w:proofErr w:type="spellStart"/>
      <w:r w:rsidRPr="00B84C56">
        <w:t>Pettigrove</w:t>
      </w:r>
      <w:proofErr w:type="spellEnd"/>
      <w:r w:rsidRPr="00B84C56">
        <w:t xml:space="preserve">, N. Sutton and G. </w:t>
      </w:r>
      <w:proofErr w:type="spellStart"/>
      <w:r w:rsidRPr="00B84C56">
        <w:t>Vietz</w:t>
      </w:r>
      <w:proofErr w:type="spellEnd"/>
      <w:r w:rsidRPr="00B84C56">
        <w:t xml:space="preserve"> (2021). "Commonwealth Environmental Water Office Monitoring, Evaluation and Research Project</w:t>
      </w:r>
      <w:r w:rsidRPr="00B84C56">
        <w:rPr>
          <w:b/>
        </w:rPr>
        <w:t xml:space="preserve">: </w:t>
      </w:r>
      <w:r w:rsidRPr="00B84C56">
        <w:t>2020–21 Goulburn MER Annual Summary Report."</w:t>
      </w:r>
    </w:p>
    <w:p w14:paraId="569B9349" w14:textId="77777777" w:rsidR="00B84C56" w:rsidRPr="00B84C56" w:rsidRDefault="00B84C56" w:rsidP="00065365">
      <w:r w:rsidRPr="00B84C56">
        <w:t xml:space="preserve">Webb, A., A. Sharpe, W. </w:t>
      </w:r>
      <w:proofErr w:type="spellStart"/>
      <w:r w:rsidRPr="00B84C56">
        <w:t>Koster</w:t>
      </w:r>
      <w:proofErr w:type="spellEnd"/>
      <w:r w:rsidRPr="00B84C56">
        <w:t xml:space="preserve">, V. </w:t>
      </w:r>
      <w:proofErr w:type="spellStart"/>
      <w:r w:rsidRPr="00B84C56">
        <w:t>Pettigrove</w:t>
      </w:r>
      <w:proofErr w:type="spellEnd"/>
      <w:r w:rsidRPr="00B84C56">
        <w:t xml:space="preserve">, M. Grace, G. </w:t>
      </w:r>
      <w:proofErr w:type="spellStart"/>
      <w:r w:rsidRPr="00B84C56">
        <w:t>Vietz</w:t>
      </w:r>
      <w:proofErr w:type="spellEnd"/>
      <w:r w:rsidRPr="00B84C56">
        <w:t xml:space="preserve">, A. Woodman, G. </w:t>
      </w:r>
      <w:proofErr w:type="gramStart"/>
      <w:r w:rsidRPr="00B84C56">
        <w:t>Earl</w:t>
      </w:r>
      <w:proofErr w:type="gramEnd"/>
      <w:r w:rsidRPr="00B84C56">
        <w:t xml:space="preserve"> and S. </w:t>
      </w:r>
      <w:proofErr w:type="spellStart"/>
      <w:r w:rsidRPr="00B84C56">
        <w:t>Casanelia</w:t>
      </w:r>
      <w:proofErr w:type="spellEnd"/>
      <w:r w:rsidRPr="00B84C56">
        <w:t xml:space="preserve"> (2018). 2018. Long-term intervention monitoring program for the lower Goulburn River: final monitoring and evaluation plan. Report prepared </w:t>
      </w:r>
      <w:proofErr w:type="spellStart"/>
      <w:r w:rsidRPr="00B84C56">
        <w:t>forthe</w:t>
      </w:r>
      <w:proofErr w:type="spellEnd"/>
      <w:r w:rsidRPr="00B84C56">
        <w:t xml:space="preserve"> Commonwealth Environmental Water Office. University of </w:t>
      </w:r>
      <w:proofErr w:type="spellStart"/>
      <w:r w:rsidRPr="00B84C56">
        <w:t>Melborne</w:t>
      </w:r>
      <w:proofErr w:type="spellEnd"/>
      <w:r w:rsidRPr="00B84C56">
        <w:t xml:space="preserve"> Commercial.</w:t>
      </w:r>
    </w:p>
    <w:p w14:paraId="12F9174E" w14:textId="77777777" w:rsidR="00B84C56" w:rsidRPr="00B84C56" w:rsidRDefault="00B84C56" w:rsidP="00065365">
      <w:r w:rsidRPr="00B84C56">
        <w:t xml:space="preserve">Webb, A., S. Treadwell, G. Lakhanpal, B. Baker, S. </w:t>
      </w:r>
      <w:proofErr w:type="spellStart"/>
      <w:r w:rsidRPr="00B84C56">
        <w:t>Casanelia</w:t>
      </w:r>
      <w:proofErr w:type="spellEnd"/>
      <w:r w:rsidRPr="00B84C56">
        <w:t xml:space="preserve">, M. Grace, W. </w:t>
      </w:r>
      <w:proofErr w:type="spellStart"/>
      <w:r w:rsidRPr="00B84C56">
        <w:t>Koster</w:t>
      </w:r>
      <w:proofErr w:type="spellEnd"/>
      <w:r w:rsidRPr="00B84C56">
        <w:t xml:space="preserve">, D. Lovell, K. Morris, V. </w:t>
      </w:r>
      <w:proofErr w:type="spellStart"/>
      <w:r w:rsidRPr="00B84C56">
        <w:t>Pettigrove</w:t>
      </w:r>
      <w:proofErr w:type="spellEnd"/>
      <w:r w:rsidRPr="00B84C56">
        <w:t xml:space="preserve">, Z. Tonkin and G. </w:t>
      </w:r>
      <w:proofErr w:type="spellStart"/>
      <w:r w:rsidRPr="00B84C56">
        <w:t>Vietz</w:t>
      </w:r>
      <w:proofErr w:type="spellEnd"/>
      <w:r w:rsidRPr="00B84C56">
        <w:t xml:space="preserve"> (2019b). Lower Goulburn River Selected Area Monitoring, Evaluation and Research Plan (2019-2022). Prepared for the Commonwealth Environmental Water Office.</w:t>
      </w:r>
    </w:p>
    <w:p w14:paraId="353D3658" w14:textId="77777777" w:rsidR="00B84C56" w:rsidRPr="00B84C56" w:rsidRDefault="00B84C56" w:rsidP="00065365">
      <w:r w:rsidRPr="00B84C56">
        <w:t xml:space="preserve">Webb, A., G. </w:t>
      </w:r>
      <w:proofErr w:type="spellStart"/>
      <w:r w:rsidRPr="00B84C56">
        <w:t>Vietz</w:t>
      </w:r>
      <w:proofErr w:type="spellEnd"/>
      <w:r w:rsidRPr="00B84C56">
        <w:t xml:space="preserve">, S. </w:t>
      </w:r>
      <w:proofErr w:type="spellStart"/>
      <w:r w:rsidRPr="00B84C56">
        <w:t>Windecker</w:t>
      </w:r>
      <w:proofErr w:type="spellEnd"/>
      <w:r w:rsidRPr="00B84C56">
        <w:t xml:space="preserve">, S. </w:t>
      </w:r>
      <w:proofErr w:type="spellStart"/>
      <w:r w:rsidRPr="00B84C56">
        <w:t>Hladyz</w:t>
      </w:r>
      <w:proofErr w:type="spellEnd"/>
      <w:r w:rsidRPr="00B84C56">
        <w:t xml:space="preserve">, R. Thompson, W. </w:t>
      </w:r>
      <w:proofErr w:type="spellStart"/>
      <w:r w:rsidRPr="00B84C56">
        <w:t>Koster</w:t>
      </w:r>
      <w:proofErr w:type="spellEnd"/>
      <w:r w:rsidRPr="00B84C56">
        <w:t xml:space="preserve"> and M. Jones (2015). Monitoring and reporting on the ecological outcomes of commonwealth environmental water delivered in the lower Goulburn River and Broken Creek in 2013/14. </w:t>
      </w:r>
      <w:r w:rsidRPr="00B84C56">
        <w:rPr>
          <w:u w:val="single"/>
        </w:rPr>
        <w:t>Report prepared for the Commonwealth Environmental Water Office</w:t>
      </w:r>
      <w:r w:rsidRPr="00B84C56">
        <w:t>. Melbourne, The University of Melbourne</w:t>
      </w:r>
      <w:r w:rsidRPr="00B84C56">
        <w:rPr>
          <w:b/>
        </w:rPr>
        <w:t xml:space="preserve">: </w:t>
      </w:r>
      <w:r w:rsidRPr="00B84C56">
        <w:t>ix + 177.</w:t>
      </w:r>
    </w:p>
    <w:p w14:paraId="3DCEA0B7" w14:textId="48E25EE4" w:rsidR="00BD3C5D" w:rsidRPr="00E91CD1" w:rsidRDefault="00BD3C5D" w:rsidP="00065365">
      <w:bookmarkStart w:id="730" w:name="_Toc26772986"/>
    </w:p>
    <w:p w14:paraId="3D296C4A" w14:textId="77777777" w:rsidR="00FE5B4D" w:rsidRDefault="00FE5B4D">
      <w:pPr>
        <w:rPr>
          <w:rFonts w:ascii="Georgia" w:eastAsia="SimHei" w:hAnsi="Georgia" w:cs="Times New Roman"/>
          <w:b/>
          <w:color w:val="094183"/>
          <w:sz w:val="32"/>
          <w:szCs w:val="32"/>
          <w:lang w:eastAsia="en-US"/>
        </w:rPr>
      </w:pPr>
      <w:r w:rsidRPr="00BA2632">
        <w:br w:type="page"/>
      </w:r>
    </w:p>
    <w:p w14:paraId="7F129A4A" w14:textId="6FD86252" w:rsidR="00F21566" w:rsidRPr="001827C8" w:rsidRDefault="00F21566" w:rsidP="001827C8">
      <w:pPr>
        <w:pStyle w:val="Heading6"/>
      </w:pPr>
      <w:bookmarkStart w:id="731" w:name="_Toc84416141"/>
      <w:bookmarkStart w:id="732" w:name="_Toc84417448"/>
      <w:r w:rsidRPr="001827C8">
        <w:lastRenderedPageBreak/>
        <w:t>Detailed summary of watering actions and volumes</w:t>
      </w:r>
      <w:r w:rsidR="00181312" w:rsidRPr="001827C8">
        <w:t xml:space="preserve"> delivered</w:t>
      </w:r>
      <w:bookmarkEnd w:id="731"/>
      <w:bookmarkEnd w:id="732"/>
    </w:p>
    <w:p w14:paraId="2C6DE475" w14:textId="13C74900" w:rsidR="00F21566" w:rsidRDefault="00181312" w:rsidP="0067158B">
      <w:pPr>
        <w:snapToGrid w:val="0"/>
        <w:spacing w:after="60" w:line="240" w:lineRule="auto"/>
        <w:rPr>
          <w:rFonts w:ascii="Arial" w:eastAsia="Times New Roman" w:hAnsi="Arial" w:cs="Arial"/>
          <w:szCs w:val="20"/>
          <w:lang w:val="en-GB" w:eastAsia="en-AU"/>
        </w:rPr>
      </w:pPr>
      <w:r w:rsidRPr="00BA2632">
        <w:rPr>
          <w:rFonts w:ascii="Arial" w:eastAsia="Times New Roman" w:hAnsi="Arial" w:cs="Arial"/>
          <w:szCs w:val="20"/>
          <w:lang w:val="en-GB" w:eastAsia="en-AU"/>
        </w:rPr>
        <w:t>The following table provides a breakdown of all water delivered to the lower Goulburn River in 2020</w:t>
      </w:r>
      <w:r w:rsidR="00E44EC8">
        <w:rPr>
          <w:rFonts w:ascii="Arial" w:eastAsia="Times New Roman" w:hAnsi="Arial" w:cs="Arial"/>
          <w:szCs w:val="20"/>
          <w:lang w:val="en-GB" w:eastAsia="en-AU"/>
        </w:rPr>
        <w:t>-21</w:t>
      </w:r>
      <w:r w:rsidRPr="00BA2632">
        <w:rPr>
          <w:rFonts w:ascii="Arial" w:eastAsia="Times New Roman" w:hAnsi="Arial" w:cs="Arial"/>
          <w:szCs w:val="20"/>
          <w:lang w:val="en-GB" w:eastAsia="en-AU"/>
        </w:rPr>
        <w:t>.  All r</w:t>
      </w:r>
      <w:r w:rsidR="00F21566" w:rsidRPr="00BA2632">
        <w:rPr>
          <w:rFonts w:ascii="Arial" w:eastAsia="Times New Roman" w:hAnsi="Arial" w:cs="Arial"/>
          <w:szCs w:val="20"/>
          <w:lang w:val="en-GB" w:eastAsia="en-AU"/>
        </w:rPr>
        <w:t>eleases are from Goulburn Weir (Murchison)</w:t>
      </w:r>
      <w:r w:rsidRPr="00BA2632">
        <w:rPr>
          <w:rFonts w:ascii="Arial" w:eastAsia="Times New Roman" w:hAnsi="Arial" w:cs="Arial"/>
          <w:szCs w:val="20"/>
          <w:lang w:val="en-GB" w:eastAsia="en-AU"/>
        </w:rPr>
        <w:t xml:space="preserve"> and volumes are provided for </w:t>
      </w:r>
      <w:r w:rsidRPr="00BA2632">
        <w:rPr>
          <w:rFonts w:ascii="Arial" w:eastAsia="Times New Roman" w:hAnsi="Arial" w:cs="Arial"/>
          <w:color w:val="74AFF5" w:themeColor="accent1" w:themeTint="66"/>
          <w:szCs w:val="20"/>
          <w:lang w:val="en-GB" w:eastAsia="en-AU"/>
        </w:rPr>
        <w:t>M</w:t>
      </w:r>
      <w:r w:rsidR="00F21566" w:rsidRPr="00BA2632">
        <w:rPr>
          <w:rFonts w:ascii="Arial" w:eastAsia="Times New Roman" w:hAnsi="Arial" w:cs="Arial"/>
          <w:bCs/>
          <w:color w:val="548DD4"/>
          <w:szCs w:val="20"/>
          <w:lang w:val="en-GB" w:eastAsia="en-AU"/>
        </w:rPr>
        <w:t>urchison</w:t>
      </w:r>
      <w:r w:rsidRPr="00BA2632">
        <w:rPr>
          <w:rFonts w:ascii="Arial" w:eastAsia="Times New Roman" w:hAnsi="Arial" w:cs="Arial"/>
          <w:bCs/>
          <w:color w:val="548DD4"/>
          <w:szCs w:val="20"/>
          <w:lang w:val="en-GB" w:eastAsia="en-AU"/>
        </w:rPr>
        <w:t xml:space="preserve"> (M)</w:t>
      </w:r>
      <w:r w:rsidR="00F21566" w:rsidRPr="00BA2632">
        <w:rPr>
          <w:rFonts w:ascii="Arial" w:eastAsia="Times New Roman" w:hAnsi="Arial" w:cs="Arial"/>
          <w:bCs/>
          <w:color w:val="548DD4"/>
          <w:szCs w:val="20"/>
          <w:lang w:val="en-GB" w:eastAsia="en-AU"/>
        </w:rPr>
        <w:t xml:space="preserve"> </w:t>
      </w:r>
      <w:r w:rsidR="00F21566" w:rsidRPr="00BA2632">
        <w:rPr>
          <w:rFonts w:ascii="Arial" w:eastAsia="Times New Roman" w:hAnsi="Arial" w:cs="Arial"/>
          <w:bCs/>
          <w:szCs w:val="20"/>
          <w:lang w:val="en-GB" w:eastAsia="en-AU"/>
        </w:rPr>
        <w:t>and</w:t>
      </w:r>
      <w:r w:rsidRPr="00BA2632">
        <w:rPr>
          <w:rFonts w:ascii="Arial" w:eastAsia="Times New Roman" w:hAnsi="Arial" w:cs="Arial"/>
          <w:bCs/>
          <w:szCs w:val="20"/>
          <w:lang w:val="en-GB" w:eastAsia="en-AU"/>
        </w:rPr>
        <w:t xml:space="preserve"> </w:t>
      </w:r>
      <w:r w:rsidR="00B91CD3">
        <w:rPr>
          <w:rFonts w:ascii="Arial" w:eastAsia="Times New Roman" w:hAnsi="Arial" w:cs="Arial"/>
          <w:bCs/>
          <w:color w:val="E36C0A"/>
          <w:szCs w:val="20"/>
          <w:lang w:val="en-GB" w:eastAsia="en-AU"/>
        </w:rPr>
        <w:t>McCoy’s</w:t>
      </w:r>
      <w:r w:rsidRPr="00BA2632">
        <w:rPr>
          <w:rFonts w:ascii="Arial" w:eastAsia="Times New Roman" w:hAnsi="Arial" w:cs="Arial"/>
          <w:bCs/>
          <w:color w:val="E36C0A"/>
          <w:szCs w:val="20"/>
          <w:lang w:val="en-GB" w:eastAsia="en-AU"/>
        </w:rPr>
        <w:t xml:space="preserve"> (Mc).  </w:t>
      </w:r>
      <w:r w:rsidRPr="00BA2632">
        <w:rPr>
          <w:rFonts w:ascii="Arial" w:eastAsia="Times New Roman" w:hAnsi="Arial" w:cs="Arial"/>
          <w:szCs w:val="20"/>
          <w:lang w:val="en-GB" w:eastAsia="en-AU"/>
        </w:rPr>
        <w:t xml:space="preserve">Travel time to </w:t>
      </w:r>
      <w:r w:rsidR="00B91CD3">
        <w:rPr>
          <w:rFonts w:ascii="Arial" w:eastAsia="Times New Roman" w:hAnsi="Arial" w:cs="Arial"/>
          <w:szCs w:val="20"/>
          <w:lang w:val="en-GB" w:eastAsia="en-AU"/>
        </w:rPr>
        <w:t>McCoy’s</w:t>
      </w:r>
      <w:r w:rsidRPr="00BA2632">
        <w:rPr>
          <w:rFonts w:ascii="Arial" w:eastAsia="Times New Roman" w:hAnsi="Arial" w:cs="Arial"/>
          <w:szCs w:val="20"/>
          <w:lang w:val="en-GB" w:eastAsia="en-AU"/>
        </w:rPr>
        <w:t xml:space="preserve"> Bridge is 4 days and differences in volumes between Murchison and </w:t>
      </w:r>
      <w:r w:rsidR="00B91CD3">
        <w:rPr>
          <w:rFonts w:ascii="Arial" w:eastAsia="Times New Roman" w:hAnsi="Arial" w:cs="Arial"/>
          <w:szCs w:val="20"/>
          <w:lang w:val="en-GB" w:eastAsia="en-AU"/>
        </w:rPr>
        <w:t>McCoy’s</w:t>
      </w:r>
      <w:r w:rsidRPr="00BA2632">
        <w:rPr>
          <w:rFonts w:ascii="Arial" w:eastAsia="Times New Roman" w:hAnsi="Arial" w:cs="Arial"/>
          <w:szCs w:val="20"/>
          <w:lang w:val="en-GB" w:eastAsia="en-AU"/>
        </w:rPr>
        <w:t xml:space="preserve"> Bridge are due to lag times and tributary inflows between the two locations</w:t>
      </w:r>
      <w:r w:rsidR="00C117E2" w:rsidRPr="00BA2632">
        <w:rPr>
          <w:rFonts w:ascii="Arial" w:eastAsia="Times New Roman" w:hAnsi="Arial" w:cs="Arial"/>
          <w:szCs w:val="20"/>
          <w:lang w:val="en-GB" w:eastAsia="en-AU"/>
        </w:rPr>
        <w:t xml:space="preserve"> (Source 2020</w:t>
      </w:r>
      <w:r w:rsidR="00E44EC8">
        <w:rPr>
          <w:rFonts w:ascii="Arial" w:eastAsia="Times New Roman" w:hAnsi="Arial" w:cs="Arial"/>
          <w:szCs w:val="20"/>
          <w:lang w:val="en-GB" w:eastAsia="en-AU"/>
        </w:rPr>
        <w:t>-21</w:t>
      </w:r>
      <w:r w:rsidR="00C117E2" w:rsidRPr="00BA2632">
        <w:rPr>
          <w:rFonts w:ascii="Arial" w:eastAsia="Times New Roman" w:hAnsi="Arial" w:cs="Arial"/>
          <w:szCs w:val="20"/>
          <w:lang w:val="en-GB" w:eastAsia="en-AU"/>
        </w:rPr>
        <w:t xml:space="preserve"> Goulburn Water Use Acquittal Report</w:t>
      </w:r>
      <w:r w:rsidR="000A57FB">
        <w:rPr>
          <w:rFonts w:ascii="Arial" w:eastAsia="Times New Roman" w:hAnsi="Arial" w:cs="Arial"/>
          <w:szCs w:val="20"/>
          <w:lang w:val="en-GB" w:eastAsia="en-AU"/>
        </w:rPr>
        <w:t xml:space="preserve"> – CEWO unpublished, 202</w:t>
      </w:r>
      <w:r w:rsidR="00F73170">
        <w:rPr>
          <w:rFonts w:ascii="Arial" w:eastAsia="Times New Roman" w:hAnsi="Arial" w:cs="Arial"/>
          <w:szCs w:val="20"/>
          <w:lang w:val="en-GB" w:eastAsia="en-AU"/>
        </w:rPr>
        <w:t>1</w:t>
      </w:r>
      <w:r w:rsidR="00C117E2" w:rsidRPr="00BA2632">
        <w:rPr>
          <w:rFonts w:ascii="Arial" w:eastAsia="Times New Roman" w:hAnsi="Arial" w:cs="Arial"/>
          <w:szCs w:val="20"/>
          <w:lang w:val="en-GB" w:eastAsia="en-AU"/>
        </w:rPr>
        <w:t>).</w:t>
      </w:r>
    </w:p>
    <w:p w14:paraId="3FAFBA7A" w14:textId="77777777" w:rsidR="00F21566" w:rsidRPr="00BA2632" w:rsidRDefault="00F21566" w:rsidP="00F21566">
      <w:pPr>
        <w:spacing w:after="0" w:line="240" w:lineRule="auto"/>
        <w:rPr>
          <w:rFonts w:ascii="Arial" w:eastAsia="Times New Roman" w:hAnsi="Arial" w:cs="Arial"/>
          <w:lang w:val="en-GB" w:eastAsia="en-AU"/>
        </w:rPr>
      </w:pPr>
    </w:p>
    <w:p w14:paraId="4EA81881" w14:textId="5B40329C" w:rsidR="00442B3E" w:rsidRDefault="00442B3E" w:rsidP="00442B3E">
      <w:pPr>
        <w:pStyle w:val="Caption"/>
      </w:pPr>
      <w:bookmarkStart w:id="733" w:name="_Toc84492677"/>
      <w:r>
        <w:t xml:space="preserve">Table </w:t>
      </w:r>
      <w:r w:rsidR="00FE5FE8">
        <w:rPr>
          <w:noProof/>
        </w:rPr>
        <w:t>A</w:t>
      </w:r>
      <w:r>
        <w:noBreakHyphen/>
      </w:r>
      <w:r w:rsidR="00FE5FE8">
        <w:rPr>
          <w:noProof/>
        </w:rPr>
        <w:t>1</w:t>
      </w:r>
      <w:r>
        <w:t xml:space="preserve"> </w:t>
      </w:r>
      <w:r w:rsidRPr="00E86BE9">
        <w:t>Environmental water delivered to the lower Goulburn River in 2020-21</w:t>
      </w:r>
      <w:r>
        <w:t>.</w:t>
      </w:r>
      <w:bookmarkEnd w:id="733"/>
    </w:p>
    <w:tbl>
      <w:tblPr>
        <w:tblW w:w="4853" w:type="pct"/>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942"/>
        <w:gridCol w:w="2141"/>
        <w:gridCol w:w="1089"/>
        <w:gridCol w:w="1362"/>
        <w:gridCol w:w="1660"/>
        <w:gridCol w:w="1426"/>
      </w:tblGrid>
      <w:tr w:rsidR="00F86AA0" w:rsidRPr="006B4B25" w14:paraId="2E3A0962" w14:textId="77777777" w:rsidTr="00341517">
        <w:trPr>
          <w:trHeight w:val="1103"/>
          <w:tblHeader/>
        </w:trPr>
        <w:tc>
          <w:tcPr>
            <w:tcW w:w="1009" w:type="pct"/>
          </w:tcPr>
          <w:p w14:paraId="60B29D3E" w14:textId="77777777" w:rsidR="00F86AA0" w:rsidRPr="006B4B25" w:rsidRDefault="00F86AA0" w:rsidP="00341517">
            <w:pPr>
              <w:snapToGrid w:val="0"/>
              <w:spacing w:after="60" w:line="240" w:lineRule="auto"/>
              <w:jc w:val="left"/>
              <w:rPr>
                <w:rFonts w:ascii="Calibri" w:eastAsia="Times New Roman" w:hAnsi="Calibri" w:cs="Arial"/>
                <w:b/>
                <w:bCs/>
                <w:sz w:val="18"/>
                <w:szCs w:val="18"/>
                <w:lang w:val="en-GB" w:eastAsia="en-AU"/>
              </w:rPr>
            </w:pPr>
            <w:r w:rsidRPr="006B4B25">
              <w:rPr>
                <w:rFonts w:ascii="Calibri" w:eastAsia="Times New Roman" w:hAnsi="Calibri" w:cs="Arial"/>
                <w:b/>
                <w:bCs/>
                <w:sz w:val="18"/>
                <w:szCs w:val="18"/>
                <w:lang w:val="en-GB" w:eastAsia="en-AU"/>
              </w:rPr>
              <w:t>Date (start/end of action)</w:t>
            </w:r>
          </w:p>
        </w:tc>
        <w:tc>
          <w:tcPr>
            <w:tcW w:w="1113" w:type="pct"/>
            <w:tcBorders>
              <w:bottom w:val="single" w:sz="4" w:space="0" w:color="000000"/>
            </w:tcBorders>
          </w:tcPr>
          <w:p w14:paraId="3F474172" w14:textId="77777777" w:rsidR="00F86AA0" w:rsidRPr="006B4B25" w:rsidRDefault="00F86AA0" w:rsidP="00341517">
            <w:pPr>
              <w:snapToGrid w:val="0"/>
              <w:spacing w:after="60" w:line="240" w:lineRule="auto"/>
              <w:jc w:val="left"/>
              <w:rPr>
                <w:rFonts w:ascii="Calibri" w:eastAsia="Times New Roman" w:hAnsi="Calibri" w:cs="Arial"/>
                <w:b/>
                <w:bCs/>
                <w:sz w:val="18"/>
                <w:szCs w:val="18"/>
                <w:lang w:val="en-GB" w:eastAsia="en-AU"/>
              </w:rPr>
            </w:pPr>
            <w:r w:rsidRPr="006B4B25">
              <w:rPr>
                <w:rFonts w:ascii="Calibri" w:eastAsia="Times New Roman" w:hAnsi="Calibri" w:cs="Arial"/>
                <w:b/>
                <w:bCs/>
                <w:sz w:val="18"/>
                <w:szCs w:val="18"/>
                <w:lang w:val="en-GB" w:eastAsia="en-AU"/>
              </w:rPr>
              <w:t xml:space="preserve">Flow component type and </w:t>
            </w:r>
            <w:r w:rsidRPr="006B4B25">
              <w:rPr>
                <w:rFonts w:ascii="Calibri" w:eastAsia="Times New Roman" w:hAnsi="Calibri" w:cs="Arial"/>
                <w:b/>
                <w:bCs/>
                <w:sz w:val="18"/>
                <w:szCs w:val="18"/>
                <w:u w:val="single"/>
                <w:lang w:val="en-GB" w:eastAsia="en-AU"/>
              </w:rPr>
              <w:t xml:space="preserve">planned </w:t>
            </w:r>
            <w:r w:rsidRPr="006B4B25">
              <w:rPr>
                <w:rFonts w:ascii="Calibri" w:eastAsia="Times New Roman" w:hAnsi="Calibri" w:cs="Arial"/>
                <w:b/>
                <w:bCs/>
                <w:sz w:val="18"/>
                <w:szCs w:val="18"/>
                <w:lang w:val="en-GB" w:eastAsia="en-AU"/>
              </w:rPr>
              <w:t>magnitude, duration, timing</w:t>
            </w:r>
          </w:p>
        </w:tc>
        <w:tc>
          <w:tcPr>
            <w:tcW w:w="566" w:type="pct"/>
          </w:tcPr>
          <w:p w14:paraId="2BA677CD" w14:textId="77777777" w:rsidR="00F86AA0" w:rsidRPr="006B4B25" w:rsidRDefault="00F86AA0" w:rsidP="00341517">
            <w:pPr>
              <w:snapToGrid w:val="0"/>
              <w:spacing w:after="60" w:line="240" w:lineRule="auto"/>
              <w:jc w:val="left"/>
              <w:rPr>
                <w:rFonts w:ascii="Calibri" w:eastAsia="Times New Roman" w:hAnsi="Calibri" w:cs="Arial"/>
                <w:b/>
                <w:bCs/>
                <w:sz w:val="18"/>
                <w:szCs w:val="18"/>
                <w:lang w:val="en-GB" w:eastAsia="en-AU"/>
              </w:rPr>
            </w:pPr>
            <w:r w:rsidRPr="006B4B25">
              <w:rPr>
                <w:rFonts w:ascii="Calibri" w:eastAsia="Times New Roman" w:hAnsi="Calibri" w:cs="Arial"/>
                <w:b/>
                <w:bCs/>
                <w:sz w:val="18"/>
                <w:szCs w:val="18"/>
                <w:lang w:val="en-GB" w:eastAsia="en-AU"/>
              </w:rPr>
              <w:t xml:space="preserve">CEW volume used (ML) </w:t>
            </w:r>
          </w:p>
        </w:tc>
        <w:tc>
          <w:tcPr>
            <w:tcW w:w="708" w:type="pct"/>
          </w:tcPr>
          <w:p w14:paraId="2C4EAE98" w14:textId="77777777" w:rsidR="00F86AA0" w:rsidRPr="006B4B25" w:rsidRDefault="00F86AA0" w:rsidP="00341517">
            <w:pPr>
              <w:snapToGrid w:val="0"/>
              <w:spacing w:after="60" w:line="240" w:lineRule="auto"/>
              <w:jc w:val="left"/>
              <w:rPr>
                <w:rFonts w:ascii="Calibri" w:eastAsia="Times New Roman" w:hAnsi="Calibri" w:cs="Arial"/>
                <w:b/>
                <w:bCs/>
                <w:sz w:val="18"/>
                <w:szCs w:val="18"/>
                <w:lang w:val="en-GB" w:eastAsia="en-AU"/>
              </w:rPr>
            </w:pPr>
            <w:r w:rsidRPr="006B4B25">
              <w:rPr>
                <w:rFonts w:ascii="Calibri" w:eastAsia="Times New Roman" w:hAnsi="Calibri" w:cs="Arial"/>
                <w:b/>
                <w:bCs/>
                <w:sz w:val="18"/>
                <w:szCs w:val="18"/>
                <w:u w:val="single"/>
                <w:lang w:val="en-GB" w:eastAsia="en-AU"/>
              </w:rPr>
              <w:t>Other environmental water</w:t>
            </w:r>
            <w:r w:rsidRPr="006B4B25">
              <w:rPr>
                <w:rFonts w:ascii="Calibri" w:eastAsia="Times New Roman" w:hAnsi="Calibri" w:cs="Arial"/>
                <w:b/>
                <w:bCs/>
                <w:sz w:val="18"/>
                <w:szCs w:val="18"/>
                <w:lang w:val="en-GB" w:eastAsia="en-AU"/>
              </w:rPr>
              <w:t xml:space="preserve"> (ML)</w:t>
            </w:r>
          </w:p>
          <w:p w14:paraId="618CBCC2" w14:textId="77777777" w:rsidR="00F86AA0" w:rsidRPr="006B4B25" w:rsidRDefault="00F86AA0" w:rsidP="00341517">
            <w:pPr>
              <w:snapToGrid w:val="0"/>
              <w:spacing w:after="60" w:line="240" w:lineRule="auto"/>
              <w:jc w:val="left"/>
              <w:rPr>
                <w:rFonts w:ascii="Calibri" w:eastAsia="Times New Roman" w:hAnsi="Calibri" w:cs="Arial"/>
                <w:b/>
                <w:bCs/>
                <w:sz w:val="18"/>
                <w:szCs w:val="18"/>
                <w:lang w:val="en-GB" w:eastAsia="en-AU"/>
              </w:rPr>
            </w:pPr>
            <w:r w:rsidRPr="006B4B25">
              <w:rPr>
                <w:rFonts w:ascii="Calibri" w:eastAsia="Times New Roman" w:hAnsi="Calibri" w:cs="Arial"/>
                <w:b/>
                <w:bCs/>
                <w:sz w:val="18"/>
                <w:szCs w:val="18"/>
                <w:lang w:val="en-GB" w:eastAsia="en-AU"/>
              </w:rPr>
              <w:t xml:space="preserve">VEWH, TLM, WQR </w:t>
            </w:r>
          </w:p>
        </w:tc>
        <w:tc>
          <w:tcPr>
            <w:tcW w:w="863" w:type="pct"/>
          </w:tcPr>
          <w:p w14:paraId="6F323983" w14:textId="77777777" w:rsidR="00F86AA0" w:rsidRPr="006B4B25" w:rsidRDefault="00F86AA0" w:rsidP="00341517">
            <w:pPr>
              <w:snapToGrid w:val="0"/>
              <w:spacing w:after="60" w:line="240" w:lineRule="auto"/>
              <w:jc w:val="left"/>
              <w:rPr>
                <w:rFonts w:ascii="Calibri" w:eastAsia="Times New Roman" w:hAnsi="Calibri" w:cs="Arial"/>
                <w:b/>
                <w:bCs/>
                <w:sz w:val="18"/>
                <w:szCs w:val="18"/>
                <w:u w:val="single"/>
                <w:lang w:val="en-GB" w:eastAsia="en-AU"/>
              </w:rPr>
            </w:pPr>
            <w:r w:rsidRPr="006B4B25">
              <w:rPr>
                <w:rFonts w:ascii="Calibri" w:eastAsia="Times New Roman" w:hAnsi="Calibri" w:cs="Arial"/>
                <w:b/>
                <w:bCs/>
                <w:sz w:val="18"/>
                <w:szCs w:val="18"/>
                <w:u w:val="single"/>
                <w:lang w:val="en-GB" w:eastAsia="en-AU"/>
              </w:rPr>
              <w:t xml:space="preserve">Non-environmental water  </w:t>
            </w:r>
          </w:p>
          <w:p w14:paraId="74D54B07" w14:textId="77777777" w:rsidR="00F86AA0" w:rsidRPr="006B4B25" w:rsidRDefault="00F86AA0" w:rsidP="00341517">
            <w:pPr>
              <w:snapToGrid w:val="0"/>
              <w:spacing w:after="60" w:line="240" w:lineRule="auto"/>
              <w:jc w:val="left"/>
              <w:rPr>
                <w:rFonts w:ascii="Calibri" w:eastAsia="Times New Roman" w:hAnsi="Calibri" w:cs="Arial"/>
                <w:b/>
                <w:bCs/>
                <w:sz w:val="18"/>
                <w:szCs w:val="18"/>
                <w:lang w:val="en-GB" w:eastAsia="en-AU"/>
              </w:rPr>
            </w:pPr>
            <w:r w:rsidRPr="006B4B25">
              <w:rPr>
                <w:rFonts w:ascii="Calibri" w:eastAsia="Times New Roman" w:hAnsi="Calibri" w:cs="Arial"/>
                <w:b/>
                <w:bCs/>
                <w:sz w:val="18"/>
                <w:szCs w:val="18"/>
                <w:lang w:val="en-GB" w:eastAsia="en-AU"/>
              </w:rPr>
              <w:t>IVT</w:t>
            </w:r>
          </w:p>
          <w:p w14:paraId="35AC2FDF" w14:textId="77777777" w:rsidR="00F86AA0" w:rsidRPr="006B4B25" w:rsidRDefault="00F86AA0" w:rsidP="00341517">
            <w:pPr>
              <w:snapToGrid w:val="0"/>
              <w:spacing w:after="60" w:line="240" w:lineRule="auto"/>
              <w:jc w:val="left"/>
              <w:rPr>
                <w:rFonts w:ascii="Calibri" w:eastAsia="Times New Roman" w:hAnsi="Calibri" w:cs="Arial"/>
                <w:b/>
                <w:bCs/>
                <w:sz w:val="18"/>
                <w:szCs w:val="18"/>
                <w:lang w:val="en-GB" w:eastAsia="en-AU"/>
              </w:rPr>
            </w:pPr>
            <w:r w:rsidRPr="006B4B25">
              <w:rPr>
                <w:rFonts w:ascii="Calibri" w:eastAsia="Times New Roman" w:hAnsi="Calibri" w:cs="Arial"/>
                <w:b/>
                <w:bCs/>
                <w:sz w:val="18"/>
                <w:szCs w:val="18"/>
                <w:lang w:val="en-GB" w:eastAsia="en-AU"/>
              </w:rPr>
              <w:t xml:space="preserve">Other (min, passing, </w:t>
            </w:r>
            <w:proofErr w:type="spellStart"/>
            <w:r w:rsidRPr="006B4B25">
              <w:rPr>
                <w:rFonts w:ascii="Calibri" w:eastAsia="Times New Roman" w:hAnsi="Calibri" w:cs="Arial"/>
                <w:b/>
                <w:bCs/>
                <w:sz w:val="18"/>
                <w:szCs w:val="18"/>
                <w:lang w:val="en-GB" w:eastAsia="en-AU"/>
              </w:rPr>
              <w:t>trib</w:t>
            </w:r>
            <w:proofErr w:type="spellEnd"/>
            <w:r w:rsidRPr="006B4B25">
              <w:rPr>
                <w:rFonts w:ascii="Calibri" w:eastAsia="Times New Roman" w:hAnsi="Calibri" w:cs="Arial"/>
                <w:b/>
                <w:bCs/>
                <w:sz w:val="18"/>
                <w:szCs w:val="18"/>
                <w:lang w:val="en-GB" w:eastAsia="en-AU"/>
              </w:rPr>
              <w:t xml:space="preserve"> and natural flows)</w:t>
            </w:r>
          </w:p>
        </w:tc>
        <w:tc>
          <w:tcPr>
            <w:tcW w:w="741" w:type="pct"/>
          </w:tcPr>
          <w:p w14:paraId="29B5603F" w14:textId="77777777" w:rsidR="00F86AA0" w:rsidRPr="006B4B25" w:rsidRDefault="00F86AA0" w:rsidP="00341517">
            <w:pPr>
              <w:snapToGrid w:val="0"/>
              <w:spacing w:after="60" w:line="240" w:lineRule="auto"/>
              <w:jc w:val="left"/>
              <w:rPr>
                <w:rFonts w:ascii="Calibri" w:eastAsia="Times New Roman" w:hAnsi="Calibri" w:cs="Arial"/>
                <w:b/>
                <w:bCs/>
                <w:sz w:val="18"/>
                <w:szCs w:val="18"/>
                <w:lang w:val="en-GB" w:eastAsia="en-AU"/>
              </w:rPr>
            </w:pPr>
            <w:r w:rsidRPr="006B4B25">
              <w:rPr>
                <w:rFonts w:ascii="Calibri" w:eastAsia="Times New Roman" w:hAnsi="Calibri" w:cs="Arial"/>
                <w:b/>
                <w:bCs/>
                <w:sz w:val="18"/>
                <w:szCs w:val="18"/>
                <w:lang w:val="en-GB" w:eastAsia="en-AU"/>
              </w:rPr>
              <w:t>Total river flow (ML)</w:t>
            </w:r>
          </w:p>
        </w:tc>
      </w:tr>
      <w:tr w:rsidR="00F86AA0" w:rsidRPr="006B4B25" w14:paraId="1BDB1F5F" w14:textId="77777777" w:rsidTr="00341517">
        <w:trPr>
          <w:trHeight w:val="1103"/>
        </w:trPr>
        <w:tc>
          <w:tcPr>
            <w:tcW w:w="1009" w:type="pct"/>
          </w:tcPr>
          <w:p w14:paraId="0386CCCC"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01 July to 04 July 2020 Mc </w:t>
            </w:r>
          </w:p>
        </w:tc>
        <w:tc>
          <w:tcPr>
            <w:tcW w:w="1113" w:type="pct"/>
            <w:tcBorders>
              <w:bottom w:val="single" w:sz="4" w:space="0" w:color="000000"/>
            </w:tcBorders>
          </w:tcPr>
          <w:p w14:paraId="656B5991" w14:textId="77777777" w:rsidR="00F86AA0" w:rsidRPr="006B4B25" w:rsidRDefault="00F86AA0" w:rsidP="00341517">
            <w:pPr>
              <w:snapToGrid w:val="0"/>
              <w:spacing w:after="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At least one winter/spring fresh (July-Oct)</w:t>
            </w:r>
          </w:p>
          <w:p w14:paraId="6257F700" w14:textId="77777777" w:rsidR="00F86AA0" w:rsidRPr="006B4B25" w:rsidRDefault="00F86AA0" w:rsidP="00341517">
            <w:pPr>
              <w:snapToGrid w:val="0"/>
              <w:spacing w:after="0" w:line="240" w:lineRule="auto"/>
              <w:jc w:val="left"/>
              <w:rPr>
                <w:rFonts w:ascii="Calibri" w:eastAsia="Times New Roman" w:hAnsi="Calibri" w:cs="Calibri"/>
                <w:sz w:val="18"/>
                <w:szCs w:val="18"/>
                <w:lang w:eastAsia="en-AU"/>
              </w:rPr>
            </w:pPr>
            <w:r w:rsidRPr="006B4B25">
              <w:rPr>
                <w:rFonts w:ascii="Calibri" w:eastAsia="Times New Roman" w:hAnsi="Calibri" w:cs="Arial"/>
                <w:sz w:val="18"/>
                <w:szCs w:val="18"/>
                <w:lang w:eastAsia="en-AU"/>
              </w:rPr>
              <w:t>&gt;6 600 ML/day for 14 days</w:t>
            </w:r>
          </w:p>
        </w:tc>
        <w:tc>
          <w:tcPr>
            <w:tcW w:w="566" w:type="pct"/>
          </w:tcPr>
          <w:p w14:paraId="63ABA758"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w:t>
            </w:r>
          </w:p>
        </w:tc>
        <w:tc>
          <w:tcPr>
            <w:tcW w:w="708" w:type="pct"/>
          </w:tcPr>
          <w:p w14:paraId="4B3FCDD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w:t>
            </w:r>
          </w:p>
        </w:tc>
        <w:tc>
          <w:tcPr>
            <w:tcW w:w="863" w:type="pct"/>
          </w:tcPr>
          <w:p w14:paraId="69C84FAD" w14:textId="77777777" w:rsidR="00F86AA0" w:rsidRPr="006B4B25" w:rsidRDefault="00F86AA0" w:rsidP="00341517">
            <w:pPr>
              <w:snapToGrid w:val="0"/>
              <w:spacing w:after="60" w:line="240" w:lineRule="auto"/>
              <w:jc w:val="left"/>
              <w:rPr>
                <w:rFonts w:ascii="Calibri" w:eastAsia="Times New Roman" w:hAnsi="Calibri" w:cs="Arial"/>
                <w:sz w:val="18"/>
                <w:szCs w:val="18"/>
                <w:highlight w:val="yellow"/>
                <w:lang w:val="en-GB" w:eastAsia="en-AU"/>
              </w:rPr>
            </w:pPr>
            <w:r w:rsidRPr="006B4B25">
              <w:rPr>
                <w:rFonts w:ascii="Calibri" w:eastAsia="Times New Roman" w:hAnsi="Calibri" w:cs="Arial"/>
                <w:sz w:val="18"/>
                <w:szCs w:val="18"/>
                <w:lang w:val="en-GB" w:eastAsia="en-AU"/>
              </w:rPr>
              <w:t>22,337 Mc</w:t>
            </w:r>
          </w:p>
        </w:tc>
        <w:tc>
          <w:tcPr>
            <w:tcW w:w="741" w:type="pct"/>
          </w:tcPr>
          <w:p w14:paraId="44A57DE2" w14:textId="77777777" w:rsidR="00F86AA0" w:rsidRPr="006B4B25" w:rsidRDefault="00F86AA0" w:rsidP="00341517">
            <w:pPr>
              <w:snapToGrid w:val="0"/>
              <w:spacing w:after="60" w:line="240" w:lineRule="auto"/>
              <w:jc w:val="left"/>
              <w:rPr>
                <w:rFonts w:ascii="Calibri" w:eastAsia="Times New Roman" w:hAnsi="Calibri" w:cs="Arial"/>
                <w:sz w:val="18"/>
                <w:szCs w:val="18"/>
                <w:highlight w:val="yellow"/>
                <w:lang w:val="en-GB" w:eastAsia="en-AU"/>
              </w:rPr>
            </w:pPr>
            <w:r w:rsidRPr="006B4B25">
              <w:rPr>
                <w:rFonts w:ascii="Calibri" w:eastAsia="Times New Roman" w:hAnsi="Calibri" w:cs="Arial"/>
                <w:sz w:val="18"/>
                <w:szCs w:val="18"/>
                <w:lang w:val="en-GB" w:eastAsia="en-AU"/>
              </w:rPr>
              <w:t>22,337 Mc</w:t>
            </w:r>
          </w:p>
        </w:tc>
      </w:tr>
      <w:tr w:rsidR="00F86AA0" w:rsidRPr="006B4B25" w14:paraId="37BED20A" w14:textId="77777777" w:rsidTr="00341517">
        <w:trPr>
          <w:trHeight w:val="1531"/>
        </w:trPr>
        <w:tc>
          <w:tcPr>
            <w:tcW w:w="1009" w:type="pct"/>
          </w:tcPr>
          <w:p w14:paraId="404F31F0"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01 July to 07 Sept 2020 M (69 days)</w:t>
            </w:r>
          </w:p>
          <w:p w14:paraId="393BA765"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05 July to 11 Sept 2020 (69 days) Mc</w:t>
            </w:r>
          </w:p>
        </w:tc>
        <w:tc>
          <w:tcPr>
            <w:tcW w:w="1113" w:type="pct"/>
          </w:tcPr>
          <w:p w14:paraId="4091940D" w14:textId="77777777" w:rsidR="00F86AA0" w:rsidRPr="006B4B25" w:rsidRDefault="00F86AA0" w:rsidP="00341517">
            <w:pPr>
              <w:snapToGrid w:val="0"/>
              <w:spacing w:after="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At least one winter/spring fresh (July-Oct)</w:t>
            </w:r>
          </w:p>
          <w:p w14:paraId="2BE97FB4" w14:textId="77777777" w:rsidR="00F86AA0" w:rsidRPr="006B4B25" w:rsidRDefault="00F86AA0" w:rsidP="00341517">
            <w:pPr>
              <w:snapToGrid w:val="0"/>
              <w:spacing w:after="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&gt;6 600 ML/day for 14 days</w:t>
            </w:r>
          </w:p>
          <w:p w14:paraId="37D4F31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p w14:paraId="7F7E4C89" w14:textId="77777777" w:rsidR="00F86AA0" w:rsidRPr="006B4B25" w:rsidRDefault="00F86AA0" w:rsidP="00341517">
            <w:pPr>
              <w:snapToGrid w:val="0"/>
              <w:spacing w:after="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 xml:space="preserve">Deliver using tributary flows where possible, rather than releases from Eildon. </w:t>
            </w:r>
          </w:p>
          <w:p w14:paraId="2B4B10CB"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p w14:paraId="79CFFA4F"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eastAsia="en-AU"/>
              </w:rPr>
              <w:t xml:space="preserve">If there is no natural </w:t>
            </w:r>
            <w:proofErr w:type="gramStart"/>
            <w:r w:rsidRPr="006B4B25">
              <w:rPr>
                <w:rFonts w:ascii="Calibri" w:eastAsia="Times New Roman" w:hAnsi="Calibri" w:cs="Arial"/>
                <w:sz w:val="18"/>
                <w:szCs w:val="18"/>
                <w:lang w:eastAsia="en-AU"/>
              </w:rPr>
              <w:t>event</w:t>
            </w:r>
            <w:proofErr w:type="gramEnd"/>
            <w:r w:rsidRPr="006B4B25">
              <w:rPr>
                <w:rFonts w:ascii="Calibri" w:eastAsia="Times New Roman" w:hAnsi="Calibri" w:cs="Arial"/>
                <w:sz w:val="18"/>
                <w:szCs w:val="18"/>
                <w:lang w:eastAsia="en-AU"/>
              </w:rPr>
              <w:t xml:space="preserve"> then deliver as a managed event in Sept/Oct 2020</w:t>
            </w:r>
          </w:p>
        </w:tc>
        <w:tc>
          <w:tcPr>
            <w:tcW w:w="566" w:type="pct"/>
          </w:tcPr>
          <w:p w14:paraId="3AC29C3D"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CEW</w:t>
            </w:r>
          </w:p>
          <w:p w14:paraId="56F0AD98"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w:t>
            </w:r>
          </w:p>
          <w:p w14:paraId="6A408D76"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tc>
        <w:tc>
          <w:tcPr>
            <w:tcW w:w="708" w:type="pct"/>
          </w:tcPr>
          <w:p w14:paraId="497FE1A0"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VEWH</w:t>
            </w:r>
          </w:p>
          <w:p w14:paraId="49FF975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w:t>
            </w:r>
          </w:p>
          <w:p w14:paraId="6D5D7A68"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p w14:paraId="362DE28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TLM </w:t>
            </w:r>
          </w:p>
          <w:p w14:paraId="1957A9D0"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w:t>
            </w:r>
          </w:p>
          <w:p w14:paraId="531A4B7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p w14:paraId="32CD9881"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p w14:paraId="14604DE7"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c>
          <w:tcPr>
            <w:tcW w:w="863" w:type="pct"/>
          </w:tcPr>
          <w:p w14:paraId="4D9963DE"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IVT</w:t>
            </w:r>
          </w:p>
          <w:p w14:paraId="10992A6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0 M </w:t>
            </w:r>
          </w:p>
          <w:p w14:paraId="5EFC2A00"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p w14:paraId="0AE41C8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Other </w:t>
            </w:r>
          </w:p>
          <w:p w14:paraId="6C26B79C"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284,306 M</w:t>
            </w:r>
          </w:p>
          <w:p w14:paraId="245EDCB3"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333,782 Mc</w:t>
            </w:r>
          </w:p>
        </w:tc>
        <w:tc>
          <w:tcPr>
            <w:tcW w:w="741" w:type="pct"/>
          </w:tcPr>
          <w:p w14:paraId="664590C6"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Total</w:t>
            </w:r>
          </w:p>
          <w:p w14:paraId="15CFDC4A"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284,306 M</w:t>
            </w:r>
          </w:p>
          <w:p w14:paraId="6242CCFC"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333,782 Mc</w:t>
            </w:r>
          </w:p>
        </w:tc>
      </w:tr>
      <w:tr w:rsidR="00F86AA0" w:rsidRPr="006B4B25" w14:paraId="102AF9A4" w14:textId="77777777" w:rsidTr="00341517">
        <w:trPr>
          <w:trHeight w:val="1612"/>
        </w:trPr>
        <w:tc>
          <w:tcPr>
            <w:tcW w:w="1009" w:type="pct"/>
          </w:tcPr>
          <w:p w14:paraId="2E8C9217"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08 Sept to 24 Sept 2020 M (17 days)</w:t>
            </w:r>
          </w:p>
          <w:p w14:paraId="61CD48A1"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12 Sept to 28 Sept 2020 </w:t>
            </w:r>
          </w:p>
          <w:p w14:paraId="1B68453F"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M (17 days)</w:t>
            </w:r>
          </w:p>
        </w:tc>
        <w:tc>
          <w:tcPr>
            <w:tcW w:w="1113" w:type="pct"/>
            <w:tcBorders>
              <w:bottom w:val="single" w:sz="4" w:space="0" w:color="auto"/>
            </w:tcBorders>
          </w:tcPr>
          <w:p w14:paraId="0A3545ED" w14:textId="77777777" w:rsidR="00F86AA0" w:rsidRPr="006B4B25" w:rsidRDefault="00F86AA0" w:rsidP="00341517">
            <w:pPr>
              <w:snapToGrid w:val="0"/>
              <w:spacing w:after="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Following natural flows (all year)</w:t>
            </w:r>
          </w:p>
          <w:p w14:paraId="38C845E0" w14:textId="77777777" w:rsidR="00F86AA0" w:rsidRPr="006B4B25" w:rsidRDefault="00F86AA0" w:rsidP="00341517">
            <w:pPr>
              <w:snapToGrid w:val="0"/>
              <w:spacing w:after="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 xml:space="preserve">Provide water for a slower recession or add pulses following natural cues/unregulated flows. </w:t>
            </w:r>
          </w:p>
        </w:tc>
        <w:tc>
          <w:tcPr>
            <w:tcW w:w="566" w:type="pct"/>
          </w:tcPr>
          <w:p w14:paraId="762D85BA"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CEW</w:t>
            </w:r>
          </w:p>
          <w:p w14:paraId="4B702B3A"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27,714 M</w:t>
            </w:r>
          </w:p>
          <w:p w14:paraId="29373740"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28,554 Mc</w:t>
            </w:r>
          </w:p>
        </w:tc>
        <w:tc>
          <w:tcPr>
            <w:tcW w:w="708" w:type="pct"/>
          </w:tcPr>
          <w:p w14:paraId="464F4A4C"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VEWH</w:t>
            </w:r>
          </w:p>
          <w:p w14:paraId="6AE21A5A"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w:t>
            </w:r>
          </w:p>
          <w:p w14:paraId="7F19D93D"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p w14:paraId="1DB004C1"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TLM </w:t>
            </w:r>
          </w:p>
          <w:p w14:paraId="04B322E1"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5,637 M</w:t>
            </w:r>
          </w:p>
          <w:p w14:paraId="674DBF2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5,712 Mc</w:t>
            </w:r>
          </w:p>
        </w:tc>
        <w:tc>
          <w:tcPr>
            <w:tcW w:w="863" w:type="pct"/>
          </w:tcPr>
          <w:p w14:paraId="2CAACB21"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IVT</w:t>
            </w:r>
          </w:p>
          <w:p w14:paraId="2F3F7EEA"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0 M </w:t>
            </w:r>
          </w:p>
          <w:p w14:paraId="31F4AD40"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p w14:paraId="12A74CB7"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Other </w:t>
            </w:r>
          </w:p>
          <w:p w14:paraId="3736C180"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6,658 M</w:t>
            </w:r>
          </w:p>
          <w:p w14:paraId="4AAA2E1B"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9,863Mc</w:t>
            </w:r>
          </w:p>
        </w:tc>
        <w:tc>
          <w:tcPr>
            <w:tcW w:w="741" w:type="pct"/>
          </w:tcPr>
          <w:p w14:paraId="7DB79D2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Total</w:t>
            </w:r>
          </w:p>
          <w:p w14:paraId="08147E6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40,009 M</w:t>
            </w:r>
          </w:p>
          <w:p w14:paraId="1541962D"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44,129 Mc</w:t>
            </w:r>
          </w:p>
        </w:tc>
      </w:tr>
      <w:tr w:rsidR="00F86AA0" w:rsidRPr="006B4B25" w14:paraId="5D537438" w14:textId="77777777" w:rsidTr="00341517">
        <w:trPr>
          <w:trHeight w:val="1966"/>
        </w:trPr>
        <w:tc>
          <w:tcPr>
            <w:tcW w:w="1009" w:type="pct"/>
          </w:tcPr>
          <w:p w14:paraId="5BB7D262"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25 Sept to 30 Oct 2020 M (36 days)</w:t>
            </w:r>
          </w:p>
          <w:p w14:paraId="360ED038"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29 Sept to 03 Nov 2020 Mc (36 days)</w:t>
            </w:r>
          </w:p>
          <w:p w14:paraId="7156CD48"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p>
        </w:tc>
        <w:tc>
          <w:tcPr>
            <w:tcW w:w="1113" w:type="pct"/>
            <w:tcBorders>
              <w:bottom w:val="single" w:sz="4" w:space="0" w:color="auto"/>
            </w:tcBorders>
          </w:tcPr>
          <w:p w14:paraId="2A0E344D" w14:textId="77777777" w:rsidR="00F86AA0" w:rsidRPr="006B4B25" w:rsidRDefault="00F86AA0" w:rsidP="00341517">
            <w:pPr>
              <w:snapToGrid w:val="0"/>
              <w:spacing w:after="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At least one winter/spring fresh (July-Oct)</w:t>
            </w:r>
          </w:p>
          <w:p w14:paraId="7DF92C3C" w14:textId="77777777" w:rsidR="00F86AA0" w:rsidRPr="006B4B25" w:rsidRDefault="00F86AA0" w:rsidP="00341517">
            <w:pPr>
              <w:snapToGrid w:val="0"/>
              <w:spacing w:after="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&gt;6 600 ML/day for 14 days</w:t>
            </w:r>
          </w:p>
          <w:p w14:paraId="5B22F7D3"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p w14:paraId="678A4792" w14:textId="77777777" w:rsidR="00F86AA0" w:rsidRPr="006B4B25" w:rsidRDefault="00F86AA0" w:rsidP="00341517">
            <w:pPr>
              <w:snapToGrid w:val="0"/>
              <w:spacing w:after="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 xml:space="preserve">Deliver using tributary flows where possible, rather than releases from Eildon. </w:t>
            </w:r>
          </w:p>
          <w:p w14:paraId="3EE897C9"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p w14:paraId="7C13DB7F" w14:textId="77777777" w:rsidR="00F86AA0" w:rsidRPr="006B4B25" w:rsidRDefault="00F86AA0" w:rsidP="00341517">
            <w:pPr>
              <w:snapToGrid w:val="0"/>
              <w:spacing w:after="0" w:line="240" w:lineRule="auto"/>
              <w:jc w:val="left"/>
              <w:rPr>
                <w:rFonts w:ascii="Century Gothic" w:eastAsia="Times New Roman" w:hAnsi="Century Gothic" w:cs="Arial"/>
                <w:sz w:val="18"/>
                <w:szCs w:val="18"/>
                <w:lang w:val="en-GB" w:eastAsia="en-AU"/>
              </w:rPr>
            </w:pPr>
            <w:r w:rsidRPr="006B4B25">
              <w:rPr>
                <w:rFonts w:ascii="Calibri" w:eastAsia="Times New Roman" w:hAnsi="Calibri" w:cs="Arial"/>
                <w:sz w:val="18"/>
                <w:szCs w:val="18"/>
                <w:lang w:eastAsia="en-AU"/>
              </w:rPr>
              <w:t xml:space="preserve">If there is no natural </w:t>
            </w:r>
            <w:proofErr w:type="gramStart"/>
            <w:r w:rsidRPr="006B4B25">
              <w:rPr>
                <w:rFonts w:ascii="Calibri" w:eastAsia="Times New Roman" w:hAnsi="Calibri" w:cs="Arial"/>
                <w:sz w:val="18"/>
                <w:szCs w:val="18"/>
                <w:lang w:eastAsia="en-AU"/>
              </w:rPr>
              <w:t>event</w:t>
            </w:r>
            <w:proofErr w:type="gramEnd"/>
            <w:r w:rsidRPr="006B4B25">
              <w:rPr>
                <w:rFonts w:ascii="Calibri" w:eastAsia="Times New Roman" w:hAnsi="Calibri" w:cs="Arial"/>
                <w:sz w:val="18"/>
                <w:szCs w:val="18"/>
                <w:lang w:eastAsia="en-AU"/>
              </w:rPr>
              <w:t xml:space="preserve"> then deliver as a managed event in Sept/Oct 2020.</w:t>
            </w:r>
          </w:p>
        </w:tc>
        <w:tc>
          <w:tcPr>
            <w:tcW w:w="566" w:type="pct"/>
          </w:tcPr>
          <w:p w14:paraId="20D8A368"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CEW</w:t>
            </w:r>
          </w:p>
          <w:p w14:paraId="3201817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75,473 M</w:t>
            </w:r>
          </w:p>
          <w:p w14:paraId="7ED03393"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76,306 Mc</w:t>
            </w:r>
          </w:p>
          <w:p w14:paraId="145798F3"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c>
          <w:tcPr>
            <w:tcW w:w="708" w:type="pct"/>
          </w:tcPr>
          <w:p w14:paraId="7F93503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VEWH</w:t>
            </w:r>
          </w:p>
          <w:p w14:paraId="5178E85B"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6,991 M</w:t>
            </w:r>
          </w:p>
          <w:p w14:paraId="2676C280"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9,518 Mc</w:t>
            </w:r>
          </w:p>
          <w:p w14:paraId="3510815E"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TLM</w:t>
            </w:r>
          </w:p>
          <w:p w14:paraId="553FB6F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12,205 M</w:t>
            </w:r>
          </w:p>
          <w:p w14:paraId="085ABD9C"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13,300 Mc</w:t>
            </w:r>
          </w:p>
          <w:p w14:paraId="1C28ACAA"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c>
          <w:tcPr>
            <w:tcW w:w="863" w:type="pct"/>
          </w:tcPr>
          <w:p w14:paraId="5F74C8ED"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IVT</w:t>
            </w:r>
          </w:p>
          <w:p w14:paraId="1E4D1DC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0 M </w:t>
            </w:r>
          </w:p>
          <w:p w14:paraId="0F7BB0BD"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p w14:paraId="1737EF8C"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Other</w:t>
            </w:r>
          </w:p>
          <w:p w14:paraId="57ED79C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33,500 M</w:t>
            </w:r>
          </w:p>
          <w:p w14:paraId="4C653EFA"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63,711 Mc</w:t>
            </w:r>
          </w:p>
        </w:tc>
        <w:tc>
          <w:tcPr>
            <w:tcW w:w="741" w:type="pct"/>
          </w:tcPr>
          <w:p w14:paraId="632DD070"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Total</w:t>
            </w:r>
          </w:p>
          <w:p w14:paraId="6FA24DCC"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128,169 M</w:t>
            </w:r>
          </w:p>
          <w:p w14:paraId="408F87A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162,835 Mc</w:t>
            </w:r>
          </w:p>
        </w:tc>
      </w:tr>
      <w:tr w:rsidR="00F86AA0" w:rsidRPr="006B4B25" w14:paraId="5312A225" w14:textId="77777777" w:rsidTr="00341517">
        <w:trPr>
          <w:trHeight w:val="1825"/>
        </w:trPr>
        <w:tc>
          <w:tcPr>
            <w:tcW w:w="1009" w:type="pct"/>
          </w:tcPr>
          <w:p w14:paraId="659E79C9"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lastRenderedPageBreak/>
              <w:t>31 Oct 2020 to 11 Nov 2020 M (12 days)</w:t>
            </w:r>
          </w:p>
          <w:p w14:paraId="0BB2EE03"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04 Nov to 15 Nov 2020 Mc (12 days)</w:t>
            </w:r>
          </w:p>
        </w:tc>
        <w:tc>
          <w:tcPr>
            <w:tcW w:w="1113" w:type="pct"/>
            <w:tcBorders>
              <w:top w:val="single" w:sz="4" w:space="0" w:color="auto"/>
            </w:tcBorders>
          </w:tcPr>
          <w:p w14:paraId="6A61A255" w14:textId="77777777" w:rsidR="00F86AA0" w:rsidRPr="006B4B25" w:rsidRDefault="00F86AA0" w:rsidP="00341517">
            <w:pPr>
              <w:snapToGrid w:val="0"/>
              <w:spacing w:after="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Spring/summer low flow (after a spring fresh)</w:t>
            </w:r>
          </w:p>
          <w:p w14:paraId="3E9D8E6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eastAsia="en-AU"/>
              </w:rPr>
              <w:t xml:space="preserve">&lt;1 000 ML/day for 5–6 weeks. </w:t>
            </w:r>
          </w:p>
        </w:tc>
        <w:tc>
          <w:tcPr>
            <w:tcW w:w="566" w:type="pct"/>
          </w:tcPr>
          <w:p w14:paraId="3D6C614E"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CEW</w:t>
            </w:r>
          </w:p>
          <w:p w14:paraId="01DDB20D"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6,428 M</w:t>
            </w:r>
          </w:p>
          <w:p w14:paraId="31043F7E"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6,495 Mc</w:t>
            </w:r>
          </w:p>
          <w:p w14:paraId="0B04830B"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c>
          <w:tcPr>
            <w:tcW w:w="708" w:type="pct"/>
          </w:tcPr>
          <w:p w14:paraId="4724054D"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VEWH</w:t>
            </w:r>
          </w:p>
          <w:p w14:paraId="4BEC3FAD"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w:t>
            </w:r>
          </w:p>
          <w:p w14:paraId="4153AE7B"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p w14:paraId="42598E5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TLM</w:t>
            </w:r>
          </w:p>
          <w:p w14:paraId="00B63111"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714 M</w:t>
            </w:r>
          </w:p>
          <w:p w14:paraId="68851903"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722 Mc</w:t>
            </w:r>
          </w:p>
        </w:tc>
        <w:tc>
          <w:tcPr>
            <w:tcW w:w="863" w:type="pct"/>
          </w:tcPr>
          <w:p w14:paraId="551D7F00"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IVT</w:t>
            </w:r>
          </w:p>
          <w:p w14:paraId="679E126B"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0 M </w:t>
            </w:r>
          </w:p>
          <w:p w14:paraId="36357088"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p w14:paraId="3B2AED32"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Other </w:t>
            </w:r>
          </w:p>
          <w:p w14:paraId="78DA5E31"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3,433 M</w:t>
            </w:r>
          </w:p>
          <w:p w14:paraId="6C5C857E"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7,482 Mc</w:t>
            </w:r>
          </w:p>
        </w:tc>
        <w:tc>
          <w:tcPr>
            <w:tcW w:w="741" w:type="pct"/>
          </w:tcPr>
          <w:p w14:paraId="347A312E"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Total</w:t>
            </w:r>
          </w:p>
          <w:p w14:paraId="4EBD75AC"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10,575 M</w:t>
            </w:r>
          </w:p>
          <w:p w14:paraId="555817A8"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14,699 Mc</w:t>
            </w:r>
          </w:p>
          <w:p w14:paraId="2F906F82"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r>
      <w:tr w:rsidR="00F86AA0" w:rsidRPr="006B4B25" w14:paraId="36901D56" w14:textId="77777777" w:rsidTr="00341517">
        <w:trPr>
          <w:trHeight w:val="1978"/>
        </w:trPr>
        <w:tc>
          <w:tcPr>
            <w:tcW w:w="1009" w:type="pct"/>
          </w:tcPr>
          <w:p w14:paraId="0CE35011"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12 Nov to 28 Nov 2020 M (17 days)</w:t>
            </w:r>
          </w:p>
          <w:p w14:paraId="078361DD"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16 Nov to 02 Dec 2021 Mc (17 days)</w:t>
            </w:r>
          </w:p>
        </w:tc>
        <w:tc>
          <w:tcPr>
            <w:tcW w:w="1113" w:type="pct"/>
            <w:tcBorders>
              <w:top w:val="single" w:sz="4" w:space="0" w:color="auto"/>
            </w:tcBorders>
          </w:tcPr>
          <w:p w14:paraId="564E0BEA" w14:textId="77777777" w:rsidR="00F86AA0" w:rsidRPr="006B4B25" w:rsidRDefault="00F86AA0" w:rsidP="00341517">
            <w:pPr>
              <w:snapToGrid w:val="0"/>
              <w:spacing w:after="6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Spring/summer fresh (Nov/Dec)</w:t>
            </w:r>
          </w:p>
          <w:p w14:paraId="0B2BE56E" w14:textId="77777777" w:rsidR="00F86AA0" w:rsidRPr="006B4B25" w:rsidRDefault="00F86AA0" w:rsidP="00341517">
            <w:pPr>
              <w:snapToGrid w:val="0"/>
              <w:spacing w:after="6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 xml:space="preserve">When possible, &gt;6 600 for 1 day This will not be delivered if the spring/summer 5-6 weeks low flow for vegetation has not been achieved. </w:t>
            </w:r>
          </w:p>
        </w:tc>
        <w:tc>
          <w:tcPr>
            <w:tcW w:w="566" w:type="pct"/>
          </w:tcPr>
          <w:p w14:paraId="2E0D6323"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CEW</w:t>
            </w:r>
          </w:p>
          <w:p w14:paraId="52A0F5B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6,904 M</w:t>
            </w:r>
          </w:p>
          <w:p w14:paraId="03FED8E1"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7,556 Mc</w:t>
            </w:r>
          </w:p>
          <w:p w14:paraId="62D2E516"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c>
          <w:tcPr>
            <w:tcW w:w="708" w:type="pct"/>
          </w:tcPr>
          <w:p w14:paraId="4FAB636B"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VEWH</w:t>
            </w:r>
          </w:p>
          <w:p w14:paraId="7D11E552"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11,690 M</w:t>
            </w:r>
          </w:p>
          <w:p w14:paraId="329778BF"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12,925 Mc</w:t>
            </w:r>
          </w:p>
          <w:p w14:paraId="77FFF7E6"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TLM</w:t>
            </w:r>
          </w:p>
          <w:p w14:paraId="31D61B7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767 M</w:t>
            </w:r>
          </w:p>
          <w:p w14:paraId="7DE8165E"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840 Mc</w:t>
            </w:r>
          </w:p>
          <w:p w14:paraId="4BAEFD33"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c>
          <w:tcPr>
            <w:tcW w:w="863" w:type="pct"/>
          </w:tcPr>
          <w:p w14:paraId="13345A7B"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IVT</w:t>
            </w:r>
          </w:p>
          <w:p w14:paraId="5A7FE910"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25,626 M </w:t>
            </w:r>
          </w:p>
          <w:p w14:paraId="781CF67B"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25,952 Mc</w:t>
            </w:r>
          </w:p>
          <w:p w14:paraId="0A28CD90"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Other </w:t>
            </w:r>
          </w:p>
          <w:p w14:paraId="5A62D0F9"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12,276 M</w:t>
            </w:r>
          </w:p>
          <w:p w14:paraId="1BF7BB1F"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6,222 Mc</w:t>
            </w:r>
          </w:p>
        </w:tc>
        <w:tc>
          <w:tcPr>
            <w:tcW w:w="741" w:type="pct"/>
          </w:tcPr>
          <w:p w14:paraId="09D265DD"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Total</w:t>
            </w:r>
          </w:p>
          <w:p w14:paraId="679A7B57"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57,263 M</w:t>
            </w:r>
          </w:p>
          <w:p w14:paraId="2C7AB151"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53,495 Mc</w:t>
            </w:r>
          </w:p>
          <w:p w14:paraId="79F13BCD"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r>
      <w:tr w:rsidR="00F86AA0" w:rsidRPr="006B4B25" w14:paraId="6CB1B1A5" w14:textId="77777777" w:rsidTr="00341517">
        <w:trPr>
          <w:trHeight w:val="1632"/>
        </w:trPr>
        <w:tc>
          <w:tcPr>
            <w:tcW w:w="1009" w:type="pct"/>
          </w:tcPr>
          <w:p w14:paraId="51C23B71"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29 Nov 2020 to 25 March 2021 M (117 days)</w:t>
            </w:r>
          </w:p>
          <w:p w14:paraId="236F37AB"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03 Dec 2020 to29 March 2021 Mc (117 days)</w:t>
            </w:r>
          </w:p>
        </w:tc>
        <w:tc>
          <w:tcPr>
            <w:tcW w:w="1113" w:type="pct"/>
            <w:tcBorders>
              <w:top w:val="single" w:sz="4" w:space="0" w:color="auto"/>
            </w:tcBorders>
          </w:tcPr>
          <w:p w14:paraId="7CB757E2" w14:textId="77777777" w:rsidR="00F86AA0" w:rsidRPr="006B4B25" w:rsidRDefault="00F86AA0" w:rsidP="00341517">
            <w:pPr>
              <w:snapToGrid w:val="0"/>
              <w:spacing w:after="60" w:line="240" w:lineRule="auto"/>
              <w:jc w:val="left"/>
              <w:rPr>
                <w:rFonts w:ascii="Calibri" w:eastAsia="Times New Roman" w:hAnsi="Calibri" w:cs="Arial"/>
                <w:sz w:val="18"/>
                <w:szCs w:val="18"/>
                <w:lang w:eastAsia="en-AU"/>
              </w:rPr>
            </w:pPr>
            <w:bookmarkStart w:id="734" w:name="_Hlk87783192"/>
            <w:r w:rsidRPr="006B4B25">
              <w:rPr>
                <w:rFonts w:ascii="Calibri" w:eastAsia="Times New Roman" w:hAnsi="Calibri" w:cs="Arial"/>
                <w:sz w:val="18"/>
                <w:szCs w:val="18"/>
                <w:lang w:eastAsia="en-AU"/>
              </w:rPr>
              <w:t xml:space="preserve">Summer/autumn low flows between pulses. Flows are not to exceed 1 000 ML/day for more than 20 consecutive days, with a minimum of 7 days between pulses. </w:t>
            </w:r>
            <w:bookmarkEnd w:id="734"/>
          </w:p>
        </w:tc>
        <w:tc>
          <w:tcPr>
            <w:tcW w:w="566" w:type="pct"/>
          </w:tcPr>
          <w:p w14:paraId="20B38538"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CEW</w:t>
            </w:r>
          </w:p>
          <w:p w14:paraId="220A8299"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w:t>
            </w:r>
          </w:p>
          <w:p w14:paraId="0840E57A"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p w14:paraId="3CB02E2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c>
          <w:tcPr>
            <w:tcW w:w="708" w:type="pct"/>
          </w:tcPr>
          <w:p w14:paraId="4DE71D7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VEWH</w:t>
            </w:r>
          </w:p>
          <w:p w14:paraId="3661C71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w:t>
            </w:r>
          </w:p>
          <w:p w14:paraId="601F1F3C"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p w14:paraId="24FE19E3"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TLM</w:t>
            </w:r>
          </w:p>
          <w:p w14:paraId="4333F22E"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w:t>
            </w:r>
          </w:p>
          <w:p w14:paraId="3ADEAAF3"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p w14:paraId="0B50F6C2"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c>
          <w:tcPr>
            <w:tcW w:w="863" w:type="pct"/>
          </w:tcPr>
          <w:p w14:paraId="3C17391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IVT</w:t>
            </w:r>
          </w:p>
          <w:p w14:paraId="61F5B4D7"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110,703 M </w:t>
            </w:r>
          </w:p>
          <w:p w14:paraId="2A27909F"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110,703 Mc</w:t>
            </w:r>
          </w:p>
          <w:p w14:paraId="4AE3E88C"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Other </w:t>
            </w:r>
          </w:p>
          <w:p w14:paraId="245D12F6"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42,315 M</w:t>
            </w:r>
          </w:p>
          <w:p w14:paraId="21AD218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42,630 Mc</w:t>
            </w:r>
          </w:p>
        </w:tc>
        <w:tc>
          <w:tcPr>
            <w:tcW w:w="741" w:type="pct"/>
          </w:tcPr>
          <w:p w14:paraId="09EB76A2"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Total</w:t>
            </w:r>
          </w:p>
          <w:p w14:paraId="2932E8BD"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153,018 M</w:t>
            </w:r>
          </w:p>
          <w:p w14:paraId="211763DE"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153,333 Mc</w:t>
            </w:r>
          </w:p>
          <w:p w14:paraId="195F00E3"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r>
      <w:tr w:rsidR="00F86AA0" w:rsidRPr="006B4B25" w14:paraId="5FB8D2D6" w14:textId="77777777" w:rsidTr="00341517">
        <w:trPr>
          <w:trHeight w:val="1978"/>
        </w:trPr>
        <w:tc>
          <w:tcPr>
            <w:tcW w:w="1009" w:type="pct"/>
          </w:tcPr>
          <w:p w14:paraId="77F8F515"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26 March to 09 May 2021 M (45 days)</w:t>
            </w:r>
          </w:p>
          <w:p w14:paraId="24DF276F"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30 March to13 May 2021 Mc (45 days)</w:t>
            </w:r>
          </w:p>
        </w:tc>
        <w:tc>
          <w:tcPr>
            <w:tcW w:w="1113" w:type="pct"/>
            <w:tcBorders>
              <w:top w:val="single" w:sz="4" w:space="0" w:color="auto"/>
            </w:tcBorders>
          </w:tcPr>
          <w:p w14:paraId="1FF88A18" w14:textId="77777777" w:rsidR="00F86AA0" w:rsidRPr="006B4B25" w:rsidRDefault="00F86AA0" w:rsidP="00341517">
            <w:pPr>
              <w:snapToGrid w:val="0"/>
              <w:spacing w:after="6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Autumn fresh (March/April)</w:t>
            </w:r>
          </w:p>
          <w:p w14:paraId="1CD67A1C" w14:textId="77777777" w:rsidR="00F86AA0" w:rsidRPr="006B4B25" w:rsidRDefault="00F86AA0" w:rsidP="00341517">
            <w:pPr>
              <w:snapToGrid w:val="0"/>
              <w:spacing w:after="6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When possible &gt;5 600 ML/day for 2 days Note that delivery of the summer/autumn low flows between pulses is a trigger for this action.</w:t>
            </w:r>
          </w:p>
        </w:tc>
        <w:tc>
          <w:tcPr>
            <w:tcW w:w="566" w:type="pct"/>
          </w:tcPr>
          <w:p w14:paraId="6B17514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CEW</w:t>
            </w:r>
          </w:p>
          <w:p w14:paraId="7895C0BE"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9,481 M</w:t>
            </w:r>
          </w:p>
          <w:p w14:paraId="241042D2"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10,830 Mc</w:t>
            </w:r>
          </w:p>
          <w:p w14:paraId="1EE0274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c>
          <w:tcPr>
            <w:tcW w:w="708" w:type="pct"/>
          </w:tcPr>
          <w:p w14:paraId="184F1F4B"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VEWH</w:t>
            </w:r>
          </w:p>
          <w:p w14:paraId="2E702D9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w:t>
            </w:r>
          </w:p>
          <w:p w14:paraId="20915C7C"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p w14:paraId="0395D319"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TLM</w:t>
            </w:r>
          </w:p>
          <w:p w14:paraId="25D01597"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5,815 M</w:t>
            </w:r>
          </w:p>
          <w:p w14:paraId="3AD8FB7A"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7,583 Mc</w:t>
            </w:r>
          </w:p>
          <w:p w14:paraId="313444F2"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c>
          <w:tcPr>
            <w:tcW w:w="863" w:type="pct"/>
          </w:tcPr>
          <w:p w14:paraId="3D45D8A6"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IVT</w:t>
            </w:r>
          </w:p>
          <w:p w14:paraId="3B951EE3"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71,874 M </w:t>
            </w:r>
          </w:p>
          <w:p w14:paraId="62CEC859"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72,721 Mc</w:t>
            </w:r>
          </w:p>
          <w:p w14:paraId="31E8EF06"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Other </w:t>
            </w:r>
          </w:p>
          <w:p w14:paraId="50269A36"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24,921 M</w:t>
            </w:r>
          </w:p>
          <w:p w14:paraId="73F6EC12"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15,605 Mc</w:t>
            </w:r>
          </w:p>
        </w:tc>
        <w:tc>
          <w:tcPr>
            <w:tcW w:w="741" w:type="pct"/>
          </w:tcPr>
          <w:p w14:paraId="62CB624D"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Total</w:t>
            </w:r>
          </w:p>
          <w:p w14:paraId="2F87163D"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112,091 M</w:t>
            </w:r>
          </w:p>
          <w:p w14:paraId="6C6CFC12"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106,739 Mc</w:t>
            </w:r>
          </w:p>
          <w:p w14:paraId="2C0F3D8B"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r>
      <w:tr w:rsidR="00F86AA0" w:rsidRPr="006B4B25" w14:paraId="60BB5AD1" w14:textId="77777777" w:rsidTr="00341517">
        <w:trPr>
          <w:trHeight w:val="1103"/>
        </w:trPr>
        <w:tc>
          <w:tcPr>
            <w:tcW w:w="1009" w:type="pct"/>
          </w:tcPr>
          <w:p w14:paraId="507D57AC"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10 May to 30 June 2021 M (52 days)</w:t>
            </w:r>
          </w:p>
          <w:p w14:paraId="73994BF4"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14 May to 30 June 2021 Mc (48 days)</w:t>
            </w:r>
          </w:p>
        </w:tc>
        <w:tc>
          <w:tcPr>
            <w:tcW w:w="1113" w:type="pct"/>
            <w:tcBorders>
              <w:bottom w:val="single" w:sz="4" w:space="0" w:color="000000"/>
            </w:tcBorders>
          </w:tcPr>
          <w:p w14:paraId="5B03D41D" w14:textId="77777777" w:rsidR="00F86AA0" w:rsidRPr="006B4B25" w:rsidRDefault="00F86AA0" w:rsidP="00341517">
            <w:pPr>
              <w:spacing w:before="120" w:line="240" w:lineRule="auto"/>
              <w:jc w:val="left"/>
              <w:rPr>
                <w:rFonts w:ascii="Calibri" w:eastAsia="Times New Roman" w:hAnsi="Calibri" w:cs="Calibri"/>
                <w:sz w:val="18"/>
                <w:szCs w:val="18"/>
                <w:lang w:eastAsia="en-AU"/>
              </w:rPr>
            </w:pPr>
            <w:r w:rsidRPr="006B4B25">
              <w:rPr>
                <w:rFonts w:ascii="Calibri" w:eastAsia="Times New Roman" w:hAnsi="Calibri" w:cs="Calibri"/>
                <w:sz w:val="18"/>
                <w:szCs w:val="18"/>
                <w:lang w:eastAsia="en-AU"/>
              </w:rPr>
              <w:t>Low flow (all year)</w:t>
            </w:r>
          </w:p>
          <w:p w14:paraId="3CED3BC5"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r w:rsidRPr="006B4B25">
              <w:rPr>
                <w:rFonts w:ascii="Calibri" w:eastAsia="Times New Roman" w:hAnsi="Calibri" w:cs="Calibri"/>
                <w:sz w:val="18"/>
                <w:szCs w:val="18"/>
                <w:lang w:eastAsia="en-AU"/>
              </w:rPr>
              <w:t xml:space="preserve">500-940 ML/day </w:t>
            </w:r>
          </w:p>
        </w:tc>
        <w:tc>
          <w:tcPr>
            <w:tcW w:w="566" w:type="pct"/>
          </w:tcPr>
          <w:p w14:paraId="741AC93C"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CEW</w:t>
            </w:r>
          </w:p>
          <w:p w14:paraId="42A6E660"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17,746 M</w:t>
            </w:r>
          </w:p>
          <w:p w14:paraId="17E0DA27"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18,261 Mc</w:t>
            </w:r>
          </w:p>
          <w:p w14:paraId="281DC583"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p>
        </w:tc>
        <w:tc>
          <w:tcPr>
            <w:tcW w:w="708" w:type="pct"/>
          </w:tcPr>
          <w:p w14:paraId="192F0709"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VEWH</w:t>
            </w:r>
          </w:p>
          <w:p w14:paraId="3C2DB2F2"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w:t>
            </w:r>
          </w:p>
          <w:p w14:paraId="4036BD1D"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0 Mc</w:t>
            </w:r>
          </w:p>
          <w:p w14:paraId="0F01DB27"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TLM</w:t>
            </w:r>
          </w:p>
          <w:p w14:paraId="554123EF"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10,027 M</w:t>
            </w:r>
          </w:p>
          <w:p w14:paraId="3F0C6D94"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8,142 Mc</w:t>
            </w:r>
          </w:p>
          <w:p w14:paraId="5AD493DE" w14:textId="77777777" w:rsidR="00F86AA0" w:rsidRPr="006B4B25" w:rsidRDefault="00F86AA0" w:rsidP="00341517">
            <w:pPr>
              <w:snapToGrid w:val="0"/>
              <w:spacing w:after="60" w:line="240" w:lineRule="auto"/>
              <w:jc w:val="left"/>
              <w:rPr>
                <w:rFonts w:ascii="Calibri" w:eastAsia="Times New Roman" w:hAnsi="Calibri" w:cs="Arial"/>
                <w:sz w:val="18"/>
                <w:szCs w:val="18"/>
                <w:u w:val="single"/>
                <w:lang w:val="en-GB" w:eastAsia="en-AU"/>
              </w:rPr>
            </w:pPr>
          </w:p>
        </w:tc>
        <w:tc>
          <w:tcPr>
            <w:tcW w:w="863" w:type="pct"/>
          </w:tcPr>
          <w:p w14:paraId="283981F8"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IVT</w:t>
            </w:r>
          </w:p>
          <w:p w14:paraId="413BC429"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6,494 M </w:t>
            </w:r>
          </w:p>
          <w:p w14:paraId="2CE13429" w14:textId="77777777" w:rsidR="00F86AA0" w:rsidRPr="006B4B25" w:rsidRDefault="00F86AA0" w:rsidP="00341517">
            <w:pPr>
              <w:snapToGrid w:val="0"/>
              <w:spacing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6,494 Mc</w:t>
            </w:r>
          </w:p>
          <w:p w14:paraId="569AC583"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 xml:space="preserve">Other </w:t>
            </w:r>
          </w:p>
          <w:p w14:paraId="0A980A69"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14,367 M</w:t>
            </w:r>
          </w:p>
          <w:p w14:paraId="05D40D21" w14:textId="77777777" w:rsidR="00F86AA0" w:rsidRPr="006B4B25" w:rsidRDefault="00F86AA0" w:rsidP="00341517">
            <w:pPr>
              <w:snapToGrid w:val="0"/>
              <w:spacing w:after="60" w:line="240" w:lineRule="auto"/>
              <w:jc w:val="left"/>
              <w:rPr>
                <w:rFonts w:ascii="Calibri" w:eastAsia="Times New Roman" w:hAnsi="Calibri" w:cs="Arial"/>
                <w:sz w:val="18"/>
                <w:szCs w:val="18"/>
                <w:u w:val="single"/>
                <w:lang w:val="en-GB" w:eastAsia="en-AU"/>
              </w:rPr>
            </w:pPr>
            <w:r w:rsidRPr="006B4B25">
              <w:rPr>
                <w:rFonts w:ascii="Calibri" w:eastAsia="Times New Roman" w:hAnsi="Calibri" w:cs="Arial"/>
                <w:sz w:val="18"/>
                <w:szCs w:val="18"/>
                <w:lang w:val="en-GB" w:eastAsia="en-AU"/>
              </w:rPr>
              <w:t>21,658 Mc</w:t>
            </w:r>
          </w:p>
        </w:tc>
        <w:tc>
          <w:tcPr>
            <w:tcW w:w="741" w:type="pct"/>
          </w:tcPr>
          <w:p w14:paraId="33085A32"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Total</w:t>
            </w:r>
          </w:p>
          <w:p w14:paraId="6278F446"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48,634 M</w:t>
            </w:r>
          </w:p>
          <w:p w14:paraId="553FFF8A"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54,555 Mc</w:t>
            </w:r>
          </w:p>
          <w:p w14:paraId="133B305F"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p>
        </w:tc>
      </w:tr>
      <w:tr w:rsidR="00F86AA0" w:rsidRPr="006B4B25" w14:paraId="2C5CE38B" w14:textId="77777777" w:rsidTr="00341517">
        <w:trPr>
          <w:trHeight w:val="1308"/>
        </w:trPr>
        <w:tc>
          <w:tcPr>
            <w:tcW w:w="1009" w:type="pct"/>
          </w:tcPr>
          <w:p w14:paraId="0E97E782"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r w:rsidRPr="006B4B25">
              <w:rPr>
                <w:rFonts w:ascii="Calibri" w:eastAsia="Times New Roman" w:hAnsi="Calibri" w:cs="Arial"/>
                <w:sz w:val="18"/>
                <w:szCs w:val="18"/>
                <w:lang w:val="en-GB" w:eastAsia="en-AU"/>
              </w:rPr>
              <w:t>Not delivered</w:t>
            </w:r>
          </w:p>
          <w:p w14:paraId="7499290F" w14:textId="77777777" w:rsidR="00F86AA0" w:rsidRPr="006B4B25" w:rsidRDefault="00F86AA0" w:rsidP="00341517">
            <w:pPr>
              <w:snapToGrid w:val="0"/>
              <w:spacing w:after="60" w:line="240" w:lineRule="auto"/>
              <w:jc w:val="left"/>
              <w:rPr>
                <w:rFonts w:ascii="Calibri" w:eastAsia="Times New Roman" w:hAnsi="Calibri" w:cs="Arial"/>
                <w:sz w:val="18"/>
                <w:szCs w:val="18"/>
                <w:lang w:val="en-GB" w:eastAsia="en-AU"/>
              </w:rPr>
            </w:pPr>
          </w:p>
        </w:tc>
        <w:tc>
          <w:tcPr>
            <w:tcW w:w="1113" w:type="pct"/>
            <w:tcBorders>
              <w:top w:val="single" w:sz="4" w:space="0" w:color="auto"/>
            </w:tcBorders>
          </w:tcPr>
          <w:p w14:paraId="32C9258D" w14:textId="77777777" w:rsidR="00F86AA0" w:rsidRPr="006B4B25" w:rsidRDefault="00F86AA0" w:rsidP="00341517">
            <w:pPr>
              <w:snapToGrid w:val="0"/>
              <w:spacing w:after="6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Winter fresh (June/July 2021)</w:t>
            </w:r>
          </w:p>
          <w:p w14:paraId="69B26ADC" w14:textId="77777777" w:rsidR="00F86AA0" w:rsidRPr="006B4B25" w:rsidRDefault="00F86AA0" w:rsidP="00341517">
            <w:pPr>
              <w:snapToGrid w:val="0"/>
              <w:spacing w:after="60" w:line="240" w:lineRule="auto"/>
              <w:jc w:val="left"/>
              <w:rPr>
                <w:rFonts w:ascii="Calibri" w:eastAsia="Times New Roman" w:hAnsi="Calibri" w:cs="Arial"/>
                <w:sz w:val="18"/>
                <w:szCs w:val="18"/>
                <w:lang w:eastAsia="en-AU"/>
              </w:rPr>
            </w:pPr>
            <w:r w:rsidRPr="006B4B25">
              <w:rPr>
                <w:rFonts w:ascii="Calibri" w:eastAsia="Times New Roman" w:hAnsi="Calibri" w:cs="Arial"/>
                <w:sz w:val="18"/>
                <w:szCs w:val="18"/>
                <w:lang w:eastAsia="en-AU"/>
              </w:rPr>
              <w:t>Up to 15 000 ML/day</w:t>
            </w:r>
            <w:r w:rsidRPr="006B4B25">
              <w:rPr>
                <w:rFonts w:ascii="Calibri" w:eastAsia="Times New Roman" w:hAnsi="Calibri" w:cs="Arial"/>
                <w:sz w:val="18"/>
                <w:szCs w:val="18"/>
                <w:vertAlign w:val="superscript"/>
                <w:lang w:eastAsia="en-AU"/>
              </w:rPr>
              <w:footnoteReference w:id="4"/>
            </w:r>
            <w:r w:rsidRPr="006B4B25">
              <w:rPr>
                <w:rFonts w:ascii="Calibri" w:eastAsia="Times New Roman" w:hAnsi="Calibri" w:cs="Arial"/>
                <w:sz w:val="18"/>
                <w:szCs w:val="18"/>
                <w:lang w:eastAsia="en-AU"/>
              </w:rPr>
              <w:t xml:space="preserve"> with more than 14 days above 6 600 ML/day.</w:t>
            </w:r>
          </w:p>
          <w:p w14:paraId="7CBA758D" w14:textId="77777777" w:rsidR="00F86AA0" w:rsidRPr="006B4B25" w:rsidRDefault="00F86AA0" w:rsidP="00341517">
            <w:pPr>
              <w:snapToGrid w:val="0"/>
              <w:spacing w:after="60" w:line="240" w:lineRule="auto"/>
              <w:jc w:val="left"/>
              <w:rPr>
                <w:rFonts w:ascii="Calibri" w:eastAsia="Times New Roman" w:hAnsi="Calibri" w:cs="Arial"/>
                <w:sz w:val="18"/>
                <w:szCs w:val="18"/>
                <w:lang w:eastAsia="en-AU"/>
              </w:rPr>
            </w:pPr>
          </w:p>
        </w:tc>
        <w:tc>
          <w:tcPr>
            <w:tcW w:w="566" w:type="pct"/>
          </w:tcPr>
          <w:p w14:paraId="183C9730"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c>
          <w:tcPr>
            <w:tcW w:w="708" w:type="pct"/>
          </w:tcPr>
          <w:p w14:paraId="6780D4BE"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c>
          <w:tcPr>
            <w:tcW w:w="863" w:type="pct"/>
          </w:tcPr>
          <w:p w14:paraId="546E61BA"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c>
          <w:tcPr>
            <w:tcW w:w="741" w:type="pct"/>
          </w:tcPr>
          <w:p w14:paraId="29A7FB35" w14:textId="77777777" w:rsidR="00F86AA0" w:rsidRPr="006B4B25" w:rsidRDefault="00F86AA0" w:rsidP="00341517">
            <w:pPr>
              <w:snapToGrid w:val="0"/>
              <w:spacing w:after="0" w:line="240" w:lineRule="auto"/>
              <w:jc w:val="left"/>
              <w:rPr>
                <w:rFonts w:ascii="Calibri" w:eastAsia="Times New Roman" w:hAnsi="Calibri" w:cs="Arial"/>
                <w:sz w:val="18"/>
                <w:szCs w:val="18"/>
                <w:lang w:val="en-GB" w:eastAsia="en-AU"/>
              </w:rPr>
            </w:pPr>
          </w:p>
        </w:tc>
      </w:tr>
    </w:tbl>
    <w:p w14:paraId="02920352" w14:textId="77777777" w:rsidR="00F86AA0" w:rsidRDefault="00F86AA0" w:rsidP="00F86AA0"/>
    <w:p w14:paraId="2C9EBC82" w14:textId="77777777" w:rsidR="00F86AA0" w:rsidRPr="00F86AA0" w:rsidRDefault="00F86AA0" w:rsidP="00F86AA0"/>
    <w:p w14:paraId="635EDD92" w14:textId="77777777" w:rsidR="00C117E2" w:rsidRPr="00BA2632" w:rsidRDefault="00C117E2">
      <w:pPr>
        <w:rPr>
          <w:rFonts w:ascii="Georgia" w:eastAsia="SimHei" w:hAnsi="Georgia" w:cs="Times New Roman"/>
          <w:b/>
          <w:color w:val="094183"/>
          <w:sz w:val="32"/>
          <w:szCs w:val="32"/>
          <w:lang w:eastAsia="en-US"/>
        </w:rPr>
      </w:pPr>
      <w:r w:rsidRPr="00BA2632">
        <w:br w:type="page"/>
      </w:r>
    </w:p>
    <w:p w14:paraId="0EC5A386" w14:textId="77777777" w:rsidR="001C263A" w:rsidRDefault="001C263A" w:rsidP="006671ED">
      <w:pPr>
        <w:pStyle w:val="Heading1"/>
        <w:sectPr w:rsidR="001C263A" w:rsidSect="0000321C">
          <w:pgSz w:w="11906" w:h="16838" w:code="9"/>
          <w:pgMar w:top="567" w:right="851" w:bottom="851" w:left="1134" w:header="709" w:footer="709" w:gutter="0"/>
          <w:cols w:space="708"/>
          <w:titlePg/>
          <w:docGrid w:linePitch="360"/>
        </w:sectPr>
      </w:pPr>
    </w:p>
    <w:p w14:paraId="2C7F4DAC" w14:textId="2979D4C8" w:rsidR="00C95C27" w:rsidRPr="001D6594" w:rsidRDefault="00C95C27" w:rsidP="001827C8">
      <w:pPr>
        <w:pStyle w:val="Heading6"/>
      </w:pPr>
      <w:bookmarkStart w:id="735" w:name="_Toc84416142"/>
      <w:bookmarkStart w:id="736" w:name="_Toc84417449"/>
      <w:r w:rsidRPr="001D6594">
        <w:lastRenderedPageBreak/>
        <w:t xml:space="preserve">Bank </w:t>
      </w:r>
      <w:r w:rsidR="004276FC" w:rsidRPr="001D6594">
        <w:t>c</w:t>
      </w:r>
      <w:r w:rsidRPr="001D6594">
        <w:t>ondition Digital Elevation Models of Difference (DEMODs)</w:t>
      </w:r>
      <w:bookmarkEnd w:id="735"/>
      <w:bookmarkEnd w:id="736"/>
    </w:p>
    <w:p w14:paraId="7DC16497" w14:textId="7B0C1E1A" w:rsidR="004E6FD4" w:rsidRPr="00141EB9" w:rsidRDefault="004E6FD4" w:rsidP="004E6FD4">
      <w:pPr>
        <w:rPr>
          <w:lang w:eastAsia="en-US"/>
        </w:rPr>
      </w:pPr>
      <w:r w:rsidRPr="00141EB9">
        <w:rPr>
          <w:lang w:eastAsia="en-US"/>
        </w:rPr>
        <w:t>This appendix presents detailed evaluation of DEMODs for each flow event at each monitoring location. A summary of different locations that were captured in the monitoring is provided in</w:t>
      </w:r>
      <w:r w:rsidR="00831EB0">
        <w:rPr>
          <w:lang w:eastAsia="en-US"/>
        </w:rPr>
        <w:t xml:space="preserve"> </w:t>
      </w:r>
      <w:r w:rsidR="00FE5FE8">
        <w:rPr>
          <w:lang w:eastAsia="en-US"/>
        </w:rPr>
        <w:t>Table B</w:t>
      </w:r>
      <w:r w:rsidR="00FE5FE8">
        <w:rPr>
          <w:lang w:eastAsia="en-US"/>
        </w:rPr>
        <w:noBreakHyphen/>
        <w:t>1</w:t>
      </w:r>
      <w:r w:rsidRPr="00141EB9">
        <w:rPr>
          <w:lang w:eastAsia="en-US"/>
        </w:rPr>
        <w:t>.</w:t>
      </w:r>
    </w:p>
    <w:p w14:paraId="04F17525" w14:textId="77777777" w:rsidR="00C7268E" w:rsidRPr="00702623" w:rsidRDefault="00C7268E" w:rsidP="004E6FD4"/>
    <w:p w14:paraId="66006AA7" w14:textId="154DBAEB" w:rsidR="00FE5FE8" w:rsidRDefault="00FE5FE8" w:rsidP="00E81DC4">
      <w:pPr>
        <w:pStyle w:val="Caption"/>
      </w:pPr>
      <w:bookmarkStart w:id="737" w:name="_Ref84473974"/>
      <w:bookmarkStart w:id="738" w:name="_Toc84492678"/>
      <w:r>
        <w:t xml:space="preserve">Table </w:t>
      </w:r>
      <w:r>
        <w:rPr>
          <w:noProof/>
        </w:rPr>
        <w:t>B</w:t>
      </w:r>
      <w:r>
        <w:noBreakHyphen/>
      </w:r>
      <w:r>
        <w:rPr>
          <w:noProof/>
        </w:rPr>
        <w:t>1</w:t>
      </w:r>
      <w:bookmarkEnd w:id="737"/>
      <w:r>
        <w:t xml:space="preserve"> </w:t>
      </w:r>
      <w:r w:rsidRPr="00702623">
        <w:t>Summary of banks where change was successfully captured for each flow period.</w:t>
      </w:r>
      <w:bookmarkEnd w:id="738"/>
    </w:p>
    <w:p w14:paraId="2938B983" w14:textId="77777777" w:rsidR="004C4963" w:rsidRPr="004C4963" w:rsidRDefault="004C4963" w:rsidP="004C4963"/>
    <w:tbl>
      <w:tblPr>
        <w:tblStyle w:val="TableGrid"/>
        <w:tblW w:w="6431"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tblCellMar>
        <w:tblLook w:val="04A0" w:firstRow="1" w:lastRow="0" w:firstColumn="1" w:lastColumn="0" w:noHBand="0" w:noVBand="1"/>
      </w:tblPr>
      <w:tblGrid>
        <w:gridCol w:w="2604"/>
        <w:gridCol w:w="1275"/>
        <w:gridCol w:w="1276"/>
        <w:gridCol w:w="1276"/>
      </w:tblGrid>
      <w:tr w:rsidR="004E6FD4" w:rsidRPr="00BA2632" w14:paraId="35E0FD7E" w14:textId="77777777" w:rsidTr="00702623">
        <w:trPr>
          <w:cnfStyle w:val="100000000000" w:firstRow="1" w:lastRow="0" w:firstColumn="0" w:lastColumn="0" w:oddVBand="0" w:evenVBand="0" w:oddHBand="0" w:evenHBand="0" w:firstRowFirstColumn="0" w:firstRowLastColumn="0" w:lastRowFirstColumn="0" w:lastRowLastColumn="0"/>
          <w:trHeight w:val="204"/>
          <w:tblHeader/>
          <w:jc w:val="center"/>
        </w:trPr>
        <w:tc>
          <w:tcPr>
            <w:cnfStyle w:val="001000000000" w:firstRow="0" w:lastRow="0" w:firstColumn="1" w:lastColumn="0" w:oddVBand="0" w:evenVBand="0" w:oddHBand="0" w:evenHBand="0" w:firstRowFirstColumn="0" w:firstRowLastColumn="0" w:lastRowFirstColumn="0" w:lastRowLastColumn="0"/>
            <w:tcW w:w="2604" w:type="dxa"/>
            <w:tcBorders>
              <w:right w:val="single" w:sz="4" w:space="0" w:color="FFFFFF" w:themeColor="background1"/>
            </w:tcBorders>
            <w:shd w:val="clear" w:color="auto" w:fill="00338D"/>
          </w:tcPr>
          <w:p w14:paraId="5D02DB44" w14:textId="77777777" w:rsidR="004E6FD4" w:rsidRPr="00702623" w:rsidRDefault="004E6FD4" w:rsidP="00E26D3C">
            <w:pPr>
              <w:jc w:val="left"/>
              <w:rPr>
                <w:rFonts w:cstheme="minorHAnsi"/>
                <w:bCs/>
                <w:color w:val="FFFFFF"/>
                <w:sz w:val="18"/>
                <w:szCs w:val="18"/>
              </w:rPr>
            </w:pPr>
            <w:r w:rsidRPr="00702623">
              <w:rPr>
                <w:rFonts w:cstheme="minorHAnsi"/>
                <w:bCs/>
                <w:color w:val="FFFFFF"/>
                <w:sz w:val="18"/>
                <w:szCs w:val="18"/>
              </w:rPr>
              <w:t>Site and Bank</w:t>
            </w:r>
          </w:p>
        </w:tc>
        <w:tc>
          <w:tcPr>
            <w:tcW w:w="1275" w:type="dxa"/>
            <w:tcBorders>
              <w:left w:val="single" w:sz="4" w:space="0" w:color="FFFFFF" w:themeColor="background1"/>
              <w:right w:val="single" w:sz="4" w:space="0" w:color="FFFFFF" w:themeColor="background1"/>
            </w:tcBorders>
            <w:shd w:val="clear" w:color="auto" w:fill="00338D"/>
          </w:tcPr>
          <w:p w14:paraId="51A2A920" w14:textId="77777777" w:rsidR="004E6FD4" w:rsidRPr="00702623" w:rsidRDefault="004E6FD4" w:rsidP="00E26D3C">
            <w:pPr>
              <w:jc w:val="left"/>
              <w:cnfStyle w:val="100000000000" w:firstRow="1" w:lastRow="0" w:firstColumn="0" w:lastColumn="0" w:oddVBand="0" w:evenVBand="0" w:oddHBand="0" w:evenHBand="0" w:firstRowFirstColumn="0" w:firstRowLastColumn="0" w:lastRowFirstColumn="0" w:lastRowLastColumn="0"/>
              <w:rPr>
                <w:rFonts w:cstheme="minorHAnsi"/>
                <w:bCs/>
                <w:color w:val="FFFFFF"/>
                <w:sz w:val="18"/>
                <w:szCs w:val="18"/>
              </w:rPr>
            </w:pPr>
            <w:r w:rsidRPr="00702623">
              <w:rPr>
                <w:rFonts w:cstheme="minorHAnsi"/>
                <w:bCs/>
                <w:color w:val="FFFFFF"/>
                <w:sz w:val="18"/>
                <w:szCs w:val="18"/>
              </w:rPr>
              <w:t xml:space="preserve">Spring Fresh </w:t>
            </w:r>
          </w:p>
        </w:tc>
        <w:tc>
          <w:tcPr>
            <w:tcW w:w="1276" w:type="dxa"/>
            <w:tcBorders>
              <w:left w:val="single" w:sz="4" w:space="0" w:color="FFFFFF" w:themeColor="background1"/>
              <w:right w:val="single" w:sz="4" w:space="0" w:color="FFFFFF" w:themeColor="background1"/>
            </w:tcBorders>
            <w:shd w:val="clear" w:color="auto" w:fill="00338D"/>
          </w:tcPr>
          <w:p w14:paraId="683F2044" w14:textId="77777777" w:rsidR="004E6FD4" w:rsidRPr="00702623" w:rsidRDefault="004E6FD4" w:rsidP="00E26D3C">
            <w:pPr>
              <w:jc w:val="left"/>
              <w:cnfStyle w:val="100000000000" w:firstRow="1" w:lastRow="0" w:firstColumn="0" w:lastColumn="0" w:oddVBand="0" w:evenVBand="0" w:oddHBand="0" w:evenHBand="0" w:firstRowFirstColumn="0" w:firstRowLastColumn="0" w:lastRowFirstColumn="0" w:lastRowLastColumn="0"/>
              <w:rPr>
                <w:rFonts w:cstheme="minorHAnsi"/>
                <w:bCs/>
                <w:color w:val="FFFFFF"/>
                <w:sz w:val="18"/>
                <w:szCs w:val="18"/>
              </w:rPr>
            </w:pPr>
            <w:r w:rsidRPr="00702623">
              <w:rPr>
                <w:rFonts w:cstheme="minorHAnsi"/>
                <w:bCs/>
                <w:color w:val="FFFFFF"/>
                <w:sz w:val="18"/>
                <w:szCs w:val="18"/>
              </w:rPr>
              <w:t>IVT</w:t>
            </w:r>
          </w:p>
        </w:tc>
        <w:tc>
          <w:tcPr>
            <w:tcW w:w="1276" w:type="dxa"/>
            <w:tcBorders>
              <w:left w:val="single" w:sz="4" w:space="0" w:color="FFFFFF" w:themeColor="background1"/>
              <w:right w:val="single" w:sz="4" w:space="0" w:color="FFFFFF" w:themeColor="background1"/>
            </w:tcBorders>
            <w:shd w:val="clear" w:color="auto" w:fill="00338D"/>
          </w:tcPr>
          <w:p w14:paraId="58C5C344" w14:textId="77777777" w:rsidR="004E6FD4" w:rsidRPr="00702623" w:rsidRDefault="004E6FD4" w:rsidP="00E26D3C">
            <w:pPr>
              <w:jc w:val="left"/>
              <w:cnfStyle w:val="100000000000" w:firstRow="1" w:lastRow="0" w:firstColumn="0" w:lastColumn="0" w:oddVBand="0" w:evenVBand="0" w:oddHBand="0" w:evenHBand="0" w:firstRowFirstColumn="0" w:firstRowLastColumn="0" w:lastRowFirstColumn="0" w:lastRowLastColumn="0"/>
              <w:rPr>
                <w:rFonts w:cstheme="minorHAnsi"/>
                <w:bCs/>
                <w:color w:val="FFFFFF"/>
                <w:sz w:val="18"/>
                <w:szCs w:val="18"/>
              </w:rPr>
            </w:pPr>
            <w:r w:rsidRPr="00702623">
              <w:rPr>
                <w:rFonts w:cstheme="minorHAnsi"/>
                <w:bCs/>
                <w:color w:val="FFFFFF"/>
                <w:sz w:val="18"/>
                <w:szCs w:val="18"/>
              </w:rPr>
              <w:t>Autumn Fresh</w:t>
            </w:r>
          </w:p>
        </w:tc>
      </w:tr>
      <w:tr w:rsidR="004E6FD4" w:rsidRPr="00BA2632" w14:paraId="78A852CA" w14:textId="77777777" w:rsidTr="00702623">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2604" w:type="dxa"/>
            <w:shd w:val="clear" w:color="auto" w:fill="FFFFFF" w:themeFill="background2"/>
          </w:tcPr>
          <w:p w14:paraId="136992EF" w14:textId="77777777" w:rsidR="004E6FD4" w:rsidRPr="00702623" w:rsidRDefault="004E6FD4" w:rsidP="00E26D3C">
            <w:pPr>
              <w:pStyle w:val="Tablesmalltext"/>
              <w:jc w:val="left"/>
              <w:rPr>
                <w:rFonts w:asciiTheme="minorHAnsi" w:hAnsiTheme="minorHAnsi" w:cstheme="minorHAnsi"/>
                <w:b w:val="0"/>
                <w:sz w:val="18"/>
                <w:szCs w:val="18"/>
              </w:rPr>
            </w:pPr>
            <w:r w:rsidRPr="00702623">
              <w:rPr>
                <w:rFonts w:asciiTheme="minorHAnsi" w:hAnsiTheme="minorHAnsi" w:cstheme="minorHAnsi"/>
                <w:sz w:val="18"/>
                <w:szCs w:val="18"/>
              </w:rPr>
              <w:t>Darcy’s Track Bank B</w:t>
            </w:r>
          </w:p>
        </w:tc>
        <w:tc>
          <w:tcPr>
            <w:tcW w:w="1275" w:type="dxa"/>
            <w:shd w:val="clear" w:color="auto" w:fill="FFFFFF" w:themeFill="background2"/>
          </w:tcPr>
          <w:p w14:paraId="54368B3A" w14:textId="77777777" w:rsidR="004E6FD4" w:rsidRPr="00702623" w:rsidRDefault="004E6FD4"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1276" w:type="dxa"/>
            <w:shd w:val="clear" w:color="auto" w:fill="FFFFFF" w:themeFill="background2"/>
          </w:tcPr>
          <w:p w14:paraId="4B8816F2" w14:textId="77777777" w:rsidR="004E6FD4" w:rsidRPr="00702623" w:rsidRDefault="004E6FD4"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1276" w:type="dxa"/>
            <w:shd w:val="clear" w:color="auto" w:fill="FFFFFF" w:themeFill="background2"/>
          </w:tcPr>
          <w:p w14:paraId="3EE52AD0" w14:textId="77777777" w:rsidR="004E6FD4" w:rsidRPr="00702623" w:rsidRDefault="004E6FD4"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r>
      <w:tr w:rsidR="004E6FD4" w:rsidRPr="00BA2632" w14:paraId="462E776F" w14:textId="77777777" w:rsidTr="00702623">
        <w:trPr>
          <w:cnfStyle w:val="000000010000" w:firstRow="0" w:lastRow="0" w:firstColumn="0" w:lastColumn="0" w:oddVBand="0" w:evenVBand="0" w:oddHBand="0" w:evenHBand="1"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2604" w:type="dxa"/>
            <w:shd w:val="clear" w:color="auto" w:fill="FFFFFF" w:themeFill="background2"/>
          </w:tcPr>
          <w:p w14:paraId="6C7CF86E" w14:textId="77777777" w:rsidR="004E6FD4" w:rsidRPr="00702623" w:rsidRDefault="004E6FD4" w:rsidP="00E26D3C">
            <w:pPr>
              <w:pStyle w:val="Tablesmalltext"/>
              <w:jc w:val="left"/>
              <w:rPr>
                <w:rFonts w:asciiTheme="minorHAnsi" w:hAnsiTheme="minorHAnsi" w:cstheme="minorHAnsi"/>
                <w:sz w:val="18"/>
                <w:szCs w:val="18"/>
              </w:rPr>
            </w:pPr>
            <w:r w:rsidRPr="00702623">
              <w:rPr>
                <w:rFonts w:asciiTheme="minorHAnsi" w:hAnsiTheme="minorHAnsi" w:cstheme="minorHAnsi"/>
                <w:sz w:val="18"/>
                <w:szCs w:val="18"/>
              </w:rPr>
              <w:t>Darcy’s Track Bank D</w:t>
            </w:r>
          </w:p>
        </w:tc>
        <w:tc>
          <w:tcPr>
            <w:tcW w:w="1275" w:type="dxa"/>
            <w:shd w:val="clear" w:color="auto" w:fill="FFFFFF" w:themeFill="background2"/>
          </w:tcPr>
          <w:p w14:paraId="11538747" w14:textId="77777777" w:rsidR="004E6FD4" w:rsidRPr="00702623" w:rsidRDefault="004E6FD4"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c>
          <w:tcPr>
            <w:tcW w:w="1276" w:type="dxa"/>
            <w:shd w:val="clear" w:color="auto" w:fill="FFFFFF" w:themeFill="background2"/>
          </w:tcPr>
          <w:p w14:paraId="4C797740" w14:textId="77777777" w:rsidR="004E6FD4" w:rsidRPr="00702623" w:rsidRDefault="004E6FD4"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c>
          <w:tcPr>
            <w:tcW w:w="1276" w:type="dxa"/>
            <w:shd w:val="clear" w:color="auto" w:fill="FFFFFF" w:themeFill="background2"/>
          </w:tcPr>
          <w:p w14:paraId="6AE09E86" w14:textId="77777777" w:rsidR="004E6FD4" w:rsidRPr="00702623" w:rsidRDefault="004E6FD4"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r>
      <w:tr w:rsidR="004E6FD4" w:rsidRPr="00BA2632" w14:paraId="647E81E7" w14:textId="77777777" w:rsidTr="00702623">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2604" w:type="dxa"/>
            <w:shd w:val="clear" w:color="auto" w:fill="FFFFFF" w:themeFill="background2"/>
          </w:tcPr>
          <w:p w14:paraId="7FA8C7CB" w14:textId="7D461353" w:rsidR="004E6FD4" w:rsidRPr="00702623" w:rsidRDefault="004E6FD4" w:rsidP="00E26D3C">
            <w:pPr>
              <w:pStyle w:val="Tablesmalltext"/>
              <w:jc w:val="left"/>
              <w:rPr>
                <w:rFonts w:asciiTheme="minorHAnsi" w:hAnsiTheme="minorHAnsi" w:cstheme="minorHAnsi"/>
                <w:sz w:val="18"/>
                <w:szCs w:val="18"/>
              </w:rPr>
            </w:pPr>
            <w:r w:rsidRPr="00702623">
              <w:rPr>
                <w:rFonts w:asciiTheme="minorHAnsi" w:hAnsiTheme="minorHAnsi" w:cstheme="minorHAnsi"/>
                <w:sz w:val="18"/>
                <w:szCs w:val="18"/>
              </w:rPr>
              <w:t>Loch Gar</w:t>
            </w:r>
            <w:r w:rsidR="00155FEF" w:rsidRPr="00702623">
              <w:rPr>
                <w:rFonts w:asciiTheme="minorHAnsi" w:hAnsiTheme="minorHAnsi" w:cstheme="minorHAnsi"/>
                <w:sz w:val="18"/>
                <w:szCs w:val="18"/>
              </w:rPr>
              <w:t>r</w:t>
            </w:r>
            <w:r w:rsidRPr="00702623">
              <w:rPr>
                <w:rFonts w:asciiTheme="minorHAnsi" w:hAnsiTheme="minorHAnsi" w:cstheme="minorHAnsi"/>
                <w:sz w:val="18"/>
                <w:szCs w:val="18"/>
              </w:rPr>
              <w:t>y Bank C</w:t>
            </w:r>
          </w:p>
        </w:tc>
        <w:tc>
          <w:tcPr>
            <w:tcW w:w="1275" w:type="dxa"/>
            <w:shd w:val="clear" w:color="auto" w:fill="FFFFFF" w:themeFill="background2"/>
          </w:tcPr>
          <w:p w14:paraId="0905BB39" w14:textId="77777777" w:rsidR="004E6FD4" w:rsidRPr="00702623" w:rsidRDefault="004E6FD4"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c>
          <w:tcPr>
            <w:tcW w:w="1276" w:type="dxa"/>
            <w:shd w:val="clear" w:color="auto" w:fill="FFFFFF" w:themeFill="background2"/>
          </w:tcPr>
          <w:p w14:paraId="3BEC3294" w14:textId="77777777" w:rsidR="004E6FD4" w:rsidRPr="00702623" w:rsidRDefault="004E6FD4"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c>
          <w:tcPr>
            <w:tcW w:w="1276" w:type="dxa"/>
            <w:shd w:val="clear" w:color="auto" w:fill="FFFFFF" w:themeFill="background2"/>
          </w:tcPr>
          <w:p w14:paraId="6F5D2C6F" w14:textId="77777777" w:rsidR="004E6FD4" w:rsidRPr="00702623" w:rsidRDefault="004E6FD4"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r>
      <w:tr w:rsidR="004E6FD4" w:rsidRPr="00BA2632" w14:paraId="67CADD17" w14:textId="77777777" w:rsidTr="00702623">
        <w:trPr>
          <w:cnfStyle w:val="000000010000" w:firstRow="0" w:lastRow="0" w:firstColumn="0" w:lastColumn="0" w:oddVBand="0" w:evenVBand="0" w:oddHBand="0" w:evenHBand="1"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2604" w:type="dxa"/>
            <w:shd w:val="clear" w:color="auto" w:fill="FFFFFF" w:themeFill="background2"/>
          </w:tcPr>
          <w:p w14:paraId="644A6431" w14:textId="77777777" w:rsidR="004E6FD4" w:rsidRPr="00702623" w:rsidRDefault="004E6FD4" w:rsidP="00E26D3C">
            <w:pPr>
              <w:pStyle w:val="Tablesmalltext"/>
              <w:jc w:val="left"/>
              <w:rPr>
                <w:rFonts w:asciiTheme="minorHAnsi" w:hAnsiTheme="minorHAnsi" w:cstheme="minorHAnsi"/>
                <w:sz w:val="18"/>
                <w:szCs w:val="18"/>
              </w:rPr>
            </w:pPr>
            <w:r w:rsidRPr="00702623">
              <w:rPr>
                <w:rFonts w:asciiTheme="minorHAnsi" w:hAnsiTheme="minorHAnsi" w:cstheme="minorHAnsi"/>
                <w:sz w:val="18"/>
                <w:szCs w:val="18"/>
              </w:rPr>
              <w:t>McCoy’s Bridge Bank C</w:t>
            </w:r>
          </w:p>
        </w:tc>
        <w:tc>
          <w:tcPr>
            <w:tcW w:w="1275" w:type="dxa"/>
            <w:shd w:val="clear" w:color="auto" w:fill="FFFFFF" w:themeFill="background2"/>
          </w:tcPr>
          <w:p w14:paraId="14F28D83" w14:textId="77777777" w:rsidR="004E6FD4" w:rsidRPr="00702623" w:rsidRDefault="004E6FD4"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p>
        </w:tc>
        <w:tc>
          <w:tcPr>
            <w:tcW w:w="1276" w:type="dxa"/>
            <w:shd w:val="clear" w:color="auto" w:fill="FFFFFF" w:themeFill="background2"/>
          </w:tcPr>
          <w:p w14:paraId="382B88AC" w14:textId="77777777" w:rsidR="004E6FD4" w:rsidRPr="00702623" w:rsidRDefault="004E6FD4"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c>
          <w:tcPr>
            <w:tcW w:w="1276" w:type="dxa"/>
            <w:shd w:val="clear" w:color="auto" w:fill="FFFFFF" w:themeFill="background2"/>
          </w:tcPr>
          <w:p w14:paraId="7926FD28" w14:textId="77777777" w:rsidR="004E6FD4" w:rsidRPr="00702623" w:rsidRDefault="004E6FD4"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r>
      <w:tr w:rsidR="004E6FD4" w:rsidRPr="00BA2632" w14:paraId="121248B6" w14:textId="77777777" w:rsidTr="00702623">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2604" w:type="dxa"/>
            <w:shd w:val="clear" w:color="auto" w:fill="FFFFFF" w:themeFill="background2"/>
          </w:tcPr>
          <w:p w14:paraId="6C90BB68" w14:textId="77777777" w:rsidR="004E6FD4" w:rsidRPr="00702623" w:rsidRDefault="004E6FD4" w:rsidP="00E26D3C">
            <w:pPr>
              <w:pStyle w:val="Tablesmalltext"/>
              <w:jc w:val="left"/>
              <w:rPr>
                <w:rFonts w:asciiTheme="minorHAnsi" w:hAnsiTheme="minorHAnsi" w:cstheme="minorHAnsi"/>
                <w:sz w:val="18"/>
                <w:szCs w:val="18"/>
              </w:rPr>
            </w:pPr>
            <w:r w:rsidRPr="00702623">
              <w:rPr>
                <w:rFonts w:asciiTheme="minorHAnsi" w:hAnsiTheme="minorHAnsi" w:cstheme="minorHAnsi"/>
                <w:sz w:val="18"/>
                <w:szCs w:val="18"/>
              </w:rPr>
              <w:t>McCoy’s Bridge Bank D</w:t>
            </w:r>
          </w:p>
        </w:tc>
        <w:tc>
          <w:tcPr>
            <w:tcW w:w="1275" w:type="dxa"/>
            <w:shd w:val="clear" w:color="auto" w:fill="FFFFFF" w:themeFill="background2"/>
          </w:tcPr>
          <w:p w14:paraId="07726EE2" w14:textId="77777777" w:rsidR="004E6FD4" w:rsidRPr="00702623" w:rsidRDefault="004E6FD4"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1276" w:type="dxa"/>
            <w:shd w:val="clear" w:color="auto" w:fill="FFFFFF" w:themeFill="background2"/>
          </w:tcPr>
          <w:p w14:paraId="4C148F5F" w14:textId="77777777" w:rsidR="004E6FD4" w:rsidRPr="00702623" w:rsidRDefault="004E6FD4"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c>
          <w:tcPr>
            <w:tcW w:w="1276" w:type="dxa"/>
            <w:shd w:val="clear" w:color="auto" w:fill="FFFFFF" w:themeFill="background2"/>
          </w:tcPr>
          <w:p w14:paraId="4BCCFCFD" w14:textId="77777777" w:rsidR="004E6FD4" w:rsidRPr="00702623" w:rsidRDefault="004E6FD4"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r>
      <w:tr w:rsidR="004E6FD4" w:rsidRPr="00BA2632" w14:paraId="69D4388C" w14:textId="77777777" w:rsidTr="00702623">
        <w:trPr>
          <w:cnfStyle w:val="000000010000" w:firstRow="0" w:lastRow="0" w:firstColumn="0" w:lastColumn="0" w:oddVBand="0" w:evenVBand="0" w:oddHBand="0" w:evenHBand="1"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2604" w:type="dxa"/>
            <w:shd w:val="clear" w:color="auto" w:fill="FFFFFF" w:themeFill="background2"/>
          </w:tcPr>
          <w:p w14:paraId="627C1694" w14:textId="77777777" w:rsidR="004E6FD4" w:rsidRPr="00702623" w:rsidRDefault="004E6FD4" w:rsidP="00E26D3C">
            <w:pPr>
              <w:pStyle w:val="Tablesmalltext"/>
              <w:jc w:val="left"/>
              <w:rPr>
                <w:rFonts w:asciiTheme="minorHAnsi" w:hAnsiTheme="minorHAnsi" w:cstheme="minorHAnsi"/>
                <w:sz w:val="18"/>
                <w:szCs w:val="18"/>
              </w:rPr>
            </w:pPr>
            <w:r w:rsidRPr="00702623">
              <w:rPr>
                <w:rFonts w:asciiTheme="minorHAnsi" w:hAnsiTheme="minorHAnsi" w:cstheme="minorHAnsi"/>
                <w:sz w:val="18"/>
                <w:szCs w:val="18"/>
              </w:rPr>
              <w:t>McCoy’s Bridge Bank E</w:t>
            </w:r>
          </w:p>
        </w:tc>
        <w:tc>
          <w:tcPr>
            <w:tcW w:w="1275" w:type="dxa"/>
            <w:shd w:val="clear" w:color="auto" w:fill="FFFFFF" w:themeFill="background2"/>
          </w:tcPr>
          <w:p w14:paraId="4D7B08E7" w14:textId="77777777" w:rsidR="004E6FD4" w:rsidRPr="00702623" w:rsidRDefault="004E6FD4"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c>
          <w:tcPr>
            <w:tcW w:w="1276" w:type="dxa"/>
            <w:shd w:val="clear" w:color="auto" w:fill="FFFFFF" w:themeFill="background2"/>
          </w:tcPr>
          <w:p w14:paraId="0411574B" w14:textId="77777777" w:rsidR="004E6FD4" w:rsidRPr="00702623" w:rsidRDefault="004E6FD4"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c>
          <w:tcPr>
            <w:tcW w:w="1276" w:type="dxa"/>
            <w:shd w:val="clear" w:color="auto" w:fill="FFFFFF" w:themeFill="background2"/>
          </w:tcPr>
          <w:p w14:paraId="284E95C4" w14:textId="77777777" w:rsidR="004E6FD4" w:rsidRPr="00702623" w:rsidRDefault="004E6FD4"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702623">
              <w:rPr>
                <w:rFonts w:ascii="Segoe UI Emoji" w:hAnsi="Segoe UI Emoji" w:cs="Segoe UI Emoji"/>
                <w:sz w:val="18"/>
                <w:szCs w:val="18"/>
              </w:rPr>
              <w:t>✔</w:t>
            </w:r>
          </w:p>
        </w:tc>
      </w:tr>
    </w:tbl>
    <w:p w14:paraId="0D8A437B" w14:textId="77777777" w:rsidR="004E6FD4" w:rsidRDefault="004E6FD4" w:rsidP="004E6FD4"/>
    <w:p w14:paraId="0C4B7963" w14:textId="2BFFE0B3" w:rsidR="004E6FD4" w:rsidRDefault="00E70A00" w:rsidP="00E70A00">
      <w:pPr>
        <w:pStyle w:val="Heading7"/>
        <w:numPr>
          <w:ilvl w:val="0"/>
          <w:numId w:val="0"/>
        </w:numPr>
        <w:ind w:left="1296" w:hanging="1296"/>
      </w:pPr>
      <w:bookmarkStart w:id="739" w:name="_Toc84417450"/>
      <w:r>
        <w:t xml:space="preserve">B1 - </w:t>
      </w:r>
      <w:r w:rsidR="004E6FD4" w:rsidRPr="00BA2F91">
        <w:t xml:space="preserve">Spring </w:t>
      </w:r>
      <w:r w:rsidR="00F969B8">
        <w:t>f</w:t>
      </w:r>
      <w:r w:rsidR="004E6FD4" w:rsidRPr="00BA2F91">
        <w:t xml:space="preserve">resh </w:t>
      </w:r>
      <w:r w:rsidR="00F969B8">
        <w:t>e</w:t>
      </w:r>
      <w:r w:rsidR="004E6FD4" w:rsidRPr="00BA2F91">
        <w:t>vent</w:t>
      </w:r>
      <w:bookmarkEnd w:id="739"/>
    </w:p>
    <w:p w14:paraId="467C8B2E" w14:textId="77777777" w:rsidR="004E6FD4" w:rsidRPr="004570B9" w:rsidRDefault="004E6FD4" w:rsidP="004E6FD4">
      <w:pPr>
        <w:rPr>
          <w:lang w:eastAsia="en-US"/>
        </w:rPr>
      </w:pPr>
      <w:r>
        <w:rPr>
          <w:lang w:eastAsia="en-US"/>
        </w:rPr>
        <w:t>The following banks were monitored before and after the Spring Fresh to capture changes to bank condition during this period:</w:t>
      </w:r>
    </w:p>
    <w:p w14:paraId="32F430BD" w14:textId="77777777" w:rsidR="004E6FD4" w:rsidRPr="003134C3" w:rsidRDefault="004E6FD4" w:rsidP="00DE6E94">
      <w:pPr>
        <w:pStyle w:val="ListParagraph"/>
        <w:numPr>
          <w:ilvl w:val="0"/>
          <w:numId w:val="70"/>
        </w:numPr>
        <w:rPr>
          <w:i/>
          <w:iCs/>
        </w:rPr>
      </w:pPr>
      <w:r w:rsidRPr="003134C3">
        <w:rPr>
          <w:i/>
          <w:iCs/>
        </w:rPr>
        <w:t>Darcy’s Track - Bank D</w:t>
      </w:r>
    </w:p>
    <w:p w14:paraId="5CFE9202" w14:textId="77777777" w:rsidR="004E6FD4" w:rsidRDefault="004E6FD4" w:rsidP="00DE6E94">
      <w:pPr>
        <w:pStyle w:val="ListParagraph"/>
        <w:numPr>
          <w:ilvl w:val="0"/>
          <w:numId w:val="70"/>
        </w:numPr>
        <w:rPr>
          <w:i/>
          <w:iCs/>
        </w:rPr>
      </w:pPr>
      <w:r w:rsidRPr="00B87AD1">
        <w:rPr>
          <w:i/>
          <w:iCs/>
        </w:rPr>
        <w:t xml:space="preserve">Loch Garry – Bank C </w:t>
      </w:r>
    </w:p>
    <w:p w14:paraId="2D343E47" w14:textId="77777777" w:rsidR="004E6FD4" w:rsidRDefault="004E6FD4" w:rsidP="00DE6E94">
      <w:pPr>
        <w:pStyle w:val="ListParagraph"/>
        <w:numPr>
          <w:ilvl w:val="0"/>
          <w:numId w:val="70"/>
        </w:numPr>
        <w:rPr>
          <w:i/>
          <w:iCs/>
        </w:rPr>
      </w:pPr>
      <w:r w:rsidRPr="00B87AD1">
        <w:rPr>
          <w:i/>
          <w:iCs/>
        </w:rPr>
        <w:t>McCoy’s Bridge - Bank E</w:t>
      </w:r>
    </w:p>
    <w:p w14:paraId="484604AE" w14:textId="77777777" w:rsidR="004E6FD4" w:rsidRDefault="004E6FD4" w:rsidP="004E6FD4"/>
    <w:p w14:paraId="412E6DB7" w14:textId="77777777" w:rsidR="004E6FD4" w:rsidRDefault="004E6FD4" w:rsidP="004E6FD4">
      <w:r>
        <w:br w:type="page"/>
      </w:r>
    </w:p>
    <w:p w14:paraId="2D33CB8A" w14:textId="77777777" w:rsidR="004E6FD4" w:rsidRDefault="004E6FD4" w:rsidP="004E6FD4">
      <w:pPr>
        <w:rPr>
          <w:b/>
          <w:bCs/>
        </w:rPr>
      </w:pPr>
      <w:r>
        <w:rPr>
          <w:b/>
          <w:bCs/>
        </w:rPr>
        <w:lastRenderedPageBreak/>
        <w:t>Darcy’s Track – Bank D</w:t>
      </w:r>
    </w:p>
    <w:p w14:paraId="3714409B" w14:textId="02F1A053" w:rsidR="004E6FD4" w:rsidRPr="002D1FF5" w:rsidRDefault="00FE5FE8" w:rsidP="004E6FD4">
      <w:r>
        <w:t xml:space="preserve">Figure </w:t>
      </w:r>
      <w:r>
        <w:rPr>
          <w:noProof/>
        </w:rPr>
        <w:t>B</w:t>
      </w:r>
      <w:r>
        <w:noBreakHyphen/>
      </w:r>
      <w:r>
        <w:rPr>
          <w:noProof/>
        </w:rPr>
        <w:t>1</w:t>
      </w:r>
      <w:r>
        <w:t xml:space="preserve"> </w:t>
      </w:r>
      <w:r w:rsidR="004E6FD4" w:rsidRPr="002D1FF5">
        <w:t>shows the DEMOD for the Spring Fresh period at Darcy’s Track bank D. Observations:</w:t>
      </w:r>
    </w:p>
    <w:p w14:paraId="1EFF3B20" w14:textId="77777777" w:rsidR="004E6FD4" w:rsidRPr="002D1FF5" w:rsidRDefault="004E6FD4" w:rsidP="00DE6E94">
      <w:pPr>
        <w:pStyle w:val="ListParagraph"/>
        <w:numPr>
          <w:ilvl w:val="0"/>
          <w:numId w:val="76"/>
        </w:numPr>
      </w:pPr>
      <w:r w:rsidRPr="002D1FF5">
        <w:t>Erosion is the dominant pattern of change with 5-10 cm occurring along the length of the lower bank (below 1,500 ML/d). Distinct line at a uniform elevation indicates the formation of notching.</w:t>
      </w:r>
    </w:p>
    <w:p w14:paraId="408BF2AC" w14:textId="77777777" w:rsidR="004E6FD4" w:rsidRPr="002D1FF5" w:rsidRDefault="004E6FD4" w:rsidP="00DE6E94">
      <w:pPr>
        <w:pStyle w:val="ListParagraph"/>
        <w:numPr>
          <w:ilvl w:val="0"/>
          <w:numId w:val="76"/>
        </w:numPr>
      </w:pPr>
      <w:r w:rsidRPr="002D1FF5">
        <w:t xml:space="preserve">There was minimal deposition except for small, localised areas on the mid-upper upper bank (approximately 2,000 ML/d and above), particularly around obstacles such as trees and woody debris. </w:t>
      </w:r>
    </w:p>
    <w:p w14:paraId="53E9853A" w14:textId="77777777" w:rsidR="004E6FD4" w:rsidRPr="002D1FF5" w:rsidRDefault="004E6FD4" w:rsidP="004E6FD4">
      <w:r w:rsidRPr="002D1FF5">
        <w:t xml:space="preserve">This pattern of change partially supports the hypothesis for this flow type. </w:t>
      </w:r>
    </w:p>
    <w:p w14:paraId="40A8EC9E" w14:textId="77777777" w:rsidR="004E6FD4" w:rsidRPr="002D1FF5" w:rsidRDefault="004E6FD4" w:rsidP="004E6FD4">
      <w:pPr>
        <w:keepNext/>
        <w:rPr>
          <w:noProof/>
        </w:rPr>
      </w:pPr>
    </w:p>
    <w:p w14:paraId="2B8A4E7A" w14:textId="77777777" w:rsidR="004E6FD4" w:rsidRPr="002D1FF5" w:rsidRDefault="004E6FD4" w:rsidP="0094171A">
      <w:pPr>
        <w:keepNext/>
        <w:jc w:val="center"/>
      </w:pPr>
      <w:r w:rsidRPr="002D1FF5">
        <w:rPr>
          <w:noProof/>
          <w:lang w:val="en-GB"/>
        </w:rPr>
        <w:drawing>
          <wp:inline distT="0" distB="0" distL="0" distR="0" wp14:anchorId="5E121113" wp14:editId="595CBBDB">
            <wp:extent cx="9215561" cy="2149567"/>
            <wp:effectExtent l="0" t="0" r="5080" b="3175"/>
            <wp:docPr id="93" name="Picture 9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10;&#10;Description automatically generated"/>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9265136" cy="2161131"/>
                    </a:xfrm>
                    <a:prstGeom prst="rect">
                      <a:avLst/>
                    </a:prstGeom>
                    <a:noFill/>
                  </pic:spPr>
                </pic:pic>
              </a:graphicData>
            </a:graphic>
          </wp:inline>
        </w:drawing>
      </w:r>
    </w:p>
    <w:p w14:paraId="300F597E" w14:textId="07CD635C" w:rsidR="00FE5FE8" w:rsidRDefault="00FE5FE8" w:rsidP="00E81DC4">
      <w:pPr>
        <w:pStyle w:val="Caption"/>
      </w:pPr>
      <w:bookmarkStart w:id="740" w:name="_Ref84474028"/>
      <w:bookmarkStart w:id="741" w:name="_Toc84475783"/>
      <w:r>
        <w:t xml:space="preserve">Figure </w:t>
      </w:r>
      <w:r>
        <w:rPr>
          <w:noProof/>
        </w:rPr>
        <w:t>B</w:t>
      </w:r>
      <w:r>
        <w:noBreakHyphen/>
      </w:r>
      <w:r>
        <w:rPr>
          <w:noProof/>
        </w:rPr>
        <w:t>1</w:t>
      </w:r>
      <w:bookmarkEnd w:id="740"/>
      <w:r>
        <w:t xml:space="preserve"> </w:t>
      </w:r>
      <w:r w:rsidRPr="002D1FF5">
        <w:t>DEMOD illustrating change in response to Spring Fresh event at Darcy’s Track bank D.</w:t>
      </w:r>
      <w:bookmarkEnd w:id="741"/>
    </w:p>
    <w:p w14:paraId="3566491B" w14:textId="77777777" w:rsidR="00FE5FE8" w:rsidRPr="00FE5FE8" w:rsidRDefault="00FE5FE8" w:rsidP="00FE5FE8"/>
    <w:p w14:paraId="11CC6C5F" w14:textId="77777777" w:rsidR="004E6FD4" w:rsidRDefault="004E6FD4" w:rsidP="004E6FD4">
      <w:r>
        <w:br w:type="page"/>
      </w:r>
    </w:p>
    <w:p w14:paraId="6A663247" w14:textId="77777777" w:rsidR="004E6FD4" w:rsidRPr="002D1FF5" w:rsidRDefault="004E6FD4" w:rsidP="004E6FD4">
      <w:pPr>
        <w:rPr>
          <w:b/>
          <w:bCs/>
        </w:rPr>
      </w:pPr>
      <w:r w:rsidRPr="002D1FF5">
        <w:rPr>
          <w:b/>
          <w:bCs/>
        </w:rPr>
        <w:lastRenderedPageBreak/>
        <w:t>Loch Garry – Bank C</w:t>
      </w:r>
    </w:p>
    <w:p w14:paraId="6DA3CFB7" w14:textId="6B202A10" w:rsidR="004E6FD4" w:rsidRPr="002D1FF5" w:rsidRDefault="00DE7A27" w:rsidP="004E6FD4">
      <w:r>
        <w:t xml:space="preserve">Figure </w:t>
      </w:r>
      <w:r>
        <w:rPr>
          <w:noProof/>
        </w:rPr>
        <w:t>B</w:t>
      </w:r>
      <w:r>
        <w:noBreakHyphen/>
      </w:r>
      <w:r>
        <w:rPr>
          <w:noProof/>
        </w:rPr>
        <w:t>2</w:t>
      </w:r>
      <w:r>
        <w:t xml:space="preserve"> </w:t>
      </w:r>
      <w:r w:rsidR="004E6FD4" w:rsidRPr="002D1FF5">
        <w:t>shows the DEMOD for the Spring Fresh period at Loch Garry bank C. Observations:</w:t>
      </w:r>
    </w:p>
    <w:p w14:paraId="40649E56" w14:textId="77777777" w:rsidR="004E6FD4" w:rsidRPr="002D1FF5" w:rsidRDefault="004E6FD4" w:rsidP="00DE6E94">
      <w:pPr>
        <w:pStyle w:val="ListParagraph"/>
        <w:numPr>
          <w:ilvl w:val="0"/>
          <w:numId w:val="77"/>
        </w:numPr>
      </w:pPr>
      <w:r w:rsidRPr="002D1FF5">
        <w:t xml:space="preserve">The dominant process across the entire bank is deposition, with up to 5 cm occurring on both on the lower bank (below the notch) and upper bank. </w:t>
      </w:r>
    </w:p>
    <w:p w14:paraId="6F1B10A5" w14:textId="77777777" w:rsidR="004E6FD4" w:rsidRPr="002D1FF5" w:rsidRDefault="004E6FD4" w:rsidP="00DE6E94">
      <w:pPr>
        <w:pStyle w:val="ListParagraph"/>
        <w:numPr>
          <w:ilvl w:val="0"/>
          <w:numId w:val="77"/>
        </w:numPr>
      </w:pPr>
      <w:r w:rsidRPr="002D1FF5">
        <w:t xml:space="preserve">There is sporadic and very minor erosion in place on the lower bank. </w:t>
      </w:r>
    </w:p>
    <w:p w14:paraId="7C5A8E1D" w14:textId="77777777" w:rsidR="004E6FD4" w:rsidRDefault="004E6FD4" w:rsidP="004E6FD4">
      <w:r w:rsidRPr="002D1FF5">
        <w:t>This pattern of change partly supports the hypothesis for this flow type.</w:t>
      </w:r>
    </w:p>
    <w:p w14:paraId="7D23C75F" w14:textId="77777777" w:rsidR="00C7268E" w:rsidRPr="002D1FF5" w:rsidRDefault="00C7268E" w:rsidP="004E6FD4">
      <w:pPr>
        <w:rPr>
          <w:b/>
          <w:bCs/>
        </w:rPr>
      </w:pPr>
    </w:p>
    <w:p w14:paraId="390AD842" w14:textId="77777777" w:rsidR="004E6FD4" w:rsidRPr="002D1FF5" w:rsidRDefault="004E6FD4" w:rsidP="0094171A">
      <w:pPr>
        <w:pStyle w:val="Caption"/>
        <w:jc w:val="center"/>
      </w:pPr>
      <w:r w:rsidRPr="002D1FF5">
        <w:rPr>
          <w:noProof/>
          <w:lang w:val="en-GB"/>
        </w:rPr>
        <w:drawing>
          <wp:inline distT="0" distB="0" distL="0" distR="0" wp14:anchorId="2683C802" wp14:editId="6F7AD3D3">
            <wp:extent cx="9461528" cy="2311880"/>
            <wp:effectExtent l="0" t="0" r="6350" b="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email">
                      <a:extLst>
                        <a:ext uri="{28A0092B-C50C-407E-A947-70E740481C1C}">
                          <a14:useLocalDpi xmlns:a14="http://schemas.microsoft.com/office/drawing/2010/main"/>
                        </a:ext>
                        <a:ext uri="{96DAC541-7B7A-43D3-8B79-37D633B846F1}">
                          <asvg:svgBlip xmlns:asvg="http://schemas.microsoft.com/office/drawing/2016/SVG/main" r:embed="rId114"/>
                        </a:ext>
                      </a:extLst>
                    </a:blip>
                    <a:srcRect b="56558"/>
                    <a:stretch/>
                  </pic:blipFill>
                  <pic:spPr bwMode="auto">
                    <a:xfrm>
                      <a:off x="0" y="0"/>
                      <a:ext cx="9499069" cy="2321053"/>
                    </a:xfrm>
                    <a:prstGeom prst="rect">
                      <a:avLst/>
                    </a:prstGeom>
                    <a:ln>
                      <a:noFill/>
                    </a:ln>
                    <a:extLst>
                      <a:ext uri="{53640926-AAD7-44D8-BBD7-CCE9431645EC}">
                        <a14:shadowObscured xmlns:a14="http://schemas.microsoft.com/office/drawing/2010/main"/>
                      </a:ext>
                    </a:extLst>
                  </pic:spPr>
                </pic:pic>
              </a:graphicData>
            </a:graphic>
          </wp:inline>
        </w:drawing>
      </w:r>
    </w:p>
    <w:p w14:paraId="0900595B" w14:textId="3992DFB5" w:rsidR="00DE7A27" w:rsidRDefault="00DE7A27" w:rsidP="00E81DC4">
      <w:pPr>
        <w:pStyle w:val="Caption"/>
      </w:pPr>
      <w:bookmarkStart w:id="742" w:name="_Ref84474060"/>
      <w:bookmarkStart w:id="743" w:name="_Toc84475784"/>
      <w:r>
        <w:t xml:space="preserve">Figure </w:t>
      </w:r>
      <w:r>
        <w:rPr>
          <w:noProof/>
        </w:rPr>
        <w:t>B</w:t>
      </w:r>
      <w:r>
        <w:noBreakHyphen/>
      </w:r>
      <w:r>
        <w:rPr>
          <w:noProof/>
        </w:rPr>
        <w:t>2</w:t>
      </w:r>
      <w:bookmarkEnd w:id="742"/>
      <w:r>
        <w:t xml:space="preserve"> </w:t>
      </w:r>
      <w:r w:rsidRPr="002D1FF5">
        <w:t>DEMOD illustrating change in response to Spring Fresh event at Loch Garry bank C.</w:t>
      </w:r>
      <w:bookmarkEnd w:id="743"/>
    </w:p>
    <w:p w14:paraId="472D50F1" w14:textId="77777777" w:rsidR="004E6FD4" w:rsidRDefault="004E6FD4" w:rsidP="004E6FD4"/>
    <w:p w14:paraId="3086FA81" w14:textId="77777777" w:rsidR="004E6FD4" w:rsidRDefault="004E6FD4" w:rsidP="004E6FD4">
      <w:r>
        <w:br w:type="page"/>
      </w:r>
    </w:p>
    <w:p w14:paraId="4544EF3E" w14:textId="77777777" w:rsidR="004E6FD4" w:rsidRPr="002D1FF5" w:rsidRDefault="004E6FD4" w:rsidP="004E6FD4">
      <w:pPr>
        <w:rPr>
          <w:b/>
          <w:bCs/>
        </w:rPr>
      </w:pPr>
      <w:r w:rsidRPr="002D1FF5">
        <w:rPr>
          <w:b/>
          <w:bCs/>
        </w:rPr>
        <w:lastRenderedPageBreak/>
        <w:t>McCoy’s Bridge – Bank E</w:t>
      </w:r>
    </w:p>
    <w:p w14:paraId="009B0933" w14:textId="4AAAD3E0" w:rsidR="004E6FD4" w:rsidRPr="002D1FF5" w:rsidRDefault="00DE7A27" w:rsidP="004E6FD4">
      <w:r>
        <w:t xml:space="preserve">Figure </w:t>
      </w:r>
      <w:r>
        <w:rPr>
          <w:noProof/>
        </w:rPr>
        <w:t>B</w:t>
      </w:r>
      <w:r>
        <w:noBreakHyphen/>
      </w:r>
      <w:r>
        <w:rPr>
          <w:noProof/>
        </w:rPr>
        <w:t>3</w:t>
      </w:r>
      <w:r>
        <w:t xml:space="preserve"> </w:t>
      </w:r>
      <w:r w:rsidR="004E6FD4" w:rsidRPr="002D1FF5">
        <w:t>shows the DEMOD for the Spring Fresh period for McCoy’s Bridge bank E. Observations:</w:t>
      </w:r>
    </w:p>
    <w:p w14:paraId="56BC9DAD" w14:textId="77777777" w:rsidR="004E6FD4" w:rsidRPr="002D1FF5" w:rsidRDefault="004E6FD4" w:rsidP="00DE6E94">
      <w:pPr>
        <w:pStyle w:val="ListParagraph"/>
        <w:numPr>
          <w:ilvl w:val="0"/>
          <w:numId w:val="78"/>
        </w:numPr>
      </w:pPr>
      <w:r w:rsidRPr="002D1FF5">
        <w:t xml:space="preserve">Deposition (mostly less than 5 cm) is dominant upstream and along the lower bank where it is more severe (below 1,500 ML/d level). </w:t>
      </w:r>
    </w:p>
    <w:p w14:paraId="1CF9DFE0" w14:textId="77777777" w:rsidR="004E6FD4" w:rsidRPr="002D1FF5" w:rsidRDefault="004E6FD4" w:rsidP="00DE6E94">
      <w:pPr>
        <w:pStyle w:val="ListParagraph"/>
        <w:numPr>
          <w:ilvl w:val="0"/>
          <w:numId w:val="78"/>
        </w:numPr>
      </w:pPr>
      <w:r w:rsidRPr="002D1FF5">
        <w:t xml:space="preserve">Erosion of similar magnitudes is dominant on the upper bank at the downstream end. </w:t>
      </w:r>
    </w:p>
    <w:p w14:paraId="390E5424" w14:textId="77777777" w:rsidR="004E6FD4" w:rsidRDefault="004E6FD4" w:rsidP="004E6FD4">
      <w:r w:rsidRPr="002D1FF5">
        <w:t>This pattern of change supports the hypothesis for this flow type.</w:t>
      </w:r>
    </w:p>
    <w:p w14:paraId="06F889C9" w14:textId="77777777" w:rsidR="00C7268E" w:rsidRPr="002D1FF5" w:rsidRDefault="00C7268E" w:rsidP="004E6FD4"/>
    <w:p w14:paraId="75BEB2A8" w14:textId="77777777" w:rsidR="004E6FD4" w:rsidRPr="002D1FF5" w:rsidRDefault="004E6FD4" w:rsidP="0094171A">
      <w:pPr>
        <w:keepNext/>
        <w:jc w:val="center"/>
      </w:pPr>
      <w:r w:rsidRPr="002D1FF5">
        <w:rPr>
          <w:noProof/>
          <w:lang w:val="en-GB"/>
        </w:rPr>
        <w:drawing>
          <wp:inline distT="0" distB="0" distL="0" distR="0" wp14:anchorId="1E7492FA" wp14:editId="559F9EE4">
            <wp:extent cx="9223513" cy="2488132"/>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9261428" cy="2498360"/>
                    </a:xfrm>
                    <a:prstGeom prst="rect">
                      <a:avLst/>
                    </a:prstGeom>
                    <a:noFill/>
                  </pic:spPr>
                </pic:pic>
              </a:graphicData>
            </a:graphic>
          </wp:inline>
        </w:drawing>
      </w:r>
    </w:p>
    <w:p w14:paraId="67F7A349" w14:textId="254912ED" w:rsidR="00DE7A27" w:rsidRDefault="00DE7A27" w:rsidP="00DE7A27">
      <w:pPr>
        <w:pStyle w:val="Caption"/>
      </w:pPr>
      <w:bookmarkStart w:id="744" w:name="_Ref84474102"/>
      <w:bookmarkStart w:id="745" w:name="_Toc84475785"/>
      <w:r>
        <w:t xml:space="preserve">Figure </w:t>
      </w:r>
      <w:r>
        <w:rPr>
          <w:noProof/>
        </w:rPr>
        <w:t>B</w:t>
      </w:r>
      <w:r>
        <w:noBreakHyphen/>
      </w:r>
      <w:r>
        <w:rPr>
          <w:noProof/>
        </w:rPr>
        <w:t>3</w:t>
      </w:r>
      <w:bookmarkEnd w:id="744"/>
      <w:r>
        <w:t xml:space="preserve"> </w:t>
      </w:r>
      <w:r w:rsidRPr="002D1FF5">
        <w:t>DEMOD illustrating change in response to Spring Fresh event at McCoy’s Bridge bank E.</w:t>
      </w:r>
      <w:bookmarkEnd w:id="745"/>
    </w:p>
    <w:p w14:paraId="147283D9" w14:textId="22401EBC" w:rsidR="00DE7A27" w:rsidRDefault="00DE7A27" w:rsidP="00E81DC4">
      <w:pPr>
        <w:pStyle w:val="Caption"/>
      </w:pPr>
    </w:p>
    <w:p w14:paraId="29285430" w14:textId="77777777" w:rsidR="004E6FD4" w:rsidRPr="004B71AE" w:rsidRDefault="004E6FD4" w:rsidP="004E6FD4"/>
    <w:p w14:paraId="0B328610" w14:textId="77777777" w:rsidR="004E6FD4" w:rsidRDefault="004E6FD4" w:rsidP="004E6FD4">
      <w:pPr>
        <w:rPr>
          <w:rFonts w:ascii="Georgia" w:eastAsia="SimHei" w:hAnsi="Georgia" w:cs="Times New Roman"/>
          <w:color w:val="094183"/>
          <w:sz w:val="24"/>
          <w:szCs w:val="24"/>
          <w:highlight w:val="green"/>
          <w:lang w:eastAsia="en-US"/>
        </w:rPr>
      </w:pPr>
      <w:r>
        <w:rPr>
          <w:highlight w:val="green"/>
        </w:rPr>
        <w:br w:type="page"/>
      </w:r>
    </w:p>
    <w:p w14:paraId="2C4DD860" w14:textId="144A6812" w:rsidR="004E6FD4" w:rsidRDefault="00E70A00" w:rsidP="00E70A00">
      <w:pPr>
        <w:pStyle w:val="Heading7"/>
        <w:numPr>
          <w:ilvl w:val="0"/>
          <w:numId w:val="0"/>
        </w:numPr>
        <w:ind w:left="1296" w:hanging="1296"/>
      </w:pPr>
      <w:bookmarkStart w:id="746" w:name="_Toc84417451"/>
      <w:r>
        <w:lastRenderedPageBreak/>
        <w:t xml:space="preserve">B2 - </w:t>
      </w:r>
      <w:r w:rsidR="004E6FD4">
        <w:t xml:space="preserve">IVT </w:t>
      </w:r>
      <w:r w:rsidR="00F969B8">
        <w:t>p</w:t>
      </w:r>
      <w:r w:rsidR="004E6FD4">
        <w:t>eriod</w:t>
      </w:r>
      <w:bookmarkEnd w:id="746"/>
    </w:p>
    <w:p w14:paraId="41729612" w14:textId="77777777" w:rsidR="004E6FD4" w:rsidRPr="002D1FF5" w:rsidRDefault="004E6FD4" w:rsidP="004E6FD4">
      <w:pPr>
        <w:rPr>
          <w:lang w:eastAsia="en-US"/>
        </w:rPr>
      </w:pPr>
      <w:r w:rsidRPr="002D1FF5">
        <w:rPr>
          <w:lang w:eastAsia="en-US"/>
        </w:rPr>
        <w:t>The following banks were monitored before and after the IVT period to capture changes to bank condition during this period:</w:t>
      </w:r>
    </w:p>
    <w:p w14:paraId="63F3F70B" w14:textId="77777777" w:rsidR="004E6FD4" w:rsidRPr="002D1FF5" w:rsidRDefault="004E6FD4" w:rsidP="00DE6E94">
      <w:pPr>
        <w:pStyle w:val="ListParagraph"/>
        <w:numPr>
          <w:ilvl w:val="0"/>
          <w:numId w:val="70"/>
        </w:numPr>
        <w:rPr>
          <w:i/>
          <w:iCs/>
        </w:rPr>
      </w:pPr>
      <w:r w:rsidRPr="002D1FF5">
        <w:rPr>
          <w:i/>
          <w:iCs/>
        </w:rPr>
        <w:t>Darcy’s Track - Bank D</w:t>
      </w:r>
    </w:p>
    <w:p w14:paraId="21595E47" w14:textId="77777777" w:rsidR="004E6FD4" w:rsidRPr="002D1FF5" w:rsidRDefault="004E6FD4" w:rsidP="00DE6E94">
      <w:pPr>
        <w:pStyle w:val="ListParagraph"/>
        <w:numPr>
          <w:ilvl w:val="0"/>
          <w:numId w:val="70"/>
        </w:numPr>
        <w:rPr>
          <w:i/>
          <w:iCs/>
        </w:rPr>
      </w:pPr>
      <w:r w:rsidRPr="002D1FF5">
        <w:rPr>
          <w:i/>
          <w:iCs/>
        </w:rPr>
        <w:t xml:space="preserve">Loch Garry - Bank C </w:t>
      </w:r>
    </w:p>
    <w:p w14:paraId="3917632F" w14:textId="210B0337" w:rsidR="004E6FD4" w:rsidRPr="002D1FF5" w:rsidRDefault="004E6FD4" w:rsidP="00DE6E94">
      <w:pPr>
        <w:pStyle w:val="ListParagraph"/>
        <w:numPr>
          <w:ilvl w:val="0"/>
          <w:numId w:val="70"/>
        </w:numPr>
        <w:rPr>
          <w:i/>
          <w:iCs/>
        </w:rPr>
      </w:pPr>
      <w:r w:rsidRPr="002D1FF5">
        <w:rPr>
          <w:i/>
          <w:iCs/>
        </w:rPr>
        <w:t>McCoy’s Bridge - Bank C, Bank D, and Bank E</w:t>
      </w:r>
    </w:p>
    <w:p w14:paraId="5144C1D6" w14:textId="77777777" w:rsidR="004E6FD4" w:rsidRPr="002D1FF5" w:rsidRDefault="004E6FD4" w:rsidP="004E6FD4">
      <w:pPr>
        <w:rPr>
          <w:b/>
          <w:bCs/>
        </w:rPr>
      </w:pPr>
      <w:bookmarkStart w:id="747" w:name="_Hlk80719508"/>
      <w:r w:rsidRPr="002D1FF5">
        <w:rPr>
          <w:b/>
          <w:bCs/>
        </w:rPr>
        <w:t>Darcy’s Track – Bank D</w:t>
      </w:r>
    </w:p>
    <w:p w14:paraId="55CD1EAF" w14:textId="0800E6F2" w:rsidR="004E6FD4" w:rsidRPr="002D1FF5" w:rsidRDefault="001C639B" w:rsidP="004E6FD4">
      <w:r>
        <w:t xml:space="preserve">Figure </w:t>
      </w:r>
      <w:r>
        <w:rPr>
          <w:noProof/>
        </w:rPr>
        <w:t>B</w:t>
      </w:r>
      <w:r>
        <w:noBreakHyphen/>
      </w:r>
      <w:r>
        <w:rPr>
          <w:noProof/>
        </w:rPr>
        <w:t>4</w:t>
      </w:r>
      <w:r>
        <w:t xml:space="preserve"> </w:t>
      </w:r>
      <w:r w:rsidR="004E6FD4" w:rsidRPr="002D1FF5">
        <w:t>shows the DEMOD for the IVT period at Darcy’s Track bank D. Observations:</w:t>
      </w:r>
    </w:p>
    <w:p w14:paraId="391F07A6" w14:textId="77777777" w:rsidR="004E6FD4" w:rsidRPr="002D1FF5" w:rsidRDefault="004E6FD4" w:rsidP="00DE6E94">
      <w:pPr>
        <w:pStyle w:val="ListParagraph"/>
        <w:numPr>
          <w:ilvl w:val="0"/>
          <w:numId w:val="79"/>
        </w:numPr>
      </w:pPr>
      <w:r w:rsidRPr="002D1FF5">
        <w:t xml:space="preserve">The dominant pattern is one of widespread and deep erosion (10-20 cm) on the lower-mid bank (estimated to be in the 1,300 – 2,000 ML/d range). The severity of erosion is greater than observed </w:t>
      </w:r>
      <w:proofErr w:type="gramStart"/>
      <w:r w:rsidRPr="002D1FF5">
        <w:t>as a result of</w:t>
      </w:r>
      <w:proofErr w:type="gramEnd"/>
      <w:r w:rsidRPr="002D1FF5">
        <w:t xml:space="preserve"> the Spring Fresh. </w:t>
      </w:r>
    </w:p>
    <w:p w14:paraId="7675509B" w14:textId="77777777" w:rsidR="004E6FD4" w:rsidRPr="002D1FF5" w:rsidRDefault="004E6FD4" w:rsidP="00DE6E94">
      <w:pPr>
        <w:pStyle w:val="ListParagraph"/>
        <w:numPr>
          <w:ilvl w:val="0"/>
          <w:numId w:val="79"/>
        </w:numPr>
      </w:pPr>
      <w:r w:rsidRPr="002D1FF5">
        <w:t xml:space="preserve">There was minor deposition (&lt;3cms) in areas above (&gt;2,000 ML/d) and below (&lt;1,300) areas of major erosion. </w:t>
      </w:r>
    </w:p>
    <w:p w14:paraId="0DA23A54" w14:textId="77777777" w:rsidR="004E6FD4" w:rsidRDefault="004E6FD4" w:rsidP="004E6FD4">
      <w:r w:rsidRPr="002D1FF5">
        <w:t>This pattern of change strongly supports the hypothesis for this flow type.</w:t>
      </w:r>
    </w:p>
    <w:p w14:paraId="7FA77163" w14:textId="77777777" w:rsidR="00C7268E" w:rsidRPr="002D1FF5" w:rsidRDefault="00C7268E" w:rsidP="004E6FD4"/>
    <w:bookmarkEnd w:id="747"/>
    <w:p w14:paraId="23A47146" w14:textId="77777777" w:rsidR="004E6FD4" w:rsidRPr="002D1FF5" w:rsidRDefault="004E6FD4" w:rsidP="0094171A">
      <w:pPr>
        <w:keepNext/>
        <w:jc w:val="center"/>
      </w:pPr>
      <w:r w:rsidRPr="002D1FF5">
        <w:rPr>
          <w:noProof/>
          <w:lang w:val="en-GB"/>
        </w:rPr>
        <w:drawing>
          <wp:inline distT="0" distB="0" distL="0" distR="0" wp14:anchorId="580BC031" wp14:editId="679F84F7">
            <wp:extent cx="9187815" cy="2790430"/>
            <wp:effectExtent l="0" t="0" r="0" b="0"/>
            <wp:docPr id="513" name="Picture 513"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descr="A screenshot of a video game&#10;&#10;Description automatically generated with medium confidence"/>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9231449" cy="2803682"/>
                    </a:xfrm>
                    <a:prstGeom prst="rect">
                      <a:avLst/>
                    </a:prstGeom>
                    <a:noFill/>
                  </pic:spPr>
                </pic:pic>
              </a:graphicData>
            </a:graphic>
          </wp:inline>
        </w:drawing>
      </w:r>
    </w:p>
    <w:p w14:paraId="511E9C21" w14:textId="0AB799CD" w:rsidR="001C639B" w:rsidRPr="001C639B" w:rsidRDefault="001C639B" w:rsidP="001C639B">
      <w:pPr>
        <w:pStyle w:val="Caption"/>
      </w:pPr>
      <w:bookmarkStart w:id="748" w:name="_Ref84474156"/>
      <w:bookmarkStart w:id="749" w:name="_Toc84475786"/>
      <w:r>
        <w:t xml:space="preserve">Figure </w:t>
      </w:r>
      <w:r>
        <w:rPr>
          <w:noProof/>
        </w:rPr>
        <w:t>B</w:t>
      </w:r>
      <w:r>
        <w:noBreakHyphen/>
      </w:r>
      <w:r>
        <w:rPr>
          <w:noProof/>
        </w:rPr>
        <w:t>4</w:t>
      </w:r>
      <w:bookmarkEnd w:id="748"/>
      <w:r>
        <w:t xml:space="preserve"> </w:t>
      </w:r>
      <w:r w:rsidRPr="002D1FF5">
        <w:t>DEMOD illustrating change in response to IVT period at Darcy’s Track bank D. Note the wider colour scale (-0.2m to 0.2m) to capture the large magnitude changes.</w:t>
      </w:r>
      <w:bookmarkEnd w:id="749"/>
    </w:p>
    <w:p w14:paraId="186AC641" w14:textId="18C58512" w:rsidR="004E6FD4" w:rsidRPr="002D1FF5" w:rsidRDefault="004E6FD4" w:rsidP="004E6FD4">
      <w:pPr>
        <w:rPr>
          <w:b/>
          <w:bCs/>
        </w:rPr>
      </w:pPr>
      <w:r w:rsidRPr="002D1FF5">
        <w:rPr>
          <w:b/>
          <w:bCs/>
        </w:rPr>
        <w:lastRenderedPageBreak/>
        <w:t>Loch Garry – Bank C</w:t>
      </w:r>
    </w:p>
    <w:p w14:paraId="53447139" w14:textId="0035311D" w:rsidR="004E6FD4" w:rsidRPr="002D1FF5" w:rsidRDefault="00E06A01" w:rsidP="004E6FD4">
      <w:r>
        <w:t xml:space="preserve">Figure </w:t>
      </w:r>
      <w:r>
        <w:rPr>
          <w:noProof/>
        </w:rPr>
        <w:t>B</w:t>
      </w:r>
      <w:r>
        <w:noBreakHyphen/>
      </w:r>
      <w:r>
        <w:rPr>
          <w:noProof/>
        </w:rPr>
        <w:t>5</w:t>
      </w:r>
      <w:r>
        <w:rPr>
          <w:b/>
          <w:bCs/>
        </w:rPr>
        <w:t xml:space="preserve"> </w:t>
      </w:r>
      <w:r w:rsidR="004E6FD4" w:rsidRPr="002D1FF5">
        <w:t>shows the DEMOD for the IVT period at Loch Ga</w:t>
      </w:r>
      <w:r w:rsidR="00155FEF" w:rsidRPr="002D1FF5">
        <w:t>r</w:t>
      </w:r>
      <w:r w:rsidR="004E6FD4" w:rsidRPr="002D1FF5">
        <w:t>ry bank C. Observations:</w:t>
      </w:r>
    </w:p>
    <w:p w14:paraId="03B867BC" w14:textId="77777777" w:rsidR="004E6FD4" w:rsidRPr="002D1FF5" w:rsidRDefault="004E6FD4" w:rsidP="00DE6E94">
      <w:pPr>
        <w:pStyle w:val="ListParagraph"/>
        <w:numPr>
          <w:ilvl w:val="0"/>
          <w:numId w:val="80"/>
        </w:numPr>
        <w:rPr>
          <w:b/>
        </w:rPr>
      </w:pPr>
      <w:r w:rsidRPr="002D1FF5">
        <w:t xml:space="preserve">Erosion is the dominant process at this site, with deep erosion (up to 20 cm) primarily expressed on the downstream end of bank and most evident near the toe (estimated at 1,200- 1,500 ML/d level). </w:t>
      </w:r>
    </w:p>
    <w:p w14:paraId="54704A79" w14:textId="77777777" w:rsidR="004E6FD4" w:rsidRPr="002D1FF5" w:rsidRDefault="004E6FD4" w:rsidP="00DE6E94">
      <w:pPr>
        <w:pStyle w:val="ListParagraph"/>
        <w:numPr>
          <w:ilvl w:val="0"/>
          <w:numId w:val="80"/>
        </w:numPr>
        <w:rPr>
          <w:b/>
        </w:rPr>
      </w:pPr>
      <w:r w:rsidRPr="002D1FF5">
        <w:t xml:space="preserve">Minor erosion was also observed across the same zone in the upstream section. </w:t>
      </w:r>
    </w:p>
    <w:p w14:paraId="72E5E01E" w14:textId="6032613C" w:rsidR="004E6FD4" w:rsidRPr="002D1FF5" w:rsidRDefault="004E6FD4" w:rsidP="00DE6E94">
      <w:pPr>
        <w:pStyle w:val="ListParagraph"/>
        <w:numPr>
          <w:ilvl w:val="0"/>
          <w:numId w:val="80"/>
        </w:numPr>
        <w:rPr>
          <w:b/>
        </w:rPr>
      </w:pPr>
      <w:r w:rsidRPr="002D1FF5">
        <w:t xml:space="preserve">Deposition was minor (&lt;3cm) and spares in areas relating to flows &gt;1,500 ML/d, </w:t>
      </w:r>
      <w:proofErr w:type="gramStart"/>
      <w:r w:rsidRPr="002D1FF5">
        <w:t>in particular where</w:t>
      </w:r>
      <w:proofErr w:type="gramEnd"/>
      <w:r w:rsidRPr="002D1FF5">
        <w:t xml:space="preserve"> there is increased roughness (for example due to vegetation). </w:t>
      </w:r>
    </w:p>
    <w:p w14:paraId="77D3C8C5" w14:textId="77777777" w:rsidR="004E6FD4" w:rsidRDefault="004E6FD4" w:rsidP="004E6FD4">
      <w:r w:rsidRPr="002D1FF5">
        <w:t>This pattern of change supports the hypothesis for this flow type.</w:t>
      </w:r>
    </w:p>
    <w:p w14:paraId="483BD1FA" w14:textId="77777777" w:rsidR="00C7268E" w:rsidRPr="002D1FF5" w:rsidRDefault="00C7268E" w:rsidP="004E6FD4">
      <w:pPr>
        <w:rPr>
          <w:b/>
        </w:rPr>
      </w:pPr>
    </w:p>
    <w:p w14:paraId="12CA20BC" w14:textId="77777777" w:rsidR="004E6FD4" w:rsidRPr="002D1FF5" w:rsidRDefault="004E6FD4" w:rsidP="0094171A">
      <w:pPr>
        <w:pStyle w:val="SNormalText"/>
        <w:keepNext/>
        <w:jc w:val="center"/>
      </w:pPr>
      <w:r w:rsidRPr="002D1FF5">
        <w:rPr>
          <w:noProof/>
          <w:lang w:val="en-GB" w:eastAsia="zh-CN"/>
        </w:rPr>
        <w:drawing>
          <wp:inline distT="0" distB="0" distL="0" distR="0" wp14:anchorId="7F95686B" wp14:editId="21D3CA55">
            <wp:extent cx="9227928" cy="3536830"/>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email">
                      <a:extLst>
                        <a:ext uri="{28A0092B-C50C-407E-A947-70E740481C1C}">
                          <a14:useLocalDpi xmlns:a14="http://schemas.microsoft.com/office/drawing/2010/main"/>
                        </a:ext>
                      </a:extLst>
                    </a:blip>
                    <a:stretch>
                      <a:fillRect/>
                    </a:stretch>
                  </pic:blipFill>
                  <pic:spPr>
                    <a:xfrm>
                      <a:off x="0" y="0"/>
                      <a:ext cx="9249427" cy="3545070"/>
                    </a:xfrm>
                    <a:prstGeom prst="rect">
                      <a:avLst/>
                    </a:prstGeom>
                  </pic:spPr>
                </pic:pic>
              </a:graphicData>
            </a:graphic>
          </wp:inline>
        </w:drawing>
      </w:r>
    </w:p>
    <w:p w14:paraId="2E318B1B" w14:textId="59C90317" w:rsidR="001F0ECD" w:rsidRDefault="001F0ECD" w:rsidP="001F0ECD">
      <w:pPr>
        <w:pStyle w:val="Caption"/>
      </w:pPr>
      <w:bookmarkStart w:id="750" w:name="_Ref84474209"/>
      <w:bookmarkStart w:id="751" w:name="_Toc84475787"/>
      <w:r>
        <w:t xml:space="preserve">Figure </w:t>
      </w:r>
      <w:r w:rsidR="00E06A01">
        <w:rPr>
          <w:noProof/>
        </w:rPr>
        <w:t>B</w:t>
      </w:r>
      <w:r>
        <w:noBreakHyphen/>
      </w:r>
      <w:r w:rsidR="00E06A01">
        <w:rPr>
          <w:noProof/>
        </w:rPr>
        <w:t>5</w:t>
      </w:r>
      <w:bookmarkEnd w:id="750"/>
      <w:r>
        <w:t xml:space="preserve"> </w:t>
      </w:r>
      <w:r w:rsidRPr="002D1FF5">
        <w:t>DEMOD illustrating change in response to IVT period at Loch Garry bank C.</w:t>
      </w:r>
      <w:bookmarkEnd w:id="751"/>
    </w:p>
    <w:p w14:paraId="6523A771" w14:textId="3DB24614" w:rsidR="001F0ECD" w:rsidRDefault="001F0ECD" w:rsidP="00E81DC4">
      <w:pPr>
        <w:pStyle w:val="Caption"/>
      </w:pPr>
    </w:p>
    <w:p w14:paraId="64E7DD87" w14:textId="5E8568FA" w:rsidR="004E6FD4" w:rsidRPr="0094171A" w:rsidRDefault="004E6FD4" w:rsidP="004E6FD4">
      <w:pPr>
        <w:rPr>
          <w:b/>
          <w:bCs/>
        </w:rPr>
      </w:pPr>
      <w:r w:rsidRPr="0094171A">
        <w:rPr>
          <w:b/>
          <w:bCs/>
        </w:rPr>
        <w:lastRenderedPageBreak/>
        <w:t>McCoy’s Bridge – Bank C</w:t>
      </w:r>
    </w:p>
    <w:p w14:paraId="2E2A5E09" w14:textId="2B544163" w:rsidR="004E6FD4" w:rsidRPr="0094171A" w:rsidRDefault="00357C53" w:rsidP="004E6FD4">
      <w:r>
        <w:t xml:space="preserve">Figure </w:t>
      </w:r>
      <w:r>
        <w:rPr>
          <w:noProof/>
        </w:rPr>
        <w:t>B</w:t>
      </w:r>
      <w:r>
        <w:noBreakHyphen/>
      </w:r>
      <w:r>
        <w:rPr>
          <w:noProof/>
        </w:rPr>
        <w:t>6</w:t>
      </w:r>
      <w:r>
        <w:rPr>
          <w:b/>
          <w:bCs/>
        </w:rPr>
        <w:t xml:space="preserve"> </w:t>
      </w:r>
      <w:r w:rsidR="004E6FD4" w:rsidRPr="0094171A">
        <w:t>shows the DEMOD for the IVT period at McCoy’s Bridge bank C. Observations:</w:t>
      </w:r>
    </w:p>
    <w:p w14:paraId="2A663884" w14:textId="60D81C33" w:rsidR="004E6FD4" w:rsidRPr="0094171A" w:rsidRDefault="004E6FD4" w:rsidP="00DE6E94">
      <w:pPr>
        <w:pStyle w:val="ListParagraph"/>
        <w:numPr>
          <w:ilvl w:val="0"/>
          <w:numId w:val="72"/>
        </w:numPr>
      </w:pPr>
      <w:r w:rsidRPr="0094171A">
        <w:t>Defined erosion (4-7 cm) on the lower bank as a defined thin line at the lowest visible area of bank (around 1,100 ML/d flows) and higher (up to 1,700</w:t>
      </w:r>
      <w:r w:rsidR="004A6FFF" w:rsidRPr="0094171A">
        <w:t xml:space="preserve"> </w:t>
      </w:r>
      <w:r w:rsidRPr="0094171A">
        <w:t>ML/d) on the downstream bar feature.</w:t>
      </w:r>
    </w:p>
    <w:p w14:paraId="2E92F11A" w14:textId="77777777" w:rsidR="004E6FD4" w:rsidRPr="0094171A" w:rsidRDefault="004E6FD4" w:rsidP="00DE6E94">
      <w:pPr>
        <w:pStyle w:val="ListParagraph"/>
        <w:numPr>
          <w:ilvl w:val="0"/>
          <w:numId w:val="72"/>
        </w:numPr>
      </w:pPr>
      <w:r w:rsidRPr="0094171A">
        <w:t>Widespread deposition (3-7 cm) across the middle and upper bank is largely the result of accumulated organic debris (</w:t>
      </w:r>
      <w:proofErr w:type="gramStart"/>
      <w:r w:rsidRPr="0094171A">
        <w:t>e.g.</w:t>
      </w:r>
      <w:proofErr w:type="gramEnd"/>
      <w:r w:rsidRPr="0094171A">
        <w:t xml:space="preserve"> leaf litter), not sediment deposition from flows.</w:t>
      </w:r>
    </w:p>
    <w:p w14:paraId="5638416B" w14:textId="77777777" w:rsidR="004E6FD4" w:rsidRPr="0094171A" w:rsidRDefault="004E6FD4" w:rsidP="00DE6E94">
      <w:pPr>
        <w:pStyle w:val="ListParagraph"/>
        <w:numPr>
          <w:ilvl w:val="0"/>
          <w:numId w:val="71"/>
        </w:numPr>
      </w:pPr>
      <w:r w:rsidRPr="0094171A" w:rsidDel="00FB2A6D">
        <w:t>Erosion</w:t>
      </w:r>
      <w:r w:rsidRPr="0094171A">
        <w:t xml:space="preserve"> evident on path down the bank arguably from water or campers.</w:t>
      </w:r>
    </w:p>
    <w:p w14:paraId="473290F2" w14:textId="77777777" w:rsidR="004E6FD4" w:rsidRDefault="004E6FD4" w:rsidP="004E6FD4">
      <w:r w:rsidRPr="0094171A">
        <w:t>This pattern of change supports the hypothesis for this flow type.</w:t>
      </w:r>
    </w:p>
    <w:p w14:paraId="419D2492" w14:textId="77777777" w:rsidR="00C7268E" w:rsidRPr="0094171A" w:rsidRDefault="00C7268E" w:rsidP="004E6FD4"/>
    <w:p w14:paraId="79EF5D0A" w14:textId="77777777" w:rsidR="004E6FD4" w:rsidRPr="0094171A" w:rsidRDefault="004E6FD4" w:rsidP="0094171A">
      <w:pPr>
        <w:pStyle w:val="Caption"/>
        <w:jc w:val="center"/>
      </w:pPr>
      <w:r w:rsidRPr="0094171A">
        <w:rPr>
          <w:noProof/>
          <w:lang w:val="en-GB"/>
        </w:rPr>
        <w:drawing>
          <wp:inline distT="0" distB="0" distL="0" distR="0" wp14:anchorId="5505E34A" wp14:editId="5DED6180">
            <wp:extent cx="9250654" cy="3485072"/>
            <wp:effectExtent l="0" t="0" r="8255" b="1270"/>
            <wp:docPr id="39" name="Picture 3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10;&#10;Description automatically generated"/>
                    <pic:cNvPicPr/>
                  </pic:nvPicPr>
                  <pic:blipFill>
                    <a:blip r:embed="rId118" cstate="email">
                      <a:extLst>
                        <a:ext uri="{28A0092B-C50C-407E-A947-70E740481C1C}">
                          <a14:useLocalDpi xmlns:a14="http://schemas.microsoft.com/office/drawing/2010/main"/>
                        </a:ext>
                      </a:extLst>
                    </a:blip>
                    <a:stretch>
                      <a:fillRect/>
                    </a:stretch>
                  </pic:blipFill>
                  <pic:spPr>
                    <a:xfrm>
                      <a:off x="0" y="0"/>
                      <a:ext cx="9283488" cy="3497442"/>
                    </a:xfrm>
                    <a:prstGeom prst="rect">
                      <a:avLst/>
                    </a:prstGeom>
                  </pic:spPr>
                </pic:pic>
              </a:graphicData>
            </a:graphic>
          </wp:inline>
        </w:drawing>
      </w:r>
    </w:p>
    <w:p w14:paraId="0902DE25" w14:textId="4E111364" w:rsidR="00357C53" w:rsidRDefault="00357C53" w:rsidP="00E81DC4">
      <w:pPr>
        <w:pStyle w:val="Caption"/>
      </w:pPr>
      <w:bookmarkStart w:id="752" w:name="_Ref84474260"/>
      <w:bookmarkStart w:id="753" w:name="_Toc84475788"/>
      <w:r>
        <w:t xml:space="preserve">Figure </w:t>
      </w:r>
      <w:r>
        <w:rPr>
          <w:noProof/>
        </w:rPr>
        <w:t>B</w:t>
      </w:r>
      <w:r>
        <w:noBreakHyphen/>
      </w:r>
      <w:r>
        <w:rPr>
          <w:noProof/>
        </w:rPr>
        <w:t>6</w:t>
      </w:r>
      <w:bookmarkEnd w:id="752"/>
      <w:r>
        <w:t xml:space="preserve"> </w:t>
      </w:r>
      <w:r w:rsidRPr="0094171A">
        <w:t>DEMOD illustrating change in response to IVT period at McCoy’s Bridge bank C.</w:t>
      </w:r>
      <w:bookmarkEnd w:id="753"/>
    </w:p>
    <w:p w14:paraId="6ED1539F" w14:textId="4E10DC26" w:rsidR="004E6FD4" w:rsidRDefault="004E6FD4" w:rsidP="004E6FD4">
      <w:pPr>
        <w:pStyle w:val="Caption"/>
      </w:pPr>
    </w:p>
    <w:p w14:paraId="6F81F8DD" w14:textId="77777777" w:rsidR="004E6FD4" w:rsidRPr="0094171A" w:rsidRDefault="004E6FD4" w:rsidP="004E6FD4">
      <w:pPr>
        <w:rPr>
          <w:b/>
          <w:bCs/>
        </w:rPr>
      </w:pPr>
      <w:r>
        <w:br w:type="page"/>
      </w:r>
      <w:r w:rsidRPr="0094171A">
        <w:rPr>
          <w:b/>
          <w:bCs/>
        </w:rPr>
        <w:lastRenderedPageBreak/>
        <w:t>McCoy’s Bridge – Bank D</w:t>
      </w:r>
    </w:p>
    <w:p w14:paraId="68352B19" w14:textId="6FD216C7" w:rsidR="004E6FD4" w:rsidRPr="0094171A" w:rsidRDefault="00357C53" w:rsidP="004E6FD4">
      <w:r>
        <w:t xml:space="preserve">Figure </w:t>
      </w:r>
      <w:r>
        <w:rPr>
          <w:noProof/>
        </w:rPr>
        <w:t>B</w:t>
      </w:r>
      <w:r>
        <w:noBreakHyphen/>
      </w:r>
      <w:r>
        <w:rPr>
          <w:noProof/>
        </w:rPr>
        <w:t>7</w:t>
      </w:r>
      <w:r>
        <w:rPr>
          <w:b/>
          <w:bCs/>
        </w:rPr>
        <w:t xml:space="preserve"> </w:t>
      </w:r>
      <w:r w:rsidR="004E6FD4" w:rsidRPr="0094171A">
        <w:t>shows the DEMOD for the IVT period at McCoy’s Bridge bank D. Observations:</w:t>
      </w:r>
    </w:p>
    <w:p w14:paraId="5AC33ED0" w14:textId="77777777" w:rsidR="004E6FD4" w:rsidRPr="0094171A" w:rsidRDefault="004E6FD4" w:rsidP="00DE6E94">
      <w:pPr>
        <w:pStyle w:val="ListParagraph"/>
        <w:numPr>
          <w:ilvl w:val="0"/>
          <w:numId w:val="71"/>
        </w:numPr>
      </w:pPr>
      <w:r w:rsidRPr="0094171A">
        <w:t>Major</w:t>
      </w:r>
      <w:r w:rsidRPr="0094171A" w:rsidDel="00444DE7">
        <w:t xml:space="preserve"> </w:t>
      </w:r>
      <w:r w:rsidRPr="0094171A">
        <w:t xml:space="preserve">erosion (up to 7 cm) roughly in the 1,300-2,000 ML/d flow range at the upstream end. </w:t>
      </w:r>
    </w:p>
    <w:p w14:paraId="0F4D9E83" w14:textId="77777777" w:rsidR="004E6FD4" w:rsidRPr="0094171A" w:rsidRDefault="004E6FD4" w:rsidP="00DE6E94">
      <w:pPr>
        <w:pStyle w:val="ListParagraph"/>
        <w:numPr>
          <w:ilvl w:val="0"/>
          <w:numId w:val="71"/>
        </w:numPr>
      </w:pPr>
      <w:r w:rsidRPr="0094171A">
        <w:t>Moderate scattered erosion in upper areas (&gt;2,000 ML/d) on the downstream end of bank.</w:t>
      </w:r>
    </w:p>
    <w:p w14:paraId="2FC6BF1D" w14:textId="77777777" w:rsidR="004E6FD4" w:rsidRPr="0094171A" w:rsidRDefault="004E6FD4" w:rsidP="00DE6E94">
      <w:pPr>
        <w:pStyle w:val="ListParagraph"/>
        <w:numPr>
          <w:ilvl w:val="0"/>
          <w:numId w:val="71"/>
        </w:numPr>
      </w:pPr>
      <w:r w:rsidRPr="0094171A">
        <w:t>Extensive deposition (3-6 cm)</w:t>
      </w:r>
      <w:r w:rsidRPr="0094171A" w:rsidDel="00272204">
        <w:t xml:space="preserve"> </w:t>
      </w:r>
      <w:r w:rsidRPr="0094171A">
        <w:t>across the lower bank relating to flows of 1,100 – 1,300 ML/d and in areas above (2,000 ML/d) at the upstream end of bank.</w:t>
      </w:r>
    </w:p>
    <w:p w14:paraId="3A825051" w14:textId="4C2A08C4" w:rsidR="004E6FD4" w:rsidRDefault="004E6FD4" w:rsidP="004E6FD4">
      <w:r w:rsidRPr="0094171A">
        <w:t>This pattern of change does not support the hypothesis for this flow type.</w:t>
      </w:r>
    </w:p>
    <w:p w14:paraId="0085F4A0" w14:textId="77777777" w:rsidR="00C7268E" w:rsidRPr="0094171A" w:rsidRDefault="00C7268E" w:rsidP="004E6FD4"/>
    <w:p w14:paraId="345015F5" w14:textId="77777777" w:rsidR="004E6FD4" w:rsidRPr="0094171A" w:rsidRDefault="004E6FD4" w:rsidP="00555911">
      <w:pPr>
        <w:pStyle w:val="SNormalText"/>
        <w:jc w:val="center"/>
      </w:pPr>
      <w:r w:rsidRPr="0094171A">
        <w:rPr>
          <w:noProof/>
          <w:lang w:val="en-GB" w:eastAsia="zh-CN"/>
        </w:rPr>
        <w:drawing>
          <wp:inline distT="0" distB="0" distL="0" distR="0" wp14:anchorId="76C2609C" wp14:editId="6DBCE666">
            <wp:extent cx="9248775" cy="3781422"/>
            <wp:effectExtent l="0" t="0" r="0" b="0"/>
            <wp:docPr id="514" name="Picture 514"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descr="A screenshot of a video game&#10;&#10;Description automatically generated with medium confidence"/>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9265813" cy="3788388"/>
                    </a:xfrm>
                    <a:prstGeom prst="rect">
                      <a:avLst/>
                    </a:prstGeom>
                    <a:noFill/>
                  </pic:spPr>
                </pic:pic>
              </a:graphicData>
            </a:graphic>
          </wp:inline>
        </w:drawing>
      </w:r>
    </w:p>
    <w:p w14:paraId="6ECC48E3" w14:textId="78EBBD04" w:rsidR="00357C53" w:rsidRDefault="00357C53" w:rsidP="00357C53">
      <w:pPr>
        <w:pStyle w:val="Caption"/>
      </w:pPr>
      <w:bookmarkStart w:id="754" w:name="_Ref84474308"/>
      <w:bookmarkStart w:id="755" w:name="_Toc84475789"/>
      <w:r>
        <w:t xml:space="preserve">Figure </w:t>
      </w:r>
      <w:r>
        <w:rPr>
          <w:noProof/>
        </w:rPr>
        <w:t>B</w:t>
      </w:r>
      <w:r>
        <w:noBreakHyphen/>
      </w:r>
      <w:r>
        <w:rPr>
          <w:noProof/>
        </w:rPr>
        <w:t>7</w:t>
      </w:r>
      <w:bookmarkEnd w:id="754"/>
      <w:r>
        <w:t xml:space="preserve"> </w:t>
      </w:r>
      <w:r w:rsidRPr="0094171A">
        <w:t>DEMOD illustrating change in response to IVT period at McCoy’s Bridge bank D</w:t>
      </w:r>
      <w:r>
        <w:t>.</w:t>
      </w:r>
      <w:bookmarkEnd w:id="755"/>
    </w:p>
    <w:p w14:paraId="341E2695" w14:textId="77777777" w:rsidR="004E6FD4" w:rsidRDefault="004E6FD4" w:rsidP="004E6FD4">
      <w:r>
        <w:br w:type="page"/>
      </w:r>
    </w:p>
    <w:p w14:paraId="03BAF587" w14:textId="77777777" w:rsidR="004E6FD4" w:rsidRPr="00C7268E" w:rsidRDefault="004E6FD4" w:rsidP="004E6FD4">
      <w:pPr>
        <w:rPr>
          <w:b/>
          <w:bCs/>
        </w:rPr>
      </w:pPr>
      <w:r w:rsidRPr="00C7268E">
        <w:rPr>
          <w:b/>
          <w:bCs/>
        </w:rPr>
        <w:lastRenderedPageBreak/>
        <w:t>McCoy’s Bridge – Bank E</w:t>
      </w:r>
    </w:p>
    <w:p w14:paraId="3669F5E3" w14:textId="104241BF" w:rsidR="004E6FD4" w:rsidRPr="00C7268E" w:rsidRDefault="008B4DC0" w:rsidP="004E6FD4">
      <w:r>
        <w:t xml:space="preserve">Figure </w:t>
      </w:r>
      <w:r>
        <w:rPr>
          <w:noProof/>
        </w:rPr>
        <w:t>B</w:t>
      </w:r>
      <w:r>
        <w:noBreakHyphen/>
      </w:r>
      <w:r>
        <w:rPr>
          <w:noProof/>
        </w:rPr>
        <w:t>8</w:t>
      </w:r>
      <w:r>
        <w:t xml:space="preserve"> </w:t>
      </w:r>
      <w:r w:rsidR="004E6FD4" w:rsidRPr="00C7268E">
        <w:t>shows the DEMOD for the IVT period at McCoy’s Bridge bank E. Observations:</w:t>
      </w:r>
    </w:p>
    <w:p w14:paraId="1A0AE800" w14:textId="77777777" w:rsidR="004E6FD4" w:rsidRPr="00C7268E" w:rsidRDefault="004E6FD4" w:rsidP="00DE6E94">
      <w:pPr>
        <w:pStyle w:val="ListParagraph"/>
        <w:numPr>
          <w:ilvl w:val="0"/>
          <w:numId w:val="71"/>
        </w:numPr>
      </w:pPr>
      <w:r w:rsidRPr="00C7268E">
        <w:t>Erosion of 2-5 cm in depth across steeper sections of the lower bank</w:t>
      </w:r>
      <w:r w:rsidRPr="00C7268E" w:rsidDel="00C16DF6">
        <w:t xml:space="preserve"> </w:t>
      </w:r>
      <w:r w:rsidRPr="00C7268E">
        <w:t xml:space="preserve">(relating to flows around 1,100-1,500 ML/d). </w:t>
      </w:r>
    </w:p>
    <w:p w14:paraId="2F72F602" w14:textId="77777777" w:rsidR="004E6FD4" w:rsidRPr="00C7268E" w:rsidRDefault="004E6FD4" w:rsidP="00DE6E94">
      <w:pPr>
        <w:pStyle w:val="ListParagraph"/>
        <w:numPr>
          <w:ilvl w:val="0"/>
          <w:numId w:val="71"/>
        </w:numPr>
      </w:pPr>
      <w:r w:rsidRPr="00C7268E">
        <w:t>Deposition of similar magnitude in a defined line along the lower bank (flows around 1,100 ML/d), and on the mid bank (1,500-2,000 ML/d).</w:t>
      </w:r>
    </w:p>
    <w:p w14:paraId="6854726E" w14:textId="77777777" w:rsidR="004E6FD4" w:rsidRPr="00C7268E" w:rsidRDefault="004E6FD4" w:rsidP="00DE6E94">
      <w:pPr>
        <w:pStyle w:val="ListParagraph"/>
        <w:numPr>
          <w:ilvl w:val="0"/>
          <w:numId w:val="71"/>
        </w:numPr>
      </w:pPr>
      <w:r w:rsidRPr="00C7268E">
        <w:t>Negligible change on the upper bank (above ~2,000 ML/d).</w:t>
      </w:r>
    </w:p>
    <w:p w14:paraId="0AB6DFA6" w14:textId="77777777" w:rsidR="004E6FD4" w:rsidRPr="00C7268E" w:rsidRDefault="004E6FD4" w:rsidP="004E6FD4">
      <w:r w:rsidRPr="00C7268E">
        <w:t>This pattern of change partially supports the hypothesis for this flow type.</w:t>
      </w:r>
    </w:p>
    <w:p w14:paraId="24AE962F" w14:textId="77777777" w:rsidR="004E6FD4" w:rsidRPr="00C7268E" w:rsidRDefault="004E6FD4" w:rsidP="004E6FD4"/>
    <w:p w14:paraId="58C4495D" w14:textId="77777777" w:rsidR="004E6FD4" w:rsidRPr="00C7268E" w:rsidRDefault="004E6FD4" w:rsidP="00C7268E">
      <w:pPr>
        <w:pStyle w:val="SNormalText"/>
        <w:jc w:val="center"/>
      </w:pPr>
      <w:r w:rsidRPr="00C7268E">
        <w:rPr>
          <w:noProof/>
          <w:lang w:val="en-GB" w:eastAsia="zh-CN"/>
        </w:rPr>
        <w:drawing>
          <wp:inline distT="0" distB="0" distL="0" distR="0" wp14:anchorId="3C95C989" wp14:editId="02DFBBC3">
            <wp:extent cx="9223513" cy="2558277"/>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9242030" cy="2563413"/>
                    </a:xfrm>
                    <a:prstGeom prst="rect">
                      <a:avLst/>
                    </a:prstGeom>
                    <a:noFill/>
                  </pic:spPr>
                </pic:pic>
              </a:graphicData>
            </a:graphic>
          </wp:inline>
        </w:drawing>
      </w:r>
    </w:p>
    <w:p w14:paraId="7056C963" w14:textId="6FDC9F3D" w:rsidR="008B4DC0" w:rsidRDefault="008B4DC0" w:rsidP="00E81DC4">
      <w:pPr>
        <w:pStyle w:val="Caption"/>
      </w:pPr>
      <w:bookmarkStart w:id="756" w:name="_Ref84474345"/>
      <w:bookmarkStart w:id="757" w:name="_Toc84475790"/>
      <w:r>
        <w:t xml:space="preserve">Figure </w:t>
      </w:r>
      <w:r>
        <w:rPr>
          <w:noProof/>
        </w:rPr>
        <w:t>B</w:t>
      </w:r>
      <w:r>
        <w:noBreakHyphen/>
      </w:r>
      <w:r>
        <w:rPr>
          <w:noProof/>
        </w:rPr>
        <w:t>8</w:t>
      </w:r>
      <w:bookmarkEnd w:id="756"/>
      <w:r>
        <w:t xml:space="preserve"> </w:t>
      </w:r>
      <w:r w:rsidRPr="00C7268E">
        <w:t>DEMOD illustrating change in response to IVT period at McCoy’s Bridge bank E</w:t>
      </w:r>
      <w:r>
        <w:t>.</w:t>
      </w:r>
      <w:bookmarkEnd w:id="757"/>
    </w:p>
    <w:p w14:paraId="7D3F48C7" w14:textId="4C78D15A" w:rsidR="004E6FD4" w:rsidRDefault="004E6FD4" w:rsidP="004E6FD4">
      <w:pPr>
        <w:pStyle w:val="Caption"/>
      </w:pPr>
    </w:p>
    <w:p w14:paraId="7E83198A" w14:textId="77777777" w:rsidR="00C7268E" w:rsidRPr="00C7268E" w:rsidRDefault="00C7268E" w:rsidP="00C7268E"/>
    <w:p w14:paraId="0A7654FD" w14:textId="17712E72" w:rsidR="004E6FD4" w:rsidRDefault="00E70A00" w:rsidP="00E70A00">
      <w:pPr>
        <w:pStyle w:val="Heading7"/>
        <w:numPr>
          <w:ilvl w:val="0"/>
          <w:numId w:val="0"/>
        </w:numPr>
        <w:ind w:left="1296" w:hanging="1296"/>
      </w:pPr>
      <w:bookmarkStart w:id="758" w:name="_Toc84417452"/>
      <w:r>
        <w:t xml:space="preserve">B3 - </w:t>
      </w:r>
      <w:r w:rsidR="004E6FD4">
        <w:t>Autumn</w:t>
      </w:r>
      <w:r w:rsidR="004E6FD4" w:rsidRPr="00BA2F91">
        <w:t xml:space="preserve"> </w:t>
      </w:r>
      <w:r w:rsidR="00F969B8">
        <w:t>f</w:t>
      </w:r>
      <w:r w:rsidR="004E6FD4" w:rsidRPr="00BA2F91">
        <w:t xml:space="preserve">resh </w:t>
      </w:r>
      <w:r w:rsidR="00F969B8">
        <w:t>e</w:t>
      </w:r>
      <w:r w:rsidR="004E6FD4" w:rsidRPr="00BA2F91">
        <w:t>vent</w:t>
      </w:r>
      <w:bookmarkEnd w:id="758"/>
    </w:p>
    <w:p w14:paraId="78A72069" w14:textId="77777777" w:rsidR="004E6FD4" w:rsidRPr="004570B9" w:rsidRDefault="004E6FD4" w:rsidP="004E6FD4">
      <w:pPr>
        <w:rPr>
          <w:lang w:eastAsia="en-US"/>
        </w:rPr>
      </w:pPr>
      <w:r>
        <w:rPr>
          <w:lang w:eastAsia="en-US"/>
        </w:rPr>
        <w:t>The following banks were monitored before and after the Autumn Fresh to capture changes to bank condition during this period:</w:t>
      </w:r>
    </w:p>
    <w:p w14:paraId="3E934651" w14:textId="77777777" w:rsidR="004E6FD4" w:rsidRPr="00B87AD1" w:rsidRDefault="004E6FD4" w:rsidP="00DE6E94">
      <w:pPr>
        <w:pStyle w:val="ListParagraph"/>
        <w:numPr>
          <w:ilvl w:val="0"/>
          <w:numId w:val="70"/>
        </w:numPr>
        <w:rPr>
          <w:i/>
          <w:iCs/>
        </w:rPr>
      </w:pPr>
      <w:r w:rsidRPr="00B87AD1">
        <w:rPr>
          <w:i/>
          <w:iCs/>
        </w:rPr>
        <w:t xml:space="preserve">Darcy’s Track </w:t>
      </w:r>
      <w:r>
        <w:rPr>
          <w:i/>
          <w:iCs/>
        </w:rPr>
        <w:t>-</w:t>
      </w:r>
      <w:r w:rsidRPr="00B87AD1">
        <w:rPr>
          <w:i/>
          <w:iCs/>
        </w:rPr>
        <w:t xml:space="preserve"> Bank B</w:t>
      </w:r>
      <w:r>
        <w:rPr>
          <w:i/>
          <w:iCs/>
        </w:rPr>
        <w:t xml:space="preserve"> and Bank D</w:t>
      </w:r>
    </w:p>
    <w:p w14:paraId="32FD7A1A" w14:textId="77777777" w:rsidR="004E6FD4" w:rsidRDefault="004E6FD4" w:rsidP="00DE6E94">
      <w:pPr>
        <w:pStyle w:val="ListParagraph"/>
        <w:numPr>
          <w:ilvl w:val="0"/>
          <w:numId w:val="70"/>
        </w:numPr>
        <w:rPr>
          <w:i/>
          <w:iCs/>
        </w:rPr>
      </w:pPr>
      <w:r w:rsidRPr="00B87AD1">
        <w:rPr>
          <w:i/>
          <w:iCs/>
        </w:rPr>
        <w:t xml:space="preserve">Loch Garry </w:t>
      </w:r>
      <w:r>
        <w:rPr>
          <w:i/>
          <w:iCs/>
        </w:rPr>
        <w:t>-</w:t>
      </w:r>
      <w:r w:rsidRPr="00B87AD1">
        <w:rPr>
          <w:i/>
          <w:iCs/>
        </w:rPr>
        <w:t xml:space="preserve"> Bank C </w:t>
      </w:r>
    </w:p>
    <w:p w14:paraId="1D30DF9E" w14:textId="1CEDB60B" w:rsidR="004E6FD4" w:rsidRPr="00EC59DC" w:rsidRDefault="004E6FD4" w:rsidP="00DE6E94">
      <w:pPr>
        <w:pStyle w:val="ListParagraph"/>
        <w:numPr>
          <w:ilvl w:val="0"/>
          <w:numId w:val="70"/>
        </w:numPr>
        <w:rPr>
          <w:i/>
          <w:iCs/>
        </w:rPr>
      </w:pPr>
      <w:r w:rsidRPr="00B87AD1">
        <w:rPr>
          <w:i/>
          <w:iCs/>
        </w:rPr>
        <w:lastRenderedPageBreak/>
        <w:t xml:space="preserve">McCoy’s Bridge - Bank </w:t>
      </w:r>
      <w:r>
        <w:rPr>
          <w:i/>
          <w:iCs/>
        </w:rPr>
        <w:t>C, Bank D, and Bank E</w:t>
      </w:r>
    </w:p>
    <w:p w14:paraId="76FF7C13" w14:textId="77777777" w:rsidR="004E6FD4" w:rsidRPr="00F9278C" w:rsidRDefault="004E6FD4" w:rsidP="004E6FD4">
      <w:pPr>
        <w:rPr>
          <w:b/>
          <w:bCs/>
        </w:rPr>
      </w:pPr>
      <w:r w:rsidRPr="00F9278C">
        <w:rPr>
          <w:b/>
          <w:bCs/>
        </w:rPr>
        <w:t>Darcy’s Track – Bank B</w:t>
      </w:r>
    </w:p>
    <w:p w14:paraId="4247D046" w14:textId="3DBF086F" w:rsidR="004E6FD4" w:rsidRPr="00F9278C" w:rsidRDefault="008B4DC0" w:rsidP="004E6FD4">
      <w:r>
        <w:t xml:space="preserve">Figure </w:t>
      </w:r>
      <w:r>
        <w:rPr>
          <w:noProof/>
        </w:rPr>
        <w:t>B</w:t>
      </w:r>
      <w:r>
        <w:noBreakHyphen/>
      </w:r>
      <w:r>
        <w:rPr>
          <w:noProof/>
        </w:rPr>
        <w:t>9</w:t>
      </w:r>
      <w:r>
        <w:rPr>
          <w:b/>
          <w:bCs/>
        </w:rPr>
        <w:t xml:space="preserve"> </w:t>
      </w:r>
      <w:r w:rsidR="004E6FD4" w:rsidRPr="00F9278C">
        <w:t>shows the DEMOD for the Autumn Fresh period at Darcy’s Track bank B. Observations:</w:t>
      </w:r>
    </w:p>
    <w:p w14:paraId="580DF282" w14:textId="77777777" w:rsidR="004E6FD4" w:rsidRPr="00F9278C" w:rsidRDefault="004E6FD4" w:rsidP="00DE6E94">
      <w:pPr>
        <w:numPr>
          <w:ilvl w:val="0"/>
          <w:numId w:val="69"/>
        </w:numPr>
      </w:pPr>
      <w:r w:rsidRPr="00F9278C">
        <w:t xml:space="preserve">Moderate deposition (up to 5 cm) on the lower bank (roughly in 1,000 - 2000 ML/d range) at the downstream end of the site. </w:t>
      </w:r>
    </w:p>
    <w:p w14:paraId="2A1D4057" w14:textId="77777777" w:rsidR="004E6FD4" w:rsidRPr="00F9278C" w:rsidRDefault="004E6FD4" w:rsidP="00DE6E94">
      <w:pPr>
        <w:numPr>
          <w:ilvl w:val="0"/>
          <w:numId w:val="69"/>
        </w:numPr>
      </w:pPr>
      <w:r w:rsidRPr="00F9278C">
        <w:t>Minor erosion (&lt; 2 cm) also on the lower bank, but largely restricted to the upstream end of the bank.</w:t>
      </w:r>
    </w:p>
    <w:p w14:paraId="3F3A1EA6" w14:textId="77777777" w:rsidR="004E6FD4" w:rsidRPr="00F9278C" w:rsidRDefault="004E6FD4" w:rsidP="00DE6E94">
      <w:pPr>
        <w:numPr>
          <w:ilvl w:val="0"/>
          <w:numId w:val="69"/>
        </w:numPr>
      </w:pPr>
      <w:r w:rsidRPr="00F9278C">
        <w:t xml:space="preserve">Change to the upper bank difficult to assess due to dense vegetation coverage. </w:t>
      </w:r>
    </w:p>
    <w:p w14:paraId="33B6A65D" w14:textId="77777777" w:rsidR="004E6FD4" w:rsidRDefault="004E6FD4" w:rsidP="004E6FD4">
      <w:r w:rsidRPr="00F9278C">
        <w:t xml:space="preserve">This pattern of change partially supports the hypothesis for this flow type. </w:t>
      </w:r>
    </w:p>
    <w:p w14:paraId="6B11B4B1" w14:textId="77777777" w:rsidR="00F9278C" w:rsidRPr="00F9278C" w:rsidRDefault="00F9278C" w:rsidP="004E6FD4"/>
    <w:p w14:paraId="01191262" w14:textId="77777777" w:rsidR="004E6FD4" w:rsidRPr="00F9278C" w:rsidRDefault="004E6FD4" w:rsidP="00F9278C">
      <w:pPr>
        <w:keepNext/>
        <w:jc w:val="center"/>
      </w:pPr>
      <w:r w:rsidRPr="00F9278C">
        <w:rPr>
          <w:noProof/>
          <w:lang w:val="en-GB"/>
        </w:rPr>
        <w:drawing>
          <wp:inline distT="0" distB="0" distL="0" distR="0" wp14:anchorId="0673F9D3" wp14:editId="3DAB3FA3">
            <wp:extent cx="9301640" cy="2518913"/>
            <wp:effectExtent l="0" t="0" r="0" b="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email">
                      <a:extLst>
                        <a:ext uri="{28A0092B-C50C-407E-A947-70E740481C1C}">
                          <a14:useLocalDpi xmlns:a14="http://schemas.microsoft.com/office/drawing/2010/main"/>
                        </a:ext>
                        <a:ext uri="{96DAC541-7B7A-43D3-8B79-37D633B846F1}">
                          <asvg:svgBlip xmlns:asvg="http://schemas.microsoft.com/office/drawing/2016/SVG/main" r:embed="rId122"/>
                        </a:ext>
                      </a:extLst>
                    </a:blip>
                    <a:srcRect b="51854"/>
                    <a:stretch/>
                  </pic:blipFill>
                  <pic:spPr bwMode="auto">
                    <a:xfrm>
                      <a:off x="0" y="0"/>
                      <a:ext cx="9321378" cy="2524258"/>
                    </a:xfrm>
                    <a:prstGeom prst="rect">
                      <a:avLst/>
                    </a:prstGeom>
                    <a:ln>
                      <a:noFill/>
                    </a:ln>
                    <a:extLst>
                      <a:ext uri="{53640926-AAD7-44D8-BBD7-CCE9431645EC}">
                        <a14:shadowObscured xmlns:a14="http://schemas.microsoft.com/office/drawing/2010/main"/>
                      </a:ext>
                    </a:extLst>
                  </pic:spPr>
                </pic:pic>
              </a:graphicData>
            </a:graphic>
          </wp:inline>
        </w:drawing>
      </w:r>
    </w:p>
    <w:p w14:paraId="33FBA0F7" w14:textId="244151EC" w:rsidR="008B4DC0" w:rsidRDefault="008B4DC0" w:rsidP="00E81DC4">
      <w:pPr>
        <w:pStyle w:val="Caption"/>
      </w:pPr>
      <w:bookmarkStart w:id="759" w:name="_Ref84474377"/>
      <w:bookmarkStart w:id="760" w:name="_Toc84475791"/>
      <w:r>
        <w:t xml:space="preserve">Figure </w:t>
      </w:r>
      <w:r>
        <w:rPr>
          <w:noProof/>
        </w:rPr>
        <w:t>B</w:t>
      </w:r>
      <w:r>
        <w:noBreakHyphen/>
      </w:r>
      <w:r>
        <w:rPr>
          <w:noProof/>
        </w:rPr>
        <w:t>9</w:t>
      </w:r>
      <w:bookmarkEnd w:id="759"/>
      <w:r>
        <w:t xml:space="preserve"> </w:t>
      </w:r>
      <w:r w:rsidRPr="00F9278C">
        <w:t>DEMOD illustrating change in response to Autumn Fresh event at Darcy’s Track bank B.</w:t>
      </w:r>
      <w:bookmarkEnd w:id="760"/>
    </w:p>
    <w:p w14:paraId="39E2EFDA" w14:textId="575AE84A" w:rsidR="004E6FD4" w:rsidRPr="00BA2632" w:rsidRDefault="004E6FD4" w:rsidP="004E6FD4">
      <w:pPr>
        <w:pStyle w:val="Caption"/>
        <w:rPr>
          <w:i/>
          <w:iCs w:val="0"/>
          <w:u w:val="single"/>
        </w:rPr>
      </w:pPr>
    </w:p>
    <w:p w14:paraId="52184527" w14:textId="77777777" w:rsidR="004E6FD4" w:rsidRDefault="004E6FD4" w:rsidP="004E6FD4">
      <w:r>
        <w:br w:type="page"/>
      </w:r>
    </w:p>
    <w:p w14:paraId="0821CF00" w14:textId="77777777" w:rsidR="004E6FD4" w:rsidRPr="00F9278C" w:rsidRDefault="004E6FD4" w:rsidP="004E6FD4">
      <w:pPr>
        <w:rPr>
          <w:b/>
          <w:bCs/>
        </w:rPr>
      </w:pPr>
      <w:r w:rsidRPr="00F9278C">
        <w:rPr>
          <w:b/>
          <w:bCs/>
        </w:rPr>
        <w:lastRenderedPageBreak/>
        <w:t>Darcy’s Track – Bank D</w:t>
      </w:r>
    </w:p>
    <w:p w14:paraId="140EE0B6" w14:textId="5F82E075" w:rsidR="004E6FD4" w:rsidRPr="00F9278C" w:rsidRDefault="008B4DC0" w:rsidP="004E6FD4">
      <w:r>
        <w:t xml:space="preserve">Figure </w:t>
      </w:r>
      <w:r>
        <w:rPr>
          <w:noProof/>
        </w:rPr>
        <w:t>B</w:t>
      </w:r>
      <w:r>
        <w:noBreakHyphen/>
      </w:r>
      <w:r>
        <w:rPr>
          <w:noProof/>
        </w:rPr>
        <w:t>10</w:t>
      </w:r>
      <w:r>
        <w:rPr>
          <w:b/>
          <w:bCs/>
        </w:rPr>
        <w:t xml:space="preserve"> </w:t>
      </w:r>
      <w:r w:rsidR="004E6FD4" w:rsidRPr="00F9278C">
        <w:t>shows the DEMOD for the Autumn Fresh period at Darcy’s Track bank D. Observations:</w:t>
      </w:r>
    </w:p>
    <w:p w14:paraId="19CF51F4" w14:textId="77777777" w:rsidR="004E6FD4" w:rsidRPr="00F9278C" w:rsidRDefault="004E6FD4" w:rsidP="00DE6E94">
      <w:pPr>
        <w:numPr>
          <w:ilvl w:val="0"/>
          <w:numId w:val="69"/>
        </w:numPr>
      </w:pPr>
      <w:r w:rsidRPr="00F9278C">
        <w:t>Widespread change (both erosion and deposition) across a large vertical range.</w:t>
      </w:r>
    </w:p>
    <w:p w14:paraId="4187BB15" w14:textId="77777777" w:rsidR="004E6FD4" w:rsidRPr="00F9278C" w:rsidRDefault="004E6FD4" w:rsidP="00DE6E94">
      <w:pPr>
        <w:numPr>
          <w:ilvl w:val="0"/>
          <w:numId w:val="69"/>
        </w:numPr>
      </w:pPr>
      <w:r w:rsidRPr="00F9278C">
        <w:t xml:space="preserve">The most severe erosion is concentrated in patches on the mid bank (~1,500 ML/d level) where existing notches have been enlarged, </w:t>
      </w:r>
      <w:proofErr w:type="gramStart"/>
      <w:r w:rsidRPr="00F9278C">
        <w:t>and also</w:t>
      </w:r>
      <w:proofErr w:type="gramEnd"/>
      <w:r w:rsidRPr="00F9278C">
        <w:t xml:space="preserve"> in a thin line along the lowest part of the bank (~1,000 ML/d). </w:t>
      </w:r>
    </w:p>
    <w:p w14:paraId="0F20EC60" w14:textId="77777777" w:rsidR="004E6FD4" w:rsidRPr="00F9278C" w:rsidRDefault="004E6FD4" w:rsidP="00DE6E94">
      <w:pPr>
        <w:numPr>
          <w:ilvl w:val="0"/>
          <w:numId w:val="69"/>
        </w:numPr>
      </w:pPr>
      <w:r w:rsidRPr="00F9278C">
        <w:t>Deposition is more widespread as erosion, although less severe, and concentrated mostly on the mid-upper bank.</w:t>
      </w:r>
    </w:p>
    <w:p w14:paraId="7D18C6E2" w14:textId="01E2D46E" w:rsidR="004E6FD4" w:rsidRDefault="004E6FD4" w:rsidP="004E6FD4">
      <w:r w:rsidRPr="00F9278C">
        <w:t xml:space="preserve">This pattern of change partially </w:t>
      </w:r>
      <w:r w:rsidR="00F9278C" w:rsidRPr="00F9278C">
        <w:t>supports</w:t>
      </w:r>
      <w:r w:rsidRPr="00F9278C">
        <w:t xml:space="preserve"> the hypothesis for this flow type.</w:t>
      </w:r>
    </w:p>
    <w:p w14:paraId="38817A21" w14:textId="77777777" w:rsidR="00CC51E3" w:rsidRPr="00F9278C" w:rsidRDefault="00CC51E3" w:rsidP="004E6FD4"/>
    <w:p w14:paraId="3A92CC28" w14:textId="77777777" w:rsidR="004E6FD4" w:rsidRPr="00F9278C" w:rsidRDefault="004E6FD4" w:rsidP="00CC51E3">
      <w:pPr>
        <w:keepNext/>
        <w:jc w:val="center"/>
      </w:pPr>
      <w:r w:rsidRPr="00F9278C">
        <w:rPr>
          <w:noProof/>
          <w:lang w:val="en-GB"/>
        </w:rPr>
        <w:drawing>
          <wp:inline distT="0" distB="0" distL="0" distR="0" wp14:anchorId="061864B5" wp14:editId="5C32E01C">
            <wp:extent cx="9231464" cy="2699246"/>
            <wp:effectExtent l="0" t="0" r="8255" b="6350"/>
            <wp:docPr id="516" name="Picture 51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descr="A picture containing graphical user interface&#10;&#10;Description automatically generated"/>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9265465" cy="2709188"/>
                    </a:xfrm>
                    <a:prstGeom prst="rect">
                      <a:avLst/>
                    </a:prstGeom>
                    <a:noFill/>
                  </pic:spPr>
                </pic:pic>
              </a:graphicData>
            </a:graphic>
          </wp:inline>
        </w:drawing>
      </w:r>
    </w:p>
    <w:p w14:paraId="0A5E5F21" w14:textId="653E367D" w:rsidR="008B4DC0" w:rsidRDefault="008B4DC0" w:rsidP="00E81DC4">
      <w:pPr>
        <w:pStyle w:val="Caption"/>
      </w:pPr>
      <w:bookmarkStart w:id="761" w:name="_Ref84474411"/>
      <w:bookmarkStart w:id="762" w:name="_Toc84475792"/>
      <w:r>
        <w:t xml:space="preserve">Figure </w:t>
      </w:r>
      <w:r>
        <w:rPr>
          <w:noProof/>
        </w:rPr>
        <w:t>B</w:t>
      </w:r>
      <w:r>
        <w:noBreakHyphen/>
      </w:r>
      <w:r>
        <w:rPr>
          <w:noProof/>
        </w:rPr>
        <w:t>10</w:t>
      </w:r>
      <w:bookmarkEnd w:id="761"/>
      <w:r>
        <w:t xml:space="preserve"> </w:t>
      </w:r>
      <w:r w:rsidRPr="00F9278C">
        <w:t>DEMOD illustrating change in response to Autumn Fresh event at Darcy’s Track bank D.</w:t>
      </w:r>
      <w:bookmarkEnd w:id="762"/>
    </w:p>
    <w:p w14:paraId="2CAEDE58" w14:textId="61743127" w:rsidR="004E6FD4" w:rsidRPr="00F9278C" w:rsidRDefault="004E6FD4" w:rsidP="004E6FD4">
      <w:pPr>
        <w:pStyle w:val="Caption"/>
        <w:rPr>
          <w:i/>
          <w:iCs w:val="0"/>
          <w:u w:val="single"/>
        </w:rPr>
      </w:pPr>
    </w:p>
    <w:p w14:paraId="4B949834" w14:textId="77777777" w:rsidR="004E6FD4" w:rsidRPr="00F9278C" w:rsidRDefault="004E6FD4" w:rsidP="004E6FD4"/>
    <w:p w14:paraId="1E9FF29C" w14:textId="77777777" w:rsidR="004E6FD4" w:rsidRDefault="004E6FD4" w:rsidP="004E6FD4">
      <w:r>
        <w:br w:type="page"/>
      </w:r>
    </w:p>
    <w:p w14:paraId="792B1DD7" w14:textId="77777777" w:rsidR="004E6FD4" w:rsidRPr="00CC51E3" w:rsidRDefault="004E6FD4" w:rsidP="004E6FD4">
      <w:pPr>
        <w:rPr>
          <w:b/>
          <w:bCs/>
        </w:rPr>
      </w:pPr>
      <w:r w:rsidRPr="00CC51E3">
        <w:rPr>
          <w:b/>
          <w:bCs/>
        </w:rPr>
        <w:lastRenderedPageBreak/>
        <w:t>Loch Garry – Bank C</w:t>
      </w:r>
    </w:p>
    <w:p w14:paraId="0624B2C7" w14:textId="2991DB33" w:rsidR="004E6FD4" w:rsidRPr="00CC51E3" w:rsidRDefault="0079153D" w:rsidP="004E6FD4">
      <w:r>
        <w:t xml:space="preserve">Figure </w:t>
      </w:r>
      <w:r>
        <w:rPr>
          <w:noProof/>
        </w:rPr>
        <w:t>B</w:t>
      </w:r>
      <w:r>
        <w:noBreakHyphen/>
      </w:r>
      <w:r>
        <w:rPr>
          <w:noProof/>
        </w:rPr>
        <w:t>11</w:t>
      </w:r>
      <w:r>
        <w:rPr>
          <w:b/>
          <w:bCs/>
        </w:rPr>
        <w:t xml:space="preserve"> </w:t>
      </w:r>
      <w:r w:rsidR="004E6FD4" w:rsidRPr="00CC51E3">
        <w:t>shows the DEMOD for the Autumn Fresh period at Loch Gar</w:t>
      </w:r>
      <w:r w:rsidR="00155FEF" w:rsidRPr="00CC51E3">
        <w:t>r</w:t>
      </w:r>
      <w:r w:rsidR="004E6FD4" w:rsidRPr="00CC51E3">
        <w:t>y bank C. Observations:</w:t>
      </w:r>
    </w:p>
    <w:p w14:paraId="48EB1E89" w14:textId="77777777" w:rsidR="004E6FD4" w:rsidRPr="00CC51E3" w:rsidRDefault="004E6FD4" w:rsidP="00DE6E94">
      <w:pPr>
        <w:pStyle w:val="ListParagraph"/>
        <w:numPr>
          <w:ilvl w:val="0"/>
          <w:numId w:val="73"/>
        </w:numPr>
      </w:pPr>
      <w:r w:rsidRPr="00CC51E3">
        <w:t>Change of any sort is minimal at this bank.</w:t>
      </w:r>
    </w:p>
    <w:p w14:paraId="7EFF47FB" w14:textId="77777777" w:rsidR="004E6FD4" w:rsidRPr="00CC51E3" w:rsidRDefault="004E6FD4" w:rsidP="00DE6E94">
      <w:pPr>
        <w:pStyle w:val="ListParagraph"/>
        <w:numPr>
          <w:ilvl w:val="0"/>
          <w:numId w:val="73"/>
        </w:numPr>
      </w:pPr>
      <w:r w:rsidRPr="00CC51E3">
        <w:t xml:space="preserve">Minor deposition (&lt;5 cm) is widespread across the whole bank, including below the current notch (approximately below 3,000 ML/d flow). </w:t>
      </w:r>
    </w:p>
    <w:p w14:paraId="22795CB3" w14:textId="77777777" w:rsidR="004E6FD4" w:rsidRPr="00CC51E3" w:rsidRDefault="004E6FD4" w:rsidP="00DE6E94">
      <w:pPr>
        <w:pStyle w:val="ListParagraph"/>
        <w:numPr>
          <w:ilvl w:val="0"/>
          <w:numId w:val="73"/>
        </w:numPr>
      </w:pPr>
      <w:r w:rsidRPr="00CC51E3">
        <w:t xml:space="preserve">Erosion is minor (&lt;5cm) and largely in patches on the upper bank at the downstream end (above the existing notch). </w:t>
      </w:r>
    </w:p>
    <w:p w14:paraId="24E603E3" w14:textId="77777777" w:rsidR="004E6FD4" w:rsidRDefault="004E6FD4" w:rsidP="004E6FD4">
      <w:r w:rsidRPr="00CC51E3">
        <w:t>This pattern of change supports the hypothesis for this flow type.</w:t>
      </w:r>
    </w:p>
    <w:p w14:paraId="4080F59D" w14:textId="77777777" w:rsidR="00CC51E3" w:rsidRPr="00CC51E3" w:rsidRDefault="00CC51E3" w:rsidP="004E6FD4"/>
    <w:p w14:paraId="272FF289" w14:textId="77777777" w:rsidR="004E6FD4" w:rsidRPr="00CC51E3" w:rsidRDefault="004E6FD4" w:rsidP="00CC51E3">
      <w:pPr>
        <w:jc w:val="center"/>
      </w:pPr>
      <w:r w:rsidRPr="00CC51E3">
        <w:rPr>
          <w:noProof/>
          <w:lang w:val="en-GB"/>
        </w:rPr>
        <w:drawing>
          <wp:inline distT="0" distB="0" distL="0" distR="0" wp14:anchorId="473906DC" wp14:editId="44CC5175">
            <wp:extent cx="9231464" cy="2328629"/>
            <wp:effectExtent l="0" t="0" r="8255" b="0"/>
            <wp:docPr id="517" name="Picture 517"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descr="A screenshot of a video game&#10;&#10;Description automatically generated with medium confidence"/>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9250794" cy="2333505"/>
                    </a:xfrm>
                    <a:prstGeom prst="rect">
                      <a:avLst/>
                    </a:prstGeom>
                    <a:noFill/>
                  </pic:spPr>
                </pic:pic>
              </a:graphicData>
            </a:graphic>
          </wp:inline>
        </w:drawing>
      </w:r>
    </w:p>
    <w:p w14:paraId="6DB4A715" w14:textId="11C753D6" w:rsidR="0079153D" w:rsidRDefault="0079153D" w:rsidP="00E81DC4">
      <w:pPr>
        <w:pStyle w:val="Caption"/>
      </w:pPr>
      <w:bookmarkStart w:id="763" w:name="_Ref84474468"/>
      <w:bookmarkStart w:id="764" w:name="_Toc84475793"/>
      <w:r>
        <w:t xml:space="preserve">Figure </w:t>
      </w:r>
      <w:r>
        <w:rPr>
          <w:noProof/>
        </w:rPr>
        <w:t>B</w:t>
      </w:r>
      <w:r>
        <w:noBreakHyphen/>
      </w:r>
      <w:r>
        <w:rPr>
          <w:noProof/>
        </w:rPr>
        <w:t>11</w:t>
      </w:r>
      <w:bookmarkEnd w:id="763"/>
      <w:r>
        <w:t xml:space="preserve"> </w:t>
      </w:r>
      <w:r w:rsidRPr="00CC51E3">
        <w:t>DEMOD illustrating change in response to Autumn Fresh event at Loch Garry bank C.</w:t>
      </w:r>
      <w:bookmarkEnd w:id="764"/>
    </w:p>
    <w:p w14:paraId="1D9B6F2A" w14:textId="467AB721" w:rsidR="004E6FD4" w:rsidRPr="00CC51E3" w:rsidRDefault="004E6FD4" w:rsidP="0079153D">
      <w:pPr>
        <w:pStyle w:val="Caption"/>
      </w:pPr>
    </w:p>
    <w:p w14:paraId="6F045E9E" w14:textId="77777777" w:rsidR="004E6FD4" w:rsidRDefault="004E6FD4" w:rsidP="004E6FD4">
      <w:pPr>
        <w:rPr>
          <w:b/>
          <w:bCs/>
        </w:rPr>
      </w:pPr>
      <w:r>
        <w:rPr>
          <w:b/>
          <w:bCs/>
        </w:rPr>
        <w:br w:type="page"/>
      </w:r>
    </w:p>
    <w:p w14:paraId="15AED4BA" w14:textId="77777777" w:rsidR="004E6FD4" w:rsidRPr="00CC51E3" w:rsidRDefault="004E6FD4" w:rsidP="004E6FD4">
      <w:pPr>
        <w:rPr>
          <w:b/>
          <w:bCs/>
        </w:rPr>
      </w:pPr>
      <w:r w:rsidRPr="00CC51E3">
        <w:rPr>
          <w:b/>
          <w:bCs/>
        </w:rPr>
        <w:lastRenderedPageBreak/>
        <w:t>McCoy’s Bridge – Bank C</w:t>
      </w:r>
    </w:p>
    <w:p w14:paraId="6F23AAD3" w14:textId="7B1989A6" w:rsidR="004E6FD4" w:rsidRPr="00CC51E3" w:rsidRDefault="0079153D" w:rsidP="004E6FD4">
      <w:r>
        <w:t xml:space="preserve">Figure </w:t>
      </w:r>
      <w:r>
        <w:rPr>
          <w:noProof/>
        </w:rPr>
        <w:t>B</w:t>
      </w:r>
      <w:r>
        <w:noBreakHyphen/>
      </w:r>
      <w:r>
        <w:rPr>
          <w:noProof/>
        </w:rPr>
        <w:t>12</w:t>
      </w:r>
      <w:r>
        <w:rPr>
          <w:b/>
          <w:bCs/>
        </w:rPr>
        <w:t xml:space="preserve"> </w:t>
      </w:r>
      <w:r w:rsidR="004E6FD4" w:rsidRPr="00CC51E3">
        <w:t>shows the DEMOD for the Autumn Fresh period at McCoy’s Bridge bank C. Observations:</w:t>
      </w:r>
    </w:p>
    <w:p w14:paraId="465D56E4" w14:textId="77777777" w:rsidR="004E6FD4" w:rsidRPr="00CC51E3" w:rsidRDefault="004E6FD4" w:rsidP="00DE6E94">
      <w:pPr>
        <w:pStyle w:val="ListParagraph"/>
        <w:numPr>
          <w:ilvl w:val="0"/>
          <w:numId w:val="74"/>
        </w:numPr>
      </w:pPr>
      <w:r w:rsidRPr="00CC51E3">
        <w:t>Minimal change of any sort observed at this bank for this flow period.</w:t>
      </w:r>
    </w:p>
    <w:p w14:paraId="05DB3496" w14:textId="77777777" w:rsidR="004E6FD4" w:rsidRPr="00CC51E3" w:rsidRDefault="004E6FD4" w:rsidP="00DE6E94">
      <w:pPr>
        <w:pStyle w:val="ListParagraph"/>
        <w:numPr>
          <w:ilvl w:val="0"/>
          <w:numId w:val="74"/>
        </w:numPr>
      </w:pPr>
      <w:r w:rsidRPr="00CC51E3">
        <w:t>Minor and very sporadic erosion and deposition across the whole bank below 3,000 ML/d.</w:t>
      </w:r>
    </w:p>
    <w:p w14:paraId="457D041B" w14:textId="77777777" w:rsidR="004E6FD4" w:rsidRPr="00CC51E3" w:rsidRDefault="004E6FD4" w:rsidP="004E6FD4">
      <w:r w:rsidRPr="00CC51E3">
        <w:t>No obvious pattern of change to support or refute the hypothesis.</w:t>
      </w:r>
    </w:p>
    <w:p w14:paraId="681360B0" w14:textId="77777777" w:rsidR="004E6FD4" w:rsidRPr="00CC51E3" w:rsidRDefault="004E6FD4" w:rsidP="004E6FD4"/>
    <w:p w14:paraId="4A713AD2" w14:textId="77777777" w:rsidR="004E6FD4" w:rsidRPr="00CC51E3" w:rsidRDefault="004E6FD4" w:rsidP="00CC51E3">
      <w:pPr>
        <w:keepNext/>
        <w:jc w:val="center"/>
      </w:pPr>
      <w:r w:rsidRPr="00CC51E3">
        <w:rPr>
          <w:noProof/>
          <w:lang w:val="en-GB"/>
        </w:rPr>
        <w:drawing>
          <wp:inline distT="0" distB="0" distL="0" distR="0" wp14:anchorId="448A8A39" wp14:editId="6D5DC6E0">
            <wp:extent cx="9223318" cy="2834432"/>
            <wp:effectExtent l="0" t="0" r="0" b="4445"/>
            <wp:docPr id="518" name="Picture 51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descr="A picture containing graphical user interface&#10;&#10;Description automatically generated"/>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9275296" cy="2850405"/>
                    </a:xfrm>
                    <a:prstGeom prst="rect">
                      <a:avLst/>
                    </a:prstGeom>
                    <a:noFill/>
                  </pic:spPr>
                </pic:pic>
              </a:graphicData>
            </a:graphic>
          </wp:inline>
        </w:drawing>
      </w:r>
    </w:p>
    <w:p w14:paraId="6BBF7244" w14:textId="20200224" w:rsidR="0079153D" w:rsidRPr="00BA2632" w:rsidRDefault="0079153D" w:rsidP="0079153D">
      <w:pPr>
        <w:pStyle w:val="Caption"/>
        <w:rPr>
          <w:i/>
          <w:iCs w:val="0"/>
          <w:u w:val="single"/>
        </w:rPr>
      </w:pPr>
      <w:bookmarkStart w:id="765" w:name="_Ref84474496"/>
      <w:bookmarkStart w:id="766" w:name="_Toc84475794"/>
      <w:r>
        <w:t xml:space="preserve">Figure </w:t>
      </w:r>
      <w:r>
        <w:rPr>
          <w:noProof/>
        </w:rPr>
        <w:t>B</w:t>
      </w:r>
      <w:r>
        <w:noBreakHyphen/>
      </w:r>
      <w:r>
        <w:rPr>
          <w:noProof/>
        </w:rPr>
        <w:t>12</w:t>
      </w:r>
      <w:bookmarkEnd w:id="765"/>
      <w:r>
        <w:t xml:space="preserve"> </w:t>
      </w:r>
      <w:r w:rsidRPr="00CC51E3">
        <w:t>DEMOD illustrating change in response to Autumn Fresh event at McCoy’s Bridge Bank C.</w:t>
      </w:r>
      <w:bookmarkEnd w:id="766"/>
    </w:p>
    <w:p w14:paraId="2B5BDFF8" w14:textId="2A8F851A" w:rsidR="0079153D" w:rsidRDefault="0079153D" w:rsidP="00E81DC4">
      <w:pPr>
        <w:pStyle w:val="Caption"/>
      </w:pPr>
    </w:p>
    <w:p w14:paraId="74EA5FEE" w14:textId="7EABF9D1" w:rsidR="004E6FD4" w:rsidRPr="00BA2632" w:rsidRDefault="004E6FD4" w:rsidP="004E6FD4">
      <w:pPr>
        <w:pStyle w:val="Caption"/>
        <w:rPr>
          <w:i/>
          <w:iCs w:val="0"/>
          <w:u w:val="single"/>
        </w:rPr>
      </w:pPr>
    </w:p>
    <w:p w14:paraId="5E6F1EE7" w14:textId="77777777" w:rsidR="004E6FD4" w:rsidRPr="00C5220E" w:rsidRDefault="004E6FD4" w:rsidP="004E6FD4"/>
    <w:p w14:paraId="68015E0E" w14:textId="77777777" w:rsidR="004E6FD4" w:rsidRPr="00C5220E" w:rsidRDefault="004E6FD4" w:rsidP="004E6FD4">
      <w:r w:rsidRPr="00C5220E">
        <w:br w:type="page"/>
      </w:r>
    </w:p>
    <w:p w14:paraId="17822CA2" w14:textId="77777777" w:rsidR="004E6FD4" w:rsidRPr="00CC51E3" w:rsidRDefault="004E6FD4" w:rsidP="004E6FD4">
      <w:pPr>
        <w:rPr>
          <w:b/>
          <w:bCs/>
        </w:rPr>
      </w:pPr>
      <w:r w:rsidRPr="00CC51E3">
        <w:rPr>
          <w:b/>
          <w:bCs/>
        </w:rPr>
        <w:lastRenderedPageBreak/>
        <w:t>McCoy’s Bridge – Bank D</w:t>
      </w:r>
    </w:p>
    <w:p w14:paraId="77F70BC1" w14:textId="2FF23636" w:rsidR="004E6FD4" w:rsidRPr="00CC51E3" w:rsidRDefault="0079153D" w:rsidP="004E6FD4">
      <w:r>
        <w:t xml:space="preserve">Figure </w:t>
      </w:r>
      <w:r>
        <w:rPr>
          <w:noProof/>
        </w:rPr>
        <w:t>B</w:t>
      </w:r>
      <w:r>
        <w:noBreakHyphen/>
      </w:r>
      <w:r>
        <w:rPr>
          <w:noProof/>
        </w:rPr>
        <w:t>13</w:t>
      </w:r>
      <w:r>
        <w:rPr>
          <w:b/>
          <w:bCs/>
        </w:rPr>
        <w:t xml:space="preserve"> </w:t>
      </w:r>
      <w:r w:rsidR="004E6FD4" w:rsidRPr="00CC51E3">
        <w:t>shows the DEMOD for the Autumn Fresh period at McCoy’s Bridge bank D. Observations:</w:t>
      </w:r>
    </w:p>
    <w:p w14:paraId="5B8AE133" w14:textId="77777777" w:rsidR="004E6FD4" w:rsidRPr="00CC51E3" w:rsidRDefault="004E6FD4" w:rsidP="00DE6E94">
      <w:pPr>
        <w:pStyle w:val="ListParagraph"/>
        <w:numPr>
          <w:ilvl w:val="0"/>
          <w:numId w:val="75"/>
        </w:numPr>
      </w:pPr>
      <w:r w:rsidRPr="00CC51E3">
        <w:t>Widespread deposition (up to 5 cm) across the lower and mid bank (roughly 1,000 – 3,000 ML/d).</w:t>
      </w:r>
    </w:p>
    <w:p w14:paraId="79EE458E" w14:textId="77777777" w:rsidR="004E6FD4" w:rsidRPr="00CC51E3" w:rsidRDefault="004E6FD4" w:rsidP="00DE6E94">
      <w:pPr>
        <w:pStyle w:val="ListParagraph"/>
        <w:numPr>
          <w:ilvl w:val="0"/>
          <w:numId w:val="75"/>
        </w:numPr>
      </w:pPr>
      <w:r w:rsidRPr="00CC51E3">
        <w:t>Erosion concentrated mostly on the upper bank (above 3,000 ML/d flow level) with some patches lower.</w:t>
      </w:r>
    </w:p>
    <w:p w14:paraId="44EF453B" w14:textId="77777777" w:rsidR="004E6FD4" w:rsidRPr="00CC51E3" w:rsidRDefault="004E6FD4" w:rsidP="004E6FD4">
      <w:r w:rsidRPr="00CC51E3">
        <w:t>This pattern of change supports the hypothesis for this flow type.</w:t>
      </w:r>
    </w:p>
    <w:p w14:paraId="2A3FD0F6" w14:textId="77777777" w:rsidR="004E6FD4" w:rsidRPr="00CC51E3" w:rsidRDefault="004E6FD4" w:rsidP="004E6FD4"/>
    <w:p w14:paraId="6D402FC0" w14:textId="77777777" w:rsidR="004E6FD4" w:rsidRPr="00CC51E3" w:rsidRDefault="004E6FD4" w:rsidP="00CC51E3">
      <w:pPr>
        <w:keepNext/>
        <w:jc w:val="center"/>
      </w:pPr>
      <w:r w:rsidRPr="00CC51E3">
        <w:rPr>
          <w:noProof/>
          <w:lang w:val="en-GB"/>
        </w:rPr>
        <w:drawing>
          <wp:inline distT="0" distB="0" distL="0" distR="0" wp14:anchorId="2C760565" wp14:editId="03039D3B">
            <wp:extent cx="9239097" cy="2752804"/>
            <wp:effectExtent l="0" t="0" r="635"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9264306" cy="2760315"/>
                    </a:xfrm>
                    <a:prstGeom prst="rect">
                      <a:avLst/>
                    </a:prstGeom>
                    <a:noFill/>
                  </pic:spPr>
                </pic:pic>
              </a:graphicData>
            </a:graphic>
          </wp:inline>
        </w:drawing>
      </w:r>
    </w:p>
    <w:p w14:paraId="5C0061EC" w14:textId="5E6A877E" w:rsidR="0079153D" w:rsidRDefault="0079153D" w:rsidP="00E81DC4">
      <w:pPr>
        <w:pStyle w:val="Caption"/>
      </w:pPr>
      <w:bookmarkStart w:id="767" w:name="_Ref84474522"/>
      <w:bookmarkStart w:id="768" w:name="_Toc84475795"/>
      <w:r>
        <w:t xml:space="preserve">Figure </w:t>
      </w:r>
      <w:r>
        <w:rPr>
          <w:noProof/>
        </w:rPr>
        <w:t>B</w:t>
      </w:r>
      <w:r>
        <w:noBreakHyphen/>
      </w:r>
      <w:r>
        <w:rPr>
          <w:noProof/>
        </w:rPr>
        <w:t>13</w:t>
      </w:r>
      <w:bookmarkEnd w:id="767"/>
      <w:r>
        <w:t xml:space="preserve"> </w:t>
      </w:r>
      <w:r w:rsidRPr="00CC51E3">
        <w:t>DEMOD illustrating change in response to Autumn Fresh event at McCoy’s Bridge Bank D.</w:t>
      </w:r>
      <w:bookmarkEnd w:id="768"/>
    </w:p>
    <w:p w14:paraId="5274D667" w14:textId="15B9892E" w:rsidR="004E6FD4" w:rsidRPr="00BA2632" w:rsidRDefault="004E6FD4" w:rsidP="004E6FD4">
      <w:pPr>
        <w:pStyle w:val="Caption"/>
        <w:rPr>
          <w:i/>
          <w:iCs w:val="0"/>
          <w:u w:val="single"/>
        </w:rPr>
      </w:pPr>
    </w:p>
    <w:p w14:paraId="67521EC8" w14:textId="77777777" w:rsidR="004E6FD4" w:rsidRDefault="004E6FD4" w:rsidP="004E6FD4">
      <w:pPr>
        <w:rPr>
          <w:b/>
          <w:bCs/>
        </w:rPr>
      </w:pPr>
      <w:r>
        <w:rPr>
          <w:b/>
          <w:bCs/>
        </w:rPr>
        <w:br w:type="page"/>
      </w:r>
    </w:p>
    <w:p w14:paraId="5473D80A" w14:textId="77777777" w:rsidR="004E6FD4" w:rsidRPr="00CC51E3" w:rsidRDefault="004E6FD4" w:rsidP="004E6FD4">
      <w:pPr>
        <w:rPr>
          <w:b/>
          <w:bCs/>
        </w:rPr>
      </w:pPr>
      <w:r w:rsidRPr="00CC51E3">
        <w:rPr>
          <w:b/>
          <w:bCs/>
        </w:rPr>
        <w:lastRenderedPageBreak/>
        <w:t>McCoy’s Bridge – Bank E</w:t>
      </w:r>
    </w:p>
    <w:p w14:paraId="7B33DB5C" w14:textId="3AC799C6" w:rsidR="004E6FD4" w:rsidRPr="00CC51E3" w:rsidRDefault="002B037E" w:rsidP="004E6FD4">
      <w:r>
        <w:t xml:space="preserve">Figure </w:t>
      </w:r>
      <w:r>
        <w:rPr>
          <w:noProof/>
        </w:rPr>
        <w:t>B</w:t>
      </w:r>
      <w:r>
        <w:noBreakHyphen/>
      </w:r>
      <w:r>
        <w:rPr>
          <w:noProof/>
        </w:rPr>
        <w:t>14</w:t>
      </w:r>
      <w:r w:rsidR="0079153D">
        <w:rPr>
          <w:b/>
          <w:bCs/>
        </w:rPr>
        <w:t xml:space="preserve"> </w:t>
      </w:r>
      <w:r w:rsidR="004E6FD4" w:rsidRPr="00CC51E3">
        <w:t>shows the DEMOD for the Autumn Fresh period at McCoy’s Bridge bank E. Observations:</w:t>
      </w:r>
    </w:p>
    <w:p w14:paraId="0F734F90" w14:textId="77777777" w:rsidR="004E6FD4" w:rsidRPr="00CC51E3" w:rsidRDefault="004E6FD4" w:rsidP="00DE6E94">
      <w:pPr>
        <w:numPr>
          <w:ilvl w:val="0"/>
          <w:numId w:val="69"/>
        </w:numPr>
      </w:pPr>
      <w:r w:rsidRPr="00CC51E3">
        <w:t>Minor but consistent erosion along entire length of lower bank (approximately below 1,500 ML/d flow level).</w:t>
      </w:r>
    </w:p>
    <w:p w14:paraId="55BFF398" w14:textId="77777777" w:rsidR="004E6FD4" w:rsidRPr="00CC51E3" w:rsidRDefault="004E6FD4" w:rsidP="00DE6E94">
      <w:pPr>
        <w:numPr>
          <w:ilvl w:val="0"/>
          <w:numId w:val="69"/>
        </w:numPr>
      </w:pPr>
      <w:r w:rsidRPr="00CC51E3">
        <w:t xml:space="preserve">Deposition generally more prevalent, and prominent on the mid-upper bank, </w:t>
      </w:r>
      <w:proofErr w:type="gramStart"/>
      <w:r w:rsidRPr="00CC51E3">
        <w:t>in particular around</w:t>
      </w:r>
      <w:proofErr w:type="gramEnd"/>
      <w:r w:rsidRPr="00CC51E3">
        <w:t xml:space="preserve"> roughness elements such as debris and vegetation.</w:t>
      </w:r>
    </w:p>
    <w:p w14:paraId="3FF0F578" w14:textId="77777777" w:rsidR="004E6FD4" w:rsidRPr="00CC51E3" w:rsidRDefault="004E6FD4" w:rsidP="004E6FD4">
      <w:r w:rsidRPr="00CC51E3">
        <w:t>This pattern of change partially supports the hypothesis for this flow type.</w:t>
      </w:r>
    </w:p>
    <w:p w14:paraId="1A05E1F9" w14:textId="77777777" w:rsidR="004E6FD4" w:rsidRPr="00CC51E3" w:rsidRDefault="004E6FD4" w:rsidP="004E6FD4">
      <w:pPr>
        <w:rPr>
          <w:b/>
          <w:bCs/>
        </w:rPr>
      </w:pPr>
    </w:p>
    <w:p w14:paraId="6EBADE14" w14:textId="77777777" w:rsidR="004E6FD4" w:rsidRPr="00CC51E3" w:rsidRDefault="004E6FD4" w:rsidP="00CC51E3">
      <w:pPr>
        <w:keepNext/>
        <w:jc w:val="center"/>
        <w:rPr>
          <w:b/>
          <w:bCs/>
        </w:rPr>
      </w:pPr>
      <w:r w:rsidRPr="00CC51E3">
        <w:rPr>
          <w:noProof/>
          <w:lang w:val="en-GB"/>
        </w:rPr>
        <w:drawing>
          <wp:inline distT="0" distB="0" distL="0" distR="0" wp14:anchorId="611FEB4D" wp14:editId="1CEEDD99">
            <wp:extent cx="9455255" cy="2619375"/>
            <wp:effectExtent l="0" t="0" r="0" b="0"/>
            <wp:docPr id="520" name="Graphic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email">
                      <a:extLst>
                        <a:ext uri="{28A0092B-C50C-407E-A947-70E740481C1C}">
                          <a14:useLocalDpi xmlns:a14="http://schemas.microsoft.com/office/drawing/2010/main"/>
                        </a:ext>
                        <a:ext uri="{96DAC541-7B7A-43D3-8B79-37D633B846F1}">
                          <asvg:svgBlip xmlns:asvg="http://schemas.microsoft.com/office/drawing/2016/SVG/main" r:embed="rId128"/>
                        </a:ext>
                      </a:extLst>
                    </a:blip>
                    <a:srcRect b="50747"/>
                    <a:stretch/>
                  </pic:blipFill>
                  <pic:spPr bwMode="auto">
                    <a:xfrm>
                      <a:off x="0" y="0"/>
                      <a:ext cx="9461609" cy="2621135"/>
                    </a:xfrm>
                    <a:prstGeom prst="rect">
                      <a:avLst/>
                    </a:prstGeom>
                    <a:ln>
                      <a:noFill/>
                    </a:ln>
                    <a:extLst>
                      <a:ext uri="{53640926-AAD7-44D8-BBD7-CCE9431645EC}">
                        <a14:shadowObscured xmlns:a14="http://schemas.microsoft.com/office/drawing/2010/main"/>
                      </a:ext>
                    </a:extLst>
                  </pic:spPr>
                </pic:pic>
              </a:graphicData>
            </a:graphic>
          </wp:inline>
        </w:drawing>
      </w:r>
    </w:p>
    <w:p w14:paraId="1704F95C" w14:textId="308440AE" w:rsidR="004D2963" w:rsidRDefault="0079153D" w:rsidP="004E6FD4">
      <w:pPr>
        <w:pStyle w:val="Caption"/>
        <w:sectPr w:rsidR="004D2963" w:rsidSect="00E367A2">
          <w:pgSz w:w="16838" w:h="11906" w:orient="landscape" w:code="9"/>
          <w:pgMar w:top="567" w:right="851" w:bottom="851" w:left="1134" w:header="709" w:footer="709" w:gutter="0"/>
          <w:cols w:space="708"/>
          <w:titlePg/>
          <w:docGrid w:linePitch="360"/>
        </w:sectPr>
      </w:pPr>
      <w:bookmarkStart w:id="769" w:name="_Ref84474555"/>
      <w:bookmarkStart w:id="770" w:name="_Toc84475796"/>
      <w:r>
        <w:t xml:space="preserve">Figure </w:t>
      </w:r>
      <w:r w:rsidR="002B037E">
        <w:rPr>
          <w:noProof/>
        </w:rPr>
        <w:t>B</w:t>
      </w:r>
      <w:r>
        <w:noBreakHyphen/>
      </w:r>
      <w:r w:rsidR="002B037E">
        <w:rPr>
          <w:noProof/>
        </w:rPr>
        <w:t>14</w:t>
      </w:r>
      <w:bookmarkEnd w:id="769"/>
      <w:r>
        <w:t xml:space="preserve"> </w:t>
      </w:r>
      <w:r w:rsidRPr="00CC51E3">
        <w:t>DEMOD illustrating change in response to Autumn Fresh event at McCoy’s Bridge Bank E.</w:t>
      </w:r>
      <w:bookmarkEnd w:id="770"/>
    </w:p>
    <w:p w14:paraId="7C7A2A22" w14:textId="41E4C5A3" w:rsidR="00987A44" w:rsidRPr="00BA2632" w:rsidRDefault="00987A44" w:rsidP="001827C8">
      <w:pPr>
        <w:pStyle w:val="Heading6"/>
      </w:pPr>
      <w:bookmarkStart w:id="771" w:name="_Toc84416143"/>
      <w:bookmarkStart w:id="772" w:name="_Toc84417453"/>
      <w:r w:rsidRPr="00BA2632">
        <w:lastRenderedPageBreak/>
        <w:t xml:space="preserve">Bank </w:t>
      </w:r>
      <w:r w:rsidR="000A2222">
        <w:t>c</w:t>
      </w:r>
      <w:r w:rsidRPr="00BA2632">
        <w:t xml:space="preserve">ondition </w:t>
      </w:r>
      <w:r w:rsidR="000A2222">
        <w:t>m</w:t>
      </w:r>
      <w:r>
        <w:t>odelling – additional context to findings</w:t>
      </w:r>
      <w:bookmarkEnd w:id="771"/>
      <w:bookmarkEnd w:id="772"/>
    </w:p>
    <w:p w14:paraId="2C0D9F88" w14:textId="78AF4F36" w:rsidR="004E6FD4" w:rsidRPr="00DA1E46" w:rsidRDefault="004E6FD4" w:rsidP="004E6FD4">
      <w:pPr>
        <w:pStyle w:val="SNormalText"/>
        <w:rPr>
          <w:rFonts w:asciiTheme="minorHAnsi" w:hAnsiTheme="minorHAnsi" w:cstheme="minorHAnsi"/>
          <w:b/>
          <w:bCs/>
          <w:sz w:val="20"/>
          <w:szCs w:val="20"/>
        </w:rPr>
      </w:pPr>
      <w:r w:rsidRPr="00DA1E46">
        <w:rPr>
          <w:rFonts w:asciiTheme="minorHAnsi" w:hAnsiTheme="minorHAnsi" w:cstheme="minorHAnsi"/>
          <w:b/>
          <w:bCs/>
          <w:sz w:val="20"/>
          <w:szCs w:val="20"/>
        </w:rPr>
        <w:t xml:space="preserve">Environmental Flow Analysis </w:t>
      </w:r>
    </w:p>
    <w:p w14:paraId="2097F63C" w14:textId="5C9A9D51" w:rsidR="00611329" w:rsidRDefault="004E6FD4" w:rsidP="004E6FD4">
      <w:r w:rsidRPr="00DA1E46">
        <w:t>The 95% credible intervals of regression coefficients (effect of inundation duration) for three erosion levels at three sites are summarized in</w:t>
      </w:r>
      <w:r w:rsidR="009D3FE7">
        <w:t xml:space="preserve"> Table </w:t>
      </w:r>
      <w:r w:rsidR="009D3FE7">
        <w:rPr>
          <w:noProof/>
        </w:rPr>
        <w:t>C</w:t>
      </w:r>
      <w:r w:rsidR="009D3FE7">
        <w:noBreakHyphen/>
      </w:r>
      <w:r w:rsidR="009D3FE7">
        <w:rPr>
          <w:noProof/>
        </w:rPr>
        <w:t>1</w:t>
      </w:r>
      <w:r w:rsidRPr="00DA1E46">
        <w:t>.</w:t>
      </w:r>
    </w:p>
    <w:p w14:paraId="5F143C9C" w14:textId="77777777" w:rsidR="00F1618C" w:rsidRPr="00DA1E46" w:rsidRDefault="00F1618C" w:rsidP="004E6FD4"/>
    <w:p w14:paraId="6A926BD7" w14:textId="268593F5" w:rsidR="00F1618C" w:rsidRPr="00F1618C" w:rsidRDefault="00F1618C" w:rsidP="00F1618C">
      <w:pPr>
        <w:pStyle w:val="Caption"/>
        <w:keepNext/>
      </w:pPr>
      <w:bookmarkStart w:id="773" w:name="_Ref84474644"/>
      <w:bookmarkStart w:id="774" w:name="_Toc84492679"/>
      <w:r>
        <w:t xml:space="preserve">Table </w:t>
      </w:r>
      <w:r w:rsidR="009D3FE7">
        <w:rPr>
          <w:noProof/>
        </w:rPr>
        <w:t>C</w:t>
      </w:r>
      <w:r>
        <w:noBreakHyphen/>
      </w:r>
      <w:r w:rsidR="009D3FE7">
        <w:rPr>
          <w:noProof/>
        </w:rPr>
        <w:t>1</w:t>
      </w:r>
      <w:bookmarkEnd w:id="773"/>
      <w:r>
        <w:t xml:space="preserve"> </w:t>
      </w:r>
      <w:r w:rsidRPr="00DA1E46">
        <w:t>95% credible intervals of regression coefficient (</w:t>
      </w:r>
      <w:proofErr w:type="spellStart"/>
      <w:proofErr w:type="gramStart"/>
      <w:r w:rsidRPr="00DA1E46">
        <w:t>eff</w:t>
      </w:r>
      <w:proofErr w:type="gramEnd"/>
      <w:r w:rsidRPr="00DA1E46">
        <w:t>_inund</w:t>
      </w:r>
      <w:proofErr w:type="spellEnd"/>
      <w:r w:rsidRPr="00DA1E46">
        <w:t>) for three erosion levels in three sites. The regression coefficients for deposition are inverted, with positive numbers indicating increased disposition with increased inundation. ‘Significant’ effects (where the 95% credible interval does not cross zero) are printed in bold.</w:t>
      </w:r>
      <w:bookmarkEnd w:id="774"/>
    </w:p>
    <w:tbl>
      <w:tblPr>
        <w:tblW w:w="9866" w:type="dxa"/>
        <w:jc w:val="center"/>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1271"/>
        <w:gridCol w:w="1281"/>
        <w:gridCol w:w="794"/>
        <w:gridCol w:w="737"/>
        <w:gridCol w:w="907"/>
        <w:gridCol w:w="794"/>
        <w:gridCol w:w="737"/>
        <w:gridCol w:w="907"/>
        <w:gridCol w:w="794"/>
        <w:gridCol w:w="737"/>
        <w:gridCol w:w="907"/>
      </w:tblGrid>
      <w:tr w:rsidR="004E6FD4" w:rsidRPr="00C45864" w14:paraId="0C4FEB6C" w14:textId="77777777" w:rsidTr="00E26D3C">
        <w:trPr>
          <w:trHeight w:val="288"/>
          <w:jc w:val="center"/>
        </w:trPr>
        <w:tc>
          <w:tcPr>
            <w:tcW w:w="1271" w:type="dxa"/>
            <w:vMerge w:val="restart"/>
            <w:tcBorders>
              <w:right w:val="single" w:sz="4" w:space="0" w:color="auto"/>
            </w:tcBorders>
            <w:shd w:val="clear" w:color="auto" w:fill="063061" w:themeFill="accent1" w:themeFillShade="BF"/>
            <w:vAlign w:val="center"/>
          </w:tcPr>
          <w:p w14:paraId="04D2A03B"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Bank activity</w:t>
            </w:r>
          </w:p>
        </w:tc>
        <w:tc>
          <w:tcPr>
            <w:tcW w:w="1281" w:type="dxa"/>
            <w:vMerge w:val="restart"/>
            <w:tcBorders>
              <w:right w:val="single" w:sz="4" w:space="0" w:color="auto"/>
            </w:tcBorders>
            <w:shd w:val="clear" w:color="auto" w:fill="063061" w:themeFill="accent1" w:themeFillShade="BF"/>
            <w:vAlign w:val="center"/>
          </w:tcPr>
          <w:p w14:paraId="1F59AE0F"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cstheme="minorHAnsi"/>
                <w:color w:val="FFFFFF" w:themeColor="background1"/>
                <w:sz w:val="18"/>
                <w:szCs w:val="18"/>
              </w:rPr>
              <w:t>Coefficients</w:t>
            </w:r>
          </w:p>
        </w:tc>
        <w:tc>
          <w:tcPr>
            <w:tcW w:w="2438" w:type="dxa"/>
            <w:gridSpan w:val="3"/>
            <w:tcBorders>
              <w:left w:val="single" w:sz="4" w:space="0" w:color="auto"/>
              <w:right w:val="single" w:sz="4" w:space="0" w:color="auto"/>
            </w:tcBorders>
            <w:shd w:val="clear" w:color="auto" w:fill="063061" w:themeFill="accent1" w:themeFillShade="BF"/>
            <w:vAlign w:val="center"/>
          </w:tcPr>
          <w:p w14:paraId="4E7738E2"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Darcy’s Track</w:t>
            </w:r>
          </w:p>
        </w:tc>
        <w:tc>
          <w:tcPr>
            <w:tcW w:w="2438" w:type="dxa"/>
            <w:gridSpan w:val="3"/>
            <w:tcBorders>
              <w:left w:val="single" w:sz="4" w:space="0" w:color="auto"/>
              <w:right w:val="single" w:sz="4" w:space="0" w:color="auto"/>
            </w:tcBorders>
            <w:shd w:val="clear" w:color="auto" w:fill="063061" w:themeFill="accent1" w:themeFillShade="BF"/>
            <w:vAlign w:val="center"/>
          </w:tcPr>
          <w:p w14:paraId="4ECE2239"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Loch Garry</w:t>
            </w:r>
          </w:p>
        </w:tc>
        <w:tc>
          <w:tcPr>
            <w:tcW w:w="2438" w:type="dxa"/>
            <w:gridSpan w:val="3"/>
            <w:tcBorders>
              <w:left w:val="single" w:sz="4" w:space="0" w:color="auto"/>
            </w:tcBorders>
            <w:shd w:val="clear" w:color="auto" w:fill="063061" w:themeFill="accent1" w:themeFillShade="BF"/>
            <w:vAlign w:val="center"/>
          </w:tcPr>
          <w:p w14:paraId="5503C2AB"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McCoy’s Bridge</w:t>
            </w:r>
          </w:p>
        </w:tc>
      </w:tr>
      <w:tr w:rsidR="004E6FD4" w:rsidRPr="00C45864" w14:paraId="66AB8A33" w14:textId="77777777" w:rsidTr="00E26D3C">
        <w:trPr>
          <w:trHeight w:val="288"/>
          <w:jc w:val="center"/>
        </w:trPr>
        <w:tc>
          <w:tcPr>
            <w:tcW w:w="1271" w:type="dxa"/>
            <w:vMerge/>
            <w:tcBorders>
              <w:right w:val="single" w:sz="4" w:space="0" w:color="auto"/>
            </w:tcBorders>
            <w:shd w:val="clear" w:color="auto" w:fill="063061" w:themeFill="accent1" w:themeFillShade="BF"/>
            <w:vAlign w:val="center"/>
          </w:tcPr>
          <w:p w14:paraId="710744C8"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p>
        </w:tc>
        <w:tc>
          <w:tcPr>
            <w:tcW w:w="1281" w:type="dxa"/>
            <w:vMerge/>
            <w:tcBorders>
              <w:right w:val="single" w:sz="4" w:space="0" w:color="auto"/>
            </w:tcBorders>
            <w:shd w:val="clear" w:color="auto" w:fill="063061" w:themeFill="accent1" w:themeFillShade="BF"/>
            <w:vAlign w:val="center"/>
          </w:tcPr>
          <w:p w14:paraId="3EE68F7D"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p>
        </w:tc>
        <w:tc>
          <w:tcPr>
            <w:tcW w:w="794" w:type="dxa"/>
            <w:tcBorders>
              <w:left w:val="single" w:sz="4" w:space="0" w:color="auto"/>
              <w:right w:val="single" w:sz="4" w:space="0" w:color="auto"/>
            </w:tcBorders>
            <w:shd w:val="clear" w:color="auto" w:fill="063061" w:themeFill="accent1" w:themeFillShade="BF"/>
            <w:noWrap/>
            <w:vAlign w:val="center"/>
            <w:hideMark/>
          </w:tcPr>
          <w:p w14:paraId="2E1B785E"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2.50%</w:t>
            </w:r>
          </w:p>
        </w:tc>
        <w:tc>
          <w:tcPr>
            <w:tcW w:w="737" w:type="dxa"/>
            <w:tcBorders>
              <w:left w:val="single" w:sz="4" w:space="0" w:color="auto"/>
              <w:right w:val="single" w:sz="4" w:space="0" w:color="auto"/>
            </w:tcBorders>
            <w:shd w:val="clear" w:color="auto" w:fill="063061" w:themeFill="accent1" w:themeFillShade="BF"/>
            <w:vAlign w:val="center"/>
          </w:tcPr>
          <w:p w14:paraId="6EE56C56"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50%</w:t>
            </w:r>
          </w:p>
        </w:tc>
        <w:tc>
          <w:tcPr>
            <w:tcW w:w="907" w:type="dxa"/>
            <w:tcBorders>
              <w:left w:val="single" w:sz="4" w:space="0" w:color="auto"/>
              <w:right w:val="single" w:sz="4" w:space="0" w:color="auto"/>
            </w:tcBorders>
            <w:shd w:val="clear" w:color="auto" w:fill="063061" w:themeFill="accent1" w:themeFillShade="BF"/>
            <w:noWrap/>
            <w:vAlign w:val="center"/>
            <w:hideMark/>
          </w:tcPr>
          <w:p w14:paraId="727A164D"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97.50%</w:t>
            </w:r>
          </w:p>
        </w:tc>
        <w:tc>
          <w:tcPr>
            <w:tcW w:w="794" w:type="dxa"/>
            <w:tcBorders>
              <w:left w:val="single" w:sz="4" w:space="0" w:color="auto"/>
              <w:right w:val="single" w:sz="4" w:space="0" w:color="auto"/>
            </w:tcBorders>
            <w:shd w:val="clear" w:color="auto" w:fill="063061" w:themeFill="accent1" w:themeFillShade="BF"/>
            <w:noWrap/>
            <w:vAlign w:val="center"/>
            <w:hideMark/>
          </w:tcPr>
          <w:p w14:paraId="50B679F0"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2.50%</w:t>
            </w:r>
          </w:p>
        </w:tc>
        <w:tc>
          <w:tcPr>
            <w:tcW w:w="737" w:type="dxa"/>
            <w:tcBorders>
              <w:left w:val="single" w:sz="4" w:space="0" w:color="auto"/>
              <w:right w:val="single" w:sz="4" w:space="0" w:color="auto"/>
            </w:tcBorders>
            <w:shd w:val="clear" w:color="auto" w:fill="063061" w:themeFill="accent1" w:themeFillShade="BF"/>
            <w:vAlign w:val="center"/>
          </w:tcPr>
          <w:p w14:paraId="0370D0AC"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50%</w:t>
            </w:r>
          </w:p>
        </w:tc>
        <w:tc>
          <w:tcPr>
            <w:tcW w:w="907" w:type="dxa"/>
            <w:tcBorders>
              <w:left w:val="single" w:sz="4" w:space="0" w:color="auto"/>
              <w:right w:val="single" w:sz="4" w:space="0" w:color="auto"/>
            </w:tcBorders>
            <w:shd w:val="clear" w:color="auto" w:fill="063061" w:themeFill="accent1" w:themeFillShade="BF"/>
            <w:noWrap/>
            <w:vAlign w:val="center"/>
            <w:hideMark/>
          </w:tcPr>
          <w:p w14:paraId="1A01F9DA"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97.50%</w:t>
            </w:r>
          </w:p>
        </w:tc>
        <w:tc>
          <w:tcPr>
            <w:tcW w:w="794" w:type="dxa"/>
            <w:tcBorders>
              <w:left w:val="single" w:sz="4" w:space="0" w:color="auto"/>
              <w:right w:val="single" w:sz="4" w:space="0" w:color="auto"/>
            </w:tcBorders>
            <w:shd w:val="clear" w:color="auto" w:fill="063061" w:themeFill="accent1" w:themeFillShade="BF"/>
            <w:noWrap/>
            <w:vAlign w:val="center"/>
            <w:hideMark/>
          </w:tcPr>
          <w:p w14:paraId="58DAEFD8"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2.50%</w:t>
            </w:r>
          </w:p>
        </w:tc>
        <w:tc>
          <w:tcPr>
            <w:tcW w:w="737" w:type="dxa"/>
            <w:tcBorders>
              <w:left w:val="single" w:sz="4" w:space="0" w:color="auto"/>
              <w:right w:val="single" w:sz="4" w:space="0" w:color="auto"/>
            </w:tcBorders>
            <w:shd w:val="clear" w:color="auto" w:fill="063061" w:themeFill="accent1" w:themeFillShade="BF"/>
            <w:vAlign w:val="center"/>
          </w:tcPr>
          <w:p w14:paraId="62300E87"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50%</w:t>
            </w:r>
          </w:p>
        </w:tc>
        <w:tc>
          <w:tcPr>
            <w:tcW w:w="907" w:type="dxa"/>
            <w:tcBorders>
              <w:left w:val="single" w:sz="4" w:space="0" w:color="auto"/>
            </w:tcBorders>
            <w:shd w:val="clear" w:color="auto" w:fill="063061" w:themeFill="accent1" w:themeFillShade="BF"/>
            <w:noWrap/>
            <w:vAlign w:val="center"/>
            <w:hideMark/>
          </w:tcPr>
          <w:p w14:paraId="68AA41CF"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97.50%</w:t>
            </w:r>
          </w:p>
        </w:tc>
      </w:tr>
      <w:tr w:rsidR="004E6FD4" w:rsidRPr="00C45864" w14:paraId="16C20C55" w14:textId="77777777" w:rsidTr="00E26D3C">
        <w:trPr>
          <w:trHeight w:val="288"/>
          <w:jc w:val="center"/>
        </w:trPr>
        <w:tc>
          <w:tcPr>
            <w:tcW w:w="1271" w:type="dxa"/>
            <w:tcBorders>
              <w:right w:val="single" w:sz="4" w:space="0" w:color="auto"/>
            </w:tcBorders>
            <w:shd w:val="clear" w:color="auto" w:fill="063061" w:themeFill="accent1" w:themeFillShade="BF"/>
            <w:vAlign w:val="center"/>
          </w:tcPr>
          <w:p w14:paraId="5DE1A4DC"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Significant erosion</w:t>
            </w:r>
          </w:p>
          <w:p w14:paraId="347E8010"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(&gt; 30 mm)</w:t>
            </w:r>
          </w:p>
        </w:tc>
        <w:tc>
          <w:tcPr>
            <w:tcW w:w="1281" w:type="dxa"/>
            <w:tcBorders>
              <w:right w:val="single" w:sz="4" w:space="0" w:color="auto"/>
            </w:tcBorders>
            <w:shd w:val="clear" w:color="auto" w:fill="74AFF5" w:themeFill="accent1" w:themeFillTint="66"/>
            <w:vAlign w:val="center"/>
          </w:tcPr>
          <w:p w14:paraId="7403AE1E" w14:textId="77777777" w:rsidR="004E6FD4" w:rsidRPr="00611329" w:rsidRDefault="004E6FD4" w:rsidP="00E26D3C">
            <w:pPr>
              <w:spacing w:after="0" w:line="240" w:lineRule="auto"/>
              <w:jc w:val="center"/>
              <w:rPr>
                <w:rFonts w:cstheme="minorHAnsi"/>
                <w:b/>
                <w:sz w:val="18"/>
                <w:szCs w:val="18"/>
              </w:rPr>
            </w:pPr>
            <w:proofErr w:type="spellStart"/>
            <w:proofErr w:type="gramStart"/>
            <w:r w:rsidRPr="00611329">
              <w:rPr>
                <w:rFonts w:cstheme="minorHAnsi"/>
                <w:sz w:val="18"/>
                <w:szCs w:val="18"/>
              </w:rPr>
              <w:t>eff</w:t>
            </w:r>
            <w:proofErr w:type="gramEnd"/>
            <w:r w:rsidRPr="00611329">
              <w:rPr>
                <w:rFonts w:cstheme="minorHAnsi"/>
                <w:sz w:val="18"/>
                <w:szCs w:val="18"/>
              </w:rPr>
              <w:t>_inund</w:t>
            </w:r>
            <w:proofErr w:type="spellEnd"/>
          </w:p>
        </w:tc>
        <w:tc>
          <w:tcPr>
            <w:tcW w:w="794" w:type="dxa"/>
            <w:tcBorders>
              <w:left w:val="single" w:sz="4" w:space="0" w:color="auto"/>
              <w:right w:val="single" w:sz="4" w:space="0" w:color="auto"/>
            </w:tcBorders>
            <w:shd w:val="clear" w:color="auto" w:fill="74AFF5" w:themeFill="accent1" w:themeFillTint="66"/>
            <w:noWrap/>
            <w:vAlign w:val="center"/>
          </w:tcPr>
          <w:p w14:paraId="4C3B999A"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0.21</w:t>
            </w:r>
          </w:p>
        </w:tc>
        <w:tc>
          <w:tcPr>
            <w:tcW w:w="737" w:type="dxa"/>
            <w:tcBorders>
              <w:left w:val="single" w:sz="4" w:space="0" w:color="auto"/>
              <w:right w:val="single" w:sz="4" w:space="0" w:color="auto"/>
            </w:tcBorders>
            <w:shd w:val="clear" w:color="auto" w:fill="74AFF5" w:themeFill="accent1" w:themeFillTint="66"/>
            <w:vAlign w:val="center"/>
          </w:tcPr>
          <w:p w14:paraId="25808795"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0.42</w:t>
            </w:r>
          </w:p>
        </w:tc>
        <w:tc>
          <w:tcPr>
            <w:tcW w:w="907" w:type="dxa"/>
            <w:tcBorders>
              <w:left w:val="single" w:sz="4" w:space="0" w:color="auto"/>
              <w:right w:val="single" w:sz="4" w:space="0" w:color="auto"/>
            </w:tcBorders>
            <w:shd w:val="clear" w:color="auto" w:fill="74AFF5" w:themeFill="accent1" w:themeFillTint="66"/>
            <w:noWrap/>
            <w:vAlign w:val="center"/>
          </w:tcPr>
          <w:p w14:paraId="4EDE226A"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0.64</w:t>
            </w:r>
          </w:p>
        </w:tc>
        <w:tc>
          <w:tcPr>
            <w:tcW w:w="794" w:type="dxa"/>
            <w:tcBorders>
              <w:left w:val="single" w:sz="4" w:space="0" w:color="auto"/>
              <w:right w:val="single" w:sz="4" w:space="0" w:color="auto"/>
            </w:tcBorders>
            <w:shd w:val="clear" w:color="auto" w:fill="74AFF5" w:themeFill="accent1" w:themeFillTint="66"/>
            <w:noWrap/>
            <w:vAlign w:val="center"/>
          </w:tcPr>
          <w:p w14:paraId="3ADB1AB1"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0.5</w:t>
            </w:r>
          </w:p>
        </w:tc>
        <w:tc>
          <w:tcPr>
            <w:tcW w:w="737" w:type="dxa"/>
            <w:tcBorders>
              <w:left w:val="single" w:sz="4" w:space="0" w:color="auto"/>
              <w:right w:val="single" w:sz="4" w:space="0" w:color="auto"/>
            </w:tcBorders>
            <w:shd w:val="clear" w:color="auto" w:fill="74AFF5" w:themeFill="accent1" w:themeFillTint="66"/>
            <w:vAlign w:val="center"/>
          </w:tcPr>
          <w:p w14:paraId="029BDE82"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0.63</w:t>
            </w:r>
          </w:p>
        </w:tc>
        <w:tc>
          <w:tcPr>
            <w:tcW w:w="907" w:type="dxa"/>
            <w:tcBorders>
              <w:left w:val="single" w:sz="4" w:space="0" w:color="auto"/>
              <w:right w:val="single" w:sz="4" w:space="0" w:color="auto"/>
            </w:tcBorders>
            <w:shd w:val="clear" w:color="auto" w:fill="74AFF5" w:themeFill="accent1" w:themeFillTint="66"/>
            <w:noWrap/>
            <w:vAlign w:val="center"/>
          </w:tcPr>
          <w:p w14:paraId="30B3CB6A"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0.76</w:t>
            </w:r>
          </w:p>
        </w:tc>
        <w:tc>
          <w:tcPr>
            <w:tcW w:w="794" w:type="dxa"/>
            <w:tcBorders>
              <w:left w:val="single" w:sz="4" w:space="0" w:color="auto"/>
              <w:right w:val="single" w:sz="4" w:space="0" w:color="auto"/>
            </w:tcBorders>
            <w:shd w:val="clear" w:color="auto" w:fill="74AFF5" w:themeFill="accent1" w:themeFillTint="66"/>
            <w:noWrap/>
            <w:vAlign w:val="center"/>
          </w:tcPr>
          <w:p w14:paraId="7C8F5F19" w14:textId="77777777" w:rsidR="004E6FD4" w:rsidRPr="00611329" w:rsidRDefault="004E6FD4" w:rsidP="00E26D3C">
            <w:pPr>
              <w:spacing w:after="0" w:line="240" w:lineRule="auto"/>
              <w:jc w:val="center"/>
              <w:rPr>
                <w:rFonts w:cstheme="minorHAnsi"/>
                <w:b/>
                <w:sz w:val="18"/>
                <w:szCs w:val="18"/>
              </w:rPr>
            </w:pPr>
            <w:r w:rsidRPr="00611329">
              <w:rPr>
                <w:rFonts w:cstheme="minorHAnsi"/>
                <w:sz w:val="18"/>
                <w:szCs w:val="18"/>
              </w:rPr>
              <w:t>-0.12</w:t>
            </w:r>
          </w:p>
        </w:tc>
        <w:tc>
          <w:tcPr>
            <w:tcW w:w="737" w:type="dxa"/>
            <w:tcBorders>
              <w:left w:val="single" w:sz="4" w:space="0" w:color="auto"/>
              <w:right w:val="single" w:sz="4" w:space="0" w:color="auto"/>
            </w:tcBorders>
            <w:shd w:val="clear" w:color="auto" w:fill="74AFF5" w:themeFill="accent1" w:themeFillTint="66"/>
            <w:vAlign w:val="center"/>
          </w:tcPr>
          <w:p w14:paraId="23403EC4" w14:textId="77777777" w:rsidR="004E6FD4" w:rsidRPr="00611329" w:rsidRDefault="004E6FD4" w:rsidP="00E26D3C">
            <w:pPr>
              <w:spacing w:after="0" w:line="240" w:lineRule="auto"/>
              <w:jc w:val="center"/>
              <w:rPr>
                <w:rFonts w:cstheme="minorHAnsi"/>
                <w:b/>
                <w:sz w:val="18"/>
                <w:szCs w:val="18"/>
              </w:rPr>
            </w:pPr>
            <w:r w:rsidRPr="00611329">
              <w:rPr>
                <w:rFonts w:cstheme="minorHAnsi"/>
                <w:sz w:val="18"/>
                <w:szCs w:val="18"/>
              </w:rPr>
              <w:t>0.06</w:t>
            </w:r>
          </w:p>
        </w:tc>
        <w:tc>
          <w:tcPr>
            <w:tcW w:w="907" w:type="dxa"/>
            <w:tcBorders>
              <w:left w:val="single" w:sz="4" w:space="0" w:color="auto"/>
            </w:tcBorders>
            <w:shd w:val="clear" w:color="auto" w:fill="74AFF5" w:themeFill="accent1" w:themeFillTint="66"/>
            <w:noWrap/>
            <w:vAlign w:val="center"/>
          </w:tcPr>
          <w:p w14:paraId="72B4A244" w14:textId="77777777" w:rsidR="004E6FD4" w:rsidRPr="00611329" w:rsidRDefault="004E6FD4" w:rsidP="00E26D3C">
            <w:pPr>
              <w:spacing w:after="0" w:line="240" w:lineRule="auto"/>
              <w:jc w:val="center"/>
              <w:rPr>
                <w:rFonts w:cstheme="minorHAnsi"/>
                <w:b/>
                <w:sz w:val="18"/>
                <w:szCs w:val="18"/>
              </w:rPr>
            </w:pPr>
            <w:r w:rsidRPr="00611329">
              <w:rPr>
                <w:rFonts w:cstheme="minorHAnsi"/>
                <w:sz w:val="18"/>
                <w:szCs w:val="18"/>
              </w:rPr>
              <w:t>0.24</w:t>
            </w:r>
          </w:p>
        </w:tc>
      </w:tr>
      <w:tr w:rsidR="004E6FD4" w:rsidRPr="00C45864" w14:paraId="7168CDB3" w14:textId="77777777" w:rsidTr="00E26D3C">
        <w:trPr>
          <w:trHeight w:val="288"/>
          <w:jc w:val="center"/>
        </w:trPr>
        <w:tc>
          <w:tcPr>
            <w:tcW w:w="1271" w:type="dxa"/>
            <w:tcBorders>
              <w:right w:val="single" w:sz="4" w:space="0" w:color="auto"/>
            </w:tcBorders>
            <w:shd w:val="clear" w:color="auto" w:fill="063061" w:themeFill="accent1" w:themeFillShade="BF"/>
            <w:vAlign w:val="center"/>
          </w:tcPr>
          <w:p w14:paraId="2D5FD5A6"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Erosion</w:t>
            </w:r>
          </w:p>
          <w:p w14:paraId="509400B1"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(&gt; 5 mm)</w:t>
            </w:r>
          </w:p>
        </w:tc>
        <w:tc>
          <w:tcPr>
            <w:tcW w:w="1281" w:type="dxa"/>
            <w:tcBorders>
              <w:right w:val="single" w:sz="4" w:space="0" w:color="auto"/>
            </w:tcBorders>
            <w:shd w:val="clear" w:color="auto" w:fill="74AFF5" w:themeFill="accent1" w:themeFillTint="66"/>
            <w:vAlign w:val="center"/>
          </w:tcPr>
          <w:p w14:paraId="58EB79C4" w14:textId="77777777" w:rsidR="004E6FD4" w:rsidRPr="00611329" w:rsidRDefault="004E6FD4" w:rsidP="00E26D3C">
            <w:pPr>
              <w:spacing w:after="0" w:line="240" w:lineRule="auto"/>
              <w:jc w:val="center"/>
              <w:rPr>
                <w:rFonts w:cstheme="minorHAnsi"/>
                <w:b/>
                <w:color w:val="000000"/>
                <w:sz w:val="18"/>
                <w:szCs w:val="18"/>
              </w:rPr>
            </w:pPr>
            <w:proofErr w:type="spellStart"/>
            <w:proofErr w:type="gramStart"/>
            <w:r w:rsidRPr="00611329">
              <w:rPr>
                <w:rFonts w:cstheme="minorHAnsi"/>
                <w:sz w:val="18"/>
                <w:szCs w:val="18"/>
              </w:rPr>
              <w:t>eff</w:t>
            </w:r>
            <w:proofErr w:type="gramEnd"/>
            <w:r w:rsidRPr="00611329">
              <w:rPr>
                <w:rFonts w:cstheme="minorHAnsi"/>
                <w:sz w:val="18"/>
                <w:szCs w:val="18"/>
              </w:rPr>
              <w:t>_inund</w:t>
            </w:r>
            <w:proofErr w:type="spellEnd"/>
          </w:p>
        </w:tc>
        <w:tc>
          <w:tcPr>
            <w:tcW w:w="794" w:type="dxa"/>
            <w:tcBorders>
              <w:left w:val="single" w:sz="4" w:space="0" w:color="auto"/>
              <w:right w:val="single" w:sz="4" w:space="0" w:color="auto"/>
            </w:tcBorders>
            <w:shd w:val="clear" w:color="auto" w:fill="74AFF5" w:themeFill="accent1" w:themeFillTint="66"/>
            <w:noWrap/>
            <w:vAlign w:val="center"/>
          </w:tcPr>
          <w:p w14:paraId="5CAB2A85" w14:textId="77777777" w:rsidR="004E6FD4" w:rsidRPr="00611329" w:rsidRDefault="004E6FD4" w:rsidP="00E26D3C">
            <w:pPr>
              <w:spacing w:after="0" w:line="240" w:lineRule="auto"/>
              <w:jc w:val="center"/>
              <w:rPr>
                <w:rFonts w:cstheme="minorHAnsi"/>
                <w:b/>
                <w:sz w:val="18"/>
                <w:szCs w:val="18"/>
              </w:rPr>
            </w:pPr>
            <w:r w:rsidRPr="00611329">
              <w:rPr>
                <w:rFonts w:cstheme="minorHAnsi"/>
                <w:sz w:val="18"/>
                <w:szCs w:val="18"/>
              </w:rPr>
              <w:t>-0.09</w:t>
            </w:r>
          </w:p>
        </w:tc>
        <w:tc>
          <w:tcPr>
            <w:tcW w:w="737" w:type="dxa"/>
            <w:tcBorders>
              <w:left w:val="single" w:sz="4" w:space="0" w:color="auto"/>
              <w:right w:val="single" w:sz="4" w:space="0" w:color="auto"/>
            </w:tcBorders>
            <w:shd w:val="clear" w:color="auto" w:fill="74AFF5" w:themeFill="accent1" w:themeFillTint="66"/>
            <w:vAlign w:val="center"/>
          </w:tcPr>
          <w:p w14:paraId="2D8B13BF" w14:textId="77777777" w:rsidR="004E6FD4" w:rsidRPr="00611329" w:rsidRDefault="004E6FD4" w:rsidP="00E26D3C">
            <w:pPr>
              <w:spacing w:after="0" w:line="240" w:lineRule="auto"/>
              <w:jc w:val="center"/>
              <w:rPr>
                <w:rFonts w:cstheme="minorHAnsi"/>
                <w:b/>
                <w:sz w:val="18"/>
                <w:szCs w:val="18"/>
              </w:rPr>
            </w:pPr>
            <w:r w:rsidRPr="00611329">
              <w:rPr>
                <w:rFonts w:cstheme="minorHAnsi"/>
                <w:sz w:val="18"/>
                <w:szCs w:val="18"/>
              </w:rPr>
              <w:t>0.04</w:t>
            </w:r>
          </w:p>
        </w:tc>
        <w:tc>
          <w:tcPr>
            <w:tcW w:w="907" w:type="dxa"/>
            <w:tcBorders>
              <w:left w:val="single" w:sz="4" w:space="0" w:color="auto"/>
              <w:right w:val="single" w:sz="4" w:space="0" w:color="auto"/>
            </w:tcBorders>
            <w:shd w:val="clear" w:color="auto" w:fill="74AFF5" w:themeFill="accent1" w:themeFillTint="66"/>
            <w:noWrap/>
            <w:vAlign w:val="center"/>
          </w:tcPr>
          <w:p w14:paraId="4B8161A6" w14:textId="77777777" w:rsidR="004E6FD4" w:rsidRPr="00611329" w:rsidRDefault="004E6FD4" w:rsidP="00E26D3C">
            <w:pPr>
              <w:spacing w:after="0" w:line="240" w:lineRule="auto"/>
              <w:jc w:val="center"/>
              <w:rPr>
                <w:rFonts w:cstheme="minorHAnsi"/>
                <w:b/>
                <w:sz w:val="18"/>
                <w:szCs w:val="18"/>
              </w:rPr>
            </w:pPr>
            <w:r w:rsidRPr="00611329">
              <w:rPr>
                <w:rFonts w:cstheme="minorHAnsi"/>
                <w:sz w:val="18"/>
                <w:szCs w:val="18"/>
              </w:rPr>
              <w:t>0.17</w:t>
            </w:r>
          </w:p>
        </w:tc>
        <w:tc>
          <w:tcPr>
            <w:tcW w:w="794" w:type="dxa"/>
            <w:tcBorders>
              <w:left w:val="single" w:sz="4" w:space="0" w:color="auto"/>
              <w:right w:val="single" w:sz="4" w:space="0" w:color="auto"/>
            </w:tcBorders>
            <w:shd w:val="clear" w:color="auto" w:fill="74AFF5" w:themeFill="accent1" w:themeFillTint="66"/>
            <w:noWrap/>
            <w:vAlign w:val="center"/>
          </w:tcPr>
          <w:p w14:paraId="3D8C0049"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0.28</w:t>
            </w:r>
          </w:p>
        </w:tc>
        <w:tc>
          <w:tcPr>
            <w:tcW w:w="737" w:type="dxa"/>
            <w:tcBorders>
              <w:left w:val="single" w:sz="4" w:space="0" w:color="auto"/>
              <w:right w:val="single" w:sz="4" w:space="0" w:color="auto"/>
            </w:tcBorders>
            <w:shd w:val="clear" w:color="auto" w:fill="74AFF5" w:themeFill="accent1" w:themeFillTint="66"/>
            <w:vAlign w:val="center"/>
          </w:tcPr>
          <w:p w14:paraId="3EF3C856"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0.39</w:t>
            </w:r>
          </w:p>
        </w:tc>
        <w:tc>
          <w:tcPr>
            <w:tcW w:w="907" w:type="dxa"/>
            <w:tcBorders>
              <w:left w:val="single" w:sz="4" w:space="0" w:color="auto"/>
              <w:right w:val="single" w:sz="4" w:space="0" w:color="auto"/>
            </w:tcBorders>
            <w:shd w:val="clear" w:color="auto" w:fill="74AFF5" w:themeFill="accent1" w:themeFillTint="66"/>
            <w:noWrap/>
            <w:vAlign w:val="center"/>
          </w:tcPr>
          <w:p w14:paraId="29596096"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0.49</w:t>
            </w:r>
          </w:p>
        </w:tc>
        <w:tc>
          <w:tcPr>
            <w:tcW w:w="794" w:type="dxa"/>
            <w:tcBorders>
              <w:left w:val="single" w:sz="4" w:space="0" w:color="auto"/>
              <w:right w:val="single" w:sz="4" w:space="0" w:color="auto"/>
            </w:tcBorders>
            <w:shd w:val="clear" w:color="auto" w:fill="74AFF5" w:themeFill="accent1" w:themeFillTint="66"/>
            <w:noWrap/>
            <w:vAlign w:val="center"/>
          </w:tcPr>
          <w:p w14:paraId="64DB300F"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0.14</w:t>
            </w:r>
          </w:p>
        </w:tc>
        <w:tc>
          <w:tcPr>
            <w:tcW w:w="737" w:type="dxa"/>
            <w:tcBorders>
              <w:left w:val="single" w:sz="4" w:space="0" w:color="auto"/>
              <w:right w:val="single" w:sz="4" w:space="0" w:color="auto"/>
            </w:tcBorders>
            <w:shd w:val="clear" w:color="auto" w:fill="74AFF5" w:themeFill="accent1" w:themeFillTint="66"/>
            <w:vAlign w:val="center"/>
          </w:tcPr>
          <w:p w14:paraId="47CF99EC"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0.24</w:t>
            </w:r>
          </w:p>
        </w:tc>
        <w:tc>
          <w:tcPr>
            <w:tcW w:w="907" w:type="dxa"/>
            <w:tcBorders>
              <w:left w:val="single" w:sz="4" w:space="0" w:color="auto"/>
            </w:tcBorders>
            <w:shd w:val="clear" w:color="auto" w:fill="74AFF5" w:themeFill="accent1" w:themeFillTint="66"/>
            <w:noWrap/>
            <w:vAlign w:val="center"/>
          </w:tcPr>
          <w:p w14:paraId="0250D0D9"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0.33</w:t>
            </w:r>
          </w:p>
        </w:tc>
      </w:tr>
      <w:tr w:rsidR="004E6FD4" w:rsidRPr="00C45864" w14:paraId="197B8409" w14:textId="77777777" w:rsidTr="00E26D3C">
        <w:trPr>
          <w:trHeight w:val="288"/>
          <w:jc w:val="center"/>
        </w:trPr>
        <w:tc>
          <w:tcPr>
            <w:tcW w:w="1271" w:type="dxa"/>
            <w:tcBorders>
              <w:right w:val="single" w:sz="4" w:space="0" w:color="auto"/>
            </w:tcBorders>
            <w:shd w:val="clear" w:color="auto" w:fill="063061" w:themeFill="accent1" w:themeFillShade="BF"/>
            <w:vAlign w:val="center"/>
          </w:tcPr>
          <w:p w14:paraId="5CA8470F" w14:textId="77777777" w:rsidR="004E6FD4" w:rsidRPr="00611329" w:rsidRDefault="004E6FD4" w:rsidP="00E26D3C">
            <w:pPr>
              <w:spacing w:after="0" w:line="240" w:lineRule="auto"/>
              <w:jc w:val="center"/>
              <w:rPr>
                <w:rFonts w:eastAsia="Times New Roman" w:cstheme="minorHAnsi"/>
                <w:bCs/>
                <w:color w:val="FFFFFF" w:themeColor="background1"/>
                <w:sz w:val="18"/>
                <w:szCs w:val="18"/>
              </w:rPr>
            </w:pPr>
            <w:r w:rsidRPr="00611329">
              <w:rPr>
                <w:rFonts w:eastAsia="Times New Roman" w:cstheme="minorHAnsi"/>
                <w:bCs/>
                <w:color w:val="FFFFFF" w:themeColor="background1"/>
                <w:sz w:val="18"/>
                <w:szCs w:val="18"/>
              </w:rPr>
              <w:t>Deposition (&gt; 5 mm)</w:t>
            </w:r>
          </w:p>
        </w:tc>
        <w:tc>
          <w:tcPr>
            <w:tcW w:w="1281" w:type="dxa"/>
            <w:tcBorders>
              <w:right w:val="single" w:sz="4" w:space="0" w:color="auto"/>
            </w:tcBorders>
            <w:shd w:val="clear" w:color="auto" w:fill="74AFF5" w:themeFill="accent1" w:themeFillTint="66"/>
            <w:vAlign w:val="center"/>
          </w:tcPr>
          <w:p w14:paraId="3EBB051B" w14:textId="77777777" w:rsidR="004E6FD4" w:rsidRPr="00611329" w:rsidRDefault="004E6FD4" w:rsidP="00E26D3C">
            <w:pPr>
              <w:spacing w:after="0" w:line="240" w:lineRule="auto"/>
              <w:jc w:val="center"/>
              <w:rPr>
                <w:rFonts w:cstheme="minorHAnsi"/>
                <w:b/>
                <w:color w:val="000000"/>
                <w:sz w:val="18"/>
                <w:szCs w:val="18"/>
              </w:rPr>
            </w:pPr>
            <w:proofErr w:type="spellStart"/>
            <w:proofErr w:type="gramStart"/>
            <w:r w:rsidRPr="00611329">
              <w:rPr>
                <w:rFonts w:cstheme="minorHAnsi"/>
                <w:sz w:val="18"/>
                <w:szCs w:val="18"/>
              </w:rPr>
              <w:t>eff</w:t>
            </w:r>
            <w:proofErr w:type="gramEnd"/>
            <w:r w:rsidRPr="00611329">
              <w:rPr>
                <w:rFonts w:cstheme="minorHAnsi"/>
                <w:sz w:val="18"/>
                <w:szCs w:val="18"/>
              </w:rPr>
              <w:t>_inund</w:t>
            </w:r>
            <w:proofErr w:type="spellEnd"/>
          </w:p>
        </w:tc>
        <w:tc>
          <w:tcPr>
            <w:tcW w:w="794" w:type="dxa"/>
            <w:tcBorders>
              <w:left w:val="single" w:sz="4" w:space="0" w:color="auto"/>
              <w:right w:val="single" w:sz="4" w:space="0" w:color="auto"/>
            </w:tcBorders>
            <w:shd w:val="clear" w:color="auto" w:fill="74AFF5" w:themeFill="accent1" w:themeFillTint="66"/>
            <w:noWrap/>
            <w:vAlign w:val="center"/>
          </w:tcPr>
          <w:p w14:paraId="27BFC3E9"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0.36</w:t>
            </w:r>
          </w:p>
        </w:tc>
        <w:tc>
          <w:tcPr>
            <w:tcW w:w="737" w:type="dxa"/>
            <w:tcBorders>
              <w:left w:val="single" w:sz="4" w:space="0" w:color="auto"/>
              <w:right w:val="single" w:sz="4" w:space="0" w:color="auto"/>
            </w:tcBorders>
            <w:shd w:val="clear" w:color="auto" w:fill="74AFF5" w:themeFill="accent1" w:themeFillTint="66"/>
            <w:vAlign w:val="center"/>
          </w:tcPr>
          <w:p w14:paraId="02CB9917"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0.24</w:t>
            </w:r>
          </w:p>
        </w:tc>
        <w:tc>
          <w:tcPr>
            <w:tcW w:w="907" w:type="dxa"/>
            <w:tcBorders>
              <w:left w:val="single" w:sz="4" w:space="0" w:color="auto"/>
              <w:right w:val="single" w:sz="4" w:space="0" w:color="auto"/>
            </w:tcBorders>
            <w:shd w:val="clear" w:color="auto" w:fill="74AFF5" w:themeFill="accent1" w:themeFillTint="66"/>
            <w:noWrap/>
            <w:vAlign w:val="center"/>
          </w:tcPr>
          <w:p w14:paraId="57BCB9DB"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0.12</w:t>
            </w:r>
          </w:p>
        </w:tc>
        <w:tc>
          <w:tcPr>
            <w:tcW w:w="794" w:type="dxa"/>
            <w:tcBorders>
              <w:left w:val="single" w:sz="4" w:space="0" w:color="auto"/>
              <w:right w:val="single" w:sz="4" w:space="0" w:color="auto"/>
            </w:tcBorders>
            <w:shd w:val="clear" w:color="auto" w:fill="74AFF5" w:themeFill="accent1" w:themeFillTint="66"/>
            <w:noWrap/>
            <w:vAlign w:val="center"/>
          </w:tcPr>
          <w:p w14:paraId="7E32F0BB"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0.42</w:t>
            </w:r>
          </w:p>
        </w:tc>
        <w:tc>
          <w:tcPr>
            <w:tcW w:w="737" w:type="dxa"/>
            <w:tcBorders>
              <w:left w:val="single" w:sz="4" w:space="0" w:color="auto"/>
              <w:right w:val="single" w:sz="4" w:space="0" w:color="auto"/>
            </w:tcBorders>
            <w:shd w:val="clear" w:color="auto" w:fill="74AFF5" w:themeFill="accent1" w:themeFillTint="66"/>
            <w:vAlign w:val="center"/>
          </w:tcPr>
          <w:p w14:paraId="034A358A"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0.31</w:t>
            </w:r>
          </w:p>
        </w:tc>
        <w:tc>
          <w:tcPr>
            <w:tcW w:w="907" w:type="dxa"/>
            <w:tcBorders>
              <w:left w:val="single" w:sz="4" w:space="0" w:color="auto"/>
              <w:right w:val="single" w:sz="4" w:space="0" w:color="auto"/>
            </w:tcBorders>
            <w:shd w:val="clear" w:color="auto" w:fill="74AFF5" w:themeFill="accent1" w:themeFillTint="66"/>
            <w:noWrap/>
            <w:vAlign w:val="center"/>
          </w:tcPr>
          <w:p w14:paraId="50F4AF7F"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0.22</w:t>
            </w:r>
          </w:p>
        </w:tc>
        <w:tc>
          <w:tcPr>
            <w:tcW w:w="794" w:type="dxa"/>
            <w:tcBorders>
              <w:left w:val="single" w:sz="4" w:space="0" w:color="auto"/>
              <w:right w:val="single" w:sz="4" w:space="0" w:color="auto"/>
            </w:tcBorders>
            <w:shd w:val="clear" w:color="auto" w:fill="74AFF5" w:themeFill="accent1" w:themeFillTint="66"/>
            <w:noWrap/>
            <w:vAlign w:val="center"/>
          </w:tcPr>
          <w:p w14:paraId="55FD761A"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0.34</w:t>
            </w:r>
          </w:p>
        </w:tc>
        <w:tc>
          <w:tcPr>
            <w:tcW w:w="737" w:type="dxa"/>
            <w:tcBorders>
              <w:left w:val="single" w:sz="4" w:space="0" w:color="auto"/>
              <w:right w:val="single" w:sz="4" w:space="0" w:color="auto"/>
            </w:tcBorders>
            <w:shd w:val="clear" w:color="auto" w:fill="74AFF5" w:themeFill="accent1" w:themeFillTint="66"/>
            <w:vAlign w:val="center"/>
          </w:tcPr>
          <w:p w14:paraId="77A8A18D"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0.24</w:t>
            </w:r>
          </w:p>
        </w:tc>
        <w:tc>
          <w:tcPr>
            <w:tcW w:w="907" w:type="dxa"/>
            <w:tcBorders>
              <w:left w:val="single" w:sz="4" w:space="0" w:color="auto"/>
            </w:tcBorders>
            <w:shd w:val="clear" w:color="auto" w:fill="74AFF5" w:themeFill="accent1" w:themeFillTint="66"/>
            <w:noWrap/>
            <w:vAlign w:val="center"/>
          </w:tcPr>
          <w:p w14:paraId="1B4AA3D3" w14:textId="77777777" w:rsidR="004E6FD4" w:rsidRPr="00611329" w:rsidRDefault="004E6FD4" w:rsidP="00E26D3C">
            <w:pPr>
              <w:spacing w:after="0" w:line="240" w:lineRule="auto"/>
              <w:jc w:val="center"/>
              <w:rPr>
                <w:rFonts w:cstheme="minorHAnsi"/>
                <w:b/>
                <w:bCs/>
                <w:sz w:val="18"/>
                <w:szCs w:val="18"/>
              </w:rPr>
            </w:pPr>
            <w:r w:rsidRPr="00611329">
              <w:rPr>
                <w:rFonts w:cstheme="minorHAnsi"/>
                <w:b/>
                <w:bCs/>
                <w:sz w:val="18"/>
                <w:szCs w:val="18"/>
              </w:rPr>
              <w:t>0.14</w:t>
            </w:r>
          </w:p>
        </w:tc>
      </w:tr>
    </w:tbl>
    <w:p w14:paraId="32851175" w14:textId="77777777" w:rsidR="004E6FD4" w:rsidRPr="00DA1E46" w:rsidRDefault="004E6FD4" w:rsidP="00D64C25"/>
    <w:p w14:paraId="35FB7438" w14:textId="4E3752F1" w:rsidR="004E6FD4" w:rsidRPr="00DA1E46" w:rsidRDefault="004E6FD4" w:rsidP="004E6FD4">
      <w:r w:rsidRPr="00DA1E46">
        <w:t>Predictive curves (</w:t>
      </w:r>
      <w:r w:rsidR="00FC28B0">
        <w:t xml:space="preserve">Figure </w:t>
      </w:r>
      <w:r w:rsidR="00FC28B0">
        <w:rPr>
          <w:noProof/>
        </w:rPr>
        <w:t>C</w:t>
      </w:r>
      <w:r w:rsidR="00FC28B0">
        <w:noBreakHyphen/>
      </w:r>
      <w:r w:rsidR="00FC28B0">
        <w:rPr>
          <w:noProof/>
        </w:rPr>
        <w:t>1</w:t>
      </w:r>
      <w:r w:rsidRPr="00DA1E46">
        <w:t>) back up the above results, with probability of erosion (both significant minor) and deposition showing increases with increasing simulated inundation periods at all three sites. Consistent with the parameter estimates, the magnitudes of effect on significant erosion at McCoy’s Bridge and on minor erosion at Darcy’ Track are not as obvious as others.</w:t>
      </w:r>
    </w:p>
    <w:p w14:paraId="0AA66376" w14:textId="3248275F" w:rsidR="004E6FD4" w:rsidRDefault="004E6FD4" w:rsidP="004E6FD4">
      <w:r w:rsidRPr="00DA1E46">
        <w:t>By running the models with and without the environmental flows delivered from 2019 to 2021, we can see the predicted difference in probability of erosion at different points on the bank (</w:t>
      </w:r>
      <w:r w:rsidR="00FC28B0">
        <w:t xml:space="preserve">Figure </w:t>
      </w:r>
      <w:r w:rsidR="00FC28B0">
        <w:rPr>
          <w:noProof/>
        </w:rPr>
        <w:t>C</w:t>
      </w:r>
      <w:r w:rsidR="00FC28B0">
        <w:noBreakHyphen/>
      </w:r>
      <w:r w:rsidR="00FC28B0">
        <w:rPr>
          <w:noProof/>
        </w:rPr>
        <w:t>2</w:t>
      </w:r>
      <w:r w:rsidRPr="00DA1E46">
        <w:t>). With a reduction in flows, we expect to see less erosion and deposition (</w:t>
      </w:r>
      <w:proofErr w:type="gramStart"/>
      <w:r w:rsidRPr="00DA1E46">
        <w:t>i.e.</w:t>
      </w:r>
      <w:proofErr w:type="gramEnd"/>
      <w:r w:rsidRPr="00DA1E46">
        <w:t xml:space="preserve"> a positive difference). This can be seen at all three sites, except that there are only minor differences in the probabilities for significant erosion at McCoy’s’ Bridge and for erosion at Darcy’s Track.</w:t>
      </w:r>
    </w:p>
    <w:p w14:paraId="2C42548D" w14:textId="77777777" w:rsidR="004E6FD4" w:rsidRPr="00300B06" w:rsidRDefault="004E6FD4" w:rsidP="004E6FD4">
      <w:pPr>
        <w:keepNext/>
        <w:jc w:val="center"/>
      </w:pPr>
      <w:r w:rsidRPr="00300B06">
        <w:rPr>
          <w:noProof/>
          <w:lang w:val="en-GB"/>
        </w:rPr>
        <w:lastRenderedPageBreak/>
        <w:drawing>
          <wp:inline distT="0" distB="0" distL="0" distR="0" wp14:anchorId="7E3F3A71" wp14:editId="338AA154">
            <wp:extent cx="6263640" cy="5551362"/>
            <wp:effectExtent l="0" t="0" r="381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6285424" cy="5570669"/>
                    </a:xfrm>
                    <a:prstGeom prst="rect">
                      <a:avLst/>
                    </a:prstGeom>
                    <a:noFill/>
                  </pic:spPr>
                </pic:pic>
              </a:graphicData>
            </a:graphic>
          </wp:inline>
        </w:drawing>
      </w:r>
    </w:p>
    <w:p w14:paraId="19BCF05A" w14:textId="4C3EA949" w:rsidR="009D3FE7" w:rsidRDefault="009D3FE7" w:rsidP="00E81DC4">
      <w:pPr>
        <w:pStyle w:val="Caption"/>
      </w:pPr>
      <w:bookmarkStart w:id="775" w:name="_Ref84474749"/>
      <w:bookmarkStart w:id="776" w:name="_Toc84475797"/>
      <w:r>
        <w:t xml:space="preserve">Figure </w:t>
      </w:r>
      <w:r w:rsidR="00FC28B0">
        <w:rPr>
          <w:noProof/>
        </w:rPr>
        <w:t>C</w:t>
      </w:r>
      <w:r>
        <w:noBreakHyphen/>
      </w:r>
      <w:r w:rsidR="00FC28B0">
        <w:rPr>
          <w:noProof/>
        </w:rPr>
        <w:t>1</w:t>
      </w:r>
      <w:bookmarkEnd w:id="775"/>
      <w:r>
        <w:t xml:space="preserve"> </w:t>
      </w:r>
      <w:r w:rsidRPr="00300B06">
        <w:t>Relationship between inundation period and simulated probability of erosion. (a) significant erosion: &gt; 30 mm; (b) erosion: &gt; 5 mm; (c) deposition: &gt; 5 mm. For each erosion level, results are shown for three sites (Darcy’s Track, Loch Garry, and McCoy’s Bridge) in individual panels. The solid line is the median probability of erosion with the dotted lines encompassing the 95% credible interval for the estimate.</w:t>
      </w:r>
      <w:bookmarkEnd w:id="776"/>
    </w:p>
    <w:p w14:paraId="74D13A77" w14:textId="77777777" w:rsidR="009D3FE7" w:rsidRPr="009D3FE7" w:rsidRDefault="009D3FE7" w:rsidP="009D3FE7"/>
    <w:p w14:paraId="60F031F7" w14:textId="77777777" w:rsidR="004E6FD4" w:rsidRPr="00300B06" w:rsidRDefault="004E6FD4" w:rsidP="004E6FD4">
      <w:pPr>
        <w:jc w:val="center"/>
      </w:pPr>
      <w:r w:rsidRPr="00C5220E">
        <w:rPr>
          <w:noProof/>
          <w:lang w:val="en-GB"/>
        </w:rPr>
        <w:lastRenderedPageBreak/>
        <w:drawing>
          <wp:inline distT="0" distB="0" distL="0" distR="0" wp14:anchorId="7BF214D2" wp14:editId="566B2810">
            <wp:extent cx="6362700" cy="5539361"/>
            <wp:effectExtent l="0" t="0" r="0" b="0"/>
            <wp:docPr id="522" name="Picture 522"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A picture containing application&#10;&#10;Description automatically generated"/>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6393069" cy="5565800"/>
                    </a:xfrm>
                    <a:prstGeom prst="rect">
                      <a:avLst/>
                    </a:prstGeom>
                    <a:noFill/>
                  </pic:spPr>
                </pic:pic>
              </a:graphicData>
            </a:graphic>
          </wp:inline>
        </w:drawing>
      </w:r>
    </w:p>
    <w:p w14:paraId="41AFD538" w14:textId="273ED5CB" w:rsidR="009D3FE7" w:rsidRDefault="009D3FE7" w:rsidP="00E81DC4">
      <w:pPr>
        <w:pStyle w:val="Caption"/>
      </w:pPr>
      <w:bookmarkStart w:id="777" w:name="_Ref84474757"/>
      <w:bookmarkStart w:id="778" w:name="_Toc84475798"/>
      <w:r>
        <w:t xml:space="preserve">Figure </w:t>
      </w:r>
      <w:r w:rsidR="00FC28B0">
        <w:rPr>
          <w:noProof/>
        </w:rPr>
        <w:t>C</w:t>
      </w:r>
      <w:r>
        <w:noBreakHyphen/>
      </w:r>
      <w:r w:rsidR="00FC28B0">
        <w:rPr>
          <w:noProof/>
        </w:rPr>
        <w:t>2</w:t>
      </w:r>
      <w:bookmarkEnd w:id="777"/>
      <w:r>
        <w:t xml:space="preserve"> </w:t>
      </w:r>
      <w:r w:rsidRPr="00300B06">
        <w:t>Effect of the environmental flow component on the probability of erosion, relative to bank elevation (m). (a) significant erosion: &gt; 30 mm; (b) erosion: &gt; 5 mm; (c) deposition: &gt; 5 mm.  y axis shows the difference between erosion probabilities WITH and WITHOUT environmental flows. A positive difference implies greater erosion or deposition when environmental flows are being delivered.</w:t>
      </w:r>
      <w:bookmarkEnd w:id="778"/>
    </w:p>
    <w:p w14:paraId="4564A8E3" w14:textId="77777777" w:rsidR="009D3FE7" w:rsidRPr="009D3FE7" w:rsidRDefault="009D3FE7" w:rsidP="009D3FE7"/>
    <w:p w14:paraId="08A4918A" w14:textId="77777777" w:rsidR="004E6FD4" w:rsidRPr="00D64C25" w:rsidRDefault="004E6FD4" w:rsidP="004E6FD4">
      <w:pPr>
        <w:rPr>
          <w:b/>
          <w:bCs/>
        </w:rPr>
      </w:pPr>
      <w:r w:rsidRPr="00D64C25">
        <w:rPr>
          <w:b/>
          <w:bCs/>
        </w:rPr>
        <w:t xml:space="preserve">Notching Analysis </w:t>
      </w:r>
    </w:p>
    <w:p w14:paraId="634ED86F" w14:textId="55C00BE4" w:rsidR="004E6FD4" w:rsidRDefault="004E6FD4" w:rsidP="003575BD">
      <w:r w:rsidRPr="00D64C25">
        <w:t>The 95% credible intervals of regression coefficients (effect of inundation duration and effect of dry period) for three erosion levels at three sites regarding notching analysis are summarized in</w:t>
      </w:r>
      <w:r w:rsidR="00FC28B0">
        <w:t xml:space="preserve"> Table </w:t>
      </w:r>
      <w:r w:rsidR="00FC28B0">
        <w:rPr>
          <w:noProof/>
        </w:rPr>
        <w:t>C</w:t>
      </w:r>
      <w:r w:rsidR="00FC28B0">
        <w:noBreakHyphen/>
      </w:r>
      <w:r w:rsidR="00FC28B0">
        <w:rPr>
          <w:noProof/>
        </w:rPr>
        <w:t>2</w:t>
      </w:r>
      <w:r w:rsidRPr="00D64C25">
        <w:t>.</w:t>
      </w:r>
    </w:p>
    <w:p w14:paraId="62D211E8" w14:textId="51DBC87A" w:rsidR="004E6FD4" w:rsidRPr="00D64C25" w:rsidRDefault="00FC28B0" w:rsidP="00FC28B0">
      <w:pPr>
        <w:pStyle w:val="Caption"/>
      </w:pPr>
      <w:bookmarkStart w:id="779" w:name="_Ref84474812"/>
      <w:bookmarkStart w:id="780" w:name="_Toc84492680"/>
      <w:r>
        <w:t xml:space="preserve">Table </w:t>
      </w:r>
      <w:r>
        <w:rPr>
          <w:noProof/>
        </w:rPr>
        <w:t>C</w:t>
      </w:r>
      <w:r>
        <w:noBreakHyphen/>
      </w:r>
      <w:r>
        <w:rPr>
          <w:noProof/>
        </w:rPr>
        <w:t>2</w:t>
      </w:r>
      <w:bookmarkEnd w:id="779"/>
      <w:r>
        <w:t xml:space="preserve"> </w:t>
      </w:r>
      <w:r w:rsidRPr="00D64C25">
        <w:t>95% credible intervals of regression coefficients (</w:t>
      </w:r>
      <w:proofErr w:type="spellStart"/>
      <w:proofErr w:type="gramStart"/>
      <w:r w:rsidRPr="00D64C25">
        <w:t>eff</w:t>
      </w:r>
      <w:proofErr w:type="gramEnd"/>
      <w:r w:rsidRPr="00D64C25">
        <w:t>_inund</w:t>
      </w:r>
      <w:proofErr w:type="spellEnd"/>
      <w:r w:rsidRPr="00D64C25">
        <w:t>) for three erosion levels of notching in three sites. As with Table 1, the figures for Deposition are inverted relative to analysis output, and ‘significant’ parameter values are printed in bold.</w:t>
      </w:r>
      <w:bookmarkEnd w:id="780"/>
    </w:p>
    <w:tbl>
      <w:tblPr>
        <w:tblW w:w="9866" w:type="dxa"/>
        <w:jc w:val="center"/>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1271"/>
        <w:gridCol w:w="1281"/>
        <w:gridCol w:w="794"/>
        <w:gridCol w:w="737"/>
        <w:gridCol w:w="907"/>
        <w:gridCol w:w="794"/>
        <w:gridCol w:w="737"/>
        <w:gridCol w:w="907"/>
        <w:gridCol w:w="794"/>
        <w:gridCol w:w="737"/>
        <w:gridCol w:w="907"/>
      </w:tblGrid>
      <w:tr w:rsidR="004E6FD4" w:rsidRPr="003B29A8" w14:paraId="07FC6790" w14:textId="77777777" w:rsidTr="00E26D3C">
        <w:trPr>
          <w:trHeight w:val="288"/>
          <w:jc w:val="center"/>
        </w:trPr>
        <w:tc>
          <w:tcPr>
            <w:tcW w:w="1271" w:type="dxa"/>
            <w:vMerge w:val="restart"/>
            <w:tcBorders>
              <w:right w:val="single" w:sz="4" w:space="0" w:color="auto"/>
            </w:tcBorders>
            <w:shd w:val="clear" w:color="auto" w:fill="063061" w:themeFill="accent1" w:themeFillShade="BF"/>
            <w:vAlign w:val="center"/>
          </w:tcPr>
          <w:p w14:paraId="3005ED97"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Bank activity</w:t>
            </w:r>
          </w:p>
        </w:tc>
        <w:tc>
          <w:tcPr>
            <w:tcW w:w="1281" w:type="dxa"/>
            <w:vMerge w:val="restart"/>
            <w:tcBorders>
              <w:right w:val="single" w:sz="4" w:space="0" w:color="auto"/>
            </w:tcBorders>
            <w:shd w:val="clear" w:color="auto" w:fill="063061" w:themeFill="accent1" w:themeFillShade="BF"/>
            <w:vAlign w:val="center"/>
          </w:tcPr>
          <w:p w14:paraId="6E787A71"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cstheme="minorHAnsi"/>
                <w:color w:val="FFFFFF" w:themeColor="background1"/>
                <w:sz w:val="18"/>
                <w:szCs w:val="18"/>
              </w:rPr>
              <w:t>Coefficients</w:t>
            </w:r>
          </w:p>
        </w:tc>
        <w:tc>
          <w:tcPr>
            <w:tcW w:w="2438" w:type="dxa"/>
            <w:gridSpan w:val="3"/>
            <w:tcBorders>
              <w:left w:val="single" w:sz="4" w:space="0" w:color="auto"/>
              <w:right w:val="single" w:sz="4" w:space="0" w:color="auto"/>
            </w:tcBorders>
            <w:shd w:val="clear" w:color="auto" w:fill="063061" w:themeFill="accent1" w:themeFillShade="BF"/>
            <w:vAlign w:val="center"/>
          </w:tcPr>
          <w:p w14:paraId="1EFE30EC"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Darcy</w:t>
            </w:r>
          </w:p>
        </w:tc>
        <w:tc>
          <w:tcPr>
            <w:tcW w:w="2438" w:type="dxa"/>
            <w:gridSpan w:val="3"/>
            <w:tcBorders>
              <w:left w:val="single" w:sz="4" w:space="0" w:color="auto"/>
              <w:right w:val="single" w:sz="4" w:space="0" w:color="auto"/>
            </w:tcBorders>
            <w:shd w:val="clear" w:color="auto" w:fill="063061" w:themeFill="accent1" w:themeFillShade="BF"/>
            <w:vAlign w:val="center"/>
          </w:tcPr>
          <w:p w14:paraId="18A7888E"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Loch</w:t>
            </w:r>
          </w:p>
        </w:tc>
        <w:tc>
          <w:tcPr>
            <w:tcW w:w="2438" w:type="dxa"/>
            <w:gridSpan w:val="3"/>
            <w:tcBorders>
              <w:left w:val="single" w:sz="4" w:space="0" w:color="auto"/>
            </w:tcBorders>
            <w:shd w:val="clear" w:color="auto" w:fill="063061" w:themeFill="accent1" w:themeFillShade="BF"/>
            <w:vAlign w:val="center"/>
          </w:tcPr>
          <w:p w14:paraId="6E2E799D"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McCoy</w:t>
            </w:r>
          </w:p>
        </w:tc>
      </w:tr>
      <w:tr w:rsidR="004E6FD4" w:rsidRPr="003B29A8" w14:paraId="1EEA4000" w14:textId="77777777" w:rsidTr="00E26D3C">
        <w:trPr>
          <w:trHeight w:val="288"/>
          <w:jc w:val="center"/>
        </w:trPr>
        <w:tc>
          <w:tcPr>
            <w:tcW w:w="1271" w:type="dxa"/>
            <w:vMerge/>
            <w:tcBorders>
              <w:right w:val="single" w:sz="4" w:space="0" w:color="auto"/>
            </w:tcBorders>
            <w:shd w:val="clear" w:color="auto" w:fill="063061" w:themeFill="accent1" w:themeFillShade="BF"/>
            <w:vAlign w:val="center"/>
          </w:tcPr>
          <w:p w14:paraId="791DA599"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p>
        </w:tc>
        <w:tc>
          <w:tcPr>
            <w:tcW w:w="1281" w:type="dxa"/>
            <w:vMerge/>
            <w:tcBorders>
              <w:right w:val="single" w:sz="4" w:space="0" w:color="auto"/>
            </w:tcBorders>
            <w:shd w:val="clear" w:color="auto" w:fill="063061" w:themeFill="accent1" w:themeFillShade="BF"/>
            <w:vAlign w:val="center"/>
          </w:tcPr>
          <w:p w14:paraId="0166D7D2"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p>
        </w:tc>
        <w:tc>
          <w:tcPr>
            <w:tcW w:w="794" w:type="dxa"/>
            <w:tcBorders>
              <w:left w:val="single" w:sz="4" w:space="0" w:color="auto"/>
              <w:right w:val="single" w:sz="4" w:space="0" w:color="auto"/>
            </w:tcBorders>
            <w:shd w:val="clear" w:color="auto" w:fill="063061" w:themeFill="accent1" w:themeFillShade="BF"/>
            <w:noWrap/>
            <w:vAlign w:val="center"/>
            <w:hideMark/>
          </w:tcPr>
          <w:p w14:paraId="617242DE"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2.50%</w:t>
            </w:r>
          </w:p>
        </w:tc>
        <w:tc>
          <w:tcPr>
            <w:tcW w:w="737" w:type="dxa"/>
            <w:tcBorders>
              <w:left w:val="single" w:sz="4" w:space="0" w:color="auto"/>
              <w:right w:val="single" w:sz="4" w:space="0" w:color="auto"/>
            </w:tcBorders>
            <w:shd w:val="clear" w:color="auto" w:fill="063061" w:themeFill="accent1" w:themeFillShade="BF"/>
            <w:vAlign w:val="center"/>
          </w:tcPr>
          <w:p w14:paraId="777C2599"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50%</w:t>
            </w:r>
          </w:p>
        </w:tc>
        <w:tc>
          <w:tcPr>
            <w:tcW w:w="907" w:type="dxa"/>
            <w:tcBorders>
              <w:left w:val="single" w:sz="4" w:space="0" w:color="auto"/>
              <w:right w:val="single" w:sz="4" w:space="0" w:color="auto"/>
            </w:tcBorders>
            <w:shd w:val="clear" w:color="auto" w:fill="063061" w:themeFill="accent1" w:themeFillShade="BF"/>
            <w:noWrap/>
            <w:vAlign w:val="center"/>
            <w:hideMark/>
          </w:tcPr>
          <w:p w14:paraId="70BB59E9"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97.50%</w:t>
            </w:r>
          </w:p>
        </w:tc>
        <w:tc>
          <w:tcPr>
            <w:tcW w:w="794" w:type="dxa"/>
            <w:tcBorders>
              <w:left w:val="single" w:sz="4" w:space="0" w:color="auto"/>
              <w:right w:val="single" w:sz="4" w:space="0" w:color="auto"/>
            </w:tcBorders>
            <w:shd w:val="clear" w:color="auto" w:fill="063061" w:themeFill="accent1" w:themeFillShade="BF"/>
            <w:noWrap/>
            <w:vAlign w:val="center"/>
            <w:hideMark/>
          </w:tcPr>
          <w:p w14:paraId="5E753F3F"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2.50%</w:t>
            </w:r>
          </w:p>
        </w:tc>
        <w:tc>
          <w:tcPr>
            <w:tcW w:w="737" w:type="dxa"/>
            <w:tcBorders>
              <w:left w:val="single" w:sz="4" w:space="0" w:color="auto"/>
              <w:right w:val="single" w:sz="4" w:space="0" w:color="auto"/>
            </w:tcBorders>
            <w:shd w:val="clear" w:color="auto" w:fill="063061" w:themeFill="accent1" w:themeFillShade="BF"/>
            <w:vAlign w:val="center"/>
          </w:tcPr>
          <w:p w14:paraId="53083A9D"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50%</w:t>
            </w:r>
          </w:p>
        </w:tc>
        <w:tc>
          <w:tcPr>
            <w:tcW w:w="907" w:type="dxa"/>
            <w:tcBorders>
              <w:left w:val="single" w:sz="4" w:space="0" w:color="auto"/>
              <w:right w:val="single" w:sz="4" w:space="0" w:color="auto"/>
            </w:tcBorders>
            <w:shd w:val="clear" w:color="auto" w:fill="063061" w:themeFill="accent1" w:themeFillShade="BF"/>
            <w:noWrap/>
            <w:vAlign w:val="center"/>
            <w:hideMark/>
          </w:tcPr>
          <w:p w14:paraId="7DBD73FF"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97.50%</w:t>
            </w:r>
          </w:p>
        </w:tc>
        <w:tc>
          <w:tcPr>
            <w:tcW w:w="794" w:type="dxa"/>
            <w:tcBorders>
              <w:left w:val="single" w:sz="4" w:space="0" w:color="auto"/>
              <w:right w:val="single" w:sz="4" w:space="0" w:color="auto"/>
            </w:tcBorders>
            <w:shd w:val="clear" w:color="auto" w:fill="063061" w:themeFill="accent1" w:themeFillShade="BF"/>
            <w:noWrap/>
            <w:vAlign w:val="center"/>
            <w:hideMark/>
          </w:tcPr>
          <w:p w14:paraId="6817EB1B"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2.50%</w:t>
            </w:r>
          </w:p>
        </w:tc>
        <w:tc>
          <w:tcPr>
            <w:tcW w:w="737" w:type="dxa"/>
            <w:tcBorders>
              <w:left w:val="single" w:sz="4" w:space="0" w:color="auto"/>
              <w:right w:val="single" w:sz="4" w:space="0" w:color="auto"/>
            </w:tcBorders>
            <w:shd w:val="clear" w:color="auto" w:fill="063061" w:themeFill="accent1" w:themeFillShade="BF"/>
            <w:vAlign w:val="center"/>
          </w:tcPr>
          <w:p w14:paraId="78A3532E"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50%</w:t>
            </w:r>
          </w:p>
        </w:tc>
        <w:tc>
          <w:tcPr>
            <w:tcW w:w="907" w:type="dxa"/>
            <w:tcBorders>
              <w:left w:val="single" w:sz="4" w:space="0" w:color="auto"/>
            </w:tcBorders>
            <w:shd w:val="clear" w:color="auto" w:fill="063061" w:themeFill="accent1" w:themeFillShade="BF"/>
            <w:noWrap/>
            <w:vAlign w:val="center"/>
            <w:hideMark/>
          </w:tcPr>
          <w:p w14:paraId="2CBB0CE4"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97.50%</w:t>
            </w:r>
          </w:p>
        </w:tc>
      </w:tr>
      <w:tr w:rsidR="004E6FD4" w:rsidRPr="003B29A8" w14:paraId="08CF5B51" w14:textId="77777777" w:rsidTr="00E26D3C">
        <w:trPr>
          <w:trHeight w:val="288"/>
          <w:jc w:val="center"/>
        </w:trPr>
        <w:tc>
          <w:tcPr>
            <w:tcW w:w="1271" w:type="dxa"/>
            <w:tcBorders>
              <w:right w:val="single" w:sz="4" w:space="0" w:color="auto"/>
            </w:tcBorders>
            <w:shd w:val="clear" w:color="auto" w:fill="063061" w:themeFill="accent1" w:themeFillShade="BF"/>
            <w:vAlign w:val="center"/>
          </w:tcPr>
          <w:p w14:paraId="1BA60A2E"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Significant erosion</w:t>
            </w:r>
          </w:p>
          <w:p w14:paraId="4BE159CE"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(&gt; 30 mm)</w:t>
            </w:r>
          </w:p>
        </w:tc>
        <w:tc>
          <w:tcPr>
            <w:tcW w:w="1281" w:type="dxa"/>
            <w:tcBorders>
              <w:right w:val="single" w:sz="4" w:space="0" w:color="auto"/>
            </w:tcBorders>
            <w:shd w:val="clear" w:color="auto" w:fill="74AFF5" w:themeFill="accent1" w:themeFillTint="66"/>
            <w:vAlign w:val="center"/>
          </w:tcPr>
          <w:p w14:paraId="1F3F1E89" w14:textId="77777777" w:rsidR="004E6FD4" w:rsidRPr="00D64C25" w:rsidRDefault="004E6FD4" w:rsidP="00E26D3C">
            <w:pPr>
              <w:spacing w:after="0" w:line="240" w:lineRule="auto"/>
              <w:jc w:val="center"/>
              <w:rPr>
                <w:rFonts w:cstheme="minorHAnsi"/>
                <w:b/>
                <w:sz w:val="18"/>
                <w:szCs w:val="18"/>
              </w:rPr>
            </w:pPr>
            <w:proofErr w:type="spellStart"/>
            <w:proofErr w:type="gramStart"/>
            <w:r w:rsidRPr="00D64C25">
              <w:rPr>
                <w:rFonts w:cstheme="minorHAnsi"/>
                <w:sz w:val="18"/>
                <w:szCs w:val="18"/>
              </w:rPr>
              <w:t>eff</w:t>
            </w:r>
            <w:proofErr w:type="gramEnd"/>
            <w:r w:rsidRPr="00D64C25">
              <w:rPr>
                <w:rFonts w:cstheme="minorHAnsi"/>
                <w:sz w:val="18"/>
                <w:szCs w:val="18"/>
              </w:rPr>
              <w:t>_inund</w:t>
            </w:r>
            <w:proofErr w:type="spellEnd"/>
          </w:p>
        </w:tc>
        <w:tc>
          <w:tcPr>
            <w:tcW w:w="794" w:type="dxa"/>
            <w:tcBorders>
              <w:left w:val="single" w:sz="4" w:space="0" w:color="auto"/>
              <w:right w:val="single" w:sz="4" w:space="0" w:color="auto"/>
            </w:tcBorders>
            <w:shd w:val="clear" w:color="auto" w:fill="74AFF5" w:themeFill="accent1" w:themeFillTint="66"/>
            <w:noWrap/>
            <w:vAlign w:val="center"/>
          </w:tcPr>
          <w:p w14:paraId="53833A6C" w14:textId="77777777" w:rsidR="004E6FD4" w:rsidRPr="00D64C25" w:rsidRDefault="004E6FD4" w:rsidP="00E26D3C">
            <w:pPr>
              <w:spacing w:after="0" w:line="240" w:lineRule="auto"/>
              <w:jc w:val="center"/>
              <w:rPr>
                <w:rFonts w:cstheme="minorHAnsi"/>
                <w:b/>
                <w:sz w:val="18"/>
                <w:szCs w:val="18"/>
              </w:rPr>
            </w:pPr>
            <w:r w:rsidRPr="00D64C25">
              <w:rPr>
                <w:rFonts w:cstheme="minorHAnsi"/>
                <w:sz w:val="18"/>
                <w:szCs w:val="18"/>
              </w:rPr>
              <w:t>-0.06</w:t>
            </w:r>
          </w:p>
        </w:tc>
        <w:tc>
          <w:tcPr>
            <w:tcW w:w="737" w:type="dxa"/>
            <w:tcBorders>
              <w:left w:val="single" w:sz="4" w:space="0" w:color="auto"/>
              <w:right w:val="single" w:sz="4" w:space="0" w:color="auto"/>
            </w:tcBorders>
            <w:shd w:val="clear" w:color="auto" w:fill="74AFF5" w:themeFill="accent1" w:themeFillTint="66"/>
            <w:vAlign w:val="center"/>
          </w:tcPr>
          <w:p w14:paraId="6C65141A" w14:textId="77777777" w:rsidR="004E6FD4" w:rsidRPr="00D64C25" w:rsidRDefault="004E6FD4" w:rsidP="00E26D3C">
            <w:pPr>
              <w:spacing w:after="0" w:line="240" w:lineRule="auto"/>
              <w:jc w:val="center"/>
              <w:rPr>
                <w:rFonts w:cstheme="minorHAnsi"/>
                <w:b/>
                <w:sz w:val="18"/>
                <w:szCs w:val="18"/>
              </w:rPr>
            </w:pPr>
            <w:r w:rsidRPr="00D64C25">
              <w:rPr>
                <w:rFonts w:cstheme="minorHAnsi"/>
                <w:sz w:val="18"/>
                <w:szCs w:val="18"/>
              </w:rPr>
              <w:t>0.13</w:t>
            </w:r>
          </w:p>
        </w:tc>
        <w:tc>
          <w:tcPr>
            <w:tcW w:w="907" w:type="dxa"/>
            <w:tcBorders>
              <w:left w:val="single" w:sz="4" w:space="0" w:color="auto"/>
              <w:right w:val="single" w:sz="4" w:space="0" w:color="auto"/>
            </w:tcBorders>
            <w:shd w:val="clear" w:color="auto" w:fill="74AFF5" w:themeFill="accent1" w:themeFillTint="66"/>
            <w:noWrap/>
            <w:vAlign w:val="center"/>
          </w:tcPr>
          <w:p w14:paraId="7CC12599" w14:textId="77777777" w:rsidR="004E6FD4" w:rsidRPr="00D64C25" w:rsidRDefault="004E6FD4" w:rsidP="00E26D3C">
            <w:pPr>
              <w:spacing w:after="0" w:line="240" w:lineRule="auto"/>
              <w:jc w:val="center"/>
              <w:rPr>
                <w:rFonts w:cstheme="minorHAnsi"/>
                <w:b/>
                <w:sz w:val="18"/>
                <w:szCs w:val="18"/>
              </w:rPr>
            </w:pPr>
            <w:r w:rsidRPr="00D64C25">
              <w:rPr>
                <w:rFonts w:cstheme="minorHAnsi"/>
                <w:sz w:val="18"/>
                <w:szCs w:val="18"/>
              </w:rPr>
              <w:t>0.31</w:t>
            </w:r>
          </w:p>
        </w:tc>
        <w:tc>
          <w:tcPr>
            <w:tcW w:w="794" w:type="dxa"/>
            <w:tcBorders>
              <w:left w:val="single" w:sz="4" w:space="0" w:color="auto"/>
              <w:right w:val="single" w:sz="4" w:space="0" w:color="auto"/>
            </w:tcBorders>
            <w:shd w:val="clear" w:color="auto" w:fill="74AFF5" w:themeFill="accent1" w:themeFillTint="66"/>
            <w:noWrap/>
            <w:vAlign w:val="center"/>
          </w:tcPr>
          <w:p w14:paraId="18CC5E0A"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0.38</w:t>
            </w:r>
          </w:p>
        </w:tc>
        <w:tc>
          <w:tcPr>
            <w:tcW w:w="737" w:type="dxa"/>
            <w:tcBorders>
              <w:left w:val="single" w:sz="4" w:space="0" w:color="auto"/>
              <w:right w:val="single" w:sz="4" w:space="0" w:color="auto"/>
            </w:tcBorders>
            <w:shd w:val="clear" w:color="auto" w:fill="74AFF5" w:themeFill="accent1" w:themeFillTint="66"/>
            <w:vAlign w:val="center"/>
          </w:tcPr>
          <w:p w14:paraId="7340580F"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0.5</w:t>
            </w:r>
          </w:p>
        </w:tc>
        <w:tc>
          <w:tcPr>
            <w:tcW w:w="907" w:type="dxa"/>
            <w:tcBorders>
              <w:left w:val="single" w:sz="4" w:space="0" w:color="auto"/>
              <w:right w:val="single" w:sz="4" w:space="0" w:color="auto"/>
            </w:tcBorders>
            <w:shd w:val="clear" w:color="auto" w:fill="74AFF5" w:themeFill="accent1" w:themeFillTint="66"/>
            <w:noWrap/>
            <w:vAlign w:val="center"/>
          </w:tcPr>
          <w:p w14:paraId="067F1AA8"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0.62</w:t>
            </w:r>
          </w:p>
        </w:tc>
        <w:tc>
          <w:tcPr>
            <w:tcW w:w="794" w:type="dxa"/>
            <w:tcBorders>
              <w:left w:val="single" w:sz="4" w:space="0" w:color="auto"/>
              <w:right w:val="single" w:sz="4" w:space="0" w:color="auto"/>
            </w:tcBorders>
            <w:shd w:val="clear" w:color="auto" w:fill="74AFF5" w:themeFill="accent1" w:themeFillTint="66"/>
            <w:noWrap/>
            <w:vAlign w:val="center"/>
          </w:tcPr>
          <w:p w14:paraId="552E6563"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-0.41</w:t>
            </w:r>
          </w:p>
        </w:tc>
        <w:tc>
          <w:tcPr>
            <w:tcW w:w="737" w:type="dxa"/>
            <w:tcBorders>
              <w:left w:val="single" w:sz="4" w:space="0" w:color="auto"/>
              <w:right w:val="single" w:sz="4" w:space="0" w:color="auto"/>
            </w:tcBorders>
            <w:shd w:val="clear" w:color="auto" w:fill="74AFF5" w:themeFill="accent1" w:themeFillTint="66"/>
            <w:vAlign w:val="center"/>
          </w:tcPr>
          <w:p w14:paraId="6FF4764E"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-0.21</w:t>
            </w:r>
          </w:p>
        </w:tc>
        <w:tc>
          <w:tcPr>
            <w:tcW w:w="907" w:type="dxa"/>
            <w:tcBorders>
              <w:left w:val="single" w:sz="4" w:space="0" w:color="auto"/>
            </w:tcBorders>
            <w:shd w:val="clear" w:color="auto" w:fill="74AFF5" w:themeFill="accent1" w:themeFillTint="66"/>
            <w:noWrap/>
            <w:vAlign w:val="center"/>
          </w:tcPr>
          <w:p w14:paraId="106B8B65"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-0.03</w:t>
            </w:r>
          </w:p>
        </w:tc>
      </w:tr>
      <w:tr w:rsidR="004E6FD4" w:rsidRPr="003B29A8" w14:paraId="6E5E1593" w14:textId="77777777" w:rsidTr="00E26D3C">
        <w:trPr>
          <w:trHeight w:val="288"/>
          <w:jc w:val="center"/>
        </w:trPr>
        <w:tc>
          <w:tcPr>
            <w:tcW w:w="1271" w:type="dxa"/>
            <w:tcBorders>
              <w:right w:val="single" w:sz="4" w:space="0" w:color="auto"/>
            </w:tcBorders>
            <w:shd w:val="clear" w:color="auto" w:fill="063061" w:themeFill="accent1" w:themeFillShade="BF"/>
            <w:vAlign w:val="center"/>
          </w:tcPr>
          <w:p w14:paraId="15EED9B1"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Erosion</w:t>
            </w:r>
          </w:p>
          <w:p w14:paraId="072215AC"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(&gt; 5 mm)</w:t>
            </w:r>
          </w:p>
        </w:tc>
        <w:tc>
          <w:tcPr>
            <w:tcW w:w="1281" w:type="dxa"/>
            <w:tcBorders>
              <w:right w:val="single" w:sz="4" w:space="0" w:color="auto"/>
            </w:tcBorders>
            <w:shd w:val="clear" w:color="auto" w:fill="74AFF5" w:themeFill="accent1" w:themeFillTint="66"/>
            <w:vAlign w:val="center"/>
          </w:tcPr>
          <w:p w14:paraId="41A62E11" w14:textId="77777777" w:rsidR="004E6FD4" w:rsidRPr="00D64C25" w:rsidRDefault="004E6FD4" w:rsidP="00E26D3C">
            <w:pPr>
              <w:spacing w:after="0" w:line="240" w:lineRule="auto"/>
              <w:jc w:val="center"/>
              <w:rPr>
                <w:rFonts w:cstheme="minorHAnsi"/>
                <w:b/>
                <w:color w:val="000000"/>
                <w:sz w:val="18"/>
                <w:szCs w:val="18"/>
              </w:rPr>
            </w:pPr>
            <w:proofErr w:type="spellStart"/>
            <w:proofErr w:type="gramStart"/>
            <w:r w:rsidRPr="00D64C25">
              <w:rPr>
                <w:rFonts w:cstheme="minorHAnsi"/>
                <w:sz w:val="18"/>
                <w:szCs w:val="18"/>
              </w:rPr>
              <w:t>eff</w:t>
            </w:r>
            <w:proofErr w:type="gramEnd"/>
            <w:r w:rsidRPr="00D64C25">
              <w:rPr>
                <w:rFonts w:cstheme="minorHAnsi"/>
                <w:sz w:val="18"/>
                <w:szCs w:val="18"/>
              </w:rPr>
              <w:t>_inund</w:t>
            </w:r>
            <w:proofErr w:type="spellEnd"/>
          </w:p>
        </w:tc>
        <w:tc>
          <w:tcPr>
            <w:tcW w:w="794" w:type="dxa"/>
            <w:tcBorders>
              <w:left w:val="single" w:sz="4" w:space="0" w:color="auto"/>
              <w:right w:val="single" w:sz="4" w:space="0" w:color="auto"/>
            </w:tcBorders>
            <w:shd w:val="clear" w:color="auto" w:fill="74AFF5" w:themeFill="accent1" w:themeFillTint="66"/>
            <w:noWrap/>
            <w:vAlign w:val="center"/>
          </w:tcPr>
          <w:p w14:paraId="1F422010"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-0.38</w:t>
            </w:r>
          </w:p>
        </w:tc>
        <w:tc>
          <w:tcPr>
            <w:tcW w:w="737" w:type="dxa"/>
            <w:tcBorders>
              <w:left w:val="single" w:sz="4" w:space="0" w:color="auto"/>
              <w:right w:val="single" w:sz="4" w:space="0" w:color="auto"/>
            </w:tcBorders>
            <w:shd w:val="clear" w:color="auto" w:fill="74AFF5" w:themeFill="accent1" w:themeFillTint="66"/>
            <w:vAlign w:val="center"/>
          </w:tcPr>
          <w:p w14:paraId="46D4D024"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-0.25</w:t>
            </w:r>
          </w:p>
        </w:tc>
        <w:tc>
          <w:tcPr>
            <w:tcW w:w="907" w:type="dxa"/>
            <w:tcBorders>
              <w:left w:val="single" w:sz="4" w:space="0" w:color="auto"/>
              <w:right w:val="single" w:sz="4" w:space="0" w:color="auto"/>
            </w:tcBorders>
            <w:shd w:val="clear" w:color="auto" w:fill="74AFF5" w:themeFill="accent1" w:themeFillTint="66"/>
            <w:noWrap/>
            <w:vAlign w:val="center"/>
          </w:tcPr>
          <w:p w14:paraId="6D41D61C"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-0.13</w:t>
            </w:r>
          </w:p>
        </w:tc>
        <w:tc>
          <w:tcPr>
            <w:tcW w:w="794" w:type="dxa"/>
            <w:tcBorders>
              <w:left w:val="single" w:sz="4" w:space="0" w:color="auto"/>
              <w:right w:val="single" w:sz="4" w:space="0" w:color="auto"/>
            </w:tcBorders>
            <w:shd w:val="clear" w:color="auto" w:fill="74AFF5" w:themeFill="accent1" w:themeFillTint="66"/>
            <w:noWrap/>
            <w:vAlign w:val="center"/>
          </w:tcPr>
          <w:p w14:paraId="11BFD2A1"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0.51</w:t>
            </w:r>
          </w:p>
        </w:tc>
        <w:tc>
          <w:tcPr>
            <w:tcW w:w="737" w:type="dxa"/>
            <w:tcBorders>
              <w:left w:val="single" w:sz="4" w:space="0" w:color="auto"/>
              <w:right w:val="single" w:sz="4" w:space="0" w:color="auto"/>
            </w:tcBorders>
            <w:shd w:val="clear" w:color="auto" w:fill="74AFF5" w:themeFill="accent1" w:themeFillTint="66"/>
            <w:vAlign w:val="center"/>
          </w:tcPr>
          <w:p w14:paraId="0700380B"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0.61</w:t>
            </w:r>
          </w:p>
        </w:tc>
        <w:tc>
          <w:tcPr>
            <w:tcW w:w="907" w:type="dxa"/>
            <w:tcBorders>
              <w:left w:val="single" w:sz="4" w:space="0" w:color="auto"/>
              <w:right w:val="single" w:sz="4" w:space="0" w:color="auto"/>
            </w:tcBorders>
            <w:shd w:val="clear" w:color="auto" w:fill="74AFF5" w:themeFill="accent1" w:themeFillTint="66"/>
            <w:noWrap/>
            <w:vAlign w:val="center"/>
          </w:tcPr>
          <w:p w14:paraId="2E72B166"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0.72</w:t>
            </w:r>
          </w:p>
        </w:tc>
        <w:tc>
          <w:tcPr>
            <w:tcW w:w="794" w:type="dxa"/>
            <w:tcBorders>
              <w:left w:val="single" w:sz="4" w:space="0" w:color="auto"/>
              <w:right w:val="single" w:sz="4" w:space="0" w:color="auto"/>
            </w:tcBorders>
            <w:shd w:val="clear" w:color="auto" w:fill="74AFF5" w:themeFill="accent1" w:themeFillTint="66"/>
            <w:noWrap/>
            <w:vAlign w:val="center"/>
          </w:tcPr>
          <w:p w14:paraId="010C60C3" w14:textId="77777777" w:rsidR="004E6FD4" w:rsidRPr="00D64C25" w:rsidRDefault="004E6FD4" w:rsidP="00E26D3C">
            <w:pPr>
              <w:spacing w:after="0" w:line="240" w:lineRule="auto"/>
              <w:jc w:val="center"/>
              <w:rPr>
                <w:rFonts w:cstheme="minorHAnsi"/>
                <w:bCs/>
                <w:sz w:val="18"/>
                <w:szCs w:val="18"/>
              </w:rPr>
            </w:pPr>
            <w:r w:rsidRPr="00D64C25">
              <w:rPr>
                <w:rFonts w:cstheme="minorHAnsi"/>
                <w:sz w:val="18"/>
                <w:szCs w:val="18"/>
              </w:rPr>
              <w:t>-0.06</w:t>
            </w:r>
          </w:p>
        </w:tc>
        <w:tc>
          <w:tcPr>
            <w:tcW w:w="737" w:type="dxa"/>
            <w:tcBorders>
              <w:left w:val="single" w:sz="4" w:space="0" w:color="auto"/>
              <w:right w:val="single" w:sz="4" w:space="0" w:color="auto"/>
            </w:tcBorders>
            <w:shd w:val="clear" w:color="auto" w:fill="74AFF5" w:themeFill="accent1" w:themeFillTint="66"/>
            <w:vAlign w:val="center"/>
          </w:tcPr>
          <w:p w14:paraId="52E8CFFC" w14:textId="77777777" w:rsidR="004E6FD4" w:rsidRPr="00D64C25" w:rsidRDefault="004E6FD4" w:rsidP="00E26D3C">
            <w:pPr>
              <w:spacing w:after="0" w:line="240" w:lineRule="auto"/>
              <w:jc w:val="center"/>
              <w:rPr>
                <w:rFonts w:cstheme="minorHAnsi"/>
                <w:bCs/>
                <w:sz w:val="18"/>
                <w:szCs w:val="18"/>
              </w:rPr>
            </w:pPr>
            <w:r w:rsidRPr="00D64C25">
              <w:rPr>
                <w:rFonts w:cstheme="minorHAnsi"/>
                <w:sz w:val="18"/>
                <w:szCs w:val="18"/>
              </w:rPr>
              <w:t>0.03</w:t>
            </w:r>
          </w:p>
        </w:tc>
        <w:tc>
          <w:tcPr>
            <w:tcW w:w="907" w:type="dxa"/>
            <w:tcBorders>
              <w:left w:val="single" w:sz="4" w:space="0" w:color="auto"/>
            </w:tcBorders>
            <w:shd w:val="clear" w:color="auto" w:fill="74AFF5" w:themeFill="accent1" w:themeFillTint="66"/>
            <w:noWrap/>
            <w:vAlign w:val="center"/>
          </w:tcPr>
          <w:p w14:paraId="487FEAC3" w14:textId="77777777" w:rsidR="004E6FD4" w:rsidRPr="00D64C25" w:rsidRDefault="004E6FD4" w:rsidP="00E26D3C">
            <w:pPr>
              <w:spacing w:after="0" w:line="240" w:lineRule="auto"/>
              <w:jc w:val="center"/>
              <w:rPr>
                <w:rFonts w:cstheme="minorHAnsi"/>
                <w:bCs/>
                <w:sz w:val="18"/>
                <w:szCs w:val="18"/>
              </w:rPr>
            </w:pPr>
            <w:r w:rsidRPr="00D64C25">
              <w:rPr>
                <w:rFonts w:cstheme="minorHAnsi"/>
                <w:sz w:val="18"/>
                <w:szCs w:val="18"/>
              </w:rPr>
              <w:t>0.12</w:t>
            </w:r>
          </w:p>
        </w:tc>
      </w:tr>
      <w:tr w:rsidR="004E6FD4" w:rsidRPr="00BD59AA" w14:paraId="1F9DBCBE" w14:textId="77777777" w:rsidTr="00E26D3C">
        <w:trPr>
          <w:trHeight w:val="288"/>
          <w:jc w:val="center"/>
        </w:trPr>
        <w:tc>
          <w:tcPr>
            <w:tcW w:w="1271" w:type="dxa"/>
            <w:tcBorders>
              <w:right w:val="single" w:sz="4" w:space="0" w:color="auto"/>
            </w:tcBorders>
            <w:shd w:val="clear" w:color="auto" w:fill="063061" w:themeFill="accent1" w:themeFillShade="BF"/>
            <w:vAlign w:val="center"/>
          </w:tcPr>
          <w:p w14:paraId="2A6EA755" w14:textId="77777777" w:rsidR="004E6FD4" w:rsidRPr="00D64C25" w:rsidRDefault="004E6FD4" w:rsidP="00E26D3C">
            <w:pPr>
              <w:spacing w:after="0" w:line="240" w:lineRule="auto"/>
              <w:jc w:val="center"/>
              <w:rPr>
                <w:rFonts w:eastAsia="Times New Roman" w:cstheme="minorHAnsi"/>
                <w:bCs/>
                <w:color w:val="FFFFFF" w:themeColor="background1"/>
                <w:sz w:val="18"/>
                <w:szCs w:val="18"/>
              </w:rPr>
            </w:pPr>
            <w:r w:rsidRPr="00D64C25">
              <w:rPr>
                <w:rFonts w:eastAsia="Times New Roman" w:cstheme="minorHAnsi"/>
                <w:bCs/>
                <w:color w:val="FFFFFF" w:themeColor="background1"/>
                <w:sz w:val="18"/>
                <w:szCs w:val="18"/>
              </w:rPr>
              <w:t>Deposition (&gt; 5 mm)</w:t>
            </w:r>
          </w:p>
        </w:tc>
        <w:tc>
          <w:tcPr>
            <w:tcW w:w="1281" w:type="dxa"/>
            <w:tcBorders>
              <w:right w:val="single" w:sz="4" w:space="0" w:color="auto"/>
            </w:tcBorders>
            <w:shd w:val="clear" w:color="auto" w:fill="74AFF5" w:themeFill="accent1" w:themeFillTint="66"/>
            <w:vAlign w:val="center"/>
          </w:tcPr>
          <w:p w14:paraId="72163653" w14:textId="77777777" w:rsidR="004E6FD4" w:rsidRPr="00D64C25" w:rsidRDefault="004E6FD4" w:rsidP="00E26D3C">
            <w:pPr>
              <w:spacing w:after="0" w:line="240" w:lineRule="auto"/>
              <w:jc w:val="center"/>
              <w:rPr>
                <w:rFonts w:cstheme="minorHAnsi"/>
                <w:b/>
                <w:color w:val="000000"/>
                <w:sz w:val="18"/>
                <w:szCs w:val="18"/>
              </w:rPr>
            </w:pPr>
            <w:proofErr w:type="spellStart"/>
            <w:proofErr w:type="gramStart"/>
            <w:r w:rsidRPr="00D64C25">
              <w:rPr>
                <w:rFonts w:cstheme="minorHAnsi"/>
                <w:sz w:val="18"/>
                <w:szCs w:val="18"/>
              </w:rPr>
              <w:t>eff</w:t>
            </w:r>
            <w:proofErr w:type="gramEnd"/>
            <w:r w:rsidRPr="00D64C25">
              <w:rPr>
                <w:rFonts w:cstheme="minorHAnsi"/>
                <w:sz w:val="18"/>
                <w:szCs w:val="18"/>
              </w:rPr>
              <w:t>_inund</w:t>
            </w:r>
            <w:proofErr w:type="spellEnd"/>
          </w:p>
        </w:tc>
        <w:tc>
          <w:tcPr>
            <w:tcW w:w="794" w:type="dxa"/>
            <w:tcBorders>
              <w:left w:val="single" w:sz="4" w:space="0" w:color="auto"/>
              <w:right w:val="single" w:sz="4" w:space="0" w:color="auto"/>
            </w:tcBorders>
            <w:shd w:val="clear" w:color="auto" w:fill="74AFF5" w:themeFill="accent1" w:themeFillTint="66"/>
            <w:noWrap/>
            <w:vAlign w:val="center"/>
          </w:tcPr>
          <w:p w14:paraId="592F152C"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-0.13</w:t>
            </w:r>
          </w:p>
        </w:tc>
        <w:tc>
          <w:tcPr>
            <w:tcW w:w="737" w:type="dxa"/>
            <w:tcBorders>
              <w:left w:val="single" w:sz="4" w:space="0" w:color="auto"/>
              <w:right w:val="single" w:sz="4" w:space="0" w:color="auto"/>
            </w:tcBorders>
            <w:shd w:val="clear" w:color="auto" w:fill="74AFF5" w:themeFill="accent1" w:themeFillTint="66"/>
            <w:vAlign w:val="center"/>
          </w:tcPr>
          <w:p w14:paraId="7E4C1F1C"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-0.25</w:t>
            </w:r>
          </w:p>
        </w:tc>
        <w:tc>
          <w:tcPr>
            <w:tcW w:w="907" w:type="dxa"/>
            <w:tcBorders>
              <w:left w:val="single" w:sz="4" w:space="0" w:color="auto"/>
              <w:right w:val="single" w:sz="4" w:space="0" w:color="auto"/>
            </w:tcBorders>
            <w:shd w:val="clear" w:color="auto" w:fill="74AFF5" w:themeFill="accent1" w:themeFillTint="66"/>
            <w:noWrap/>
            <w:vAlign w:val="center"/>
          </w:tcPr>
          <w:p w14:paraId="4952651D"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-0.37</w:t>
            </w:r>
          </w:p>
        </w:tc>
        <w:tc>
          <w:tcPr>
            <w:tcW w:w="794" w:type="dxa"/>
            <w:tcBorders>
              <w:left w:val="single" w:sz="4" w:space="0" w:color="auto"/>
              <w:right w:val="single" w:sz="4" w:space="0" w:color="auto"/>
            </w:tcBorders>
            <w:shd w:val="clear" w:color="auto" w:fill="74AFF5" w:themeFill="accent1" w:themeFillTint="66"/>
            <w:noWrap/>
            <w:vAlign w:val="center"/>
          </w:tcPr>
          <w:p w14:paraId="78FDF1C2"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0.92</w:t>
            </w:r>
          </w:p>
        </w:tc>
        <w:tc>
          <w:tcPr>
            <w:tcW w:w="737" w:type="dxa"/>
            <w:tcBorders>
              <w:left w:val="single" w:sz="4" w:space="0" w:color="auto"/>
              <w:right w:val="single" w:sz="4" w:space="0" w:color="auto"/>
            </w:tcBorders>
            <w:shd w:val="clear" w:color="auto" w:fill="74AFF5" w:themeFill="accent1" w:themeFillTint="66"/>
            <w:vAlign w:val="center"/>
          </w:tcPr>
          <w:p w14:paraId="413092B7"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0.77</w:t>
            </w:r>
          </w:p>
        </w:tc>
        <w:tc>
          <w:tcPr>
            <w:tcW w:w="907" w:type="dxa"/>
            <w:tcBorders>
              <w:left w:val="single" w:sz="4" w:space="0" w:color="auto"/>
              <w:right w:val="single" w:sz="4" w:space="0" w:color="auto"/>
            </w:tcBorders>
            <w:shd w:val="clear" w:color="auto" w:fill="74AFF5" w:themeFill="accent1" w:themeFillTint="66"/>
            <w:noWrap/>
            <w:vAlign w:val="center"/>
          </w:tcPr>
          <w:p w14:paraId="7F795E67"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0.64</w:t>
            </w:r>
          </w:p>
        </w:tc>
        <w:tc>
          <w:tcPr>
            <w:tcW w:w="794" w:type="dxa"/>
            <w:tcBorders>
              <w:left w:val="single" w:sz="4" w:space="0" w:color="auto"/>
              <w:right w:val="single" w:sz="4" w:space="0" w:color="auto"/>
            </w:tcBorders>
            <w:shd w:val="clear" w:color="auto" w:fill="74AFF5" w:themeFill="accent1" w:themeFillTint="66"/>
            <w:noWrap/>
            <w:vAlign w:val="center"/>
          </w:tcPr>
          <w:p w14:paraId="6E279325"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0.27</w:t>
            </w:r>
          </w:p>
        </w:tc>
        <w:tc>
          <w:tcPr>
            <w:tcW w:w="737" w:type="dxa"/>
            <w:tcBorders>
              <w:left w:val="single" w:sz="4" w:space="0" w:color="auto"/>
              <w:right w:val="single" w:sz="4" w:space="0" w:color="auto"/>
            </w:tcBorders>
            <w:shd w:val="clear" w:color="auto" w:fill="74AFF5" w:themeFill="accent1" w:themeFillTint="66"/>
            <w:vAlign w:val="center"/>
          </w:tcPr>
          <w:p w14:paraId="7F44EAD9"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0.18</w:t>
            </w:r>
          </w:p>
        </w:tc>
        <w:tc>
          <w:tcPr>
            <w:tcW w:w="907" w:type="dxa"/>
            <w:tcBorders>
              <w:left w:val="single" w:sz="4" w:space="0" w:color="auto"/>
            </w:tcBorders>
            <w:shd w:val="clear" w:color="auto" w:fill="74AFF5" w:themeFill="accent1" w:themeFillTint="66"/>
            <w:noWrap/>
            <w:vAlign w:val="center"/>
          </w:tcPr>
          <w:p w14:paraId="11F28324" w14:textId="77777777" w:rsidR="004E6FD4" w:rsidRPr="00D64C25" w:rsidRDefault="004E6FD4" w:rsidP="00E26D3C">
            <w:pPr>
              <w:spacing w:after="0" w:line="240" w:lineRule="auto"/>
              <w:jc w:val="center"/>
              <w:rPr>
                <w:rFonts w:cstheme="minorHAnsi"/>
                <w:b/>
                <w:bCs/>
                <w:sz w:val="18"/>
                <w:szCs w:val="18"/>
              </w:rPr>
            </w:pPr>
            <w:r w:rsidRPr="00D64C25">
              <w:rPr>
                <w:rFonts w:cstheme="minorHAnsi"/>
                <w:b/>
                <w:bCs/>
                <w:sz w:val="18"/>
                <w:szCs w:val="18"/>
              </w:rPr>
              <w:t>0.09</w:t>
            </w:r>
          </w:p>
        </w:tc>
      </w:tr>
    </w:tbl>
    <w:p w14:paraId="249A0620" w14:textId="125A19D0" w:rsidR="004E6FD4" w:rsidRPr="00D64C25" w:rsidRDefault="004E6FD4" w:rsidP="004E6FD4">
      <w:proofErr w:type="gramStart"/>
      <w:r w:rsidRPr="00D64C25">
        <w:lastRenderedPageBreak/>
        <w:t>Similar to</w:t>
      </w:r>
      <w:proofErr w:type="gramEnd"/>
      <w:r w:rsidRPr="00D64C25">
        <w:t xml:space="preserve"> the overall erosion/deposition analysis, the predictive curves back up the results regarding the effects of inundation duration for notching analysis (</w:t>
      </w:r>
      <w:r w:rsidR="003E7D28">
        <w:t xml:space="preserve">Figure </w:t>
      </w:r>
      <w:r w:rsidR="003E7D28">
        <w:rPr>
          <w:noProof/>
        </w:rPr>
        <w:t>C</w:t>
      </w:r>
      <w:r w:rsidR="003E7D28">
        <w:noBreakHyphen/>
      </w:r>
      <w:r w:rsidR="003E7D28">
        <w:rPr>
          <w:noProof/>
        </w:rPr>
        <w:t>3</w:t>
      </w:r>
      <w:r w:rsidRPr="00D64C25">
        <w:t>).</w:t>
      </w:r>
    </w:p>
    <w:p w14:paraId="43E9BD10" w14:textId="7EB61A80" w:rsidR="004E6FD4" w:rsidRPr="00B00350" w:rsidRDefault="004E6FD4" w:rsidP="004E6FD4">
      <w:r w:rsidRPr="00D64C25">
        <w:t>The change in the probability of notching-related erosion and deposition with and without environmental flows shows that increases in erosion are confined to the lower levels of the banks, to elevations inundated by baseflows and the higher baseflows of IVT season (</w:t>
      </w:r>
      <w:r w:rsidR="003E7D28">
        <w:t xml:space="preserve">Figure </w:t>
      </w:r>
      <w:r w:rsidR="003E7D28">
        <w:rPr>
          <w:noProof/>
        </w:rPr>
        <w:t>C</w:t>
      </w:r>
      <w:r w:rsidR="003E7D28">
        <w:noBreakHyphen/>
      </w:r>
      <w:r w:rsidR="003E7D28">
        <w:rPr>
          <w:noProof/>
        </w:rPr>
        <w:t>4</w:t>
      </w:r>
      <w:r w:rsidRPr="00D64C25">
        <w:t xml:space="preserve">). There is less sign of enhanced deposition, </w:t>
      </w:r>
      <w:proofErr w:type="gramStart"/>
      <w:r w:rsidRPr="00D64C25">
        <w:t>with the exception of</w:t>
      </w:r>
      <w:proofErr w:type="gramEnd"/>
      <w:r w:rsidRPr="00D64C25">
        <w:t xml:space="preserve"> Loch Garry. The presence of negative changes in probabilities for erosion and deposition reflect the fact that removal of environmental flows will expose some portions of the bank to longer durations of ‘near surface’ inundation, but probably lower on the bank. It is also worth noting that the removal of environmental flows does not affect the delivery of IVT flows. In future it would be possible to run a counterfactual version of this analysis that removes IVTs from the hydrograph rather than environmental water.</w:t>
      </w:r>
    </w:p>
    <w:p w14:paraId="7906E012" w14:textId="77777777" w:rsidR="004E6FD4" w:rsidRPr="008A0B9A" w:rsidRDefault="004E6FD4" w:rsidP="004E6FD4"/>
    <w:p w14:paraId="17CEFF30" w14:textId="77777777" w:rsidR="004E6FD4" w:rsidRPr="00461FB1" w:rsidRDefault="004E6FD4" w:rsidP="004E6FD4">
      <w:pPr>
        <w:pStyle w:val="Caption"/>
        <w:keepNext/>
        <w:jc w:val="center"/>
      </w:pPr>
      <w:r w:rsidRPr="00461FB1">
        <w:rPr>
          <w:i/>
          <w:noProof/>
          <w:lang w:val="en-GB"/>
        </w:rPr>
        <w:drawing>
          <wp:inline distT="0" distB="0" distL="0" distR="0" wp14:anchorId="07BC78AB" wp14:editId="1AFDED4A">
            <wp:extent cx="6198940" cy="5494020"/>
            <wp:effectExtent l="0" t="0" r="0" b="0"/>
            <wp:docPr id="523" name="Picture 5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523" descr="Diagram&#10;&#10;Description automatically generated"/>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6222628" cy="5515015"/>
                    </a:xfrm>
                    <a:prstGeom prst="rect">
                      <a:avLst/>
                    </a:prstGeom>
                    <a:noFill/>
                  </pic:spPr>
                </pic:pic>
              </a:graphicData>
            </a:graphic>
          </wp:inline>
        </w:drawing>
      </w:r>
    </w:p>
    <w:p w14:paraId="2E549676" w14:textId="52E90F93" w:rsidR="00B829CE" w:rsidRDefault="00B829CE" w:rsidP="00E81DC4">
      <w:pPr>
        <w:pStyle w:val="Caption"/>
      </w:pPr>
      <w:bookmarkStart w:id="781" w:name="_Ref84474882"/>
      <w:bookmarkStart w:id="782" w:name="_Toc84475799"/>
      <w:r>
        <w:t xml:space="preserve">Figure </w:t>
      </w:r>
      <w:r w:rsidR="003E7D28">
        <w:rPr>
          <w:noProof/>
        </w:rPr>
        <w:t>C</w:t>
      </w:r>
      <w:r>
        <w:noBreakHyphen/>
      </w:r>
      <w:r w:rsidR="003E7D28">
        <w:rPr>
          <w:noProof/>
        </w:rPr>
        <w:t>3</w:t>
      </w:r>
      <w:bookmarkEnd w:id="781"/>
      <w:r>
        <w:t xml:space="preserve"> </w:t>
      </w:r>
      <w:r w:rsidRPr="00461FB1">
        <w:t>Relationship between inundation period and simulated probability of notching. (a) significant erosion: &gt; 30 mm; (b) erosion: &gt; 5 mm; (c) deposition: &gt; 5 mm. For each erosion level, results are shown for three sites (Darcy’s Track, Loch Garry, and McCoy’s Bridge) in individual panels. The solid line is the median probability of notching with the dotted lines encompassing the 95% credible interval for the estimate.</w:t>
      </w:r>
      <w:bookmarkEnd w:id="782"/>
    </w:p>
    <w:p w14:paraId="2C3E5455" w14:textId="7E1CF52B" w:rsidR="004E6FD4" w:rsidRPr="00037A12" w:rsidRDefault="004E6FD4" w:rsidP="00037A12">
      <w:pPr>
        <w:pStyle w:val="Caption"/>
        <w:rPr>
          <w:i/>
        </w:rPr>
      </w:pPr>
    </w:p>
    <w:p w14:paraId="6E361851" w14:textId="77777777" w:rsidR="004E6FD4" w:rsidRPr="00461FB1" w:rsidRDefault="004E6FD4" w:rsidP="004E6FD4">
      <w:pPr>
        <w:keepNext/>
        <w:jc w:val="center"/>
      </w:pPr>
      <w:r w:rsidRPr="00461FB1">
        <w:rPr>
          <w:noProof/>
          <w:lang w:val="en-GB"/>
        </w:rPr>
        <w:lastRenderedPageBreak/>
        <w:drawing>
          <wp:inline distT="0" distB="0" distL="0" distR="0" wp14:anchorId="67954285" wp14:editId="2F505F91">
            <wp:extent cx="6207985" cy="5455920"/>
            <wp:effectExtent l="0" t="0" r="2540" b="0"/>
            <wp:docPr id="524" name="Picture 524"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Graphical user interface, application, PowerPoint&#10;&#10;Description automatically generated"/>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6265434" cy="5506409"/>
                    </a:xfrm>
                    <a:prstGeom prst="rect">
                      <a:avLst/>
                    </a:prstGeom>
                    <a:noFill/>
                  </pic:spPr>
                </pic:pic>
              </a:graphicData>
            </a:graphic>
          </wp:inline>
        </w:drawing>
      </w:r>
    </w:p>
    <w:p w14:paraId="3A8156F3" w14:textId="1812C360" w:rsidR="003E7D28" w:rsidRDefault="003E7D28" w:rsidP="003E7D28">
      <w:pPr>
        <w:pStyle w:val="Caption"/>
      </w:pPr>
      <w:bookmarkStart w:id="783" w:name="_Ref84474912"/>
      <w:bookmarkStart w:id="784" w:name="_Toc84475800"/>
      <w:r>
        <w:t xml:space="preserve">Figure </w:t>
      </w:r>
      <w:r>
        <w:rPr>
          <w:noProof/>
        </w:rPr>
        <w:t>C</w:t>
      </w:r>
      <w:r>
        <w:noBreakHyphen/>
      </w:r>
      <w:r>
        <w:rPr>
          <w:noProof/>
        </w:rPr>
        <w:t>4</w:t>
      </w:r>
      <w:bookmarkEnd w:id="783"/>
      <w:r>
        <w:t xml:space="preserve"> </w:t>
      </w:r>
      <w:r w:rsidRPr="00461FB1">
        <w:t>Effect of the environmental flow component on the probability of notching, relative to bank elevation (m). (a) significant erosion: &gt; 30 mm; (b) erosion: &gt; 5 mm; (c) deposition: &gt; 5 mm.  y axis shows the difference between erosion probabilities WITH and WITHOUT environmental flows.</w:t>
      </w:r>
      <w:bookmarkEnd w:id="784"/>
    </w:p>
    <w:p w14:paraId="6933267D" w14:textId="0EF169EB" w:rsidR="003E7D28" w:rsidRDefault="003E7D28" w:rsidP="00E81DC4">
      <w:pPr>
        <w:pStyle w:val="Caption"/>
      </w:pPr>
    </w:p>
    <w:p w14:paraId="2C4FDAA8" w14:textId="6A588916" w:rsidR="004E6FD4" w:rsidRDefault="004E6FD4" w:rsidP="004E6FD4">
      <w:pPr>
        <w:pStyle w:val="Caption"/>
      </w:pPr>
    </w:p>
    <w:p w14:paraId="76844A1C" w14:textId="55C826F8" w:rsidR="001C263A" w:rsidRPr="00307A6D" w:rsidRDefault="001C263A" w:rsidP="00307A6D">
      <w:pPr>
        <w:spacing w:after="0" w:line="20" w:lineRule="exact"/>
        <w:rPr>
          <w:rFonts w:ascii="Georgia" w:eastAsia="SimHei" w:hAnsi="Georgia" w:cs="Times New Roman"/>
          <w:b/>
          <w:color w:val="094183"/>
          <w:sz w:val="32"/>
          <w:szCs w:val="32"/>
          <w:lang w:eastAsia="en-US"/>
        </w:rPr>
        <w:sectPr w:rsidR="001C263A" w:rsidRPr="00307A6D" w:rsidSect="00FB6933">
          <w:pgSz w:w="11906" w:h="16838" w:code="9"/>
          <w:pgMar w:top="851" w:right="851" w:bottom="1134" w:left="567" w:header="709" w:footer="709" w:gutter="0"/>
          <w:cols w:space="708"/>
          <w:titlePg/>
          <w:docGrid w:linePitch="360"/>
        </w:sectPr>
      </w:pPr>
    </w:p>
    <w:p w14:paraId="6E46339D" w14:textId="2C9895B0" w:rsidR="00377D1D" w:rsidRDefault="00377D1D" w:rsidP="00C87E21">
      <w:pPr>
        <w:pStyle w:val="Heading6"/>
        <w:jc w:val="left"/>
      </w:pPr>
      <w:bookmarkStart w:id="785" w:name="_Toc84416144"/>
      <w:bookmarkStart w:id="786" w:name="_Toc84417454"/>
      <w:r w:rsidRPr="00377D1D">
        <w:lastRenderedPageBreak/>
        <w:t>Turbidity and Nutrient (N, P &amp; C) concentrations of water samples collected from the five study sites over the period May 2019 to April 2021.</w:t>
      </w:r>
    </w:p>
    <w:p w14:paraId="66B759A8" w14:textId="77777777" w:rsidR="00377D1D" w:rsidRDefault="00377D1D" w:rsidP="00377D1D">
      <w:pPr>
        <w:jc w:val="center"/>
      </w:pPr>
      <w:r w:rsidRPr="009B0E57">
        <w:rPr>
          <w:noProof/>
          <w:lang w:val="en-GB"/>
        </w:rPr>
        <w:drawing>
          <wp:inline distT="0" distB="0" distL="0" distR="0" wp14:anchorId="57158FB5" wp14:editId="7136F009">
            <wp:extent cx="4591050" cy="8354060"/>
            <wp:effectExtent l="0" t="0" r="0" b="889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4686052" cy="8526930"/>
                    </a:xfrm>
                    <a:prstGeom prst="rect">
                      <a:avLst/>
                    </a:prstGeom>
                    <a:noFill/>
                    <a:ln>
                      <a:noFill/>
                    </a:ln>
                  </pic:spPr>
                </pic:pic>
              </a:graphicData>
            </a:graphic>
          </wp:inline>
        </w:drawing>
      </w:r>
    </w:p>
    <w:p w14:paraId="58AE7164" w14:textId="22F763F8" w:rsidR="00377D1D" w:rsidRDefault="00377D1D" w:rsidP="00377D1D">
      <w:pPr>
        <w:jc w:val="center"/>
        <w:rPr>
          <w:rFonts w:asciiTheme="majorHAnsi" w:eastAsiaTheme="majorEastAsia" w:hAnsiTheme="majorHAnsi" w:cstheme="majorBidi"/>
          <w:b/>
          <w:color w:val="094183" w:themeColor="text2"/>
          <w:sz w:val="32"/>
        </w:rPr>
      </w:pPr>
      <w:r w:rsidRPr="00F5218E">
        <w:rPr>
          <w:noProof/>
          <w:lang w:val="en-GB"/>
        </w:rPr>
        <w:lastRenderedPageBreak/>
        <w:drawing>
          <wp:inline distT="0" distB="0" distL="0" distR="0" wp14:anchorId="07C2D4B9" wp14:editId="58677673">
            <wp:extent cx="5731510" cy="6938645"/>
            <wp:effectExtent l="0" t="0" r="254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5731510" cy="6938645"/>
                    </a:xfrm>
                    <a:prstGeom prst="rect">
                      <a:avLst/>
                    </a:prstGeom>
                    <a:noFill/>
                    <a:ln>
                      <a:noFill/>
                    </a:ln>
                  </pic:spPr>
                </pic:pic>
              </a:graphicData>
            </a:graphic>
          </wp:inline>
        </w:drawing>
      </w:r>
      <w:r>
        <w:br w:type="page"/>
      </w:r>
    </w:p>
    <w:p w14:paraId="75444A1D" w14:textId="16370B05" w:rsidR="00FE5B4D" w:rsidRPr="004A43B6" w:rsidRDefault="004A43B6" w:rsidP="00C87E21">
      <w:pPr>
        <w:pStyle w:val="Heading6"/>
        <w:jc w:val="left"/>
      </w:pPr>
      <w:r w:rsidRPr="004A43B6">
        <w:lastRenderedPageBreak/>
        <w:t>Summary of McCoy’s Bridge flow and metabolism data</w:t>
      </w:r>
      <w:bookmarkEnd w:id="785"/>
      <w:bookmarkEnd w:id="786"/>
    </w:p>
    <w:p w14:paraId="150AD034" w14:textId="77777777" w:rsidR="003423DB" w:rsidRPr="001D6594" w:rsidRDefault="003423DB" w:rsidP="004A43B6"/>
    <w:p w14:paraId="0D8D4C1A" w14:textId="0E280088" w:rsidR="00081BEC" w:rsidRDefault="00081BEC" w:rsidP="00E81DC4">
      <w:pPr>
        <w:pStyle w:val="Caption"/>
      </w:pPr>
      <w:bookmarkStart w:id="787" w:name="_Toc84492681"/>
      <w:r>
        <w:t xml:space="preserve">Table </w:t>
      </w:r>
      <w:r>
        <w:rPr>
          <w:noProof/>
        </w:rPr>
        <w:t>D</w:t>
      </w:r>
      <w:r>
        <w:noBreakHyphen/>
      </w:r>
      <w:r>
        <w:rPr>
          <w:noProof/>
        </w:rPr>
        <w:t>1</w:t>
      </w:r>
      <w:r>
        <w:t xml:space="preserve"> </w:t>
      </w:r>
      <w:r w:rsidRPr="00835511">
        <w:t>Summary of McCoy’s Bridge flow and metabolism data stratified by season, then divided into 6 equal-sized bins (combined data set from LTIM and MER).</w:t>
      </w:r>
      <w:bookmarkEnd w:id="787"/>
    </w:p>
    <w:p w14:paraId="0F5F9960" w14:textId="77777777" w:rsidR="00307DFF" w:rsidRDefault="00307DFF" w:rsidP="003423DB">
      <w:pPr>
        <w:jc w:val="center"/>
        <w:rPr>
          <w:b/>
          <w:bCs/>
        </w:rPr>
      </w:pPr>
      <w:r w:rsidRPr="004260FD">
        <w:rPr>
          <w:noProof/>
          <w:lang w:val="en-GB"/>
        </w:rPr>
        <w:drawing>
          <wp:inline distT="0" distB="0" distL="0" distR="0" wp14:anchorId="0CD66359" wp14:editId="17AE017C">
            <wp:extent cx="6296660" cy="6260934"/>
            <wp:effectExtent l="0" t="0" r="8890" b="698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6296660" cy="6260934"/>
                    </a:xfrm>
                    <a:prstGeom prst="rect">
                      <a:avLst/>
                    </a:prstGeom>
                    <a:noFill/>
                    <a:ln>
                      <a:noFill/>
                    </a:ln>
                  </pic:spPr>
                </pic:pic>
              </a:graphicData>
            </a:graphic>
          </wp:inline>
        </w:drawing>
      </w:r>
    </w:p>
    <w:p w14:paraId="618B9E76" w14:textId="77777777" w:rsidR="00307DFF" w:rsidRDefault="00307DFF" w:rsidP="00307DFF">
      <w:pPr>
        <w:rPr>
          <w:b/>
          <w:bCs/>
        </w:rPr>
      </w:pPr>
    </w:p>
    <w:p w14:paraId="444B039C" w14:textId="77777777" w:rsidR="00307DFF" w:rsidRDefault="00307DFF" w:rsidP="00307DFF">
      <w:pPr>
        <w:spacing w:after="0" w:line="240" w:lineRule="auto"/>
        <w:rPr>
          <w:b/>
          <w:bCs/>
        </w:rPr>
      </w:pPr>
      <w:r>
        <w:rPr>
          <w:b/>
          <w:bCs/>
        </w:rPr>
        <w:br w:type="page"/>
      </w:r>
    </w:p>
    <w:p w14:paraId="453593F4" w14:textId="1CBAA831" w:rsidR="00307DFF" w:rsidRPr="00BA2632" w:rsidRDefault="002A6CD4" w:rsidP="001827C8">
      <w:pPr>
        <w:pStyle w:val="Heading6"/>
      </w:pPr>
      <w:bookmarkStart w:id="788" w:name="_Toc84416145"/>
      <w:bookmarkStart w:id="789" w:name="_Toc84417455"/>
      <w:r w:rsidRPr="002A6CD4">
        <w:lastRenderedPageBreak/>
        <w:t>Summary of daily GPP loads</w:t>
      </w:r>
      <w:bookmarkEnd w:id="788"/>
      <w:bookmarkEnd w:id="789"/>
    </w:p>
    <w:p w14:paraId="3379C63E" w14:textId="77777777" w:rsidR="00307DFF" w:rsidRDefault="00307DFF" w:rsidP="00307DFF">
      <w:pPr>
        <w:rPr>
          <w:b/>
          <w:bCs/>
        </w:rPr>
      </w:pPr>
    </w:p>
    <w:p w14:paraId="6719184C" w14:textId="73275472" w:rsidR="008A09E4" w:rsidRDefault="009668BA" w:rsidP="009668BA">
      <w:pPr>
        <w:pStyle w:val="Caption"/>
      </w:pPr>
      <w:bookmarkStart w:id="790" w:name="_Toc84492682"/>
      <w:r>
        <w:t xml:space="preserve">Table </w:t>
      </w:r>
      <w:r>
        <w:rPr>
          <w:noProof/>
        </w:rPr>
        <w:t>E</w:t>
      </w:r>
      <w:r>
        <w:noBreakHyphen/>
      </w:r>
      <w:r>
        <w:rPr>
          <w:noProof/>
        </w:rPr>
        <w:t>1</w:t>
      </w:r>
      <w:r>
        <w:t xml:space="preserve"> </w:t>
      </w:r>
      <w:r w:rsidR="008A09E4" w:rsidRPr="004D0A69">
        <w:t>Summary of daily GPP loads (kg Org C/Day) from CEW and non-CEW water (combined data set from LTIM and MER).</w:t>
      </w:r>
      <w:bookmarkEnd w:id="790"/>
    </w:p>
    <w:tbl>
      <w:tblPr>
        <w:tblW w:w="9629" w:type="dxa"/>
        <w:jc w:val="center"/>
        <w:tblLook w:val="04A0" w:firstRow="1" w:lastRow="0" w:firstColumn="1" w:lastColumn="0" w:noHBand="0" w:noVBand="1"/>
      </w:tblPr>
      <w:tblGrid>
        <w:gridCol w:w="960"/>
        <w:gridCol w:w="1720"/>
        <w:gridCol w:w="960"/>
        <w:gridCol w:w="1737"/>
        <w:gridCol w:w="2126"/>
        <w:gridCol w:w="2126"/>
      </w:tblGrid>
      <w:tr w:rsidR="00307DFF" w:rsidRPr="0087670C" w14:paraId="219BCB3F" w14:textId="77777777" w:rsidTr="008A09E4">
        <w:trPr>
          <w:trHeight w:val="1125"/>
          <w:jc w:val="center"/>
        </w:trPr>
        <w:tc>
          <w:tcPr>
            <w:tcW w:w="960" w:type="dxa"/>
            <w:tcBorders>
              <w:top w:val="single" w:sz="8" w:space="0" w:color="auto"/>
              <w:left w:val="single" w:sz="8" w:space="0" w:color="auto"/>
              <w:bottom w:val="single" w:sz="8" w:space="0" w:color="auto"/>
              <w:right w:val="single" w:sz="4" w:space="0" w:color="FFFFFF"/>
            </w:tcBorders>
            <w:shd w:val="clear" w:color="000000" w:fill="002060"/>
            <w:noWrap/>
            <w:vAlign w:val="center"/>
            <w:hideMark/>
          </w:tcPr>
          <w:p w14:paraId="61B700C1" w14:textId="77777777" w:rsidR="00307DFF" w:rsidRPr="008A09E4" w:rsidRDefault="00307DFF" w:rsidP="00E26D3C">
            <w:pPr>
              <w:spacing w:after="0" w:line="240" w:lineRule="auto"/>
              <w:jc w:val="center"/>
              <w:rPr>
                <w:rFonts w:eastAsia="Times New Roman" w:cstheme="minorHAnsi"/>
                <w:b/>
                <w:bCs/>
                <w:color w:val="FFFFFF"/>
                <w:sz w:val="18"/>
                <w:szCs w:val="18"/>
                <w:lang w:eastAsia="en-AU"/>
              </w:rPr>
            </w:pPr>
            <w:r w:rsidRPr="008A09E4">
              <w:rPr>
                <w:rFonts w:eastAsia="Times New Roman" w:cstheme="minorHAnsi"/>
                <w:b/>
                <w:bCs/>
                <w:color w:val="FFFFFF"/>
                <w:sz w:val="18"/>
                <w:szCs w:val="18"/>
                <w:lang w:eastAsia="en-AU"/>
              </w:rPr>
              <w:t>Season</w:t>
            </w:r>
          </w:p>
        </w:tc>
        <w:tc>
          <w:tcPr>
            <w:tcW w:w="1720" w:type="dxa"/>
            <w:tcBorders>
              <w:top w:val="single" w:sz="8" w:space="0" w:color="auto"/>
              <w:left w:val="nil"/>
              <w:bottom w:val="single" w:sz="8" w:space="0" w:color="auto"/>
              <w:right w:val="single" w:sz="8" w:space="0" w:color="FFFFFF"/>
            </w:tcBorders>
            <w:shd w:val="clear" w:color="000000" w:fill="002060"/>
            <w:noWrap/>
            <w:vAlign w:val="center"/>
            <w:hideMark/>
          </w:tcPr>
          <w:p w14:paraId="44A4C9D9" w14:textId="77777777" w:rsidR="00307DFF" w:rsidRPr="008A09E4" w:rsidRDefault="00307DFF" w:rsidP="00E26D3C">
            <w:pPr>
              <w:spacing w:after="0" w:line="240" w:lineRule="auto"/>
              <w:jc w:val="center"/>
              <w:rPr>
                <w:rFonts w:eastAsia="Times New Roman" w:cstheme="minorHAnsi"/>
                <w:b/>
                <w:bCs/>
                <w:color w:val="FFFFFF"/>
                <w:sz w:val="18"/>
                <w:szCs w:val="18"/>
                <w:lang w:eastAsia="en-AU"/>
              </w:rPr>
            </w:pPr>
            <w:r w:rsidRPr="008A09E4">
              <w:rPr>
                <w:rFonts w:eastAsia="Times New Roman" w:cstheme="minorHAnsi"/>
                <w:b/>
                <w:bCs/>
                <w:color w:val="FFFFFF"/>
                <w:sz w:val="18"/>
                <w:szCs w:val="18"/>
                <w:lang w:eastAsia="en-AU"/>
              </w:rPr>
              <w:t>Flow Category</w:t>
            </w:r>
          </w:p>
        </w:tc>
        <w:tc>
          <w:tcPr>
            <w:tcW w:w="960" w:type="dxa"/>
            <w:tcBorders>
              <w:top w:val="single" w:sz="8" w:space="0" w:color="auto"/>
              <w:left w:val="nil"/>
              <w:bottom w:val="single" w:sz="8" w:space="0" w:color="auto"/>
              <w:right w:val="single" w:sz="4" w:space="0" w:color="FFFFFF"/>
            </w:tcBorders>
            <w:shd w:val="clear" w:color="000000" w:fill="002060"/>
            <w:noWrap/>
            <w:vAlign w:val="center"/>
            <w:hideMark/>
          </w:tcPr>
          <w:p w14:paraId="00E06C97" w14:textId="77777777" w:rsidR="00307DFF" w:rsidRPr="008A09E4" w:rsidRDefault="00307DFF" w:rsidP="00E26D3C">
            <w:pPr>
              <w:spacing w:after="0" w:line="240" w:lineRule="auto"/>
              <w:jc w:val="center"/>
              <w:rPr>
                <w:rFonts w:eastAsia="Times New Roman" w:cstheme="minorHAnsi"/>
                <w:b/>
                <w:bCs/>
                <w:color w:val="FFFFFF"/>
                <w:sz w:val="18"/>
                <w:szCs w:val="18"/>
                <w:lang w:eastAsia="en-AU"/>
              </w:rPr>
            </w:pPr>
            <w:r w:rsidRPr="008A09E4">
              <w:rPr>
                <w:rFonts w:eastAsia="Times New Roman" w:cstheme="minorHAnsi"/>
                <w:b/>
                <w:bCs/>
                <w:color w:val="FFFFFF"/>
                <w:sz w:val="18"/>
                <w:szCs w:val="18"/>
                <w:lang w:eastAsia="en-AU"/>
              </w:rPr>
              <w:t>n</w:t>
            </w:r>
          </w:p>
        </w:tc>
        <w:tc>
          <w:tcPr>
            <w:tcW w:w="1737" w:type="dxa"/>
            <w:tcBorders>
              <w:top w:val="single" w:sz="8" w:space="0" w:color="auto"/>
              <w:left w:val="nil"/>
              <w:bottom w:val="single" w:sz="8" w:space="0" w:color="auto"/>
              <w:right w:val="single" w:sz="4" w:space="0" w:color="FFFFFF"/>
            </w:tcBorders>
            <w:shd w:val="clear" w:color="000000" w:fill="002060"/>
            <w:vAlign w:val="center"/>
            <w:hideMark/>
          </w:tcPr>
          <w:p w14:paraId="3CB29FC4" w14:textId="77777777" w:rsidR="00307DFF" w:rsidRPr="008A09E4" w:rsidRDefault="00307DFF" w:rsidP="00E26D3C">
            <w:pPr>
              <w:spacing w:after="0" w:line="240" w:lineRule="auto"/>
              <w:jc w:val="center"/>
              <w:rPr>
                <w:rFonts w:eastAsia="Times New Roman" w:cstheme="minorHAnsi"/>
                <w:b/>
                <w:bCs/>
                <w:color w:val="FFFFFF"/>
                <w:sz w:val="18"/>
                <w:szCs w:val="18"/>
                <w:lang w:eastAsia="en-AU"/>
              </w:rPr>
            </w:pPr>
            <w:r w:rsidRPr="008A09E4">
              <w:rPr>
                <w:rFonts w:eastAsia="Times New Roman" w:cstheme="minorHAnsi"/>
                <w:b/>
                <w:bCs/>
                <w:color w:val="FFFFFF"/>
                <w:sz w:val="18"/>
                <w:szCs w:val="18"/>
                <w:lang w:eastAsia="en-AU"/>
              </w:rPr>
              <w:t>Mean Daily GPP Load from CEW (kg Org C/Day)</w:t>
            </w:r>
          </w:p>
        </w:tc>
        <w:tc>
          <w:tcPr>
            <w:tcW w:w="2126" w:type="dxa"/>
            <w:tcBorders>
              <w:top w:val="single" w:sz="8" w:space="0" w:color="auto"/>
              <w:left w:val="nil"/>
              <w:bottom w:val="single" w:sz="8" w:space="0" w:color="auto"/>
              <w:right w:val="single" w:sz="4" w:space="0" w:color="FFFFFF"/>
            </w:tcBorders>
            <w:shd w:val="clear" w:color="000000" w:fill="002060"/>
            <w:vAlign w:val="center"/>
            <w:hideMark/>
          </w:tcPr>
          <w:p w14:paraId="2BA803EA" w14:textId="77777777" w:rsidR="00307DFF" w:rsidRPr="008A09E4" w:rsidRDefault="00307DFF" w:rsidP="00E26D3C">
            <w:pPr>
              <w:spacing w:after="0" w:line="240" w:lineRule="auto"/>
              <w:jc w:val="center"/>
              <w:rPr>
                <w:rFonts w:eastAsia="Times New Roman" w:cstheme="minorHAnsi"/>
                <w:b/>
                <w:bCs/>
                <w:color w:val="FFFFFF"/>
                <w:sz w:val="18"/>
                <w:szCs w:val="18"/>
                <w:lang w:eastAsia="en-AU"/>
              </w:rPr>
            </w:pPr>
            <w:r w:rsidRPr="008A09E4">
              <w:rPr>
                <w:rFonts w:eastAsia="Times New Roman" w:cstheme="minorHAnsi"/>
                <w:b/>
                <w:bCs/>
                <w:color w:val="FFFFFF"/>
                <w:sz w:val="18"/>
                <w:szCs w:val="18"/>
                <w:lang w:eastAsia="en-AU"/>
              </w:rPr>
              <w:t>Mean Daily GPP Load from non-CEW (kg Org C/Day)</w:t>
            </w:r>
          </w:p>
        </w:tc>
        <w:tc>
          <w:tcPr>
            <w:tcW w:w="2126" w:type="dxa"/>
            <w:tcBorders>
              <w:top w:val="single" w:sz="8" w:space="0" w:color="auto"/>
              <w:left w:val="nil"/>
              <w:bottom w:val="single" w:sz="8" w:space="0" w:color="auto"/>
              <w:right w:val="single" w:sz="8" w:space="0" w:color="auto"/>
            </w:tcBorders>
            <w:shd w:val="clear" w:color="000000" w:fill="002060"/>
            <w:vAlign w:val="center"/>
            <w:hideMark/>
          </w:tcPr>
          <w:p w14:paraId="67AAE18D" w14:textId="77777777" w:rsidR="00307DFF" w:rsidRPr="008A09E4" w:rsidRDefault="00307DFF" w:rsidP="00E26D3C">
            <w:pPr>
              <w:spacing w:after="0" w:line="240" w:lineRule="auto"/>
              <w:jc w:val="center"/>
              <w:rPr>
                <w:rFonts w:eastAsia="Times New Roman" w:cstheme="minorHAnsi"/>
                <w:b/>
                <w:bCs/>
                <w:color w:val="FFFFFF"/>
                <w:sz w:val="18"/>
                <w:szCs w:val="18"/>
                <w:lang w:eastAsia="en-AU"/>
              </w:rPr>
            </w:pPr>
            <w:r w:rsidRPr="008A09E4">
              <w:rPr>
                <w:rFonts w:eastAsia="Times New Roman" w:cstheme="minorHAnsi"/>
                <w:b/>
                <w:bCs/>
                <w:color w:val="FFFFFF"/>
                <w:sz w:val="18"/>
                <w:szCs w:val="18"/>
                <w:lang w:eastAsia="en-AU"/>
              </w:rPr>
              <w:t>% Contribution to Total Organic Carbon Load from CEW</w:t>
            </w:r>
          </w:p>
        </w:tc>
      </w:tr>
      <w:tr w:rsidR="00307DFF" w:rsidRPr="0087670C" w14:paraId="57D0FA67" w14:textId="77777777" w:rsidTr="008A09E4">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70D0EE60"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Spring</w:t>
            </w:r>
          </w:p>
        </w:tc>
        <w:tc>
          <w:tcPr>
            <w:tcW w:w="1720" w:type="dxa"/>
            <w:tcBorders>
              <w:top w:val="nil"/>
              <w:left w:val="single" w:sz="4" w:space="0" w:color="auto"/>
              <w:bottom w:val="single" w:sz="4" w:space="0" w:color="auto"/>
              <w:right w:val="single" w:sz="8" w:space="0" w:color="auto"/>
            </w:tcBorders>
            <w:shd w:val="clear" w:color="auto" w:fill="auto"/>
            <w:noWrap/>
            <w:vAlign w:val="center"/>
            <w:hideMark/>
          </w:tcPr>
          <w:p w14:paraId="1A55C573"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Very Low</w:t>
            </w:r>
          </w:p>
        </w:tc>
        <w:tc>
          <w:tcPr>
            <w:tcW w:w="960" w:type="dxa"/>
            <w:tcBorders>
              <w:top w:val="nil"/>
              <w:left w:val="nil"/>
              <w:bottom w:val="single" w:sz="4" w:space="0" w:color="auto"/>
              <w:right w:val="single" w:sz="4" w:space="0" w:color="auto"/>
            </w:tcBorders>
            <w:shd w:val="clear" w:color="auto" w:fill="auto"/>
            <w:noWrap/>
            <w:vAlign w:val="center"/>
            <w:hideMark/>
          </w:tcPr>
          <w:p w14:paraId="678487E5"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177</w:t>
            </w:r>
          </w:p>
        </w:tc>
        <w:tc>
          <w:tcPr>
            <w:tcW w:w="1737" w:type="dxa"/>
            <w:tcBorders>
              <w:top w:val="nil"/>
              <w:left w:val="nil"/>
              <w:bottom w:val="single" w:sz="4" w:space="0" w:color="auto"/>
              <w:right w:val="single" w:sz="4" w:space="0" w:color="auto"/>
            </w:tcBorders>
            <w:shd w:val="clear" w:color="auto" w:fill="auto"/>
            <w:noWrap/>
            <w:vAlign w:val="center"/>
            <w:hideMark/>
          </w:tcPr>
          <w:p w14:paraId="625E4218"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162</w:t>
            </w:r>
          </w:p>
        </w:tc>
        <w:tc>
          <w:tcPr>
            <w:tcW w:w="2126" w:type="dxa"/>
            <w:tcBorders>
              <w:top w:val="nil"/>
              <w:left w:val="nil"/>
              <w:bottom w:val="single" w:sz="4" w:space="0" w:color="auto"/>
              <w:right w:val="single" w:sz="4" w:space="0" w:color="auto"/>
            </w:tcBorders>
            <w:shd w:val="clear" w:color="auto" w:fill="auto"/>
            <w:noWrap/>
            <w:vAlign w:val="center"/>
            <w:hideMark/>
          </w:tcPr>
          <w:p w14:paraId="551A6DC1"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397</w:t>
            </w:r>
          </w:p>
        </w:tc>
        <w:tc>
          <w:tcPr>
            <w:tcW w:w="2126" w:type="dxa"/>
            <w:tcBorders>
              <w:top w:val="nil"/>
              <w:left w:val="nil"/>
              <w:bottom w:val="single" w:sz="4" w:space="0" w:color="auto"/>
              <w:right w:val="single" w:sz="8" w:space="0" w:color="auto"/>
            </w:tcBorders>
            <w:shd w:val="clear" w:color="auto" w:fill="auto"/>
            <w:noWrap/>
            <w:vAlign w:val="center"/>
            <w:hideMark/>
          </w:tcPr>
          <w:p w14:paraId="71F1798D"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29</w:t>
            </w:r>
          </w:p>
        </w:tc>
      </w:tr>
      <w:tr w:rsidR="00307DFF" w:rsidRPr="0087670C" w14:paraId="11B0DD44" w14:textId="77777777" w:rsidTr="008A09E4">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072315B7"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 </w:t>
            </w:r>
          </w:p>
        </w:tc>
        <w:tc>
          <w:tcPr>
            <w:tcW w:w="1720" w:type="dxa"/>
            <w:tcBorders>
              <w:top w:val="nil"/>
              <w:left w:val="single" w:sz="4" w:space="0" w:color="auto"/>
              <w:bottom w:val="single" w:sz="4" w:space="0" w:color="auto"/>
              <w:right w:val="single" w:sz="8" w:space="0" w:color="auto"/>
            </w:tcBorders>
            <w:shd w:val="clear" w:color="auto" w:fill="auto"/>
            <w:noWrap/>
            <w:vAlign w:val="center"/>
            <w:hideMark/>
          </w:tcPr>
          <w:p w14:paraId="6804CE37"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Moderately Low</w:t>
            </w:r>
          </w:p>
        </w:tc>
        <w:tc>
          <w:tcPr>
            <w:tcW w:w="960" w:type="dxa"/>
            <w:tcBorders>
              <w:top w:val="nil"/>
              <w:left w:val="nil"/>
              <w:bottom w:val="single" w:sz="4" w:space="0" w:color="auto"/>
              <w:right w:val="single" w:sz="4" w:space="0" w:color="auto"/>
            </w:tcBorders>
            <w:shd w:val="clear" w:color="auto" w:fill="auto"/>
            <w:noWrap/>
            <w:vAlign w:val="center"/>
            <w:hideMark/>
          </w:tcPr>
          <w:p w14:paraId="1B6811CA"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235</w:t>
            </w:r>
          </w:p>
        </w:tc>
        <w:tc>
          <w:tcPr>
            <w:tcW w:w="1737" w:type="dxa"/>
            <w:tcBorders>
              <w:top w:val="nil"/>
              <w:left w:val="nil"/>
              <w:bottom w:val="single" w:sz="4" w:space="0" w:color="auto"/>
              <w:right w:val="single" w:sz="4" w:space="0" w:color="auto"/>
            </w:tcBorders>
            <w:shd w:val="clear" w:color="auto" w:fill="auto"/>
            <w:noWrap/>
            <w:vAlign w:val="center"/>
            <w:hideMark/>
          </w:tcPr>
          <w:p w14:paraId="027F24E3"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296</w:t>
            </w:r>
          </w:p>
        </w:tc>
        <w:tc>
          <w:tcPr>
            <w:tcW w:w="2126" w:type="dxa"/>
            <w:tcBorders>
              <w:top w:val="nil"/>
              <w:left w:val="nil"/>
              <w:bottom w:val="single" w:sz="4" w:space="0" w:color="auto"/>
              <w:right w:val="single" w:sz="4" w:space="0" w:color="auto"/>
            </w:tcBorders>
            <w:shd w:val="clear" w:color="auto" w:fill="auto"/>
            <w:noWrap/>
            <w:vAlign w:val="center"/>
            <w:hideMark/>
          </w:tcPr>
          <w:p w14:paraId="62B6DC46"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598</w:t>
            </w:r>
          </w:p>
        </w:tc>
        <w:tc>
          <w:tcPr>
            <w:tcW w:w="2126" w:type="dxa"/>
            <w:tcBorders>
              <w:top w:val="nil"/>
              <w:left w:val="nil"/>
              <w:bottom w:val="single" w:sz="4" w:space="0" w:color="auto"/>
              <w:right w:val="single" w:sz="8" w:space="0" w:color="auto"/>
            </w:tcBorders>
            <w:shd w:val="clear" w:color="auto" w:fill="auto"/>
            <w:noWrap/>
            <w:vAlign w:val="center"/>
            <w:hideMark/>
          </w:tcPr>
          <w:p w14:paraId="1C2D5209"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33</w:t>
            </w:r>
          </w:p>
        </w:tc>
      </w:tr>
      <w:tr w:rsidR="00307DFF" w:rsidRPr="0087670C" w14:paraId="588A8062" w14:textId="77777777" w:rsidTr="008A09E4">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492543CF"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 </w:t>
            </w:r>
          </w:p>
        </w:tc>
        <w:tc>
          <w:tcPr>
            <w:tcW w:w="1720" w:type="dxa"/>
            <w:tcBorders>
              <w:top w:val="nil"/>
              <w:left w:val="single" w:sz="4" w:space="0" w:color="auto"/>
              <w:bottom w:val="single" w:sz="4" w:space="0" w:color="auto"/>
              <w:right w:val="single" w:sz="8" w:space="0" w:color="auto"/>
            </w:tcBorders>
            <w:shd w:val="clear" w:color="auto" w:fill="auto"/>
            <w:noWrap/>
            <w:vAlign w:val="center"/>
            <w:hideMark/>
          </w:tcPr>
          <w:p w14:paraId="35A72854"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Low Fresh</w:t>
            </w:r>
          </w:p>
        </w:tc>
        <w:tc>
          <w:tcPr>
            <w:tcW w:w="960" w:type="dxa"/>
            <w:tcBorders>
              <w:top w:val="nil"/>
              <w:left w:val="nil"/>
              <w:bottom w:val="single" w:sz="4" w:space="0" w:color="auto"/>
              <w:right w:val="single" w:sz="4" w:space="0" w:color="auto"/>
            </w:tcBorders>
            <w:shd w:val="clear" w:color="auto" w:fill="auto"/>
            <w:noWrap/>
            <w:vAlign w:val="center"/>
            <w:hideMark/>
          </w:tcPr>
          <w:p w14:paraId="68C2E6F8"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107</w:t>
            </w:r>
          </w:p>
        </w:tc>
        <w:tc>
          <w:tcPr>
            <w:tcW w:w="1737" w:type="dxa"/>
            <w:tcBorders>
              <w:top w:val="nil"/>
              <w:left w:val="nil"/>
              <w:bottom w:val="single" w:sz="4" w:space="0" w:color="auto"/>
              <w:right w:val="single" w:sz="4" w:space="0" w:color="auto"/>
            </w:tcBorders>
            <w:shd w:val="clear" w:color="auto" w:fill="auto"/>
            <w:noWrap/>
            <w:vAlign w:val="center"/>
            <w:hideMark/>
          </w:tcPr>
          <w:p w14:paraId="1823AABD"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435</w:t>
            </w:r>
          </w:p>
        </w:tc>
        <w:tc>
          <w:tcPr>
            <w:tcW w:w="2126" w:type="dxa"/>
            <w:tcBorders>
              <w:top w:val="nil"/>
              <w:left w:val="nil"/>
              <w:bottom w:val="single" w:sz="4" w:space="0" w:color="auto"/>
              <w:right w:val="single" w:sz="4" w:space="0" w:color="auto"/>
            </w:tcBorders>
            <w:shd w:val="clear" w:color="auto" w:fill="auto"/>
            <w:noWrap/>
            <w:vAlign w:val="center"/>
            <w:hideMark/>
          </w:tcPr>
          <w:p w14:paraId="2B59C4B1"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482</w:t>
            </w:r>
          </w:p>
        </w:tc>
        <w:tc>
          <w:tcPr>
            <w:tcW w:w="2126" w:type="dxa"/>
            <w:tcBorders>
              <w:top w:val="nil"/>
              <w:left w:val="nil"/>
              <w:bottom w:val="single" w:sz="4" w:space="0" w:color="auto"/>
              <w:right w:val="single" w:sz="8" w:space="0" w:color="auto"/>
            </w:tcBorders>
            <w:shd w:val="clear" w:color="auto" w:fill="auto"/>
            <w:noWrap/>
            <w:vAlign w:val="center"/>
            <w:hideMark/>
          </w:tcPr>
          <w:p w14:paraId="2DDB7E56"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47</w:t>
            </w:r>
          </w:p>
        </w:tc>
      </w:tr>
      <w:tr w:rsidR="00307DFF" w:rsidRPr="0087670C" w14:paraId="350C17E6" w14:textId="77777777" w:rsidTr="008A09E4">
        <w:trPr>
          <w:trHeight w:val="315"/>
          <w:jc w:val="center"/>
        </w:trPr>
        <w:tc>
          <w:tcPr>
            <w:tcW w:w="960" w:type="dxa"/>
            <w:tcBorders>
              <w:top w:val="nil"/>
              <w:left w:val="single" w:sz="8" w:space="0" w:color="auto"/>
              <w:bottom w:val="nil"/>
              <w:right w:val="single" w:sz="4" w:space="0" w:color="auto"/>
            </w:tcBorders>
            <w:shd w:val="clear" w:color="auto" w:fill="auto"/>
            <w:noWrap/>
            <w:vAlign w:val="center"/>
            <w:hideMark/>
          </w:tcPr>
          <w:p w14:paraId="546C12F5"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 </w:t>
            </w:r>
          </w:p>
        </w:tc>
        <w:tc>
          <w:tcPr>
            <w:tcW w:w="1720" w:type="dxa"/>
            <w:tcBorders>
              <w:top w:val="nil"/>
              <w:left w:val="single" w:sz="4" w:space="0" w:color="auto"/>
              <w:bottom w:val="single" w:sz="4" w:space="0" w:color="auto"/>
              <w:right w:val="single" w:sz="8" w:space="0" w:color="auto"/>
            </w:tcBorders>
            <w:shd w:val="clear" w:color="auto" w:fill="auto"/>
            <w:noWrap/>
            <w:vAlign w:val="center"/>
            <w:hideMark/>
          </w:tcPr>
          <w:p w14:paraId="5120154C"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Medium Fresh</w:t>
            </w:r>
          </w:p>
        </w:tc>
        <w:tc>
          <w:tcPr>
            <w:tcW w:w="960" w:type="dxa"/>
            <w:tcBorders>
              <w:top w:val="nil"/>
              <w:left w:val="nil"/>
              <w:bottom w:val="single" w:sz="4" w:space="0" w:color="auto"/>
              <w:right w:val="single" w:sz="4" w:space="0" w:color="auto"/>
            </w:tcBorders>
            <w:shd w:val="clear" w:color="auto" w:fill="auto"/>
            <w:noWrap/>
            <w:vAlign w:val="center"/>
            <w:hideMark/>
          </w:tcPr>
          <w:p w14:paraId="56DDEBB6"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137</w:t>
            </w:r>
          </w:p>
        </w:tc>
        <w:tc>
          <w:tcPr>
            <w:tcW w:w="1737" w:type="dxa"/>
            <w:tcBorders>
              <w:top w:val="nil"/>
              <w:left w:val="nil"/>
              <w:bottom w:val="single" w:sz="4" w:space="0" w:color="auto"/>
              <w:right w:val="single" w:sz="4" w:space="0" w:color="auto"/>
            </w:tcBorders>
            <w:shd w:val="clear" w:color="auto" w:fill="auto"/>
            <w:noWrap/>
            <w:vAlign w:val="center"/>
            <w:hideMark/>
          </w:tcPr>
          <w:p w14:paraId="1AA87C90"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829</w:t>
            </w:r>
          </w:p>
        </w:tc>
        <w:tc>
          <w:tcPr>
            <w:tcW w:w="2126" w:type="dxa"/>
            <w:tcBorders>
              <w:top w:val="nil"/>
              <w:left w:val="nil"/>
              <w:bottom w:val="single" w:sz="4" w:space="0" w:color="auto"/>
              <w:right w:val="single" w:sz="4" w:space="0" w:color="auto"/>
            </w:tcBorders>
            <w:shd w:val="clear" w:color="auto" w:fill="auto"/>
            <w:noWrap/>
            <w:vAlign w:val="center"/>
            <w:hideMark/>
          </w:tcPr>
          <w:p w14:paraId="4CBF52D0"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427</w:t>
            </w:r>
          </w:p>
        </w:tc>
        <w:tc>
          <w:tcPr>
            <w:tcW w:w="2126" w:type="dxa"/>
            <w:tcBorders>
              <w:top w:val="nil"/>
              <w:left w:val="nil"/>
              <w:bottom w:val="single" w:sz="4" w:space="0" w:color="auto"/>
              <w:right w:val="single" w:sz="8" w:space="0" w:color="auto"/>
            </w:tcBorders>
            <w:shd w:val="clear" w:color="auto" w:fill="auto"/>
            <w:noWrap/>
            <w:vAlign w:val="center"/>
            <w:hideMark/>
          </w:tcPr>
          <w:p w14:paraId="62D8DFBC"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66</w:t>
            </w:r>
          </w:p>
        </w:tc>
      </w:tr>
      <w:tr w:rsidR="00307DFF" w:rsidRPr="0087670C" w14:paraId="5A4ECC21" w14:textId="77777777" w:rsidTr="008A09E4">
        <w:trPr>
          <w:trHeight w:val="300"/>
          <w:jc w:val="center"/>
        </w:trPr>
        <w:tc>
          <w:tcPr>
            <w:tcW w:w="960" w:type="dxa"/>
            <w:tcBorders>
              <w:top w:val="single" w:sz="8" w:space="0" w:color="auto"/>
              <w:left w:val="single" w:sz="8" w:space="0" w:color="auto"/>
              <w:bottom w:val="nil"/>
              <w:right w:val="single" w:sz="4" w:space="0" w:color="auto"/>
            </w:tcBorders>
            <w:shd w:val="clear" w:color="auto" w:fill="auto"/>
            <w:noWrap/>
            <w:vAlign w:val="center"/>
            <w:hideMark/>
          </w:tcPr>
          <w:p w14:paraId="2BFD9BE9"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Summer</w:t>
            </w:r>
          </w:p>
        </w:tc>
        <w:tc>
          <w:tcPr>
            <w:tcW w:w="1720"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3B530CD1"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Very Low</w:t>
            </w:r>
          </w:p>
        </w:tc>
        <w:tc>
          <w:tcPr>
            <w:tcW w:w="960" w:type="dxa"/>
            <w:tcBorders>
              <w:top w:val="single" w:sz="8" w:space="0" w:color="auto"/>
              <w:left w:val="nil"/>
              <w:bottom w:val="single" w:sz="4" w:space="0" w:color="auto"/>
              <w:right w:val="single" w:sz="4" w:space="0" w:color="auto"/>
            </w:tcBorders>
            <w:shd w:val="clear" w:color="auto" w:fill="auto"/>
            <w:noWrap/>
            <w:vAlign w:val="center"/>
            <w:hideMark/>
          </w:tcPr>
          <w:p w14:paraId="7C1F793A"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134</w:t>
            </w:r>
          </w:p>
        </w:tc>
        <w:tc>
          <w:tcPr>
            <w:tcW w:w="1737" w:type="dxa"/>
            <w:tcBorders>
              <w:top w:val="single" w:sz="8" w:space="0" w:color="auto"/>
              <w:left w:val="nil"/>
              <w:bottom w:val="single" w:sz="4" w:space="0" w:color="auto"/>
              <w:right w:val="single" w:sz="4" w:space="0" w:color="auto"/>
            </w:tcBorders>
            <w:shd w:val="clear" w:color="auto" w:fill="auto"/>
            <w:noWrap/>
            <w:vAlign w:val="center"/>
            <w:hideMark/>
          </w:tcPr>
          <w:p w14:paraId="5E7A94F6"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121</w:t>
            </w:r>
          </w:p>
        </w:tc>
        <w:tc>
          <w:tcPr>
            <w:tcW w:w="2126" w:type="dxa"/>
            <w:tcBorders>
              <w:top w:val="single" w:sz="8" w:space="0" w:color="auto"/>
              <w:left w:val="nil"/>
              <w:bottom w:val="single" w:sz="4" w:space="0" w:color="auto"/>
              <w:right w:val="single" w:sz="4" w:space="0" w:color="auto"/>
            </w:tcBorders>
            <w:shd w:val="clear" w:color="auto" w:fill="auto"/>
            <w:noWrap/>
            <w:vAlign w:val="center"/>
            <w:hideMark/>
          </w:tcPr>
          <w:p w14:paraId="1FB19AFA"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1022</w:t>
            </w:r>
          </w:p>
        </w:tc>
        <w:tc>
          <w:tcPr>
            <w:tcW w:w="2126" w:type="dxa"/>
            <w:tcBorders>
              <w:top w:val="single" w:sz="8" w:space="0" w:color="auto"/>
              <w:left w:val="nil"/>
              <w:bottom w:val="single" w:sz="4" w:space="0" w:color="auto"/>
              <w:right w:val="single" w:sz="8" w:space="0" w:color="auto"/>
            </w:tcBorders>
            <w:shd w:val="clear" w:color="auto" w:fill="auto"/>
            <w:noWrap/>
            <w:vAlign w:val="center"/>
            <w:hideMark/>
          </w:tcPr>
          <w:p w14:paraId="7B933B17"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11</w:t>
            </w:r>
          </w:p>
        </w:tc>
      </w:tr>
      <w:tr w:rsidR="00307DFF" w:rsidRPr="0087670C" w14:paraId="68155F48" w14:textId="77777777" w:rsidTr="008A09E4">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1BF9E1B0"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 </w:t>
            </w:r>
          </w:p>
        </w:tc>
        <w:tc>
          <w:tcPr>
            <w:tcW w:w="1720" w:type="dxa"/>
            <w:tcBorders>
              <w:top w:val="nil"/>
              <w:left w:val="single" w:sz="4" w:space="0" w:color="auto"/>
              <w:bottom w:val="single" w:sz="4" w:space="0" w:color="auto"/>
              <w:right w:val="single" w:sz="8" w:space="0" w:color="auto"/>
            </w:tcBorders>
            <w:shd w:val="clear" w:color="auto" w:fill="auto"/>
            <w:noWrap/>
            <w:vAlign w:val="center"/>
            <w:hideMark/>
          </w:tcPr>
          <w:p w14:paraId="5C53CC4A"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Moderately Low</w:t>
            </w:r>
          </w:p>
        </w:tc>
        <w:tc>
          <w:tcPr>
            <w:tcW w:w="960" w:type="dxa"/>
            <w:tcBorders>
              <w:top w:val="nil"/>
              <w:left w:val="nil"/>
              <w:bottom w:val="single" w:sz="4" w:space="0" w:color="auto"/>
              <w:right w:val="single" w:sz="4" w:space="0" w:color="auto"/>
            </w:tcBorders>
            <w:shd w:val="clear" w:color="auto" w:fill="auto"/>
            <w:noWrap/>
            <w:vAlign w:val="center"/>
            <w:hideMark/>
          </w:tcPr>
          <w:p w14:paraId="15D12B4C"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542</w:t>
            </w:r>
          </w:p>
        </w:tc>
        <w:tc>
          <w:tcPr>
            <w:tcW w:w="1737" w:type="dxa"/>
            <w:tcBorders>
              <w:top w:val="nil"/>
              <w:left w:val="nil"/>
              <w:bottom w:val="single" w:sz="4" w:space="0" w:color="auto"/>
              <w:right w:val="single" w:sz="4" w:space="0" w:color="auto"/>
            </w:tcBorders>
            <w:shd w:val="clear" w:color="auto" w:fill="auto"/>
            <w:noWrap/>
            <w:vAlign w:val="center"/>
            <w:hideMark/>
          </w:tcPr>
          <w:p w14:paraId="1476B21E"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68</w:t>
            </w:r>
          </w:p>
        </w:tc>
        <w:tc>
          <w:tcPr>
            <w:tcW w:w="2126" w:type="dxa"/>
            <w:tcBorders>
              <w:top w:val="nil"/>
              <w:left w:val="nil"/>
              <w:bottom w:val="single" w:sz="4" w:space="0" w:color="auto"/>
              <w:right w:val="single" w:sz="4" w:space="0" w:color="auto"/>
            </w:tcBorders>
            <w:shd w:val="clear" w:color="auto" w:fill="auto"/>
            <w:noWrap/>
            <w:vAlign w:val="center"/>
            <w:hideMark/>
          </w:tcPr>
          <w:p w14:paraId="289BE285"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991</w:t>
            </w:r>
          </w:p>
        </w:tc>
        <w:tc>
          <w:tcPr>
            <w:tcW w:w="2126" w:type="dxa"/>
            <w:tcBorders>
              <w:top w:val="nil"/>
              <w:left w:val="nil"/>
              <w:bottom w:val="single" w:sz="4" w:space="0" w:color="auto"/>
              <w:right w:val="single" w:sz="8" w:space="0" w:color="auto"/>
            </w:tcBorders>
            <w:shd w:val="clear" w:color="auto" w:fill="auto"/>
            <w:noWrap/>
            <w:vAlign w:val="center"/>
            <w:hideMark/>
          </w:tcPr>
          <w:p w14:paraId="7F4DD5F0"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6</w:t>
            </w:r>
          </w:p>
        </w:tc>
      </w:tr>
      <w:tr w:rsidR="00307DFF" w:rsidRPr="0087670C" w14:paraId="24AE2EB1" w14:textId="77777777" w:rsidTr="008A09E4">
        <w:trPr>
          <w:trHeight w:val="300"/>
          <w:jc w:val="center"/>
        </w:trPr>
        <w:tc>
          <w:tcPr>
            <w:tcW w:w="960" w:type="dxa"/>
            <w:tcBorders>
              <w:top w:val="nil"/>
              <w:left w:val="single" w:sz="8" w:space="0" w:color="auto"/>
              <w:right w:val="single" w:sz="4" w:space="0" w:color="auto"/>
            </w:tcBorders>
            <w:shd w:val="clear" w:color="auto" w:fill="auto"/>
            <w:noWrap/>
            <w:vAlign w:val="center"/>
            <w:hideMark/>
          </w:tcPr>
          <w:p w14:paraId="16F53A2E"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 </w:t>
            </w:r>
          </w:p>
        </w:tc>
        <w:tc>
          <w:tcPr>
            <w:tcW w:w="1720" w:type="dxa"/>
            <w:tcBorders>
              <w:top w:val="nil"/>
              <w:left w:val="single" w:sz="4" w:space="0" w:color="auto"/>
              <w:bottom w:val="single" w:sz="4" w:space="0" w:color="auto"/>
              <w:right w:val="single" w:sz="8" w:space="0" w:color="auto"/>
            </w:tcBorders>
            <w:shd w:val="clear" w:color="auto" w:fill="auto"/>
            <w:noWrap/>
            <w:vAlign w:val="center"/>
            <w:hideMark/>
          </w:tcPr>
          <w:p w14:paraId="58C5B533"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Low Fresh</w:t>
            </w:r>
          </w:p>
        </w:tc>
        <w:tc>
          <w:tcPr>
            <w:tcW w:w="960" w:type="dxa"/>
            <w:tcBorders>
              <w:top w:val="nil"/>
              <w:left w:val="nil"/>
              <w:bottom w:val="single" w:sz="4" w:space="0" w:color="auto"/>
              <w:right w:val="single" w:sz="4" w:space="0" w:color="auto"/>
            </w:tcBorders>
            <w:shd w:val="clear" w:color="auto" w:fill="auto"/>
            <w:noWrap/>
            <w:vAlign w:val="center"/>
            <w:hideMark/>
          </w:tcPr>
          <w:p w14:paraId="33C55219"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346</w:t>
            </w:r>
          </w:p>
        </w:tc>
        <w:tc>
          <w:tcPr>
            <w:tcW w:w="1737" w:type="dxa"/>
            <w:tcBorders>
              <w:top w:val="nil"/>
              <w:left w:val="nil"/>
              <w:bottom w:val="single" w:sz="4" w:space="0" w:color="auto"/>
              <w:right w:val="single" w:sz="4" w:space="0" w:color="auto"/>
            </w:tcBorders>
            <w:shd w:val="clear" w:color="auto" w:fill="auto"/>
            <w:noWrap/>
            <w:vAlign w:val="center"/>
            <w:hideMark/>
          </w:tcPr>
          <w:p w14:paraId="33EB6A7D"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55</w:t>
            </w:r>
          </w:p>
        </w:tc>
        <w:tc>
          <w:tcPr>
            <w:tcW w:w="2126" w:type="dxa"/>
            <w:tcBorders>
              <w:top w:val="nil"/>
              <w:left w:val="nil"/>
              <w:bottom w:val="single" w:sz="4" w:space="0" w:color="auto"/>
              <w:right w:val="single" w:sz="4" w:space="0" w:color="auto"/>
            </w:tcBorders>
            <w:shd w:val="clear" w:color="auto" w:fill="auto"/>
            <w:noWrap/>
            <w:vAlign w:val="center"/>
            <w:hideMark/>
          </w:tcPr>
          <w:p w14:paraId="69611C58"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1509</w:t>
            </w:r>
          </w:p>
        </w:tc>
        <w:tc>
          <w:tcPr>
            <w:tcW w:w="2126" w:type="dxa"/>
            <w:tcBorders>
              <w:top w:val="nil"/>
              <w:left w:val="nil"/>
              <w:bottom w:val="single" w:sz="4" w:space="0" w:color="auto"/>
              <w:right w:val="single" w:sz="8" w:space="0" w:color="auto"/>
            </w:tcBorders>
            <w:shd w:val="clear" w:color="auto" w:fill="auto"/>
            <w:noWrap/>
            <w:vAlign w:val="center"/>
            <w:hideMark/>
          </w:tcPr>
          <w:p w14:paraId="4D893B21"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4</w:t>
            </w:r>
          </w:p>
        </w:tc>
      </w:tr>
      <w:tr w:rsidR="00307DFF" w:rsidRPr="0087670C" w14:paraId="01E9778E" w14:textId="77777777" w:rsidTr="008A09E4">
        <w:trPr>
          <w:trHeight w:val="315"/>
          <w:jc w:val="center"/>
        </w:trPr>
        <w:tc>
          <w:tcPr>
            <w:tcW w:w="960" w:type="dxa"/>
            <w:tcBorders>
              <w:top w:val="nil"/>
              <w:left w:val="single" w:sz="8" w:space="0" w:color="auto"/>
              <w:bottom w:val="single" w:sz="8" w:space="0" w:color="auto"/>
              <w:right w:val="single" w:sz="4" w:space="0" w:color="auto"/>
            </w:tcBorders>
            <w:shd w:val="clear" w:color="auto" w:fill="auto"/>
            <w:noWrap/>
            <w:vAlign w:val="center"/>
            <w:hideMark/>
          </w:tcPr>
          <w:p w14:paraId="4941FDA3"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 </w:t>
            </w:r>
          </w:p>
        </w:tc>
        <w:tc>
          <w:tcPr>
            <w:tcW w:w="1720" w:type="dxa"/>
            <w:tcBorders>
              <w:top w:val="nil"/>
              <w:left w:val="single" w:sz="4" w:space="0" w:color="auto"/>
              <w:bottom w:val="single" w:sz="4" w:space="0" w:color="auto"/>
              <w:right w:val="single" w:sz="8" w:space="0" w:color="auto"/>
            </w:tcBorders>
            <w:shd w:val="clear" w:color="auto" w:fill="auto"/>
            <w:noWrap/>
            <w:vAlign w:val="center"/>
            <w:hideMark/>
          </w:tcPr>
          <w:p w14:paraId="03AC3F0B"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Medium Fresh</w:t>
            </w:r>
          </w:p>
        </w:tc>
        <w:tc>
          <w:tcPr>
            <w:tcW w:w="960" w:type="dxa"/>
            <w:tcBorders>
              <w:top w:val="nil"/>
              <w:left w:val="nil"/>
              <w:bottom w:val="single" w:sz="4" w:space="0" w:color="auto"/>
              <w:right w:val="single" w:sz="4" w:space="0" w:color="auto"/>
            </w:tcBorders>
            <w:shd w:val="clear" w:color="auto" w:fill="auto"/>
            <w:noWrap/>
            <w:vAlign w:val="center"/>
            <w:hideMark/>
          </w:tcPr>
          <w:p w14:paraId="01FB40E6"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30</w:t>
            </w:r>
          </w:p>
        </w:tc>
        <w:tc>
          <w:tcPr>
            <w:tcW w:w="1737" w:type="dxa"/>
            <w:tcBorders>
              <w:top w:val="nil"/>
              <w:left w:val="nil"/>
              <w:bottom w:val="single" w:sz="4" w:space="0" w:color="auto"/>
              <w:right w:val="single" w:sz="4" w:space="0" w:color="auto"/>
            </w:tcBorders>
            <w:shd w:val="clear" w:color="auto" w:fill="auto"/>
            <w:noWrap/>
            <w:vAlign w:val="center"/>
            <w:hideMark/>
          </w:tcPr>
          <w:p w14:paraId="1EF55800"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84</w:t>
            </w:r>
          </w:p>
        </w:tc>
        <w:tc>
          <w:tcPr>
            <w:tcW w:w="2126" w:type="dxa"/>
            <w:tcBorders>
              <w:top w:val="nil"/>
              <w:left w:val="nil"/>
              <w:bottom w:val="single" w:sz="4" w:space="0" w:color="auto"/>
              <w:right w:val="single" w:sz="4" w:space="0" w:color="auto"/>
            </w:tcBorders>
            <w:shd w:val="clear" w:color="auto" w:fill="auto"/>
            <w:noWrap/>
            <w:vAlign w:val="center"/>
            <w:hideMark/>
          </w:tcPr>
          <w:p w14:paraId="453DC46E"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2099</w:t>
            </w:r>
          </w:p>
        </w:tc>
        <w:tc>
          <w:tcPr>
            <w:tcW w:w="2126" w:type="dxa"/>
            <w:tcBorders>
              <w:top w:val="nil"/>
              <w:left w:val="nil"/>
              <w:bottom w:val="single" w:sz="4" w:space="0" w:color="auto"/>
              <w:right w:val="single" w:sz="8" w:space="0" w:color="auto"/>
            </w:tcBorders>
            <w:shd w:val="clear" w:color="auto" w:fill="auto"/>
            <w:noWrap/>
            <w:vAlign w:val="center"/>
            <w:hideMark/>
          </w:tcPr>
          <w:p w14:paraId="6DA584ED"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4</w:t>
            </w:r>
          </w:p>
        </w:tc>
      </w:tr>
      <w:tr w:rsidR="00307DFF" w:rsidRPr="0087670C" w14:paraId="0FB1EB4D" w14:textId="77777777" w:rsidTr="008A09E4">
        <w:trPr>
          <w:trHeight w:val="300"/>
          <w:jc w:val="center"/>
        </w:trPr>
        <w:tc>
          <w:tcPr>
            <w:tcW w:w="960" w:type="dxa"/>
            <w:tcBorders>
              <w:top w:val="single" w:sz="8" w:space="0" w:color="auto"/>
              <w:left w:val="single" w:sz="8" w:space="0" w:color="auto"/>
              <w:bottom w:val="nil"/>
              <w:right w:val="single" w:sz="4" w:space="0" w:color="auto"/>
            </w:tcBorders>
            <w:shd w:val="clear" w:color="auto" w:fill="auto"/>
            <w:noWrap/>
            <w:vAlign w:val="center"/>
            <w:hideMark/>
          </w:tcPr>
          <w:p w14:paraId="749C3503"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Autumn</w:t>
            </w:r>
          </w:p>
        </w:tc>
        <w:tc>
          <w:tcPr>
            <w:tcW w:w="1720" w:type="dxa"/>
            <w:tcBorders>
              <w:top w:val="nil"/>
              <w:left w:val="single" w:sz="4" w:space="0" w:color="auto"/>
              <w:bottom w:val="single" w:sz="4" w:space="0" w:color="auto"/>
              <w:right w:val="single" w:sz="8" w:space="0" w:color="auto"/>
            </w:tcBorders>
            <w:shd w:val="clear" w:color="auto" w:fill="auto"/>
            <w:noWrap/>
            <w:vAlign w:val="center"/>
            <w:hideMark/>
          </w:tcPr>
          <w:p w14:paraId="27AA974D"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Very Low</w:t>
            </w:r>
          </w:p>
        </w:tc>
        <w:tc>
          <w:tcPr>
            <w:tcW w:w="960" w:type="dxa"/>
            <w:tcBorders>
              <w:top w:val="single" w:sz="8" w:space="0" w:color="auto"/>
              <w:left w:val="nil"/>
              <w:bottom w:val="single" w:sz="4" w:space="0" w:color="auto"/>
              <w:right w:val="single" w:sz="4" w:space="0" w:color="auto"/>
            </w:tcBorders>
            <w:shd w:val="clear" w:color="auto" w:fill="auto"/>
            <w:noWrap/>
            <w:vAlign w:val="center"/>
            <w:hideMark/>
          </w:tcPr>
          <w:p w14:paraId="567B1C0B"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113</w:t>
            </w:r>
          </w:p>
        </w:tc>
        <w:tc>
          <w:tcPr>
            <w:tcW w:w="1737" w:type="dxa"/>
            <w:tcBorders>
              <w:top w:val="single" w:sz="8" w:space="0" w:color="auto"/>
              <w:left w:val="nil"/>
              <w:bottom w:val="single" w:sz="4" w:space="0" w:color="auto"/>
              <w:right w:val="single" w:sz="4" w:space="0" w:color="auto"/>
            </w:tcBorders>
            <w:shd w:val="clear" w:color="auto" w:fill="auto"/>
            <w:noWrap/>
            <w:vAlign w:val="center"/>
            <w:hideMark/>
          </w:tcPr>
          <w:p w14:paraId="4BEFBF3E"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109</w:t>
            </w:r>
          </w:p>
        </w:tc>
        <w:tc>
          <w:tcPr>
            <w:tcW w:w="2126" w:type="dxa"/>
            <w:tcBorders>
              <w:top w:val="single" w:sz="8" w:space="0" w:color="auto"/>
              <w:left w:val="nil"/>
              <w:bottom w:val="single" w:sz="4" w:space="0" w:color="auto"/>
              <w:right w:val="single" w:sz="4" w:space="0" w:color="auto"/>
            </w:tcBorders>
            <w:shd w:val="clear" w:color="auto" w:fill="auto"/>
            <w:noWrap/>
            <w:vAlign w:val="center"/>
            <w:hideMark/>
          </w:tcPr>
          <w:p w14:paraId="478880EB"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345</w:t>
            </w:r>
          </w:p>
        </w:tc>
        <w:tc>
          <w:tcPr>
            <w:tcW w:w="2126" w:type="dxa"/>
            <w:tcBorders>
              <w:top w:val="single" w:sz="8" w:space="0" w:color="auto"/>
              <w:left w:val="nil"/>
              <w:bottom w:val="single" w:sz="4" w:space="0" w:color="auto"/>
              <w:right w:val="single" w:sz="8" w:space="0" w:color="auto"/>
            </w:tcBorders>
            <w:shd w:val="clear" w:color="auto" w:fill="auto"/>
            <w:noWrap/>
            <w:vAlign w:val="center"/>
            <w:hideMark/>
          </w:tcPr>
          <w:p w14:paraId="5AC69794"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24</w:t>
            </w:r>
          </w:p>
        </w:tc>
      </w:tr>
      <w:tr w:rsidR="00307DFF" w:rsidRPr="0087670C" w14:paraId="2C0FF434" w14:textId="77777777" w:rsidTr="008A09E4">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379C96FB"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 </w:t>
            </w:r>
          </w:p>
        </w:tc>
        <w:tc>
          <w:tcPr>
            <w:tcW w:w="1720" w:type="dxa"/>
            <w:tcBorders>
              <w:top w:val="nil"/>
              <w:left w:val="single" w:sz="4" w:space="0" w:color="auto"/>
              <w:bottom w:val="single" w:sz="4" w:space="0" w:color="auto"/>
              <w:right w:val="single" w:sz="8" w:space="0" w:color="auto"/>
            </w:tcBorders>
            <w:shd w:val="clear" w:color="auto" w:fill="auto"/>
            <w:noWrap/>
            <w:vAlign w:val="center"/>
            <w:hideMark/>
          </w:tcPr>
          <w:p w14:paraId="0D58E2E5"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Moderately Low</w:t>
            </w:r>
          </w:p>
        </w:tc>
        <w:tc>
          <w:tcPr>
            <w:tcW w:w="960" w:type="dxa"/>
            <w:tcBorders>
              <w:top w:val="nil"/>
              <w:left w:val="nil"/>
              <w:bottom w:val="single" w:sz="4" w:space="0" w:color="auto"/>
              <w:right w:val="single" w:sz="4" w:space="0" w:color="auto"/>
            </w:tcBorders>
            <w:shd w:val="clear" w:color="auto" w:fill="auto"/>
            <w:noWrap/>
            <w:vAlign w:val="center"/>
            <w:hideMark/>
          </w:tcPr>
          <w:p w14:paraId="26051826"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310</w:t>
            </w:r>
          </w:p>
        </w:tc>
        <w:tc>
          <w:tcPr>
            <w:tcW w:w="1737" w:type="dxa"/>
            <w:tcBorders>
              <w:top w:val="nil"/>
              <w:left w:val="nil"/>
              <w:bottom w:val="single" w:sz="4" w:space="0" w:color="auto"/>
              <w:right w:val="single" w:sz="4" w:space="0" w:color="auto"/>
            </w:tcBorders>
            <w:shd w:val="clear" w:color="auto" w:fill="auto"/>
            <w:noWrap/>
            <w:vAlign w:val="center"/>
            <w:hideMark/>
          </w:tcPr>
          <w:p w14:paraId="2C7C430C"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117</w:t>
            </w:r>
          </w:p>
        </w:tc>
        <w:tc>
          <w:tcPr>
            <w:tcW w:w="2126" w:type="dxa"/>
            <w:tcBorders>
              <w:top w:val="nil"/>
              <w:left w:val="nil"/>
              <w:bottom w:val="single" w:sz="4" w:space="0" w:color="auto"/>
              <w:right w:val="single" w:sz="4" w:space="0" w:color="auto"/>
            </w:tcBorders>
            <w:shd w:val="clear" w:color="auto" w:fill="auto"/>
            <w:noWrap/>
            <w:vAlign w:val="center"/>
            <w:hideMark/>
          </w:tcPr>
          <w:p w14:paraId="3624E3A6"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468</w:t>
            </w:r>
          </w:p>
        </w:tc>
        <w:tc>
          <w:tcPr>
            <w:tcW w:w="2126" w:type="dxa"/>
            <w:tcBorders>
              <w:top w:val="nil"/>
              <w:left w:val="nil"/>
              <w:bottom w:val="single" w:sz="4" w:space="0" w:color="auto"/>
              <w:right w:val="single" w:sz="8" w:space="0" w:color="auto"/>
            </w:tcBorders>
            <w:shd w:val="clear" w:color="auto" w:fill="auto"/>
            <w:noWrap/>
            <w:vAlign w:val="center"/>
            <w:hideMark/>
          </w:tcPr>
          <w:p w14:paraId="403E2B4D"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20</w:t>
            </w:r>
          </w:p>
        </w:tc>
      </w:tr>
      <w:tr w:rsidR="00307DFF" w:rsidRPr="0087670C" w14:paraId="006F8F35" w14:textId="77777777" w:rsidTr="008A09E4">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7B183073"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 </w:t>
            </w:r>
          </w:p>
        </w:tc>
        <w:tc>
          <w:tcPr>
            <w:tcW w:w="1720" w:type="dxa"/>
            <w:tcBorders>
              <w:top w:val="nil"/>
              <w:left w:val="single" w:sz="4" w:space="0" w:color="auto"/>
              <w:bottom w:val="single" w:sz="4" w:space="0" w:color="auto"/>
              <w:right w:val="single" w:sz="8" w:space="0" w:color="auto"/>
            </w:tcBorders>
            <w:shd w:val="clear" w:color="auto" w:fill="auto"/>
            <w:noWrap/>
            <w:vAlign w:val="center"/>
            <w:hideMark/>
          </w:tcPr>
          <w:p w14:paraId="6A07A981"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Low Fresh</w:t>
            </w:r>
          </w:p>
        </w:tc>
        <w:tc>
          <w:tcPr>
            <w:tcW w:w="960" w:type="dxa"/>
            <w:tcBorders>
              <w:top w:val="nil"/>
              <w:left w:val="nil"/>
              <w:bottom w:val="single" w:sz="4" w:space="0" w:color="auto"/>
              <w:right w:val="single" w:sz="4" w:space="0" w:color="auto"/>
            </w:tcBorders>
            <w:shd w:val="clear" w:color="auto" w:fill="auto"/>
            <w:noWrap/>
            <w:vAlign w:val="center"/>
            <w:hideMark/>
          </w:tcPr>
          <w:p w14:paraId="42FEB246"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159</w:t>
            </w:r>
          </w:p>
        </w:tc>
        <w:tc>
          <w:tcPr>
            <w:tcW w:w="1737" w:type="dxa"/>
            <w:tcBorders>
              <w:top w:val="nil"/>
              <w:left w:val="nil"/>
              <w:bottom w:val="single" w:sz="4" w:space="0" w:color="auto"/>
              <w:right w:val="single" w:sz="4" w:space="0" w:color="auto"/>
            </w:tcBorders>
            <w:shd w:val="clear" w:color="auto" w:fill="auto"/>
            <w:noWrap/>
            <w:vAlign w:val="center"/>
            <w:hideMark/>
          </w:tcPr>
          <w:p w14:paraId="4009FD4C"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187</w:t>
            </w:r>
          </w:p>
        </w:tc>
        <w:tc>
          <w:tcPr>
            <w:tcW w:w="2126" w:type="dxa"/>
            <w:tcBorders>
              <w:top w:val="nil"/>
              <w:left w:val="nil"/>
              <w:bottom w:val="single" w:sz="4" w:space="0" w:color="auto"/>
              <w:right w:val="single" w:sz="4" w:space="0" w:color="auto"/>
            </w:tcBorders>
            <w:shd w:val="clear" w:color="auto" w:fill="auto"/>
            <w:noWrap/>
            <w:vAlign w:val="center"/>
            <w:hideMark/>
          </w:tcPr>
          <w:p w14:paraId="5A472C97"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905</w:t>
            </w:r>
          </w:p>
        </w:tc>
        <w:tc>
          <w:tcPr>
            <w:tcW w:w="2126" w:type="dxa"/>
            <w:tcBorders>
              <w:top w:val="nil"/>
              <w:left w:val="nil"/>
              <w:bottom w:val="single" w:sz="4" w:space="0" w:color="auto"/>
              <w:right w:val="single" w:sz="8" w:space="0" w:color="auto"/>
            </w:tcBorders>
            <w:shd w:val="clear" w:color="auto" w:fill="auto"/>
            <w:noWrap/>
            <w:vAlign w:val="center"/>
            <w:hideMark/>
          </w:tcPr>
          <w:p w14:paraId="778690D7"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17</w:t>
            </w:r>
          </w:p>
        </w:tc>
      </w:tr>
      <w:tr w:rsidR="00307DFF" w:rsidRPr="0087670C" w14:paraId="077E596D" w14:textId="77777777" w:rsidTr="008A09E4">
        <w:trPr>
          <w:trHeight w:val="315"/>
          <w:jc w:val="center"/>
        </w:trPr>
        <w:tc>
          <w:tcPr>
            <w:tcW w:w="960" w:type="dxa"/>
            <w:tcBorders>
              <w:top w:val="nil"/>
              <w:left w:val="single" w:sz="8" w:space="0" w:color="auto"/>
              <w:bottom w:val="nil"/>
              <w:right w:val="single" w:sz="4" w:space="0" w:color="auto"/>
            </w:tcBorders>
            <w:shd w:val="clear" w:color="auto" w:fill="auto"/>
            <w:noWrap/>
            <w:vAlign w:val="center"/>
            <w:hideMark/>
          </w:tcPr>
          <w:p w14:paraId="52D5848C"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 </w:t>
            </w:r>
          </w:p>
        </w:tc>
        <w:tc>
          <w:tcPr>
            <w:tcW w:w="1720" w:type="dxa"/>
            <w:tcBorders>
              <w:top w:val="nil"/>
              <w:left w:val="single" w:sz="4" w:space="0" w:color="auto"/>
              <w:bottom w:val="single" w:sz="4" w:space="0" w:color="auto"/>
              <w:right w:val="single" w:sz="8" w:space="0" w:color="auto"/>
            </w:tcBorders>
            <w:shd w:val="clear" w:color="auto" w:fill="auto"/>
            <w:noWrap/>
            <w:vAlign w:val="center"/>
            <w:hideMark/>
          </w:tcPr>
          <w:p w14:paraId="644AD3B6"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Medium Fresh</w:t>
            </w:r>
          </w:p>
        </w:tc>
        <w:tc>
          <w:tcPr>
            <w:tcW w:w="960" w:type="dxa"/>
            <w:tcBorders>
              <w:top w:val="nil"/>
              <w:left w:val="nil"/>
              <w:bottom w:val="single" w:sz="4" w:space="0" w:color="auto"/>
              <w:right w:val="single" w:sz="4" w:space="0" w:color="auto"/>
            </w:tcBorders>
            <w:shd w:val="clear" w:color="auto" w:fill="auto"/>
            <w:noWrap/>
            <w:vAlign w:val="center"/>
            <w:hideMark/>
          </w:tcPr>
          <w:p w14:paraId="25A8E527"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62</w:t>
            </w:r>
          </w:p>
        </w:tc>
        <w:tc>
          <w:tcPr>
            <w:tcW w:w="1737" w:type="dxa"/>
            <w:tcBorders>
              <w:top w:val="nil"/>
              <w:left w:val="nil"/>
              <w:bottom w:val="single" w:sz="4" w:space="0" w:color="auto"/>
              <w:right w:val="single" w:sz="4" w:space="0" w:color="auto"/>
            </w:tcBorders>
            <w:shd w:val="clear" w:color="auto" w:fill="auto"/>
            <w:noWrap/>
            <w:vAlign w:val="center"/>
            <w:hideMark/>
          </w:tcPr>
          <w:p w14:paraId="5B6BE28E"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983</w:t>
            </w:r>
          </w:p>
        </w:tc>
        <w:tc>
          <w:tcPr>
            <w:tcW w:w="2126" w:type="dxa"/>
            <w:tcBorders>
              <w:top w:val="nil"/>
              <w:left w:val="nil"/>
              <w:bottom w:val="single" w:sz="4" w:space="0" w:color="auto"/>
              <w:right w:val="single" w:sz="4" w:space="0" w:color="auto"/>
            </w:tcBorders>
            <w:shd w:val="clear" w:color="auto" w:fill="auto"/>
            <w:noWrap/>
            <w:vAlign w:val="center"/>
            <w:hideMark/>
          </w:tcPr>
          <w:p w14:paraId="54DF562C"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523</w:t>
            </w:r>
          </w:p>
        </w:tc>
        <w:tc>
          <w:tcPr>
            <w:tcW w:w="2126" w:type="dxa"/>
            <w:tcBorders>
              <w:top w:val="nil"/>
              <w:left w:val="nil"/>
              <w:bottom w:val="single" w:sz="4" w:space="0" w:color="auto"/>
              <w:right w:val="single" w:sz="8" w:space="0" w:color="auto"/>
            </w:tcBorders>
            <w:shd w:val="clear" w:color="auto" w:fill="auto"/>
            <w:noWrap/>
            <w:vAlign w:val="center"/>
            <w:hideMark/>
          </w:tcPr>
          <w:p w14:paraId="16F9C81A"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65</w:t>
            </w:r>
          </w:p>
        </w:tc>
      </w:tr>
      <w:tr w:rsidR="00307DFF" w:rsidRPr="0087670C" w14:paraId="105A36A0" w14:textId="77777777" w:rsidTr="008A09E4">
        <w:trPr>
          <w:trHeight w:val="300"/>
          <w:jc w:val="center"/>
        </w:trPr>
        <w:tc>
          <w:tcPr>
            <w:tcW w:w="960" w:type="dxa"/>
            <w:tcBorders>
              <w:top w:val="single" w:sz="8" w:space="0" w:color="auto"/>
              <w:left w:val="single" w:sz="8" w:space="0" w:color="auto"/>
              <w:bottom w:val="nil"/>
              <w:right w:val="single" w:sz="4" w:space="0" w:color="auto"/>
            </w:tcBorders>
            <w:shd w:val="clear" w:color="auto" w:fill="auto"/>
            <w:noWrap/>
            <w:vAlign w:val="center"/>
            <w:hideMark/>
          </w:tcPr>
          <w:p w14:paraId="1539651F"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Winter</w:t>
            </w:r>
          </w:p>
        </w:tc>
        <w:tc>
          <w:tcPr>
            <w:tcW w:w="1720"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55E9046B"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Very Low</w:t>
            </w:r>
          </w:p>
        </w:tc>
        <w:tc>
          <w:tcPr>
            <w:tcW w:w="960" w:type="dxa"/>
            <w:tcBorders>
              <w:top w:val="single" w:sz="8" w:space="0" w:color="auto"/>
              <w:left w:val="nil"/>
              <w:bottom w:val="single" w:sz="4" w:space="0" w:color="auto"/>
              <w:right w:val="single" w:sz="4" w:space="0" w:color="auto"/>
            </w:tcBorders>
            <w:shd w:val="clear" w:color="auto" w:fill="auto"/>
            <w:noWrap/>
            <w:vAlign w:val="center"/>
            <w:hideMark/>
          </w:tcPr>
          <w:p w14:paraId="675B5283"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16</w:t>
            </w:r>
          </w:p>
        </w:tc>
        <w:tc>
          <w:tcPr>
            <w:tcW w:w="1737" w:type="dxa"/>
            <w:tcBorders>
              <w:top w:val="single" w:sz="8" w:space="0" w:color="auto"/>
              <w:left w:val="nil"/>
              <w:bottom w:val="single" w:sz="4" w:space="0" w:color="auto"/>
              <w:right w:val="single" w:sz="4" w:space="0" w:color="auto"/>
            </w:tcBorders>
            <w:shd w:val="clear" w:color="auto" w:fill="auto"/>
            <w:noWrap/>
            <w:vAlign w:val="center"/>
            <w:hideMark/>
          </w:tcPr>
          <w:p w14:paraId="35795D08"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126</w:t>
            </w:r>
          </w:p>
        </w:tc>
        <w:tc>
          <w:tcPr>
            <w:tcW w:w="2126" w:type="dxa"/>
            <w:tcBorders>
              <w:top w:val="single" w:sz="8" w:space="0" w:color="auto"/>
              <w:left w:val="nil"/>
              <w:bottom w:val="single" w:sz="4" w:space="0" w:color="auto"/>
              <w:right w:val="single" w:sz="4" w:space="0" w:color="auto"/>
            </w:tcBorders>
            <w:shd w:val="clear" w:color="auto" w:fill="auto"/>
            <w:noWrap/>
            <w:vAlign w:val="center"/>
            <w:hideMark/>
          </w:tcPr>
          <w:p w14:paraId="0BF2D5E6"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114</w:t>
            </w:r>
          </w:p>
        </w:tc>
        <w:tc>
          <w:tcPr>
            <w:tcW w:w="2126" w:type="dxa"/>
            <w:tcBorders>
              <w:top w:val="single" w:sz="8" w:space="0" w:color="auto"/>
              <w:left w:val="nil"/>
              <w:bottom w:val="single" w:sz="4" w:space="0" w:color="auto"/>
              <w:right w:val="single" w:sz="8" w:space="0" w:color="auto"/>
            </w:tcBorders>
            <w:shd w:val="clear" w:color="auto" w:fill="auto"/>
            <w:noWrap/>
            <w:vAlign w:val="center"/>
            <w:hideMark/>
          </w:tcPr>
          <w:p w14:paraId="7E0491CC"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53</w:t>
            </w:r>
          </w:p>
        </w:tc>
      </w:tr>
      <w:tr w:rsidR="00307DFF" w:rsidRPr="0087670C" w14:paraId="081D22C9" w14:textId="77777777" w:rsidTr="008A09E4">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6FEE40CF"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 </w:t>
            </w:r>
          </w:p>
        </w:tc>
        <w:tc>
          <w:tcPr>
            <w:tcW w:w="1720" w:type="dxa"/>
            <w:tcBorders>
              <w:top w:val="nil"/>
              <w:left w:val="single" w:sz="4" w:space="0" w:color="auto"/>
              <w:bottom w:val="single" w:sz="4" w:space="0" w:color="auto"/>
              <w:right w:val="single" w:sz="8" w:space="0" w:color="auto"/>
            </w:tcBorders>
            <w:shd w:val="clear" w:color="auto" w:fill="auto"/>
            <w:noWrap/>
            <w:vAlign w:val="center"/>
            <w:hideMark/>
          </w:tcPr>
          <w:p w14:paraId="2239373E"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Moderately Low</w:t>
            </w:r>
          </w:p>
        </w:tc>
        <w:tc>
          <w:tcPr>
            <w:tcW w:w="960" w:type="dxa"/>
            <w:tcBorders>
              <w:top w:val="nil"/>
              <w:left w:val="nil"/>
              <w:bottom w:val="single" w:sz="4" w:space="0" w:color="auto"/>
              <w:right w:val="single" w:sz="4" w:space="0" w:color="auto"/>
            </w:tcBorders>
            <w:shd w:val="clear" w:color="auto" w:fill="auto"/>
            <w:noWrap/>
            <w:vAlign w:val="center"/>
            <w:hideMark/>
          </w:tcPr>
          <w:p w14:paraId="08090AB0"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128</w:t>
            </w:r>
          </w:p>
        </w:tc>
        <w:tc>
          <w:tcPr>
            <w:tcW w:w="1737" w:type="dxa"/>
            <w:tcBorders>
              <w:top w:val="nil"/>
              <w:left w:val="nil"/>
              <w:bottom w:val="single" w:sz="4" w:space="0" w:color="auto"/>
              <w:right w:val="single" w:sz="4" w:space="0" w:color="auto"/>
            </w:tcBorders>
            <w:shd w:val="clear" w:color="auto" w:fill="auto"/>
            <w:noWrap/>
            <w:vAlign w:val="center"/>
            <w:hideMark/>
          </w:tcPr>
          <w:p w14:paraId="5DEBA826"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120</w:t>
            </w:r>
          </w:p>
        </w:tc>
        <w:tc>
          <w:tcPr>
            <w:tcW w:w="2126" w:type="dxa"/>
            <w:tcBorders>
              <w:top w:val="nil"/>
              <w:left w:val="nil"/>
              <w:bottom w:val="single" w:sz="4" w:space="0" w:color="auto"/>
              <w:right w:val="single" w:sz="4" w:space="0" w:color="auto"/>
            </w:tcBorders>
            <w:shd w:val="clear" w:color="auto" w:fill="auto"/>
            <w:noWrap/>
            <w:vAlign w:val="center"/>
            <w:hideMark/>
          </w:tcPr>
          <w:p w14:paraId="349EAC12"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134</w:t>
            </w:r>
          </w:p>
        </w:tc>
        <w:tc>
          <w:tcPr>
            <w:tcW w:w="2126" w:type="dxa"/>
            <w:tcBorders>
              <w:top w:val="nil"/>
              <w:left w:val="nil"/>
              <w:bottom w:val="single" w:sz="4" w:space="0" w:color="auto"/>
              <w:right w:val="single" w:sz="8" w:space="0" w:color="auto"/>
            </w:tcBorders>
            <w:shd w:val="clear" w:color="auto" w:fill="auto"/>
            <w:noWrap/>
            <w:vAlign w:val="center"/>
            <w:hideMark/>
          </w:tcPr>
          <w:p w14:paraId="463C0874"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47</w:t>
            </w:r>
          </w:p>
        </w:tc>
      </w:tr>
      <w:tr w:rsidR="00307DFF" w:rsidRPr="0087670C" w14:paraId="703A3144" w14:textId="77777777" w:rsidTr="008A09E4">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60CC27EC"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 </w:t>
            </w:r>
          </w:p>
        </w:tc>
        <w:tc>
          <w:tcPr>
            <w:tcW w:w="1720" w:type="dxa"/>
            <w:tcBorders>
              <w:top w:val="nil"/>
              <w:left w:val="single" w:sz="4" w:space="0" w:color="auto"/>
              <w:bottom w:val="single" w:sz="4" w:space="0" w:color="auto"/>
              <w:right w:val="single" w:sz="8" w:space="0" w:color="auto"/>
            </w:tcBorders>
            <w:shd w:val="clear" w:color="auto" w:fill="auto"/>
            <w:noWrap/>
            <w:vAlign w:val="center"/>
            <w:hideMark/>
          </w:tcPr>
          <w:p w14:paraId="13247DB3"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Low Fresh</w:t>
            </w:r>
          </w:p>
        </w:tc>
        <w:tc>
          <w:tcPr>
            <w:tcW w:w="960" w:type="dxa"/>
            <w:tcBorders>
              <w:top w:val="nil"/>
              <w:left w:val="nil"/>
              <w:bottom w:val="single" w:sz="4" w:space="0" w:color="auto"/>
              <w:right w:val="single" w:sz="4" w:space="0" w:color="auto"/>
            </w:tcBorders>
            <w:shd w:val="clear" w:color="auto" w:fill="auto"/>
            <w:noWrap/>
            <w:vAlign w:val="center"/>
            <w:hideMark/>
          </w:tcPr>
          <w:p w14:paraId="79F70441"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27</w:t>
            </w:r>
          </w:p>
        </w:tc>
        <w:tc>
          <w:tcPr>
            <w:tcW w:w="1737" w:type="dxa"/>
            <w:tcBorders>
              <w:top w:val="nil"/>
              <w:left w:val="nil"/>
              <w:bottom w:val="single" w:sz="4" w:space="0" w:color="auto"/>
              <w:right w:val="single" w:sz="4" w:space="0" w:color="auto"/>
            </w:tcBorders>
            <w:shd w:val="clear" w:color="auto" w:fill="auto"/>
            <w:noWrap/>
            <w:vAlign w:val="center"/>
            <w:hideMark/>
          </w:tcPr>
          <w:p w14:paraId="146B35B7"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123</w:t>
            </w:r>
          </w:p>
        </w:tc>
        <w:tc>
          <w:tcPr>
            <w:tcW w:w="2126" w:type="dxa"/>
            <w:tcBorders>
              <w:top w:val="nil"/>
              <w:left w:val="nil"/>
              <w:bottom w:val="single" w:sz="4" w:space="0" w:color="auto"/>
              <w:right w:val="single" w:sz="4" w:space="0" w:color="auto"/>
            </w:tcBorders>
            <w:shd w:val="clear" w:color="auto" w:fill="auto"/>
            <w:noWrap/>
            <w:vAlign w:val="center"/>
            <w:hideMark/>
          </w:tcPr>
          <w:p w14:paraId="6FF869F2"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71</w:t>
            </w:r>
          </w:p>
        </w:tc>
        <w:tc>
          <w:tcPr>
            <w:tcW w:w="2126" w:type="dxa"/>
            <w:tcBorders>
              <w:top w:val="nil"/>
              <w:left w:val="nil"/>
              <w:bottom w:val="single" w:sz="4" w:space="0" w:color="auto"/>
              <w:right w:val="single" w:sz="8" w:space="0" w:color="auto"/>
            </w:tcBorders>
            <w:shd w:val="clear" w:color="auto" w:fill="auto"/>
            <w:noWrap/>
            <w:vAlign w:val="center"/>
            <w:hideMark/>
          </w:tcPr>
          <w:p w14:paraId="28055929"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63</w:t>
            </w:r>
          </w:p>
        </w:tc>
      </w:tr>
      <w:tr w:rsidR="00307DFF" w:rsidRPr="0087670C" w14:paraId="77A2D972" w14:textId="77777777" w:rsidTr="008A09E4">
        <w:trPr>
          <w:trHeight w:val="315"/>
          <w:jc w:val="center"/>
        </w:trPr>
        <w:tc>
          <w:tcPr>
            <w:tcW w:w="960" w:type="dxa"/>
            <w:tcBorders>
              <w:top w:val="nil"/>
              <w:left w:val="single" w:sz="8" w:space="0" w:color="auto"/>
              <w:bottom w:val="single" w:sz="8" w:space="0" w:color="auto"/>
              <w:right w:val="single" w:sz="4" w:space="0" w:color="auto"/>
            </w:tcBorders>
            <w:shd w:val="clear" w:color="auto" w:fill="auto"/>
            <w:noWrap/>
            <w:vAlign w:val="center"/>
            <w:hideMark/>
          </w:tcPr>
          <w:p w14:paraId="0380E076"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 </w:t>
            </w:r>
          </w:p>
        </w:tc>
        <w:tc>
          <w:tcPr>
            <w:tcW w:w="1720" w:type="dxa"/>
            <w:tcBorders>
              <w:top w:val="nil"/>
              <w:left w:val="single" w:sz="4" w:space="0" w:color="auto"/>
              <w:bottom w:val="single" w:sz="8" w:space="0" w:color="auto"/>
              <w:right w:val="single" w:sz="8" w:space="0" w:color="auto"/>
            </w:tcBorders>
            <w:shd w:val="clear" w:color="auto" w:fill="auto"/>
            <w:noWrap/>
            <w:vAlign w:val="center"/>
            <w:hideMark/>
          </w:tcPr>
          <w:p w14:paraId="022FD1EF"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Medium Fresh</w:t>
            </w:r>
          </w:p>
        </w:tc>
        <w:tc>
          <w:tcPr>
            <w:tcW w:w="960" w:type="dxa"/>
            <w:tcBorders>
              <w:top w:val="nil"/>
              <w:left w:val="nil"/>
              <w:bottom w:val="single" w:sz="8" w:space="0" w:color="auto"/>
              <w:right w:val="single" w:sz="4" w:space="0" w:color="auto"/>
            </w:tcBorders>
            <w:shd w:val="clear" w:color="auto" w:fill="auto"/>
            <w:noWrap/>
            <w:vAlign w:val="center"/>
            <w:hideMark/>
          </w:tcPr>
          <w:p w14:paraId="7F9560BD"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17</w:t>
            </w:r>
          </w:p>
        </w:tc>
        <w:tc>
          <w:tcPr>
            <w:tcW w:w="1737" w:type="dxa"/>
            <w:tcBorders>
              <w:top w:val="nil"/>
              <w:left w:val="nil"/>
              <w:bottom w:val="single" w:sz="8" w:space="0" w:color="auto"/>
              <w:right w:val="single" w:sz="4" w:space="0" w:color="auto"/>
            </w:tcBorders>
            <w:shd w:val="clear" w:color="auto" w:fill="auto"/>
            <w:noWrap/>
            <w:vAlign w:val="center"/>
            <w:hideMark/>
          </w:tcPr>
          <w:p w14:paraId="20AD253B"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32</w:t>
            </w:r>
          </w:p>
        </w:tc>
        <w:tc>
          <w:tcPr>
            <w:tcW w:w="2126" w:type="dxa"/>
            <w:tcBorders>
              <w:top w:val="nil"/>
              <w:left w:val="nil"/>
              <w:bottom w:val="single" w:sz="8" w:space="0" w:color="auto"/>
              <w:right w:val="single" w:sz="4" w:space="0" w:color="auto"/>
            </w:tcBorders>
            <w:shd w:val="clear" w:color="auto" w:fill="auto"/>
            <w:noWrap/>
            <w:vAlign w:val="center"/>
            <w:hideMark/>
          </w:tcPr>
          <w:p w14:paraId="2D7A0880"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193</w:t>
            </w:r>
          </w:p>
        </w:tc>
        <w:tc>
          <w:tcPr>
            <w:tcW w:w="2126" w:type="dxa"/>
            <w:tcBorders>
              <w:top w:val="nil"/>
              <w:left w:val="nil"/>
              <w:bottom w:val="single" w:sz="8" w:space="0" w:color="auto"/>
              <w:right w:val="single" w:sz="8" w:space="0" w:color="auto"/>
            </w:tcBorders>
            <w:shd w:val="clear" w:color="auto" w:fill="auto"/>
            <w:noWrap/>
            <w:vAlign w:val="center"/>
            <w:hideMark/>
          </w:tcPr>
          <w:p w14:paraId="3DA4D597" w14:textId="77777777" w:rsidR="00307DFF" w:rsidRPr="008A09E4" w:rsidRDefault="00307DFF" w:rsidP="00E26D3C">
            <w:pPr>
              <w:spacing w:after="0" w:line="240" w:lineRule="auto"/>
              <w:jc w:val="center"/>
              <w:rPr>
                <w:rFonts w:eastAsia="Times New Roman" w:cstheme="minorHAnsi"/>
                <w:color w:val="000000"/>
                <w:sz w:val="18"/>
                <w:szCs w:val="18"/>
                <w:lang w:eastAsia="en-AU"/>
              </w:rPr>
            </w:pPr>
            <w:r w:rsidRPr="008A09E4">
              <w:rPr>
                <w:rFonts w:eastAsia="Times New Roman" w:cstheme="minorHAnsi"/>
                <w:color w:val="000000"/>
                <w:sz w:val="18"/>
                <w:szCs w:val="18"/>
                <w:lang w:eastAsia="en-AU"/>
              </w:rPr>
              <w:t>14</w:t>
            </w:r>
          </w:p>
        </w:tc>
      </w:tr>
    </w:tbl>
    <w:p w14:paraId="3D7CD137" w14:textId="77777777" w:rsidR="00307DFF" w:rsidRDefault="00307DFF" w:rsidP="00307DFF">
      <w:pPr>
        <w:rPr>
          <w:b/>
          <w:bCs/>
        </w:rPr>
      </w:pPr>
    </w:p>
    <w:p w14:paraId="78730CE9" w14:textId="77777777" w:rsidR="00307DFF" w:rsidRDefault="00307DFF" w:rsidP="00307DFF"/>
    <w:p w14:paraId="4F805CAA" w14:textId="77777777" w:rsidR="00307DFF" w:rsidRPr="00BA2632" w:rsidRDefault="00307DFF" w:rsidP="00307DFF">
      <w:pPr>
        <w:pStyle w:val="Para0"/>
      </w:pPr>
    </w:p>
    <w:p w14:paraId="06987311" w14:textId="77777777" w:rsidR="005C677E" w:rsidRPr="00BA2632" w:rsidRDefault="005C677E" w:rsidP="005C677E">
      <w:pPr>
        <w:rPr>
          <w:b/>
        </w:rPr>
      </w:pPr>
    </w:p>
    <w:p w14:paraId="21831291" w14:textId="77777777" w:rsidR="005C677E" w:rsidRPr="00BA2632" w:rsidRDefault="005C677E" w:rsidP="005C677E">
      <w:pPr>
        <w:rPr>
          <w:b/>
        </w:rPr>
      </w:pPr>
    </w:p>
    <w:p w14:paraId="71CD5434" w14:textId="39D0E8A5" w:rsidR="00143AA0" w:rsidRDefault="00143AA0">
      <w:r>
        <w:br w:type="page"/>
      </w:r>
    </w:p>
    <w:p w14:paraId="53734698" w14:textId="3FD32676" w:rsidR="008B3786" w:rsidRDefault="00ED6AFC" w:rsidP="001827C8">
      <w:pPr>
        <w:pStyle w:val="Heading6"/>
      </w:pPr>
      <w:bookmarkStart w:id="791" w:name="_Toc84416146"/>
      <w:bookmarkStart w:id="792" w:name="_Toc84417456"/>
      <w:r>
        <w:lastRenderedPageBreak/>
        <w:t xml:space="preserve">Macroinvertebrate </w:t>
      </w:r>
      <w:r w:rsidR="00185761">
        <w:t>c</w:t>
      </w:r>
      <w:r>
        <w:t xml:space="preserve">ommon </w:t>
      </w:r>
      <w:r w:rsidR="00185761">
        <w:t>t</w:t>
      </w:r>
      <w:r>
        <w:t>axa</w:t>
      </w:r>
      <w:bookmarkEnd w:id="791"/>
      <w:bookmarkEnd w:id="792"/>
    </w:p>
    <w:p w14:paraId="2A220127" w14:textId="77777777" w:rsidR="00ED6AFC" w:rsidRPr="00EF3AD3" w:rsidRDefault="00ED6AFC" w:rsidP="00B10BD8">
      <w:pPr>
        <w:pStyle w:val="Para0"/>
        <w:jc w:val="center"/>
      </w:pPr>
      <w:r w:rsidRPr="00EF3AD3">
        <w:rPr>
          <w:noProof/>
          <w:lang w:val="en-GB"/>
        </w:rPr>
        <w:drawing>
          <wp:inline distT="0" distB="0" distL="0" distR="0" wp14:anchorId="5770672D" wp14:editId="41DD84AC">
            <wp:extent cx="5016684" cy="8526780"/>
            <wp:effectExtent l="0" t="0" r="0" b="0"/>
            <wp:docPr id="532" name="Picture 53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descr="A picture containing graphical user interface&#10;&#10;Description automatically generated"/>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030869" cy="8550889"/>
                    </a:xfrm>
                    <a:prstGeom prst="rect">
                      <a:avLst/>
                    </a:prstGeom>
                    <a:noFill/>
                  </pic:spPr>
                </pic:pic>
              </a:graphicData>
            </a:graphic>
          </wp:inline>
        </w:drawing>
      </w:r>
    </w:p>
    <w:p w14:paraId="51C7FA9F" w14:textId="77777777" w:rsidR="00ED6AFC" w:rsidRDefault="00ED6AFC" w:rsidP="00B10BD8">
      <w:pPr>
        <w:pStyle w:val="Para0"/>
        <w:jc w:val="center"/>
      </w:pPr>
      <w:r>
        <w:rPr>
          <w:noProof/>
          <w:lang w:val="en-GB"/>
        </w:rPr>
        <w:lastRenderedPageBreak/>
        <w:drawing>
          <wp:inline distT="0" distB="0" distL="0" distR="0" wp14:anchorId="56085A5E" wp14:editId="127CBAA5">
            <wp:extent cx="5234940" cy="8851816"/>
            <wp:effectExtent l="0" t="0" r="0" b="0"/>
            <wp:docPr id="533" name="Picture 53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A screenshot of a computer&#10;&#10;Description automatically generated with medium confidence"/>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267026" cy="8906071"/>
                    </a:xfrm>
                    <a:prstGeom prst="rect">
                      <a:avLst/>
                    </a:prstGeom>
                    <a:noFill/>
                  </pic:spPr>
                </pic:pic>
              </a:graphicData>
            </a:graphic>
          </wp:inline>
        </w:drawing>
      </w:r>
    </w:p>
    <w:p w14:paraId="7FE67F5F" w14:textId="77777777" w:rsidR="00ED6AFC" w:rsidRDefault="00ED6AFC" w:rsidP="00EF3AD3">
      <w:pPr>
        <w:pStyle w:val="Para0"/>
      </w:pPr>
    </w:p>
    <w:p w14:paraId="48B16901" w14:textId="77777777" w:rsidR="00ED6AFC" w:rsidRDefault="00ED6AFC" w:rsidP="00B10BD8">
      <w:pPr>
        <w:pStyle w:val="Para0"/>
        <w:jc w:val="center"/>
        <w:rPr>
          <w:noProof/>
        </w:rPr>
      </w:pPr>
      <w:r>
        <w:rPr>
          <w:noProof/>
          <w:lang w:val="en-GB"/>
        </w:rPr>
        <w:lastRenderedPageBreak/>
        <w:drawing>
          <wp:inline distT="0" distB="0" distL="0" distR="0" wp14:anchorId="51A12B22" wp14:editId="6C94A273">
            <wp:extent cx="5227092" cy="8763000"/>
            <wp:effectExtent l="0" t="0" r="0" b="0"/>
            <wp:docPr id="534" name="Picture 5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descr="Graphical user interface&#10;&#10;Description automatically generated"/>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5260091" cy="8818321"/>
                    </a:xfrm>
                    <a:prstGeom prst="rect">
                      <a:avLst/>
                    </a:prstGeom>
                    <a:noFill/>
                  </pic:spPr>
                </pic:pic>
              </a:graphicData>
            </a:graphic>
          </wp:inline>
        </w:drawing>
      </w:r>
    </w:p>
    <w:p w14:paraId="59163131" w14:textId="77777777" w:rsidR="00ED6AFC" w:rsidRDefault="00ED6AFC" w:rsidP="00ED6AFC">
      <w:pPr>
        <w:pStyle w:val="Caption"/>
      </w:pPr>
    </w:p>
    <w:p w14:paraId="7A0C718D" w14:textId="77777777" w:rsidR="0020131E" w:rsidRDefault="00ED6AFC" w:rsidP="0020131E">
      <w:pPr>
        <w:pStyle w:val="Para0"/>
        <w:keepNext/>
        <w:jc w:val="center"/>
      </w:pPr>
      <w:r>
        <w:rPr>
          <w:noProof/>
          <w:lang w:val="en-GB"/>
        </w:rPr>
        <w:lastRenderedPageBreak/>
        <w:drawing>
          <wp:inline distT="0" distB="0" distL="0" distR="0" wp14:anchorId="42C0A2A1" wp14:editId="304FE69F">
            <wp:extent cx="5219700" cy="8940703"/>
            <wp:effectExtent l="0" t="0" r="0" b="0"/>
            <wp:docPr id="17" name="Picture 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238001" cy="8972050"/>
                    </a:xfrm>
                    <a:prstGeom prst="rect">
                      <a:avLst/>
                    </a:prstGeom>
                    <a:noFill/>
                  </pic:spPr>
                </pic:pic>
              </a:graphicData>
            </a:graphic>
          </wp:inline>
        </w:drawing>
      </w:r>
    </w:p>
    <w:p w14:paraId="4E17DE36" w14:textId="3C6EE626" w:rsidR="0020131E" w:rsidRPr="00BA2632" w:rsidRDefault="009668BA" w:rsidP="0020131E">
      <w:pPr>
        <w:pStyle w:val="Caption"/>
      </w:pPr>
      <w:bookmarkStart w:id="793" w:name="_Toc83907824"/>
      <w:bookmarkStart w:id="794" w:name="_Toc84475801"/>
      <w:r>
        <w:lastRenderedPageBreak/>
        <w:t xml:space="preserve">Figure </w:t>
      </w:r>
      <w:r>
        <w:rPr>
          <w:noProof/>
        </w:rPr>
        <w:t>F</w:t>
      </w:r>
      <w:r>
        <w:noBreakHyphen/>
      </w:r>
      <w:r>
        <w:rPr>
          <w:noProof/>
        </w:rPr>
        <w:t>1</w:t>
      </w:r>
      <w:r>
        <w:t xml:space="preserve"> </w:t>
      </w:r>
      <w:r w:rsidR="0020131E" w:rsidRPr="00210C0B">
        <w:t xml:space="preserve">RBA macroinvertebrate sampling a) mean (± standard deviation) abundance </w:t>
      </w:r>
      <w:proofErr w:type="spellStart"/>
      <w:r w:rsidR="0020131E" w:rsidRPr="00210C0B">
        <w:t>Baetidae</w:t>
      </w:r>
      <w:proofErr w:type="spellEnd"/>
      <w:r w:rsidR="0020131E" w:rsidRPr="00210C0B">
        <w:t xml:space="preserve"> caught per sample in different months. Orange colour: before spring fresh 2019; Pale orange: before 2nd small spring fresh 2020; blue colour: after spring fresh. </w:t>
      </w:r>
      <w:r w:rsidR="0020131E" w:rsidRPr="0020131E">
        <w:t>b) abundance (</w:t>
      </w:r>
      <w:r w:rsidR="0020131E" w:rsidRPr="0020131E">
        <w:rPr>
          <w:rFonts w:cstheme="minorHAnsi"/>
        </w:rPr>
        <w:t>±</w:t>
      </w:r>
      <w:r w:rsidR="0020131E" w:rsidRPr="0020131E">
        <w:t xml:space="preserve"> standard deviation) of </w:t>
      </w:r>
      <w:proofErr w:type="spellStart"/>
      <w:r w:rsidR="0020131E" w:rsidRPr="0020131E">
        <w:t>Baetidae</w:t>
      </w:r>
      <w:proofErr w:type="spellEnd"/>
      <w:r w:rsidR="0020131E" w:rsidRPr="0020131E">
        <w:t xml:space="preserve"> for all sites in different months. c) mean (</w:t>
      </w:r>
      <w:r w:rsidR="0020131E" w:rsidRPr="0020131E">
        <w:rPr>
          <w:rFonts w:cstheme="minorHAnsi"/>
        </w:rPr>
        <w:t>±</w:t>
      </w:r>
      <w:r w:rsidR="0020131E" w:rsidRPr="0020131E">
        <w:t xml:space="preserve"> standard deviation) abundance of </w:t>
      </w:r>
      <w:proofErr w:type="spellStart"/>
      <w:r w:rsidR="0020131E" w:rsidRPr="0020131E">
        <w:t>Gomphidae</w:t>
      </w:r>
      <w:proofErr w:type="spellEnd"/>
      <w:r w:rsidR="0020131E" w:rsidRPr="0020131E">
        <w:t xml:space="preserve"> caught per sample in different months. Orange colour: before spring fresh 2019; Pale orange: before 2</w:t>
      </w:r>
      <w:r w:rsidR="0020131E" w:rsidRPr="0020131E">
        <w:rPr>
          <w:vertAlign w:val="superscript"/>
        </w:rPr>
        <w:t>nd</w:t>
      </w:r>
      <w:r w:rsidR="0020131E" w:rsidRPr="0020131E">
        <w:t xml:space="preserve"> small spring fresh 2020; blue colour: after spring fresh. d) abundance (</w:t>
      </w:r>
      <w:r w:rsidR="0020131E" w:rsidRPr="0020131E">
        <w:rPr>
          <w:rFonts w:cstheme="minorHAnsi"/>
        </w:rPr>
        <w:t>±</w:t>
      </w:r>
      <w:r w:rsidR="0020131E" w:rsidRPr="0020131E">
        <w:t xml:space="preserve"> standard deviation) of </w:t>
      </w:r>
      <w:proofErr w:type="spellStart"/>
      <w:r w:rsidR="0020131E" w:rsidRPr="0020131E">
        <w:t>Gomphidae</w:t>
      </w:r>
      <w:proofErr w:type="spellEnd"/>
      <w:r w:rsidR="0020131E" w:rsidRPr="0020131E">
        <w:t xml:space="preserve"> for all sites in different months. e) mean (</w:t>
      </w:r>
      <w:r w:rsidR="0020131E" w:rsidRPr="0020131E">
        <w:rPr>
          <w:rFonts w:cstheme="minorHAnsi"/>
        </w:rPr>
        <w:t>±</w:t>
      </w:r>
      <w:r w:rsidR="0020131E" w:rsidRPr="0020131E">
        <w:t xml:space="preserve"> standard deviation) abundance of </w:t>
      </w:r>
      <w:proofErr w:type="spellStart"/>
      <w:r w:rsidR="0020131E" w:rsidRPr="0020131E">
        <w:t>Chironominae</w:t>
      </w:r>
      <w:proofErr w:type="spellEnd"/>
      <w:r w:rsidR="0020131E" w:rsidRPr="0020131E">
        <w:t xml:space="preserve"> caught per sample in different months. Orange colour: before spring fresh 2019; Pale orange: before 2</w:t>
      </w:r>
      <w:r w:rsidR="0020131E" w:rsidRPr="0020131E">
        <w:rPr>
          <w:vertAlign w:val="superscript"/>
        </w:rPr>
        <w:t>nd</w:t>
      </w:r>
      <w:r w:rsidR="0020131E" w:rsidRPr="0020131E">
        <w:t xml:space="preserve"> small spring fresh 2020; blue colour: after spring fresh. f) abundance (</w:t>
      </w:r>
      <w:r w:rsidR="0020131E" w:rsidRPr="0020131E">
        <w:rPr>
          <w:rFonts w:cstheme="minorHAnsi"/>
        </w:rPr>
        <w:t>±</w:t>
      </w:r>
      <w:r w:rsidR="0020131E" w:rsidRPr="0020131E">
        <w:t xml:space="preserve"> standard deviation) of </w:t>
      </w:r>
      <w:proofErr w:type="spellStart"/>
      <w:r w:rsidR="0020131E" w:rsidRPr="0020131E">
        <w:t>Chironominae</w:t>
      </w:r>
      <w:proofErr w:type="spellEnd"/>
      <w:r w:rsidR="0020131E" w:rsidRPr="0020131E">
        <w:t xml:space="preserve"> for all sites in different months. g) mean (</w:t>
      </w:r>
      <w:r w:rsidR="0020131E" w:rsidRPr="0020131E">
        <w:rPr>
          <w:rFonts w:cstheme="minorHAnsi"/>
        </w:rPr>
        <w:t>±</w:t>
      </w:r>
      <w:r w:rsidR="0020131E" w:rsidRPr="0020131E">
        <w:t xml:space="preserve"> standard deviation) abundance of </w:t>
      </w:r>
      <w:proofErr w:type="spellStart"/>
      <w:r w:rsidR="0020131E" w:rsidRPr="0020131E">
        <w:t>Orthocladiinae</w:t>
      </w:r>
      <w:proofErr w:type="spellEnd"/>
      <w:r w:rsidR="0020131E" w:rsidRPr="0020131E">
        <w:t xml:space="preserve"> caught per sample in different months. Orange colour: before spring fresh 2019; Pale orange: before 2</w:t>
      </w:r>
      <w:r w:rsidR="0020131E" w:rsidRPr="0020131E">
        <w:rPr>
          <w:vertAlign w:val="superscript"/>
        </w:rPr>
        <w:t>nd</w:t>
      </w:r>
      <w:r w:rsidR="0020131E" w:rsidRPr="0020131E">
        <w:t xml:space="preserve"> small spring fresh 2020; blue colour: after spring fresh. h) abundance (</w:t>
      </w:r>
      <w:r w:rsidR="0020131E" w:rsidRPr="0020131E">
        <w:rPr>
          <w:rFonts w:cstheme="minorHAnsi"/>
        </w:rPr>
        <w:t>±</w:t>
      </w:r>
      <w:r w:rsidR="0020131E" w:rsidRPr="0020131E">
        <w:t xml:space="preserve"> standard deviation) of </w:t>
      </w:r>
      <w:proofErr w:type="spellStart"/>
      <w:r w:rsidR="0020131E" w:rsidRPr="0020131E">
        <w:t>Orthocladiinae</w:t>
      </w:r>
      <w:proofErr w:type="spellEnd"/>
      <w:r w:rsidR="0020131E" w:rsidRPr="0020131E">
        <w:t xml:space="preserve"> for all sites in different months. </w:t>
      </w:r>
      <w:proofErr w:type="spellStart"/>
      <w:r w:rsidR="0020131E" w:rsidRPr="0020131E">
        <w:t>i</w:t>
      </w:r>
      <w:proofErr w:type="spellEnd"/>
      <w:r w:rsidR="0020131E" w:rsidRPr="0020131E">
        <w:t>) mean (</w:t>
      </w:r>
      <w:r w:rsidR="0020131E" w:rsidRPr="0020131E">
        <w:rPr>
          <w:rFonts w:cstheme="minorHAnsi"/>
        </w:rPr>
        <w:t>±</w:t>
      </w:r>
      <w:r w:rsidR="0020131E" w:rsidRPr="0020131E">
        <w:t xml:space="preserve"> standard deviation) abundance of </w:t>
      </w:r>
      <w:proofErr w:type="spellStart"/>
      <w:r w:rsidR="0020131E" w:rsidRPr="0020131E">
        <w:t>Tanypodinae</w:t>
      </w:r>
      <w:proofErr w:type="spellEnd"/>
      <w:r w:rsidR="0020131E" w:rsidRPr="0020131E">
        <w:t xml:space="preserve"> caught per sample in different months. Orange colour: before spring fresh 2019; Pale orange: before 2</w:t>
      </w:r>
      <w:r w:rsidR="0020131E" w:rsidRPr="0020131E">
        <w:rPr>
          <w:vertAlign w:val="superscript"/>
        </w:rPr>
        <w:t>nd</w:t>
      </w:r>
      <w:r w:rsidR="0020131E" w:rsidRPr="0020131E">
        <w:t xml:space="preserve"> small spring fresh 2020; blue colour: after spring fresh. j) abundance (</w:t>
      </w:r>
      <w:r w:rsidR="0020131E" w:rsidRPr="0020131E">
        <w:rPr>
          <w:rFonts w:cstheme="minorHAnsi"/>
        </w:rPr>
        <w:t>±</w:t>
      </w:r>
      <w:r w:rsidR="0020131E" w:rsidRPr="0020131E">
        <w:t xml:space="preserve"> standard deviation) of </w:t>
      </w:r>
      <w:proofErr w:type="spellStart"/>
      <w:r w:rsidR="0020131E" w:rsidRPr="0020131E">
        <w:t>Tanypodinae</w:t>
      </w:r>
      <w:proofErr w:type="spellEnd"/>
      <w:r w:rsidR="0020131E" w:rsidRPr="0020131E">
        <w:t xml:space="preserve"> for all sites in different months. k) mean (</w:t>
      </w:r>
      <w:r w:rsidR="0020131E" w:rsidRPr="0020131E">
        <w:rPr>
          <w:rFonts w:cstheme="minorHAnsi"/>
        </w:rPr>
        <w:t>±</w:t>
      </w:r>
      <w:r w:rsidR="0020131E" w:rsidRPr="0020131E">
        <w:t xml:space="preserve"> standard deviation) abundance of </w:t>
      </w:r>
      <w:proofErr w:type="spellStart"/>
      <w:r w:rsidR="0020131E" w:rsidRPr="0020131E">
        <w:t>Leptoceridae</w:t>
      </w:r>
      <w:proofErr w:type="spellEnd"/>
      <w:r w:rsidR="0020131E" w:rsidRPr="0020131E">
        <w:t xml:space="preserve"> caught per sample in different months. Orange colour: before spring fresh 2019; Pale orange: before 2</w:t>
      </w:r>
      <w:r w:rsidR="0020131E" w:rsidRPr="0020131E">
        <w:rPr>
          <w:vertAlign w:val="superscript"/>
        </w:rPr>
        <w:t>nd</w:t>
      </w:r>
      <w:r w:rsidR="0020131E" w:rsidRPr="0020131E">
        <w:t xml:space="preserve"> small spring fresh 2020; blue colour: after spring fresh. l) abundance (</w:t>
      </w:r>
      <w:r w:rsidR="0020131E" w:rsidRPr="0020131E">
        <w:rPr>
          <w:rFonts w:cstheme="minorHAnsi"/>
        </w:rPr>
        <w:t>±</w:t>
      </w:r>
      <w:r w:rsidR="0020131E" w:rsidRPr="0020131E">
        <w:t xml:space="preserve"> standard deviation) of </w:t>
      </w:r>
      <w:proofErr w:type="spellStart"/>
      <w:r w:rsidR="0020131E" w:rsidRPr="0020131E">
        <w:t>Leptoceridae</w:t>
      </w:r>
      <w:proofErr w:type="spellEnd"/>
      <w:r w:rsidR="0020131E" w:rsidRPr="0020131E">
        <w:t xml:space="preserve"> for all sites in different months. m) mean (</w:t>
      </w:r>
      <w:r w:rsidR="0020131E" w:rsidRPr="0020131E">
        <w:rPr>
          <w:rFonts w:cstheme="minorHAnsi"/>
        </w:rPr>
        <w:t>±</w:t>
      </w:r>
      <w:r w:rsidR="0020131E" w:rsidRPr="0020131E">
        <w:t xml:space="preserve"> standard deviation) abundance of </w:t>
      </w:r>
      <w:proofErr w:type="spellStart"/>
      <w:r w:rsidR="0020131E" w:rsidRPr="0020131E">
        <w:t>Micronectidae</w:t>
      </w:r>
      <w:proofErr w:type="spellEnd"/>
      <w:r w:rsidR="0020131E" w:rsidRPr="0020131E">
        <w:t xml:space="preserve"> caught per sample in different months. Orange colour: before spring fresh 2019; Pale orange: before 2</w:t>
      </w:r>
      <w:r w:rsidR="0020131E" w:rsidRPr="0020131E">
        <w:rPr>
          <w:vertAlign w:val="superscript"/>
        </w:rPr>
        <w:t>nd</w:t>
      </w:r>
      <w:r w:rsidR="0020131E" w:rsidRPr="0020131E">
        <w:t xml:space="preserve"> small spring fresh 2020; blue colour: after spring fresh. n) abundance (</w:t>
      </w:r>
      <w:r w:rsidR="0020131E" w:rsidRPr="0020131E">
        <w:rPr>
          <w:rFonts w:cstheme="minorHAnsi"/>
        </w:rPr>
        <w:t>±</w:t>
      </w:r>
      <w:r w:rsidR="0020131E" w:rsidRPr="0020131E">
        <w:t xml:space="preserve"> standard deviation) of </w:t>
      </w:r>
      <w:proofErr w:type="spellStart"/>
      <w:r w:rsidR="0020131E" w:rsidRPr="0020131E">
        <w:t>Micronectidae</w:t>
      </w:r>
      <w:proofErr w:type="spellEnd"/>
      <w:r w:rsidR="0020131E" w:rsidRPr="0020131E">
        <w:t xml:space="preserve"> for all sites in different months. o) mean (</w:t>
      </w:r>
      <w:r w:rsidR="0020131E" w:rsidRPr="0020131E">
        <w:rPr>
          <w:rFonts w:cstheme="minorHAnsi"/>
        </w:rPr>
        <w:t>±</w:t>
      </w:r>
      <w:r w:rsidR="0020131E" w:rsidRPr="0020131E">
        <w:t xml:space="preserve"> standard deviation) abundance of </w:t>
      </w:r>
      <w:proofErr w:type="spellStart"/>
      <w:r w:rsidR="0020131E" w:rsidRPr="0020131E">
        <w:t>Notonectidae</w:t>
      </w:r>
      <w:proofErr w:type="spellEnd"/>
      <w:r w:rsidR="0020131E" w:rsidRPr="0020131E">
        <w:t xml:space="preserve"> caught per sample in different months. Orange colour: before spring fresh 2019; Pale orange: before 2</w:t>
      </w:r>
      <w:r w:rsidR="0020131E" w:rsidRPr="0020131E">
        <w:rPr>
          <w:vertAlign w:val="superscript"/>
        </w:rPr>
        <w:t>nd</w:t>
      </w:r>
      <w:r w:rsidR="0020131E" w:rsidRPr="0020131E">
        <w:t xml:space="preserve"> small spring fresh 2020; blue colour: after spring fresh. p) abundance (</w:t>
      </w:r>
      <w:r w:rsidR="0020131E" w:rsidRPr="0020131E">
        <w:rPr>
          <w:rFonts w:cstheme="minorHAnsi"/>
        </w:rPr>
        <w:t>±</w:t>
      </w:r>
      <w:r w:rsidR="0020131E" w:rsidRPr="0020131E">
        <w:t xml:space="preserve"> standard deviation) of </w:t>
      </w:r>
      <w:proofErr w:type="spellStart"/>
      <w:r w:rsidR="0020131E" w:rsidRPr="0020131E">
        <w:t>Notonectidae</w:t>
      </w:r>
      <w:proofErr w:type="spellEnd"/>
      <w:r w:rsidR="0020131E" w:rsidRPr="0020131E">
        <w:t xml:space="preserve"> for all sites in different months.</w:t>
      </w:r>
      <w:bookmarkEnd w:id="793"/>
      <w:bookmarkEnd w:id="794"/>
    </w:p>
    <w:p w14:paraId="41C27C76" w14:textId="77777777" w:rsidR="008B3786" w:rsidRDefault="008B3786" w:rsidP="008B3786"/>
    <w:p w14:paraId="7DEACF58" w14:textId="7DB04EC4" w:rsidR="000146B6" w:rsidRDefault="000146B6">
      <w:r>
        <w:br w:type="page"/>
      </w:r>
    </w:p>
    <w:p w14:paraId="5A88F17D" w14:textId="10155B6D" w:rsidR="00405995" w:rsidRDefault="00E0165A" w:rsidP="001827C8">
      <w:pPr>
        <w:pStyle w:val="Heading6"/>
      </w:pPr>
      <w:bookmarkStart w:id="795" w:name="_Toc84416147"/>
      <w:bookmarkStart w:id="796" w:name="_Toc84417457"/>
      <w:r w:rsidRPr="00BA2632">
        <w:lastRenderedPageBreak/>
        <w:t>Summary of vegetation survey dates, sampling locations and transects.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818"/>
        <w:gridCol w:w="571"/>
        <w:gridCol w:w="1441"/>
        <w:gridCol w:w="1703"/>
        <w:gridCol w:w="1277"/>
        <w:gridCol w:w="2127"/>
        <w:gridCol w:w="1974"/>
      </w:tblGrid>
      <w:tr w:rsidR="00405995" w:rsidRPr="00FE7071" w14:paraId="7F2C71DF" w14:textId="77777777" w:rsidTr="00405995">
        <w:trPr>
          <w:jc w:val="center"/>
        </w:trPr>
        <w:tc>
          <w:tcPr>
            <w:tcW w:w="413" w:type="pct"/>
            <w:shd w:val="clear" w:color="auto" w:fill="094183" w:themeFill="text2"/>
            <w:tcMar>
              <w:left w:w="57" w:type="dxa"/>
              <w:right w:w="57" w:type="dxa"/>
            </w:tcMar>
            <w:hideMark/>
          </w:tcPr>
          <w:p w14:paraId="1E3F9BB2"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hAnsiTheme="minorHAnsi" w:cstheme="minorHAnsi"/>
                <w:sz w:val="18"/>
                <w:szCs w:val="18"/>
              </w:rPr>
              <w:t xml:space="preserve">Year </w:t>
            </w:r>
          </w:p>
        </w:tc>
        <w:tc>
          <w:tcPr>
            <w:tcW w:w="288" w:type="pct"/>
            <w:shd w:val="clear" w:color="auto" w:fill="094183" w:themeFill="text2"/>
            <w:tcMar>
              <w:left w:w="57" w:type="dxa"/>
              <w:right w:w="57" w:type="dxa"/>
            </w:tcMar>
            <w:hideMark/>
          </w:tcPr>
          <w:p w14:paraId="0944C03A"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Trip</w:t>
            </w:r>
          </w:p>
          <w:p w14:paraId="2D8F2C44"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hAnsiTheme="minorHAnsi" w:cstheme="minorHAnsi"/>
                <w:sz w:val="18"/>
                <w:szCs w:val="18"/>
              </w:rPr>
              <w:t>No.</w:t>
            </w:r>
          </w:p>
        </w:tc>
        <w:tc>
          <w:tcPr>
            <w:tcW w:w="727" w:type="pct"/>
            <w:shd w:val="clear" w:color="auto" w:fill="094183" w:themeFill="text2"/>
            <w:tcMar>
              <w:left w:w="57" w:type="dxa"/>
              <w:right w:w="57" w:type="dxa"/>
            </w:tcMar>
            <w:hideMark/>
          </w:tcPr>
          <w:p w14:paraId="68A1F335"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Survey</w:t>
            </w:r>
          </w:p>
          <w:p w14:paraId="27FC3589"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 xml:space="preserve"> Type</w:t>
            </w:r>
          </w:p>
        </w:tc>
        <w:tc>
          <w:tcPr>
            <w:tcW w:w="859" w:type="pct"/>
            <w:shd w:val="clear" w:color="auto" w:fill="094183" w:themeFill="text2"/>
            <w:tcMar>
              <w:left w:w="57" w:type="dxa"/>
              <w:right w:w="57" w:type="dxa"/>
            </w:tcMar>
            <w:hideMark/>
          </w:tcPr>
          <w:p w14:paraId="119E9739" w14:textId="77777777" w:rsidR="00405995" w:rsidRPr="00FE7071" w:rsidRDefault="00405995" w:rsidP="00341517">
            <w:pPr>
              <w:pStyle w:val="Tablesmalltext"/>
              <w:rPr>
                <w:rFonts w:asciiTheme="minorHAnsi" w:eastAsia="MS Mincho" w:hAnsiTheme="minorHAnsi" w:cstheme="minorHAnsi"/>
                <w:bCs/>
                <w:i/>
                <w:sz w:val="18"/>
                <w:szCs w:val="18"/>
              </w:rPr>
            </w:pPr>
            <w:r w:rsidRPr="00FE7071">
              <w:rPr>
                <w:rFonts w:asciiTheme="minorHAnsi" w:hAnsiTheme="minorHAnsi" w:cstheme="minorHAnsi"/>
                <w:i/>
                <w:sz w:val="18"/>
                <w:szCs w:val="18"/>
              </w:rPr>
              <w:t>Date</w:t>
            </w:r>
          </w:p>
        </w:tc>
        <w:tc>
          <w:tcPr>
            <w:tcW w:w="644" w:type="pct"/>
            <w:shd w:val="clear" w:color="auto" w:fill="094183" w:themeFill="text2"/>
            <w:tcMar>
              <w:left w:w="57" w:type="dxa"/>
              <w:right w:w="57" w:type="dxa"/>
            </w:tcMar>
            <w:hideMark/>
          </w:tcPr>
          <w:p w14:paraId="0C1C2001"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hAnsiTheme="minorHAnsi" w:cstheme="minorHAnsi"/>
                <w:sz w:val="18"/>
                <w:szCs w:val="18"/>
              </w:rPr>
              <w:t>Sites sampled</w:t>
            </w:r>
          </w:p>
        </w:tc>
        <w:tc>
          <w:tcPr>
            <w:tcW w:w="1073" w:type="pct"/>
            <w:shd w:val="clear" w:color="auto" w:fill="094183" w:themeFill="text2"/>
            <w:tcMar>
              <w:left w:w="57" w:type="dxa"/>
              <w:right w:w="57" w:type="dxa"/>
            </w:tcMar>
            <w:hideMark/>
          </w:tcPr>
          <w:p w14:paraId="2E0485FB"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hAnsiTheme="minorHAnsi" w:cstheme="minorHAnsi"/>
                <w:sz w:val="18"/>
                <w:szCs w:val="18"/>
              </w:rPr>
              <w:t>Transects sampled</w:t>
            </w:r>
          </w:p>
          <w:p w14:paraId="7E94A9D3"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hAnsiTheme="minorHAnsi" w:cstheme="minorHAnsi"/>
                <w:sz w:val="18"/>
                <w:szCs w:val="18"/>
              </w:rPr>
              <w:t>North bank</w:t>
            </w:r>
          </w:p>
        </w:tc>
        <w:tc>
          <w:tcPr>
            <w:tcW w:w="996" w:type="pct"/>
            <w:shd w:val="clear" w:color="auto" w:fill="094183" w:themeFill="text2"/>
            <w:tcMar>
              <w:left w:w="57" w:type="dxa"/>
              <w:right w:w="57" w:type="dxa"/>
            </w:tcMar>
            <w:hideMark/>
          </w:tcPr>
          <w:p w14:paraId="2843F3F9"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hAnsiTheme="minorHAnsi" w:cstheme="minorHAnsi"/>
                <w:sz w:val="18"/>
                <w:szCs w:val="18"/>
              </w:rPr>
              <w:t>Transects sampled</w:t>
            </w:r>
          </w:p>
          <w:p w14:paraId="51F355B9"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hAnsiTheme="minorHAnsi" w:cstheme="minorHAnsi"/>
                <w:sz w:val="18"/>
                <w:szCs w:val="18"/>
              </w:rPr>
              <w:t>South bank</w:t>
            </w:r>
          </w:p>
        </w:tc>
      </w:tr>
      <w:tr w:rsidR="00405995" w:rsidRPr="00FE7071" w14:paraId="6FA777DB" w14:textId="77777777" w:rsidTr="00405995">
        <w:trPr>
          <w:jc w:val="center"/>
        </w:trPr>
        <w:tc>
          <w:tcPr>
            <w:tcW w:w="413" w:type="pct"/>
            <w:vMerge w:val="restart"/>
            <w:tcMar>
              <w:left w:w="57" w:type="dxa"/>
              <w:right w:w="57" w:type="dxa"/>
            </w:tcMar>
            <w:vAlign w:val="center"/>
            <w:hideMark/>
          </w:tcPr>
          <w:p w14:paraId="671965C8"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hAnsiTheme="minorHAnsi" w:cstheme="minorHAnsi"/>
                <w:sz w:val="18"/>
                <w:szCs w:val="18"/>
              </w:rPr>
              <w:t>2014-15</w:t>
            </w:r>
          </w:p>
        </w:tc>
        <w:tc>
          <w:tcPr>
            <w:tcW w:w="288" w:type="pct"/>
            <w:vMerge w:val="restart"/>
            <w:tcMar>
              <w:left w:w="57" w:type="dxa"/>
              <w:right w:w="57" w:type="dxa"/>
            </w:tcMar>
            <w:vAlign w:val="center"/>
            <w:hideMark/>
          </w:tcPr>
          <w:p w14:paraId="5462878A"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w:t>
            </w:r>
          </w:p>
        </w:tc>
        <w:tc>
          <w:tcPr>
            <w:tcW w:w="727" w:type="pct"/>
            <w:vMerge w:val="restart"/>
            <w:tcMar>
              <w:left w:w="57" w:type="dxa"/>
              <w:right w:w="57" w:type="dxa"/>
            </w:tcMar>
            <w:vAlign w:val="center"/>
            <w:hideMark/>
          </w:tcPr>
          <w:p w14:paraId="62F6A9D3"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Pre-Spring</w:t>
            </w:r>
            <w:r>
              <w:rPr>
                <w:rFonts w:asciiTheme="minorHAnsi" w:hAnsiTheme="minorHAnsi" w:cstheme="minorHAnsi"/>
                <w:sz w:val="18"/>
                <w:szCs w:val="18"/>
              </w:rPr>
              <w:t xml:space="preserve"> Fresh</w:t>
            </w:r>
          </w:p>
        </w:tc>
        <w:tc>
          <w:tcPr>
            <w:tcW w:w="859" w:type="pct"/>
            <w:tcMar>
              <w:left w:w="57" w:type="dxa"/>
              <w:right w:w="57" w:type="dxa"/>
            </w:tcMar>
            <w:hideMark/>
          </w:tcPr>
          <w:p w14:paraId="2BDDE4B0"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23 Sept &amp; 3 Oct 2014</w:t>
            </w:r>
          </w:p>
        </w:tc>
        <w:tc>
          <w:tcPr>
            <w:tcW w:w="644" w:type="pct"/>
            <w:tcMar>
              <w:left w:w="57" w:type="dxa"/>
              <w:right w:w="57" w:type="dxa"/>
            </w:tcMar>
            <w:hideMark/>
          </w:tcPr>
          <w:p w14:paraId="7A9AF007"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 xml:space="preserve">Loch Garry </w:t>
            </w:r>
          </w:p>
        </w:tc>
        <w:tc>
          <w:tcPr>
            <w:tcW w:w="1073" w:type="pct"/>
            <w:tcMar>
              <w:left w:w="57" w:type="dxa"/>
              <w:right w:w="57" w:type="dxa"/>
            </w:tcMar>
            <w:hideMark/>
          </w:tcPr>
          <w:p w14:paraId="24F7304F"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1, 3, 5, 8, 9, 10, 12, 13, 15</w:t>
            </w:r>
          </w:p>
        </w:tc>
        <w:tc>
          <w:tcPr>
            <w:tcW w:w="996" w:type="pct"/>
            <w:tcMar>
              <w:left w:w="57" w:type="dxa"/>
              <w:right w:w="57" w:type="dxa"/>
            </w:tcMar>
            <w:hideMark/>
          </w:tcPr>
          <w:p w14:paraId="3A05129A"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9, 10, 11, 12, 13</w:t>
            </w:r>
          </w:p>
        </w:tc>
      </w:tr>
      <w:tr w:rsidR="00405995" w:rsidRPr="00FE7071" w14:paraId="02C437A9" w14:textId="77777777" w:rsidTr="00405995">
        <w:trPr>
          <w:jc w:val="center"/>
        </w:trPr>
        <w:tc>
          <w:tcPr>
            <w:tcW w:w="0" w:type="auto"/>
            <w:vMerge/>
            <w:tcMar>
              <w:left w:w="57" w:type="dxa"/>
              <w:right w:w="57" w:type="dxa"/>
            </w:tcMar>
            <w:vAlign w:val="center"/>
            <w:hideMark/>
          </w:tcPr>
          <w:p w14:paraId="06AE0B91" w14:textId="77777777" w:rsidR="00405995" w:rsidRPr="00FE7071" w:rsidRDefault="00405995" w:rsidP="00341517">
            <w:pPr>
              <w:spacing w:after="0"/>
              <w:rPr>
                <w:rFonts w:eastAsia="MS Mincho" w:cstheme="minorHAnsi"/>
                <w:bCs/>
                <w:sz w:val="18"/>
                <w:szCs w:val="18"/>
              </w:rPr>
            </w:pPr>
          </w:p>
        </w:tc>
        <w:tc>
          <w:tcPr>
            <w:tcW w:w="288" w:type="pct"/>
            <w:vMerge/>
            <w:tcMar>
              <w:left w:w="57" w:type="dxa"/>
              <w:right w:w="57" w:type="dxa"/>
            </w:tcMar>
            <w:vAlign w:val="center"/>
            <w:hideMark/>
          </w:tcPr>
          <w:p w14:paraId="5DFE68A8" w14:textId="77777777" w:rsidR="00405995" w:rsidRPr="00FE7071" w:rsidRDefault="00405995" w:rsidP="00341517">
            <w:pPr>
              <w:spacing w:after="0"/>
              <w:rPr>
                <w:rFonts w:eastAsia="MS Mincho" w:cstheme="minorHAnsi"/>
                <w:sz w:val="18"/>
                <w:szCs w:val="18"/>
              </w:rPr>
            </w:pPr>
          </w:p>
        </w:tc>
        <w:tc>
          <w:tcPr>
            <w:tcW w:w="727" w:type="pct"/>
            <w:vMerge/>
            <w:tcMar>
              <w:left w:w="57" w:type="dxa"/>
              <w:right w:w="57" w:type="dxa"/>
            </w:tcMar>
            <w:vAlign w:val="center"/>
            <w:hideMark/>
          </w:tcPr>
          <w:p w14:paraId="0401CA9A" w14:textId="77777777" w:rsidR="00405995" w:rsidRPr="00FE7071" w:rsidRDefault="00405995" w:rsidP="00341517">
            <w:pPr>
              <w:spacing w:after="0"/>
              <w:rPr>
                <w:rFonts w:eastAsia="MS Mincho" w:cstheme="minorHAnsi"/>
                <w:sz w:val="18"/>
                <w:szCs w:val="18"/>
              </w:rPr>
            </w:pPr>
          </w:p>
        </w:tc>
        <w:tc>
          <w:tcPr>
            <w:tcW w:w="859" w:type="pct"/>
            <w:tcMar>
              <w:left w:w="57" w:type="dxa"/>
              <w:right w:w="57" w:type="dxa"/>
            </w:tcMar>
            <w:hideMark/>
          </w:tcPr>
          <w:p w14:paraId="53C63A0E"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24 Sept 2014</w:t>
            </w:r>
          </w:p>
        </w:tc>
        <w:tc>
          <w:tcPr>
            <w:tcW w:w="644" w:type="pct"/>
            <w:tcMar>
              <w:left w:w="57" w:type="dxa"/>
              <w:right w:w="57" w:type="dxa"/>
            </w:tcMar>
            <w:hideMark/>
          </w:tcPr>
          <w:p w14:paraId="76AE0931"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tcMar>
              <w:left w:w="57" w:type="dxa"/>
              <w:right w:w="57" w:type="dxa"/>
            </w:tcMar>
            <w:hideMark/>
          </w:tcPr>
          <w:p w14:paraId="0DA3A267"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1, 2, 3, 6, 8, 10, 12, 13, 15</w:t>
            </w:r>
          </w:p>
        </w:tc>
        <w:tc>
          <w:tcPr>
            <w:tcW w:w="996" w:type="pct"/>
            <w:tcMar>
              <w:left w:w="57" w:type="dxa"/>
              <w:right w:w="57" w:type="dxa"/>
            </w:tcMar>
            <w:hideMark/>
          </w:tcPr>
          <w:p w14:paraId="5999F7CC"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1, 2, 3, 5, 10, 12, 13, 15</w:t>
            </w:r>
          </w:p>
        </w:tc>
      </w:tr>
      <w:tr w:rsidR="00405995" w:rsidRPr="00FE7071" w14:paraId="641FFF51" w14:textId="77777777" w:rsidTr="00405995">
        <w:trPr>
          <w:jc w:val="center"/>
        </w:trPr>
        <w:tc>
          <w:tcPr>
            <w:tcW w:w="0" w:type="auto"/>
            <w:vMerge/>
            <w:tcMar>
              <w:left w:w="57" w:type="dxa"/>
              <w:right w:w="57" w:type="dxa"/>
            </w:tcMar>
            <w:vAlign w:val="center"/>
            <w:hideMark/>
          </w:tcPr>
          <w:p w14:paraId="3C980D1C" w14:textId="77777777" w:rsidR="00405995" w:rsidRPr="00FE7071" w:rsidRDefault="00405995" w:rsidP="00341517">
            <w:pPr>
              <w:spacing w:after="0"/>
              <w:rPr>
                <w:rFonts w:eastAsia="MS Mincho" w:cstheme="minorHAnsi"/>
                <w:bCs/>
                <w:sz w:val="18"/>
                <w:szCs w:val="18"/>
              </w:rPr>
            </w:pPr>
          </w:p>
        </w:tc>
        <w:tc>
          <w:tcPr>
            <w:tcW w:w="288" w:type="pct"/>
            <w:vMerge w:val="restart"/>
            <w:tcMar>
              <w:left w:w="57" w:type="dxa"/>
              <w:right w:w="57" w:type="dxa"/>
            </w:tcMar>
            <w:vAlign w:val="center"/>
            <w:hideMark/>
          </w:tcPr>
          <w:p w14:paraId="303BC64A"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2</w:t>
            </w:r>
          </w:p>
        </w:tc>
        <w:tc>
          <w:tcPr>
            <w:tcW w:w="727" w:type="pct"/>
            <w:vMerge w:val="restart"/>
            <w:tcMar>
              <w:left w:w="57" w:type="dxa"/>
              <w:right w:w="57" w:type="dxa"/>
            </w:tcMar>
            <w:vAlign w:val="center"/>
            <w:hideMark/>
          </w:tcPr>
          <w:p w14:paraId="0032CA92"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 xml:space="preserve">Post </w:t>
            </w:r>
            <w:r>
              <w:rPr>
                <w:rFonts w:asciiTheme="minorHAnsi" w:hAnsiTheme="minorHAnsi" w:cstheme="minorHAnsi"/>
                <w:sz w:val="18"/>
                <w:szCs w:val="18"/>
              </w:rPr>
              <w:t>Spring Fresh</w:t>
            </w:r>
          </w:p>
        </w:tc>
        <w:tc>
          <w:tcPr>
            <w:tcW w:w="859" w:type="pct"/>
            <w:tcMar>
              <w:left w:w="57" w:type="dxa"/>
              <w:right w:w="57" w:type="dxa"/>
            </w:tcMar>
            <w:hideMark/>
          </w:tcPr>
          <w:p w14:paraId="3791F3AB"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16 Dec 2014</w:t>
            </w:r>
          </w:p>
        </w:tc>
        <w:tc>
          <w:tcPr>
            <w:tcW w:w="644" w:type="pct"/>
            <w:tcMar>
              <w:left w:w="57" w:type="dxa"/>
              <w:right w:w="57" w:type="dxa"/>
            </w:tcMar>
            <w:hideMark/>
          </w:tcPr>
          <w:p w14:paraId="753DBC8A"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 xml:space="preserve">Loch Garry </w:t>
            </w:r>
          </w:p>
        </w:tc>
        <w:tc>
          <w:tcPr>
            <w:tcW w:w="1073" w:type="pct"/>
            <w:tcMar>
              <w:left w:w="57" w:type="dxa"/>
              <w:right w:w="57" w:type="dxa"/>
            </w:tcMar>
            <w:hideMark/>
          </w:tcPr>
          <w:p w14:paraId="5C76E50E"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1, 3, 5, 8, 9, 12, 13, 15</w:t>
            </w:r>
          </w:p>
        </w:tc>
        <w:tc>
          <w:tcPr>
            <w:tcW w:w="996" w:type="pct"/>
            <w:tcMar>
              <w:left w:w="57" w:type="dxa"/>
              <w:right w:w="57" w:type="dxa"/>
            </w:tcMar>
            <w:hideMark/>
          </w:tcPr>
          <w:p w14:paraId="583E2BB7"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1,3,5,9,10,12,13,15</w:t>
            </w:r>
          </w:p>
        </w:tc>
      </w:tr>
      <w:tr w:rsidR="00405995" w:rsidRPr="00FE7071" w14:paraId="7D04A8D6" w14:textId="77777777" w:rsidTr="00405995">
        <w:trPr>
          <w:jc w:val="center"/>
        </w:trPr>
        <w:tc>
          <w:tcPr>
            <w:tcW w:w="0" w:type="auto"/>
            <w:vMerge/>
            <w:tcMar>
              <w:left w:w="57" w:type="dxa"/>
              <w:right w:w="57" w:type="dxa"/>
            </w:tcMar>
            <w:vAlign w:val="center"/>
            <w:hideMark/>
          </w:tcPr>
          <w:p w14:paraId="3A92BF96" w14:textId="77777777" w:rsidR="00405995" w:rsidRPr="00FE7071" w:rsidRDefault="00405995" w:rsidP="00341517">
            <w:pPr>
              <w:spacing w:after="0"/>
              <w:rPr>
                <w:rFonts w:eastAsia="MS Mincho" w:cstheme="minorHAnsi"/>
                <w:bCs/>
                <w:sz w:val="18"/>
                <w:szCs w:val="18"/>
              </w:rPr>
            </w:pPr>
          </w:p>
        </w:tc>
        <w:tc>
          <w:tcPr>
            <w:tcW w:w="288" w:type="pct"/>
            <w:vMerge/>
            <w:tcMar>
              <w:left w:w="57" w:type="dxa"/>
              <w:right w:w="57" w:type="dxa"/>
            </w:tcMar>
            <w:vAlign w:val="center"/>
            <w:hideMark/>
          </w:tcPr>
          <w:p w14:paraId="2ACCAC52" w14:textId="77777777" w:rsidR="00405995" w:rsidRPr="00FE7071" w:rsidRDefault="00405995" w:rsidP="00341517">
            <w:pPr>
              <w:spacing w:after="0"/>
              <w:rPr>
                <w:rFonts w:eastAsia="MS Mincho" w:cstheme="minorHAnsi"/>
                <w:sz w:val="18"/>
                <w:szCs w:val="18"/>
              </w:rPr>
            </w:pPr>
          </w:p>
        </w:tc>
        <w:tc>
          <w:tcPr>
            <w:tcW w:w="727" w:type="pct"/>
            <w:vMerge/>
            <w:tcMar>
              <w:left w:w="57" w:type="dxa"/>
              <w:right w:w="57" w:type="dxa"/>
            </w:tcMar>
            <w:vAlign w:val="center"/>
            <w:hideMark/>
          </w:tcPr>
          <w:p w14:paraId="08FB7C91" w14:textId="77777777" w:rsidR="00405995" w:rsidRPr="00FE7071" w:rsidRDefault="00405995" w:rsidP="00341517">
            <w:pPr>
              <w:spacing w:after="0"/>
              <w:rPr>
                <w:rFonts w:eastAsia="MS Mincho" w:cstheme="minorHAnsi"/>
                <w:sz w:val="18"/>
                <w:szCs w:val="18"/>
              </w:rPr>
            </w:pPr>
          </w:p>
        </w:tc>
        <w:tc>
          <w:tcPr>
            <w:tcW w:w="859" w:type="pct"/>
            <w:tcMar>
              <w:left w:w="57" w:type="dxa"/>
              <w:right w:w="57" w:type="dxa"/>
            </w:tcMar>
            <w:hideMark/>
          </w:tcPr>
          <w:p w14:paraId="32E671B0"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17 Dec 2014</w:t>
            </w:r>
          </w:p>
        </w:tc>
        <w:tc>
          <w:tcPr>
            <w:tcW w:w="644" w:type="pct"/>
            <w:tcMar>
              <w:left w:w="57" w:type="dxa"/>
              <w:right w:w="57" w:type="dxa"/>
            </w:tcMar>
            <w:hideMark/>
          </w:tcPr>
          <w:p w14:paraId="4DA42A74"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tcMar>
              <w:left w:w="57" w:type="dxa"/>
              <w:right w:w="57" w:type="dxa"/>
            </w:tcMar>
            <w:hideMark/>
          </w:tcPr>
          <w:p w14:paraId="2DFD82DA"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1, 2, 3, 6, 10, 12, 13, 15</w:t>
            </w:r>
          </w:p>
        </w:tc>
        <w:tc>
          <w:tcPr>
            <w:tcW w:w="996" w:type="pct"/>
            <w:tcMar>
              <w:left w:w="57" w:type="dxa"/>
              <w:right w:w="57" w:type="dxa"/>
            </w:tcMar>
            <w:hideMark/>
          </w:tcPr>
          <w:p w14:paraId="7191AF72"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1776EB30" w14:textId="77777777" w:rsidTr="00405995">
        <w:trPr>
          <w:jc w:val="center"/>
        </w:trPr>
        <w:tc>
          <w:tcPr>
            <w:tcW w:w="413" w:type="pct"/>
            <w:vMerge w:val="restart"/>
            <w:tcMar>
              <w:left w:w="57" w:type="dxa"/>
              <w:right w:w="57" w:type="dxa"/>
            </w:tcMar>
            <w:vAlign w:val="center"/>
            <w:hideMark/>
          </w:tcPr>
          <w:p w14:paraId="36CE26D5"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hAnsiTheme="minorHAnsi" w:cstheme="minorHAnsi"/>
                <w:sz w:val="18"/>
                <w:szCs w:val="18"/>
              </w:rPr>
              <w:t>2015-16</w:t>
            </w:r>
          </w:p>
        </w:tc>
        <w:tc>
          <w:tcPr>
            <w:tcW w:w="288" w:type="pct"/>
            <w:vMerge w:val="restart"/>
            <w:tcMar>
              <w:left w:w="57" w:type="dxa"/>
              <w:right w:w="57" w:type="dxa"/>
            </w:tcMar>
            <w:vAlign w:val="center"/>
            <w:hideMark/>
          </w:tcPr>
          <w:p w14:paraId="1DB4946B"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3</w:t>
            </w:r>
          </w:p>
        </w:tc>
        <w:tc>
          <w:tcPr>
            <w:tcW w:w="727" w:type="pct"/>
            <w:vMerge w:val="restart"/>
            <w:tcMar>
              <w:left w:w="57" w:type="dxa"/>
              <w:right w:w="57" w:type="dxa"/>
            </w:tcMar>
            <w:vAlign w:val="center"/>
            <w:hideMark/>
          </w:tcPr>
          <w:p w14:paraId="33AE9AF3"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Pre-Spring</w:t>
            </w:r>
            <w:r>
              <w:rPr>
                <w:rFonts w:asciiTheme="minorHAnsi" w:hAnsiTheme="minorHAnsi" w:cstheme="minorHAnsi"/>
                <w:sz w:val="18"/>
                <w:szCs w:val="18"/>
              </w:rPr>
              <w:t xml:space="preserve"> Fresh</w:t>
            </w:r>
          </w:p>
        </w:tc>
        <w:tc>
          <w:tcPr>
            <w:tcW w:w="859" w:type="pct"/>
            <w:tcMar>
              <w:left w:w="57" w:type="dxa"/>
              <w:right w:w="57" w:type="dxa"/>
            </w:tcMar>
            <w:hideMark/>
          </w:tcPr>
          <w:p w14:paraId="4C7B1A18"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16 Sept 2015</w:t>
            </w:r>
          </w:p>
        </w:tc>
        <w:tc>
          <w:tcPr>
            <w:tcW w:w="644" w:type="pct"/>
            <w:tcMar>
              <w:left w:w="57" w:type="dxa"/>
              <w:right w:w="57" w:type="dxa"/>
            </w:tcMar>
            <w:hideMark/>
          </w:tcPr>
          <w:p w14:paraId="29A4DEF1"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 xml:space="preserve">Loch Garry </w:t>
            </w:r>
          </w:p>
        </w:tc>
        <w:tc>
          <w:tcPr>
            <w:tcW w:w="1073" w:type="pct"/>
            <w:tcMar>
              <w:left w:w="57" w:type="dxa"/>
              <w:right w:w="57" w:type="dxa"/>
            </w:tcMar>
            <w:hideMark/>
          </w:tcPr>
          <w:p w14:paraId="35097D52"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1, 3, 5, 8, 9,10,12,13</w:t>
            </w:r>
          </w:p>
        </w:tc>
        <w:tc>
          <w:tcPr>
            <w:tcW w:w="996" w:type="pct"/>
            <w:tcMar>
              <w:left w:w="57" w:type="dxa"/>
              <w:right w:w="57" w:type="dxa"/>
            </w:tcMar>
            <w:hideMark/>
          </w:tcPr>
          <w:p w14:paraId="48198E5A"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1, 3, 5, 8, 9, 12, 13, 15</w:t>
            </w:r>
          </w:p>
        </w:tc>
      </w:tr>
      <w:tr w:rsidR="00405995" w:rsidRPr="00FE7071" w14:paraId="30C3A4F6" w14:textId="77777777" w:rsidTr="00405995">
        <w:trPr>
          <w:jc w:val="center"/>
        </w:trPr>
        <w:tc>
          <w:tcPr>
            <w:tcW w:w="0" w:type="auto"/>
            <w:vMerge/>
            <w:tcMar>
              <w:left w:w="57" w:type="dxa"/>
              <w:right w:w="57" w:type="dxa"/>
            </w:tcMar>
            <w:vAlign w:val="center"/>
            <w:hideMark/>
          </w:tcPr>
          <w:p w14:paraId="482957C5" w14:textId="77777777" w:rsidR="00405995" w:rsidRPr="00FE7071" w:rsidRDefault="00405995" w:rsidP="00341517">
            <w:pPr>
              <w:spacing w:after="0"/>
              <w:rPr>
                <w:rFonts w:eastAsia="MS Mincho" w:cstheme="minorHAnsi"/>
                <w:bCs/>
                <w:sz w:val="18"/>
                <w:szCs w:val="18"/>
              </w:rPr>
            </w:pPr>
          </w:p>
        </w:tc>
        <w:tc>
          <w:tcPr>
            <w:tcW w:w="288" w:type="pct"/>
            <w:vMerge/>
            <w:tcMar>
              <w:left w:w="57" w:type="dxa"/>
              <w:right w:w="57" w:type="dxa"/>
            </w:tcMar>
            <w:vAlign w:val="center"/>
            <w:hideMark/>
          </w:tcPr>
          <w:p w14:paraId="7518F768" w14:textId="77777777" w:rsidR="00405995" w:rsidRPr="00FE7071" w:rsidRDefault="00405995" w:rsidP="00341517">
            <w:pPr>
              <w:spacing w:after="0"/>
              <w:rPr>
                <w:rFonts w:eastAsia="MS Mincho" w:cstheme="minorHAnsi"/>
                <w:sz w:val="18"/>
                <w:szCs w:val="18"/>
              </w:rPr>
            </w:pPr>
          </w:p>
        </w:tc>
        <w:tc>
          <w:tcPr>
            <w:tcW w:w="727" w:type="pct"/>
            <w:vMerge/>
            <w:tcMar>
              <w:left w:w="57" w:type="dxa"/>
              <w:right w:w="57" w:type="dxa"/>
            </w:tcMar>
            <w:vAlign w:val="center"/>
            <w:hideMark/>
          </w:tcPr>
          <w:p w14:paraId="59D83EA0" w14:textId="77777777" w:rsidR="00405995" w:rsidRPr="00FE7071" w:rsidRDefault="00405995" w:rsidP="00341517">
            <w:pPr>
              <w:spacing w:after="0"/>
              <w:rPr>
                <w:rFonts w:eastAsia="MS Mincho" w:cstheme="minorHAnsi"/>
                <w:sz w:val="18"/>
                <w:szCs w:val="18"/>
              </w:rPr>
            </w:pPr>
          </w:p>
        </w:tc>
        <w:tc>
          <w:tcPr>
            <w:tcW w:w="859" w:type="pct"/>
            <w:tcMar>
              <w:left w:w="57" w:type="dxa"/>
              <w:right w:w="57" w:type="dxa"/>
            </w:tcMar>
            <w:hideMark/>
          </w:tcPr>
          <w:p w14:paraId="57E7650D"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15 Sept 2015</w:t>
            </w:r>
          </w:p>
        </w:tc>
        <w:tc>
          <w:tcPr>
            <w:tcW w:w="644" w:type="pct"/>
            <w:tcMar>
              <w:left w:w="57" w:type="dxa"/>
              <w:right w:w="57" w:type="dxa"/>
            </w:tcMar>
            <w:hideMark/>
          </w:tcPr>
          <w:p w14:paraId="631C9743"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tcMar>
              <w:left w:w="57" w:type="dxa"/>
              <w:right w:w="57" w:type="dxa"/>
            </w:tcMar>
            <w:hideMark/>
          </w:tcPr>
          <w:p w14:paraId="5AE3C2A0"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1, 2, 6, 10, 12, 13,15</w:t>
            </w:r>
          </w:p>
        </w:tc>
        <w:tc>
          <w:tcPr>
            <w:tcW w:w="996" w:type="pct"/>
            <w:tcMar>
              <w:left w:w="57" w:type="dxa"/>
              <w:right w:w="57" w:type="dxa"/>
            </w:tcMar>
            <w:hideMark/>
          </w:tcPr>
          <w:p w14:paraId="6EAE536E"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2, 3, 6, 10, 12, 13, 15</w:t>
            </w:r>
          </w:p>
        </w:tc>
      </w:tr>
      <w:tr w:rsidR="00405995" w:rsidRPr="00FE7071" w14:paraId="14BFE148" w14:textId="77777777" w:rsidTr="00405995">
        <w:trPr>
          <w:jc w:val="center"/>
        </w:trPr>
        <w:tc>
          <w:tcPr>
            <w:tcW w:w="0" w:type="auto"/>
            <w:vMerge/>
            <w:tcMar>
              <w:left w:w="57" w:type="dxa"/>
              <w:right w:w="57" w:type="dxa"/>
            </w:tcMar>
            <w:vAlign w:val="center"/>
            <w:hideMark/>
          </w:tcPr>
          <w:p w14:paraId="5C9C50E6" w14:textId="77777777" w:rsidR="00405995" w:rsidRPr="00FE7071" w:rsidRDefault="00405995" w:rsidP="00341517">
            <w:pPr>
              <w:spacing w:after="0"/>
              <w:rPr>
                <w:rFonts w:eastAsia="MS Mincho" w:cstheme="minorHAnsi"/>
                <w:bCs/>
                <w:sz w:val="18"/>
                <w:szCs w:val="18"/>
              </w:rPr>
            </w:pPr>
          </w:p>
        </w:tc>
        <w:tc>
          <w:tcPr>
            <w:tcW w:w="288" w:type="pct"/>
            <w:vMerge w:val="restart"/>
            <w:tcMar>
              <w:left w:w="57" w:type="dxa"/>
              <w:right w:w="57" w:type="dxa"/>
            </w:tcMar>
            <w:vAlign w:val="center"/>
            <w:hideMark/>
          </w:tcPr>
          <w:p w14:paraId="73D87818"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4</w:t>
            </w:r>
          </w:p>
        </w:tc>
        <w:tc>
          <w:tcPr>
            <w:tcW w:w="727" w:type="pct"/>
            <w:vMerge w:val="restart"/>
            <w:tcMar>
              <w:left w:w="57" w:type="dxa"/>
              <w:right w:w="57" w:type="dxa"/>
            </w:tcMar>
            <w:vAlign w:val="center"/>
            <w:hideMark/>
          </w:tcPr>
          <w:p w14:paraId="52842A2D"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Post-fresh</w:t>
            </w:r>
          </w:p>
        </w:tc>
        <w:tc>
          <w:tcPr>
            <w:tcW w:w="859" w:type="pct"/>
            <w:tcMar>
              <w:left w:w="57" w:type="dxa"/>
              <w:right w:w="57" w:type="dxa"/>
            </w:tcMar>
            <w:hideMark/>
          </w:tcPr>
          <w:p w14:paraId="3352EB1F"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16 Dec 2015</w:t>
            </w:r>
          </w:p>
        </w:tc>
        <w:tc>
          <w:tcPr>
            <w:tcW w:w="644" w:type="pct"/>
            <w:tcMar>
              <w:left w:w="57" w:type="dxa"/>
              <w:right w:w="57" w:type="dxa"/>
            </w:tcMar>
            <w:hideMark/>
          </w:tcPr>
          <w:p w14:paraId="0F12D7E3"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 xml:space="preserve">Loch Garry </w:t>
            </w:r>
          </w:p>
        </w:tc>
        <w:tc>
          <w:tcPr>
            <w:tcW w:w="1073" w:type="pct"/>
            <w:tcMar>
              <w:left w:w="57" w:type="dxa"/>
              <w:right w:w="57" w:type="dxa"/>
            </w:tcMar>
            <w:hideMark/>
          </w:tcPr>
          <w:p w14:paraId="60F0C7D9"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1, 3, 5, 8, 9, 10, 12, 13</w:t>
            </w:r>
          </w:p>
        </w:tc>
        <w:tc>
          <w:tcPr>
            <w:tcW w:w="996" w:type="pct"/>
            <w:tcMar>
              <w:left w:w="57" w:type="dxa"/>
              <w:right w:w="57" w:type="dxa"/>
            </w:tcMar>
            <w:hideMark/>
          </w:tcPr>
          <w:p w14:paraId="102FCC5E"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1, 3, 5, 8, 9, 12, 13, 15</w:t>
            </w:r>
          </w:p>
        </w:tc>
      </w:tr>
      <w:tr w:rsidR="00405995" w:rsidRPr="00FE7071" w14:paraId="140D1DC7" w14:textId="77777777" w:rsidTr="00405995">
        <w:trPr>
          <w:jc w:val="center"/>
        </w:trPr>
        <w:tc>
          <w:tcPr>
            <w:tcW w:w="0" w:type="auto"/>
            <w:vMerge/>
            <w:tcMar>
              <w:left w:w="57" w:type="dxa"/>
              <w:right w:w="57" w:type="dxa"/>
            </w:tcMar>
            <w:vAlign w:val="center"/>
            <w:hideMark/>
          </w:tcPr>
          <w:p w14:paraId="2032444D" w14:textId="77777777" w:rsidR="00405995" w:rsidRPr="00FE7071" w:rsidRDefault="00405995" w:rsidP="00341517">
            <w:pPr>
              <w:spacing w:after="0"/>
              <w:rPr>
                <w:rFonts w:eastAsia="MS Mincho" w:cstheme="minorHAnsi"/>
                <w:bCs/>
                <w:sz w:val="18"/>
                <w:szCs w:val="18"/>
              </w:rPr>
            </w:pPr>
          </w:p>
        </w:tc>
        <w:tc>
          <w:tcPr>
            <w:tcW w:w="288" w:type="pct"/>
            <w:vMerge/>
            <w:tcMar>
              <w:left w:w="57" w:type="dxa"/>
              <w:right w:w="57" w:type="dxa"/>
            </w:tcMar>
            <w:vAlign w:val="center"/>
            <w:hideMark/>
          </w:tcPr>
          <w:p w14:paraId="4372F9D7" w14:textId="77777777" w:rsidR="00405995" w:rsidRPr="00FE7071" w:rsidRDefault="00405995" w:rsidP="00341517">
            <w:pPr>
              <w:spacing w:after="0"/>
              <w:rPr>
                <w:rFonts w:eastAsia="MS Mincho" w:cstheme="minorHAnsi"/>
                <w:sz w:val="18"/>
                <w:szCs w:val="18"/>
              </w:rPr>
            </w:pPr>
          </w:p>
        </w:tc>
        <w:tc>
          <w:tcPr>
            <w:tcW w:w="727" w:type="pct"/>
            <w:vMerge/>
            <w:tcMar>
              <w:left w:w="57" w:type="dxa"/>
              <w:right w:w="57" w:type="dxa"/>
            </w:tcMar>
            <w:vAlign w:val="center"/>
            <w:hideMark/>
          </w:tcPr>
          <w:p w14:paraId="2CE78BF7" w14:textId="77777777" w:rsidR="00405995" w:rsidRPr="00FE7071" w:rsidRDefault="00405995" w:rsidP="00341517">
            <w:pPr>
              <w:spacing w:after="0"/>
              <w:rPr>
                <w:rFonts w:eastAsia="MS Mincho" w:cstheme="minorHAnsi"/>
                <w:sz w:val="18"/>
                <w:szCs w:val="18"/>
              </w:rPr>
            </w:pPr>
          </w:p>
        </w:tc>
        <w:tc>
          <w:tcPr>
            <w:tcW w:w="859" w:type="pct"/>
            <w:tcMar>
              <w:left w:w="57" w:type="dxa"/>
              <w:right w:w="57" w:type="dxa"/>
            </w:tcMar>
            <w:hideMark/>
          </w:tcPr>
          <w:p w14:paraId="49F15AEC"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17 Dec 2015</w:t>
            </w:r>
          </w:p>
        </w:tc>
        <w:tc>
          <w:tcPr>
            <w:tcW w:w="644" w:type="pct"/>
            <w:tcMar>
              <w:left w:w="57" w:type="dxa"/>
              <w:right w:w="57" w:type="dxa"/>
            </w:tcMar>
            <w:hideMark/>
          </w:tcPr>
          <w:p w14:paraId="4B39E18E"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tcMar>
              <w:left w:w="57" w:type="dxa"/>
              <w:right w:w="57" w:type="dxa"/>
            </w:tcMar>
            <w:hideMark/>
          </w:tcPr>
          <w:p w14:paraId="068EEBEA"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1, 2, 3, 6, 10, 12, 13, 15</w:t>
            </w:r>
          </w:p>
        </w:tc>
        <w:tc>
          <w:tcPr>
            <w:tcW w:w="996" w:type="pct"/>
            <w:tcMar>
              <w:left w:w="57" w:type="dxa"/>
              <w:right w:w="57" w:type="dxa"/>
            </w:tcMar>
            <w:hideMark/>
          </w:tcPr>
          <w:p w14:paraId="33FD35FE"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36337185" w14:textId="77777777" w:rsidTr="00405995">
        <w:trPr>
          <w:jc w:val="center"/>
        </w:trPr>
        <w:tc>
          <w:tcPr>
            <w:tcW w:w="413" w:type="pct"/>
            <w:vMerge w:val="restart"/>
            <w:tcMar>
              <w:left w:w="57" w:type="dxa"/>
              <w:right w:w="57" w:type="dxa"/>
            </w:tcMar>
            <w:vAlign w:val="center"/>
            <w:hideMark/>
          </w:tcPr>
          <w:p w14:paraId="563C203A"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hAnsiTheme="minorHAnsi" w:cstheme="minorHAnsi"/>
                <w:sz w:val="18"/>
                <w:szCs w:val="18"/>
              </w:rPr>
              <w:t>2016-17</w:t>
            </w:r>
          </w:p>
        </w:tc>
        <w:tc>
          <w:tcPr>
            <w:tcW w:w="288" w:type="pct"/>
            <w:vMerge w:val="restart"/>
            <w:tcMar>
              <w:left w:w="57" w:type="dxa"/>
              <w:right w:w="57" w:type="dxa"/>
            </w:tcMar>
            <w:vAlign w:val="center"/>
            <w:hideMark/>
          </w:tcPr>
          <w:p w14:paraId="5BAD2F1B"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5</w:t>
            </w:r>
          </w:p>
        </w:tc>
        <w:tc>
          <w:tcPr>
            <w:tcW w:w="727" w:type="pct"/>
            <w:vMerge w:val="restart"/>
            <w:tcMar>
              <w:left w:w="57" w:type="dxa"/>
              <w:right w:w="57" w:type="dxa"/>
            </w:tcMar>
            <w:vAlign w:val="center"/>
            <w:hideMark/>
          </w:tcPr>
          <w:p w14:paraId="1DF4F714"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Post natural flood</w:t>
            </w:r>
          </w:p>
        </w:tc>
        <w:tc>
          <w:tcPr>
            <w:tcW w:w="859" w:type="pct"/>
            <w:tcMar>
              <w:left w:w="57" w:type="dxa"/>
              <w:right w:w="57" w:type="dxa"/>
            </w:tcMar>
            <w:hideMark/>
          </w:tcPr>
          <w:p w14:paraId="59B76CB1"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12 Dec 2016</w:t>
            </w:r>
          </w:p>
        </w:tc>
        <w:tc>
          <w:tcPr>
            <w:tcW w:w="644" w:type="pct"/>
            <w:tcMar>
              <w:left w:w="57" w:type="dxa"/>
              <w:right w:w="57" w:type="dxa"/>
            </w:tcMar>
            <w:hideMark/>
          </w:tcPr>
          <w:p w14:paraId="6CD1A581"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 xml:space="preserve">Loch Garry </w:t>
            </w:r>
          </w:p>
        </w:tc>
        <w:tc>
          <w:tcPr>
            <w:tcW w:w="1073" w:type="pct"/>
            <w:tcMar>
              <w:left w:w="57" w:type="dxa"/>
              <w:right w:w="57" w:type="dxa"/>
            </w:tcMar>
            <w:hideMark/>
          </w:tcPr>
          <w:p w14:paraId="41C73296"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1, 3, 5, 8, 9, 10, 12, 13</w:t>
            </w:r>
          </w:p>
        </w:tc>
        <w:tc>
          <w:tcPr>
            <w:tcW w:w="996" w:type="pct"/>
            <w:tcMar>
              <w:left w:w="57" w:type="dxa"/>
              <w:right w:w="57" w:type="dxa"/>
            </w:tcMar>
            <w:hideMark/>
          </w:tcPr>
          <w:p w14:paraId="11EC6D8D"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1, 3, 5, 8, 9, 12, 13, 15</w:t>
            </w:r>
          </w:p>
        </w:tc>
      </w:tr>
      <w:tr w:rsidR="00405995" w:rsidRPr="00FE7071" w14:paraId="13AE91B1" w14:textId="77777777" w:rsidTr="00405995">
        <w:trPr>
          <w:jc w:val="center"/>
        </w:trPr>
        <w:tc>
          <w:tcPr>
            <w:tcW w:w="0" w:type="auto"/>
            <w:vMerge/>
            <w:tcMar>
              <w:left w:w="57" w:type="dxa"/>
              <w:right w:w="57" w:type="dxa"/>
            </w:tcMar>
            <w:vAlign w:val="center"/>
            <w:hideMark/>
          </w:tcPr>
          <w:p w14:paraId="6E96D71A" w14:textId="77777777" w:rsidR="00405995" w:rsidRPr="00FE7071" w:rsidRDefault="00405995" w:rsidP="00341517">
            <w:pPr>
              <w:spacing w:after="0"/>
              <w:rPr>
                <w:rFonts w:eastAsia="MS Mincho" w:cstheme="minorHAnsi"/>
                <w:bCs/>
                <w:sz w:val="18"/>
                <w:szCs w:val="18"/>
              </w:rPr>
            </w:pPr>
          </w:p>
        </w:tc>
        <w:tc>
          <w:tcPr>
            <w:tcW w:w="288" w:type="pct"/>
            <w:vMerge/>
            <w:tcMar>
              <w:left w:w="57" w:type="dxa"/>
              <w:right w:w="57" w:type="dxa"/>
            </w:tcMar>
            <w:vAlign w:val="center"/>
            <w:hideMark/>
          </w:tcPr>
          <w:p w14:paraId="2BC6EDD8" w14:textId="77777777" w:rsidR="00405995" w:rsidRPr="00FE7071" w:rsidRDefault="00405995" w:rsidP="00341517">
            <w:pPr>
              <w:spacing w:after="0"/>
              <w:rPr>
                <w:rFonts w:eastAsia="MS Mincho" w:cstheme="minorHAnsi"/>
                <w:sz w:val="18"/>
                <w:szCs w:val="18"/>
              </w:rPr>
            </w:pPr>
          </w:p>
        </w:tc>
        <w:tc>
          <w:tcPr>
            <w:tcW w:w="727" w:type="pct"/>
            <w:vMerge/>
            <w:tcMar>
              <w:left w:w="57" w:type="dxa"/>
              <w:right w:w="57" w:type="dxa"/>
            </w:tcMar>
            <w:vAlign w:val="center"/>
            <w:hideMark/>
          </w:tcPr>
          <w:p w14:paraId="099F3271" w14:textId="77777777" w:rsidR="00405995" w:rsidRPr="00FE7071" w:rsidRDefault="00405995" w:rsidP="00341517">
            <w:pPr>
              <w:spacing w:after="0"/>
              <w:rPr>
                <w:rFonts w:eastAsia="MS Mincho" w:cstheme="minorHAnsi"/>
                <w:sz w:val="18"/>
                <w:szCs w:val="18"/>
              </w:rPr>
            </w:pPr>
          </w:p>
        </w:tc>
        <w:tc>
          <w:tcPr>
            <w:tcW w:w="859" w:type="pct"/>
            <w:tcMar>
              <w:left w:w="57" w:type="dxa"/>
              <w:right w:w="57" w:type="dxa"/>
            </w:tcMar>
            <w:hideMark/>
          </w:tcPr>
          <w:p w14:paraId="3B5ECAA7"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13 Dec 2016</w:t>
            </w:r>
          </w:p>
        </w:tc>
        <w:tc>
          <w:tcPr>
            <w:tcW w:w="644" w:type="pct"/>
            <w:tcMar>
              <w:left w:w="57" w:type="dxa"/>
              <w:right w:w="57" w:type="dxa"/>
            </w:tcMar>
            <w:hideMark/>
          </w:tcPr>
          <w:p w14:paraId="3E914BF3"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tcMar>
              <w:left w:w="57" w:type="dxa"/>
              <w:right w:w="57" w:type="dxa"/>
            </w:tcMar>
            <w:hideMark/>
          </w:tcPr>
          <w:p w14:paraId="671B769A"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1, 2, 3, 6, 10, 12, 13, 15</w:t>
            </w:r>
          </w:p>
        </w:tc>
        <w:tc>
          <w:tcPr>
            <w:tcW w:w="996" w:type="pct"/>
            <w:tcMar>
              <w:left w:w="57" w:type="dxa"/>
              <w:right w:w="57" w:type="dxa"/>
            </w:tcMar>
            <w:hideMark/>
          </w:tcPr>
          <w:p w14:paraId="23A1DD2B"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7DB27C1D" w14:textId="77777777" w:rsidTr="00405995">
        <w:trPr>
          <w:jc w:val="center"/>
        </w:trPr>
        <w:tc>
          <w:tcPr>
            <w:tcW w:w="0" w:type="auto"/>
            <w:vMerge/>
            <w:tcMar>
              <w:left w:w="57" w:type="dxa"/>
              <w:right w:w="57" w:type="dxa"/>
            </w:tcMar>
            <w:vAlign w:val="center"/>
            <w:hideMark/>
          </w:tcPr>
          <w:p w14:paraId="2B17E953" w14:textId="77777777" w:rsidR="00405995" w:rsidRPr="00FE7071" w:rsidRDefault="00405995" w:rsidP="00341517">
            <w:pPr>
              <w:spacing w:after="0"/>
              <w:rPr>
                <w:rFonts w:eastAsia="MS Mincho" w:cstheme="minorHAnsi"/>
                <w:bCs/>
                <w:sz w:val="18"/>
                <w:szCs w:val="18"/>
              </w:rPr>
            </w:pPr>
          </w:p>
        </w:tc>
        <w:tc>
          <w:tcPr>
            <w:tcW w:w="288" w:type="pct"/>
            <w:vMerge w:val="restart"/>
            <w:tcMar>
              <w:left w:w="57" w:type="dxa"/>
              <w:right w:w="57" w:type="dxa"/>
            </w:tcMar>
            <w:vAlign w:val="center"/>
            <w:hideMark/>
          </w:tcPr>
          <w:p w14:paraId="4F5EED91"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6</w:t>
            </w:r>
          </w:p>
        </w:tc>
        <w:tc>
          <w:tcPr>
            <w:tcW w:w="727" w:type="pct"/>
            <w:vMerge w:val="restart"/>
            <w:tcMar>
              <w:left w:w="57" w:type="dxa"/>
              <w:right w:w="57" w:type="dxa"/>
            </w:tcMar>
            <w:vAlign w:val="center"/>
            <w:hideMark/>
          </w:tcPr>
          <w:p w14:paraId="07CCBA68"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Pre autumn fresh</w:t>
            </w:r>
          </w:p>
        </w:tc>
        <w:tc>
          <w:tcPr>
            <w:tcW w:w="859" w:type="pct"/>
            <w:tcMar>
              <w:left w:w="57" w:type="dxa"/>
              <w:right w:w="57" w:type="dxa"/>
            </w:tcMar>
            <w:hideMark/>
          </w:tcPr>
          <w:p w14:paraId="5417DC61"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21 Feb 2017</w:t>
            </w:r>
          </w:p>
        </w:tc>
        <w:tc>
          <w:tcPr>
            <w:tcW w:w="644" w:type="pct"/>
            <w:tcMar>
              <w:left w:w="57" w:type="dxa"/>
              <w:right w:w="57" w:type="dxa"/>
            </w:tcMar>
            <w:hideMark/>
          </w:tcPr>
          <w:p w14:paraId="326E62B6"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 xml:space="preserve">Loch Garry </w:t>
            </w:r>
          </w:p>
        </w:tc>
        <w:tc>
          <w:tcPr>
            <w:tcW w:w="1073" w:type="pct"/>
            <w:tcMar>
              <w:left w:w="57" w:type="dxa"/>
              <w:right w:w="57" w:type="dxa"/>
            </w:tcMar>
            <w:hideMark/>
          </w:tcPr>
          <w:p w14:paraId="4FCDA20E"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1, 3, 5, 8, 9,10,12,13</w:t>
            </w:r>
          </w:p>
        </w:tc>
        <w:tc>
          <w:tcPr>
            <w:tcW w:w="996" w:type="pct"/>
            <w:tcMar>
              <w:left w:w="57" w:type="dxa"/>
              <w:right w:w="57" w:type="dxa"/>
            </w:tcMar>
            <w:hideMark/>
          </w:tcPr>
          <w:p w14:paraId="1ECEC6EF"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1, 3, 5, 8, 9, 12, 13, 15</w:t>
            </w:r>
          </w:p>
        </w:tc>
      </w:tr>
      <w:tr w:rsidR="00405995" w:rsidRPr="00FE7071" w14:paraId="0E18F686" w14:textId="77777777" w:rsidTr="00405995">
        <w:trPr>
          <w:jc w:val="center"/>
        </w:trPr>
        <w:tc>
          <w:tcPr>
            <w:tcW w:w="0" w:type="auto"/>
            <w:vMerge/>
            <w:tcMar>
              <w:left w:w="57" w:type="dxa"/>
              <w:right w:w="57" w:type="dxa"/>
            </w:tcMar>
            <w:vAlign w:val="center"/>
            <w:hideMark/>
          </w:tcPr>
          <w:p w14:paraId="435054B4" w14:textId="77777777" w:rsidR="00405995" w:rsidRPr="00FE7071" w:rsidRDefault="00405995" w:rsidP="00341517">
            <w:pPr>
              <w:spacing w:after="0"/>
              <w:rPr>
                <w:rFonts w:eastAsia="MS Mincho" w:cstheme="minorHAnsi"/>
                <w:bCs/>
                <w:sz w:val="18"/>
                <w:szCs w:val="18"/>
              </w:rPr>
            </w:pPr>
          </w:p>
        </w:tc>
        <w:tc>
          <w:tcPr>
            <w:tcW w:w="288" w:type="pct"/>
            <w:vMerge/>
            <w:tcMar>
              <w:left w:w="57" w:type="dxa"/>
              <w:right w:w="57" w:type="dxa"/>
            </w:tcMar>
            <w:vAlign w:val="center"/>
            <w:hideMark/>
          </w:tcPr>
          <w:p w14:paraId="7BCE5414" w14:textId="77777777" w:rsidR="00405995" w:rsidRPr="00FE7071" w:rsidRDefault="00405995" w:rsidP="00341517">
            <w:pPr>
              <w:spacing w:after="0"/>
              <w:rPr>
                <w:rFonts w:eastAsia="MS Mincho" w:cstheme="minorHAnsi"/>
                <w:sz w:val="18"/>
                <w:szCs w:val="18"/>
              </w:rPr>
            </w:pPr>
          </w:p>
        </w:tc>
        <w:tc>
          <w:tcPr>
            <w:tcW w:w="727" w:type="pct"/>
            <w:vMerge/>
            <w:tcMar>
              <w:left w:w="57" w:type="dxa"/>
              <w:right w:w="57" w:type="dxa"/>
            </w:tcMar>
            <w:vAlign w:val="center"/>
            <w:hideMark/>
          </w:tcPr>
          <w:p w14:paraId="357C898A" w14:textId="77777777" w:rsidR="00405995" w:rsidRPr="00FE7071" w:rsidRDefault="00405995" w:rsidP="00341517">
            <w:pPr>
              <w:spacing w:after="0"/>
              <w:rPr>
                <w:rFonts w:eastAsia="MS Mincho" w:cstheme="minorHAnsi"/>
                <w:sz w:val="18"/>
                <w:szCs w:val="18"/>
              </w:rPr>
            </w:pPr>
          </w:p>
        </w:tc>
        <w:tc>
          <w:tcPr>
            <w:tcW w:w="859" w:type="pct"/>
            <w:tcMar>
              <w:left w:w="57" w:type="dxa"/>
              <w:right w:w="57" w:type="dxa"/>
            </w:tcMar>
            <w:hideMark/>
          </w:tcPr>
          <w:p w14:paraId="05B539CB"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22 Feb 2017</w:t>
            </w:r>
          </w:p>
        </w:tc>
        <w:tc>
          <w:tcPr>
            <w:tcW w:w="644" w:type="pct"/>
            <w:tcMar>
              <w:left w:w="57" w:type="dxa"/>
              <w:right w:w="57" w:type="dxa"/>
            </w:tcMar>
            <w:hideMark/>
          </w:tcPr>
          <w:p w14:paraId="1476DF3D"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tcMar>
              <w:left w:w="57" w:type="dxa"/>
              <w:right w:w="57" w:type="dxa"/>
            </w:tcMar>
            <w:hideMark/>
          </w:tcPr>
          <w:p w14:paraId="2F5EED5F"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1, 2, 3, 6, 10, 12, 13, 15</w:t>
            </w:r>
          </w:p>
        </w:tc>
        <w:tc>
          <w:tcPr>
            <w:tcW w:w="996" w:type="pct"/>
            <w:tcMar>
              <w:left w:w="57" w:type="dxa"/>
              <w:right w:w="57" w:type="dxa"/>
            </w:tcMar>
            <w:hideMark/>
          </w:tcPr>
          <w:p w14:paraId="67C5108E"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3A66DF22" w14:textId="77777777" w:rsidTr="00405995">
        <w:trPr>
          <w:trHeight w:val="371"/>
          <w:jc w:val="center"/>
        </w:trPr>
        <w:tc>
          <w:tcPr>
            <w:tcW w:w="0" w:type="auto"/>
            <w:vMerge/>
            <w:tcMar>
              <w:left w:w="57" w:type="dxa"/>
              <w:right w:w="57" w:type="dxa"/>
            </w:tcMar>
            <w:vAlign w:val="center"/>
            <w:hideMark/>
          </w:tcPr>
          <w:p w14:paraId="6EB62B79" w14:textId="77777777" w:rsidR="00405995" w:rsidRPr="00FE7071" w:rsidRDefault="00405995" w:rsidP="00341517">
            <w:pPr>
              <w:spacing w:after="0"/>
              <w:rPr>
                <w:rFonts w:eastAsia="MS Mincho" w:cstheme="minorHAnsi"/>
                <w:bCs/>
                <w:sz w:val="18"/>
                <w:szCs w:val="18"/>
              </w:rPr>
            </w:pPr>
          </w:p>
        </w:tc>
        <w:tc>
          <w:tcPr>
            <w:tcW w:w="288" w:type="pct"/>
            <w:vMerge w:val="restart"/>
            <w:tcMar>
              <w:left w:w="57" w:type="dxa"/>
              <w:right w:w="57" w:type="dxa"/>
            </w:tcMar>
            <w:vAlign w:val="center"/>
            <w:hideMark/>
          </w:tcPr>
          <w:p w14:paraId="5DAEB505"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7</w:t>
            </w:r>
          </w:p>
        </w:tc>
        <w:tc>
          <w:tcPr>
            <w:tcW w:w="727" w:type="pct"/>
            <w:vMerge w:val="restart"/>
            <w:tcMar>
              <w:left w:w="57" w:type="dxa"/>
              <w:right w:w="57" w:type="dxa"/>
            </w:tcMar>
            <w:vAlign w:val="center"/>
            <w:hideMark/>
          </w:tcPr>
          <w:p w14:paraId="12636898"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Post autumn fresh</w:t>
            </w:r>
          </w:p>
        </w:tc>
        <w:tc>
          <w:tcPr>
            <w:tcW w:w="859" w:type="pct"/>
            <w:tcMar>
              <w:left w:w="57" w:type="dxa"/>
              <w:right w:w="57" w:type="dxa"/>
            </w:tcMar>
            <w:hideMark/>
          </w:tcPr>
          <w:p w14:paraId="0AB058A7"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11 April 2017</w:t>
            </w:r>
          </w:p>
        </w:tc>
        <w:tc>
          <w:tcPr>
            <w:tcW w:w="644" w:type="pct"/>
            <w:tcMar>
              <w:left w:w="57" w:type="dxa"/>
              <w:right w:w="57" w:type="dxa"/>
            </w:tcMar>
            <w:hideMark/>
          </w:tcPr>
          <w:p w14:paraId="2A45B272"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 xml:space="preserve">Loch Garry </w:t>
            </w:r>
          </w:p>
        </w:tc>
        <w:tc>
          <w:tcPr>
            <w:tcW w:w="1073" w:type="pct"/>
            <w:tcMar>
              <w:left w:w="57" w:type="dxa"/>
              <w:right w:w="57" w:type="dxa"/>
            </w:tcMar>
            <w:hideMark/>
          </w:tcPr>
          <w:p w14:paraId="4EDB8698"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1, 3, 5, 8, 9, 10, 12, 13</w:t>
            </w:r>
          </w:p>
        </w:tc>
        <w:tc>
          <w:tcPr>
            <w:tcW w:w="996" w:type="pct"/>
            <w:tcMar>
              <w:left w:w="57" w:type="dxa"/>
              <w:right w:w="57" w:type="dxa"/>
            </w:tcMar>
            <w:hideMark/>
          </w:tcPr>
          <w:p w14:paraId="56C7647C"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1, 3, 5, 9, 12, 13, 15</w:t>
            </w:r>
          </w:p>
        </w:tc>
      </w:tr>
      <w:tr w:rsidR="00405995" w:rsidRPr="00FE7071" w14:paraId="6A1AB0DB" w14:textId="77777777" w:rsidTr="00405995">
        <w:trPr>
          <w:jc w:val="center"/>
        </w:trPr>
        <w:tc>
          <w:tcPr>
            <w:tcW w:w="0" w:type="auto"/>
            <w:vMerge/>
            <w:tcMar>
              <w:left w:w="57" w:type="dxa"/>
              <w:right w:w="57" w:type="dxa"/>
            </w:tcMar>
            <w:vAlign w:val="center"/>
            <w:hideMark/>
          </w:tcPr>
          <w:p w14:paraId="178AFF62" w14:textId="77777777" w:rsidR="00405995" w:rsidRPr="00FE7071" w:rsidRDefault="00405995" w:rsidP="00341517">
            <w:pPr>
              <w:spacing w:after="0"/>
              <w:rPr>
                <w:rFonts w:eastAsia="MS Mincho" w:cstheme="minorHAnsi"/>
                <w:bCs/>
                <w:sz w:val="18"/>
                <w:szCs w:val="18"/>
              </w:rPr>
            </w:pPr>
          </w:p>
        </w:tc>
        <w:tc>
          <w:tcPr>
            <w:tcW w:w="288" w:type="pct"/>
            <w:vMerge/>
            <w:tcMar>
              <w:left w:w="57" w:type="dxa"/>
              <w:right w:w="57" w:type="dxa"/>
            </w:tcMar>
            <w:vAlign w:val="center"/>
            <w:hideMark/>
          </w:tcPr>
          <w:p w14:paraId="4A7418E2" w14:textId="77777777" w:rsidR="00405995" w:rsidRPr="00FE7071" w:rsidRDefault="00405995" w:rsidP="00341517">
            <w:pPr>
              <w:spacing w:after="0"/>
              <w:rPr>
                <w:rFonts w:eastAsia="MS Mincho" w:cstheme="minorHAnsi"/>
                <w:sz w:val="18"/>
                <w:szCs w:val="18"/>
              </w:rPr>
            </w:pPr>
          </w:p>
        </w:tc>
        <w:tc>
          <w:tcPr>
            <w:tcW w:w="727" w:type="pct"/>
            <w:vMerge/>
            <w:tcMar>
              <w:left w:w="57" w:type="dxa"/>
              <w:right w:w="57" w:type="dxa"/>
            </w:tcMar>
            <w:vAlign w:val="center"/>
            <w:hideMark/>
          </w:tcPr>
          <w:p w14:paraId="62EB7E7A" w14:textId="77777777" w:rsidR="00405995" w:rsidRPr="00FE7071" w:rsidRDefault="00405995" w:rsidP="00341517">
            <w:pPr>
              <w:spacing w:after="0"/>
              <w:rPr>
                <w:rFonts w:eastAsia="MS Mincho" w:cstheme="minorHAnsi"/>
                <w:sz w:val="18"/>
                <w:szCs w:val="18"/>
              </w:rPr>
            </w:pPr>
          </w:p>
        </w:tc>
        <w:tc>
          <w:tcPr>
            <w:tcW w:w="859" w:type="pct"/>
            <w:tcMar>
              <w:left w:w="57" w:type="dxa"/>
              <w:right w:w="57" w:type="dxa"/>
            </w:tcMar>
            <w:hideMark/>
          </w:tcPr>
          <w:p w14:paraId="7F5FE921"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10 April 2017</w:t>
            </w:r>
          </w:p>
        </w:tc>
        <w:tc>
          <w:tcPr>
            <w:tcW w:w="644" w:type="pct"/>
            <w:tcMar>
              <w:left w:w="57" w:type="dxa"/>
              <w:right w:w="57" w:type="dxa"/>
            </w:tcMar>
            <w:hideMark/>
          </w:tcPr>
          <w:p w14:paraId="1D7F9CE3"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tcMar>
              <w:left w:w="57" w:type="dxa"/>
              <w:right w:w="57" w:type="dxa"/>
            </w:tcMar>
            <w:hideMark/>
          </w:tcPr>
          <w:p w14:paraId="43B27AB8"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1, 2, 3, 6,10,12,13,15</w:t>
            </w:r>
          </w:p>
        </w:tc>
        <w:tc>
          <w:tcPr>
            <w:tcW w:w="996" w:type="pct"/>
            <w:tcMar>
              <w:left w:w="57" w:type="dxa"/>
              <w:right w:w="57" w:type="dxa"/>
            </w:tcMar>
            <w:hideMark/>
          </w:tcPr>
          <w:p w14:paraId="311ABEE9"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20BDBD8E" w14:textId="77777777" w:rsidTr="00405995">
        <w:trPr>
          <w:jc w:val="center"/>
        </w:trPr>
        <w:tc>
          <w:tcPr>
            <w:tcW w:w="413" w:type="pct"/>
            <w:vMerge w:val="restart"/>
            <w:tcMar>
              <w:left w:w="57" w:type="dxa"/>
              <w:right w:w="57" w:type="dxa"/>
            </w:tcMar>
            <w:vAlign w:val="center"/>
            <w:hideMark/>
          </w:tcPr>
          <w:p w14:paraId="1CFFB4F3"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hAnsiTheme="minorHAnsi" w:cstheme="minorHAnsi"/>
                <w:sz w:val="18"/>
                <w:szCs w:val="18"/>
              </w:rPr>
              <w:t>2017-18</w:t>
            </w:r>
          </w:p>
        </w:tc>
        <w:tc>
          <w:tcPr>
            <w:tcW w:w="288" w:type="pct"/>
            <w:vMerge w:val="restart"/>
            <w:tcMar>
              <w:left w:w="57" w:type="dxa"/>
              <w:right w:w="57" w:type="dxa"/>
            </w:tcMar>
            <w:vAlign w:val="center"/>
            <w:hideMark/>
          </w:tcPr>
          <w:p w14:paraId="18CD9DA1"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8</w:t>
            </w:r>
          </w:p>
        </w:tc>
        <w:tc>
          <w:tcPr>
            <w:tcW w:w="727" w:type="pct"/>
            <w:vMerge w:val="restart"/>
            <w:shd w:val="clear" w:color="auto" w:fill="FFFFFF" w:themeFill="background1"/>
            <w:tcMar>
              <w:left w:w="57" w:type="dxa"/>
              <w:right w:w="57" w:type="dxa"/>
            </w:tcMar>
            <w:vAlign w:val="center"/>
            <w:hideMark/>
          </w:tcPr>
          <w:p w14:paraId="2324EAAE"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Pre-Spring</w:t>
            </w:r>
            <w:r>
              <w:rPr>
                <w:rFonts w:asciiTheme="minorHAnsi" w:hAnsiTheme="minorHAnsi" w:cstheme="minorHAnsi"/>
                <w:sz w:val="18"/>
                <w:szCs w:val="18"/>
              </w:rPr>
              <w:t xml:space="preserve"> Fresh</w:t>
            </w:r>
          </w:p>
        </w:tc>
        <w:tc>
          <w:tcPr>
            <w:tcW w:w="859" w:type="pct"/>
            <w:shd w:val="clear" w:color="auto" w:fill="FFFFFF" w:themeFill="background1"/>
            <w:tcMar>
              <w:left w:w="57" w:type="dxa"/>
              <w:right w:w="57" w:type="dxa"/>
            </w:tcMar>
            <w:hideMark/>
          </w:tcPr>
          <w:p w14:paraId="5A4BC9BC"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7 Sept 2017</w:t>
            </w:r>
          </w:p>
        </w:tc>
        <w:tc>
          <w:tcPr>
            <w:tcW w:w="644" w:type="pct"/>
            <w:shd w:val="clear" w:color="auto" w:fill="FFFFFF" w:themeFill="background1"/>
            <w:tcMar>
              <w:left w:w="57" w:type="dxa"/>
              <w:right w:w="57" w:type="dxa"/>
            </w:tcMar>
            <w:hideMark/>
          </w:tcPr>
          <w:p w14:paraId="288717CD"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 xml:space="preserve">Loch Garry </w:t>
            </w:r>
          </w:p>
        </w:tc>
        <w:tc>
          <w:tcPr>
            <w:tcW w:w="1073" w:type="pct"/>
            <w:shd w:val="clear" w:color="auto" w:fill="FFFFFF" w:themeFill="background1"/>
            <w:tcMar>
              <w:left w:w="57" w:type="dxa"/>
              <w:right w:w="57" w:type="dxa"/>
            </w:tcMar>
            <w:hideMark/>
          </w:tcPr>
          <w:p w14:paraId="61A8D987"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1, 3, 5, 8, 10,12,13</w:t>
            </w:r>
          </w:p>
        </w:tc>
        <w:tc>
          <w:tcPr>
            <w:tcW w:w="996" w:type="pct"/>
            <w:shd w:val="clear" w:color="auto" w:fill="FFFFFF" w:themeFill="background1"/>
            <w:tcMar>
              <w:left w:w="57" w:type="dxa"/>
              <w:right w:w="57" w:type="dxa"/>
            </w:tcMar>
            <w:hideMark/>
          </w:tcPr>
          <w:p w14:paraId="25AE09E1"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1, 3, 5, 8, 9, 12, 13, 15</w:t>
            </w:r>
          </w:p>
        </w:tc>
      </w:tr>
      <w:tr w:rsidR="00405995" w:rsidRPr="00FE7071" w14:paraId="6EBBC72D" w14:textId="77777777" w:rsidTr="00405995">
        <w:trPr>
          <w:jc w:val="center"/>
        </w:trPr>
        <w:tc>
          <w:tcPr>
            <w:tcW w:w="0" w:type="auto"/>
            <w:vMerge/>
            <w:tcMar>
              <w:left w:w="57" w:type="dxa"/>
              <w:right w:w="57" w:type="dxa"/>
            </w:tcMar>
            <w:vAlign w:val="center"/>
            <w:hideMark/>
          </w:tcPr>
          <w:p w14:paraId="2A1DA8A2" w14:textId="77777777" w:rsidR="00405995" w:rsidRPr="00FE7071" w:rsidRDefault="00405995" w:rsidP="00341517">
            <w:pPr>
              <w:spacing w:after="0"/>
              <w:rPr>
                <w:rFonts w:eastAsia="MS Mincho" w:cstheme="minorHAnsi"/>
                <w:bCs/>
                <w:sz w:val="18"/>
                <w:szCs w:val="18"/>
              </w:rPr>
            </w:pPr>
          </w:p>
        </w:tc>
        <w:tc>
          <w:tcPr>
            <w:tcW w:w="288" w:type="pct"/>
            <w:vMerge/>
            <w:tcMar>
              <w:left w:w="57" w:type="dxa"/>
              <w:right w:w="57" w:type="dxa"/>
            </w:tcMar>
            <w:vAlign w:val="center"/>
            <w:hideMark/>
          </w:tcPr>
          <w:p w14:paraId="4EDB2398" w14:textId="77777777" w:rsidR="00405995" w:rsidRPr="00FE7071" w:rsidRDefault="00405995" w:rsidP="00341517">
            <w:pPr>
              <w:spacing w:after="0"/>
              <w:rPr>
                <w:rFonts w:eastAsia="MS Mincho" w:cstheme="minorHAnsi"/>
                <w:sz w:val="18"/>
                <w:szCs w:val="18"/>
              </w:rPr>
            </w:pPr>
          </w:p>
        </w:tc>
        <w:tc>
          <w:tcPr>
            <w:tcW w:w="727" w:type="pct"/>
            <w:vMerge/>
            <w:tcMar>
              <w:left w:w="57" w:type="dxa"/>
              <w:right w:w="57" w:type="dxa"/>
            </w:tcMar>
            <w:vAlign w:val="center"/>
            <w:hideMark/>
          </w:tcPr>
          <w:p w14:paraId="47F168C4" w14:textId="77777777" w:rsidR="00405995" w:rsidRPr="00FE7071" w:rsidRDefault="00405995" w:rsidP="00341517">
            <w:pPr>
              <w:spacing w:after="0"/>
              <w:rPr>
                <w:rFonts w:eastAsia="MS Mincho" w:cstheme="minorHAnsi"/>
                <w:sz w:val="18"/>
                <w:szCs w:val="18"/>
              </w:rPr>
            </w:pPr>
          </w:p>
        </w:tc>
        <w:tc>
          <w:tcPr>
            <w:tcW w:w="859" w:type="pct"/>
            <w:shd w:val="clear" w:color="auto" w:fill="FFFFFF" w:themeFill="background1"/>
            <w:tcMar>
              <w:left w:w="57" w:type="dxa"/>
              <w:right w:w="57" w:type="dxa"/>
            </w:tcMar>
            <w:hideMark/>
          </w:tcPr>
          <w:p w14:paraId="134D0C49"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8 Sept 2017</w:t>
            </w:r>
          </w:p>
        </w:tc>
        <w:tc>
          <w:tcPr>
            <w:tcW w:w="644" w:type="pct"/>
            <w:shd w:val="clear" w:color="auto" w:fill="FFFFFF" w:themeFill="background1"/>
            <w:tcMar>
              <w:left w:w="57" w:type="dxa"/>
              <w:right w:w="57" w:type="dxa"/>
            </w:tcMar>
            <w:hideMark/>
          </w:tcPr>
          <w:p w14:paraId="0DDD0146"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shd w:val="clear" w:color="auto" w:fill="FFFFFF" w:themeFill="background1"/>
            <w:tcMar>
              <w:left w:w="57" w:type="dxa"/>
              <w:right w:w="57" w:type="dxa"/>
            </w:tcMar>
            <w:hideMark/>
          </w:tcPr>
          <w:p w14:paraId="7286891B"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1, 2, 3, 6, 10, 12, 13,15</w:t>
            </w:r>
          </w:p>
        </w:tc>
        <w:tc>
          <w:tcPr>
            <w:tcW w:w="996" w:type="pct"/>
            <w:shd w:val="clear" w:color="auto" w:fill="FFFFFF" w:themeFill="background1"/>
            <w:tcMar>
              <w:left w:w="57" w:type="dxa"/>
              <w:right w:w="57" w:type="dxa"/>
            </w:tcMar>
            <w:hideMark/>
          </w:tcPr>
          <w:p w14:paraId="2E46D73B"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73E67C98" w14:textId="77777777" w:rsidTr="00405995">
        <w:trPr>
          <w:jc w:val="center"/>
        </w:trPr>
        <w:tc>
          <w:tcPr>
            <w:tcW w:w="0" w:type="auto"/>
            <w:vMerge/>
            <w:tcMar>
              <w:left w:w="57" w:type="dxa"/>
              <w:right w:w="57" w:type="dxa"/>
            </w:tcMar>
            <w:vAlign w:val="center"/>
            <w:hideMark/>
          </w:tcPr>
          <w:p w14:paraId="34D4F3E6" w14:textId="77777777" w:rsidR="00405995" w:rsidRPr="00FE7071" w:rsidRDefault="00405995" w:rsidP="00341517">
            <w:pPr>
              <w:spacing w:after="0"/>
              <w:rPr>
                <w:rFonts w:eastAsia="MS Mincho" w:cstheme="minorHAnsi"/>
                <w:bCs/>
                <w:sz w:val="18"/>
                <w:szCs w:val="18"/>
              </w:rPr>
            </w:pPr>
          </w:p>
        </w:tc>
        <w:tc>
          <w:tcPr>
            <w:tcW w:w="288" w:type="pct"/>
            <w:vMerge w:val="restart"/>
            <w:tcMar>
              <w:left w:w="57" w:type="dxa"/>
              <w:right w:w="57" w:type="dxa"/>
            </w:tcMar>
            <w:vAlign w:val="center"/>
            <w:hideMark/>
          </w:tcPr>
          <w:p w14:paraId="689D7D6B"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9</w:t>
            </w:r>
          </w:p>
        </w:tc>
        <w:tc>
          <w:tcPr>
            <w:tcW w:w="727" w:type="pct"/>
            <w:vMerge w:val="restart"/>
            <w:shd w:val="clear" w:color="auto" w:fill="FFFFFF" w:themeFill="background1"/>
            <w:tcMar>
              <w:left w:w="57" w:type="dxa"/>
              <w:right w:w="57" w:type="dxa"/>
            </w:tcMar>
            <w:vAlign w:val="center"/>
            <w:hideMark/>
          </w:tcPr>
          <w:p w14:paraId="7CE15AEB"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 xml:space="preserve">Post </w:t>
            </w:r>
            <w:r>
              <w:rPr>
                <w:rFonts w:asciiTheme="minorHAnsi" w:hAnsiTheme="minorHAnsi" w:cstheme="minorHAnsi"/>
                <w:sz w:val="18"/>
                <w:szCs w:val="18"/>
              </w:rPr>
              <w:t>Spring Fresh</w:t>
            </w:r>
          </w:p>
        </w:tc>
        <w:tc>
          <w:tcPr>
            <w:tcW w:w="859" w:type="pct"/>
            <w:shd w:val="clear" w:color="auto" w:fill="FFFFFF" w:themeFill="background1"/>
            <w:tcMar>
              <w:left w:w="57" w:type="dxa"/>
              <w:right w:w="57" w:type="dxa"/>
            </w:tcMar>
            <w:hideMark/>
          </w:tcPr>
          <w:p w14:paraId="6C69DC89"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14 Dec 2017</w:t>
            </w:r>
          </w:p>
        </w:tc>
        <w:tc>
          <w:tcPr>
            <w:tcW w:w="644" w:type="pct"/>
            <w:shd w:val="clear" w:color="auto" w:fill="FFFFFF" w:themeFill="background1"/>
            <w:tcMar>
              <w:left w:w="57" w:type="dxa"/>
              <w:right w:w="57" w:type="dxa"/>
            </w:tcMar>
            <w:hideMark/>
          </w:tcPr>
          <w:p w14:paraId="343E54A7"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 xml:space="preserve">Loch Garry </w:t>
            </w:r>
          </w:p>
        </w:tc>
        <w:tc>
          <w:tcPr>
            <w:tcW w:w="1073" w:type="pct"/>
            <w:shd w:val="clear" w:color="auto" w:fill="FFFFFF" w:themeFill="background1"/>
            <w:tcMar>
              <w:left w:w="57" w:type="dxa"/>
              <w:right w:w="57" w:type="dxa"/>
            </w:tcMar>
            <w:hideMark/>
          </w:tcPr>
          <w:p w14:paraId="56425F43"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8, 9, 10, 12, 13</w:t>
            </w:r>
          </w:p>
        </w:tc>
        <w:tc>
          <w:tcPr>
            <w:tcW w:w="996" w:type="pct"/>
            <w:shd w:val="clear" w:color="auto" w:fill="FFFFFF" w:themeFill="background1"/>
            <w:tcMar>
              <w:left w:w="57" w:type="dxa"/>
              <w:right w:w="57" w:type="dxa"/>
            </w:tcMar>
            <w:hideMark/>
          </w:tcPr>
          <w:p w14:paraId="4B4D69F3"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1, 3, 5, 8, 9, 12, 13, 15</w:t>
            </w:r>
          </w:p>
        </w:tc>
      </w:tr>
      <w:tr w:rsidR="00405995" w:rsidRPr="00FE7071" w14:paraId="0AD8FC56" w14:textId="77777777" w:rsidTr="00405995">
        <w:trPr>
          <w:jc w:val="center"/>
        </w:trPr>
        <w:tc>
          <w:tcPr>
            <w:tcW w:w="0" w:type="auto"/>
            <w:vMerge/>
            <w:tcBorders>
              <w:bottom w:val="single" w:sz="4" w:space="0" w:color="auto"/>
            </w:tcBorders>
            <w:tcMar>
              <w:left w:w="57" w:type="dxa"/>
              <w:right w:w="57" w:type="dxa"/>
            </w:tcMar>
            <w:vAlign w:val="center"/>
            <w:hideMark/>
          </w:tcPr>
          <w:p w14:paraId="6C46D3F1" w14:textId="77777777" w:rsidR="00405995" w:rsidRPr="00FE7071" w:rsidRDefault="00405995" w:rsidP="00341517">
            <w:pPr>
              <w:spacing w:after="0"/>
              <w:rPr>
                <w:rFonts w:eastAsia="MS Mincho" w:cstheme="minorHAnsi"/>
                <w:bCs/>
                <w:sz w:val="18"/>
                <w:szCs w:val="18"/>
              </w:rPr>
            </w:pPr>
          </w:p>
        </w:tc>
        <w:tc>
          <w:tcPr>
            <w:tcW w:w="288" w:type="pct"/>
            <w:vMerge/>
            <w:tcMar>
              <w:left w:w="57" w:type="dxa"/>
              <w:right w:w="57" w:type="dxa"/>
            </w:tcMar>
            <w:vAlign w:val="center"/>
            <w:hideMark/>
          </w:tcPr>
          <w:p w14:paraId="743DC726" w14:textId="77777777" w:rsidR="00405995" w:rsidRPr="00FE7071" w:rsidRDefault="00405995" w:rsidP="00341517">
            <w:pPr>
              <w:spacing w:after="0"/>
              <w:rPr>
                <w:rFonts w:eastAsia="MS Mincho" w:cstheme="minorHAnsi"/>
                <w:sz w:val="18"/>
                <w:szCs w:val="18"/>
              </w:rPr>
            </w:pPr>
          </w:p>
        </w:tc>
        <w:tc>
          <w:tcPr>
            <w:tcW w:w="727" w:type="pct"/>
            <w:vMerge/>
            <w:tcMar>
              <w:left w:w="57" w:type="dxa"/>
              <w:right w:w="57" w:type="dxa"/>
            </w:tcMar>
            <w:vAlign w:val="center"/>
            <w:hideMark/>
          </w:tcPr>
          <w:p w14:paraId="010DEDBA" w14:textId="77777777" w:rsidR="00405995" w:rsidRPr="00FE7071" w:rsidRDefault="00405995" w:rsidP="00341517">
            <w:pPr>
              <w:spacing w:after="0"/>
              <w:rPr>
                <w:rFonts w:eastAsia="MS Mincho" w:cstheme="minorHAnsi"/>
                <w:sz w:val="18"/>
                <w:szCs w:val="18"/>
              </w:rPr>
            </w:pPr>
          </w:p>
        </w:tc>
        <w:tc>
          <w:tcPr>
            <w:tcW w:w="859" w:type="pct"/>
            <w:shd w:val="clear" w:color="auto" w:fill="FFFFFF" w:themeFill="background1"/>
            <w:tcMar>
              <w:left w:w="57" w:type="dxa"/>
              <w:right w:w="57" w:type="dxa"/>
            </w:tcMar>
            <w:hideMark/>
          </w:tcPr>
          <w:p w14:paraId="0E65A1DC"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15 Dec 2017</w:t>
            </w:r>
          </w:p>
        </w:tc>
        <w:tc>
          <w:tcPr>
            <w:tcW w:w="644" w:type="pct"/>
            <w:shd w:val="clear" w:color="auto" w:fill="FFFFFF" w:themeFill="background1"/>
            <w:tcMar>
              <w:left w:w="57" w:type="dxa"/>
              <w:right w:w="57" w:type="dxa"/>
            </w:tcMar>
            <w:hideMark/>
          </w:tcPr>
          <w:p w14:paraId="6BFF2B9E"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shd w:val="clear" w:color="auto" w:fill="FFFFFF" w:themeFill="background1"/>
            <w:tcMar>
              <w:left w:w="57" w:type="dxa"/>
              <w:right w:w="57" w:type="dxa"/>
            </w:tcMar>
            <w:hideMark/>
          </w:tcPr>
          <w:p w14:paraId="373948AB"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1, 2, 3, 6, 10, 12, 13, 15</w:t>
            </w:r>
          </w:p>
        </w:tc>
        <w:tc>
          <w:tcPr>
            <w:tcW w:w="996" w:type="pct"/>
            <w:shd w:val="clear" w:color="auto" w:fill="FFFFFF" w:themeFill="background1"/>
            <w:tcMar>
              <w:left w:w="57" w:type="dxa"/>
              <w:right w:w="57" w:type="dxa"/>
            </w:tcMar>
            <w:hideMark/>
          </w:tcPr>
          <w:p w14:paraId="2BA59885"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6DF8FD76" w14:textId="77777777" w:rsidTr="00405995">
        <w:trPr>
          <w:jc w:val="center"/>
        </w:trPr>
        <w:tc>
          <w:tcPr>
            <w:tcW w:w="413" w:type="pct"/>
            <w:vMerge w:val="restart"/>
            <w:tcMar>
              <w:left w:w="57" w:type="dxa"/>
              <w:right w:w="57" w:type="dxa"/>
            </w:tcMar>
            <w:vAlign w:val="center"/>
            <w:hideMark/>
          </w:tcPr>
          <w:p w14:paraId="415536CD"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hAnsiTheme="minorHAnsi" w:cstheme="minorHAnsi"/>
                <w:sz w:val="18"/>
                <w:szCs w:val="18"/>
              </w:rPr>
              <w:t>2018-19</w:t>
            </w:r>
          </w:p>
        </w:tc>
        <w:tc>
          <w:tcPr>
            <w:tcW w:w="288" w:type="pct"/>
            <w:vMerge w:val="restart"/>
            <w:tcMar>
              <w:left w:w="57" w:type="dxa"/>
              <w:right w:w="57" w:type="dxa"/>
            </w:tcMar>
            <w:vAlign w:val="center"/>
            <w:hideMark/>
          </w:tcPr>
          <w:p w14:paraId="7D241BDA"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10</w:t>
            </w:r>
          </w:p>
        </w:tc>
        <w:tc>
          <w:tcPr>
            <w:tcW w:w="727" w:type="pct"/>
            <w:vMerge w:val="restart"/>
            <w:shd w:val="clear" w:color="auto" w:fill="FFFFFF" w:themeFill="background1"/>
            <w:tcMar>
              <w:left w:w="57" w:type="dxa"/>
              <w:right w:w="57" w:type="dxa"/>
            </w:tcMar>
            <w:vAlign w:val="center"/>
            <w:hideMark/>
          </w:tcPr>
          <w:p w14:paraId="6D4D820A"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Pre-Spring</w:t>
            </w:r>
            <w:r>
              <w:rPr>
                <w:rFonts w:asciiTheme="minorHAnsi" w:hAnsiTheme="minorHAnsi" w:cstheme="minorHAnsi"/>
                <w:sz w:val="18"/>
                <w:szCs w:val="18"/>
              </w:rPr>
              <w:t xml:space="preserve"> Fresh</w:t>
            </w:r>
          </w:p>
        </w:tc>
        <w:tc>
          <w:tcPr>
            <w:tcW w:w="859" w:type="pct"/>
            <w:shd w:val="clear" w:color="auto" w:fill="FFFFFF" w:themeFill="background1"/>
            <w:tcMar>
              <w:left w:w="57" w:type="dxa"/>
              <w:right w:w="57" w:type="dxa"/>
            </w:tcMar>
            <w:hideMark/>
          </w:tcPr>
          <w:p w14:paraId="51829F9C"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11 Sept 2018</w:t>
            </w:r>
          </w:p>
        </w:tc>
        <w:tc>
          <w:tcPr>
            <w:tcW w:w="644" w:type="pct"/>
            <w:shd w:val="clear" w:color="auto" w:fill="FFFFFF" w:themeFill="background1"/>
            <w:tcMar>
              <w:left w:w="57" w:type="dxa"/>
              <w:right w:w="57" w:type="dxa"/>
            </w:tcMar>
            <w:hideMark/>
          </w:tcPr>
          <w:p w14:paraId="1B3205C1"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 xml:space="preserve">Loch Garry </w:t>
            </w:r>
          </w:p>
        </w:tc>
        <w:tc>
          <w:tcPr>
            <w:tcW w:w="1073" w:type="pct"/>
            <w:shd w:val="clear" w:color="auto" w:fill="FFFFFF" w:themeFill="background1"/>
            <w:tcMar>
              <w:left w:w="57" w:type="dxa"/>
              <w:right w:w="57" w:type="dxa"/>
            </w:tcMar>
            <w:hideMark/>
          </w:tcPr>
          <w:p w14:paraId="69138E09"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1, 3, 5, 8, 10, 12, 13</w:t>
            </w:r>
          </w:p>
        </w:tc>
        <w:tc>
          <w:tcPr>
            <w:tcW w:w="996" w:type="pct"/>
            <w:shd w:val="clear" w:color="auto" w:fill="FFFFFF" w:themeFill="background1"/>
            <w:tcMar>
              <w:left w:w="57" w:type="dxa"/>
              <w:right w:w="57" w:type="dxa"/>
            </w:tcMar>
            <w:hideMark/>
          </w:tcPr>
          <w:p w14:paraId="2E3CCFB4"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1, 3, 5, 8, 9,12,13,15</w:t>
            </w:r>
          </w:p>
        </w:tc>
      </w:tr>
      <w:tr w:rsidR="00405995" w:rsidRPr="00FE7071" w14:paraId="4E9EEB6E" w14:textId="77777777" w:rsidTr="00405995">
        <w:trPr>
          <w:jc w:val="center"/>
        </w:trPr>
        <w:tc>
          <w:tcPr>
            <w:tcW w:w="413" w:type="pct"/>
            <w:vMerge/>
            <w:tcMar>
              <w:left w:w="57" w:type="dxa"/>
              <w:right w:w="57" w:type="dxa"/>
            </w:tcMar>
            <w:vAlign w:val="center"/>
          </w:tcPr>
          <w:p w14:paraId="0420863E"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vMerge/>
            <w:tcMar>
              <w:left w:w="57" w:type="dxa"/>
              <w:right w:w="57" w:type="dxa"/>
            </w:tcMar>
            <w:vAlign w:val="center"/>
          </w:tcPr>
          <w:p w14:paraId="6ECA9B10" w14:textId="77777777" w:rsidR="00405995" w:rsidRPr="00FE7071" w:rsidRDefault="00405995" w:rsidP="00341517">
            <w:pPr>
              <w:pStyle w:val="Tablesmalltext"/>
              <w:rPr>
                <w:rFonts w:asciiTheme="minorHAnsi" w:eastAsia="MS Mincho" w:hAnsiTheme="minorHAnsi" w:cstheme="minorHAnsi"/>
                <w:sz w:val="18"/>
                <w:szCs w:val="18"/>
              </w:rPr>
            </w:pPr>
          </w:p>
        </w:tc>
        <w:tc>
          <w:tcPr>
            <w:tcW w:w="727" w:type="pct"/>
            <w:vMerge/>
            <w:tcMar>
              <w:left w:w="57" w:type="dxa"/>
              <w:right w:w="57" w:type="dxa"/>
            </w:tcMar>
            <w:vAlign w:val="center"/>
            <w:hideMark/>
          </w:tcPr>
          <w:p w14:paraId="6DABAAE6" w14:textId="77777777" w:rsidR="00405995" w:rsidRPr="00FE7071" w:rsidRDefault="00405995" w:rsidP="00341517">
            <w:pPr>
              <w:spacing w:after="0"/>
              <w:rPr>
                <w:rFonts w:eastAsia="MS Mincho" w:cstheme="minorHAnsi"/>
                <w:sz w:val="18"/>
                <w:szCs w:val="18"/>
              </w:rPr>
            </w:pPr>
          </w:p>
        </w:tc>
        <w:tc>
          <w:tcPr>
            <w:tcW w:w="859" w:type="pct"/>
            <w:shd w:val="clear" w:color="auto" w:fill="FFFFFF" w:themeFill="background1"/>
            <w:tcMar>
              <w:left w:w="57" w:type="dxa"/>
              <w:right w:w="57" w:type="dxa"/>
            </w:tcMar>
            <w:hideMark/>
          </w:tcPr>
          <w:p w14:paraId="6DC81D95"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12 Sept 2018</w:t>
            </w:r>
          </w:p>
        </w:tc>
        <w:tc>
          <w:tcPr>
            <w:tcW w:w="644" w:type="pct"/>
            <w:shd w:val="clear" w:color="auto" w:fill="FFFFFF" w:themeFill="background1"/>
            <w:tcMar>
              <w:left w:w="57" w:type="dxa"/>
              <w:right w:w="57" w:type="dxa"/>
            </w:tcMar>
            <w:hideMark/>
          </w:tcPr>
          <w:p w14:paraId="3123C9DA"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shd w:val="clear" w:color="auto" w:fill="FFFFFF" w:themeFill="background1"/>
            <w:tcMar>
              <w:left w:w="57" w:type="dxa"/>
              <w:right w:w="57" w:type="dxa"/>
            </w:tcMar>
            <w:hideMark/>
          </w:tcPr>
          <w:p w14:paraId="45037940"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1, 2, 3, 6, 10, 12, 13, 15</w:t>
            </w:r>
          </w:p>
        </w:tc>
        <w:tc>
          <w:tcPr>
            <w:tcW w:w="996" w:type="pct"/>
            <w:shd w:val="clear" w:color="auto" w:fill="FFFFFF" w:themeFill="background1"/>
            <w:tcMar>
              <w:left w:w="57" w:type="dxa"/>
              <w:right w:w="57" w:type="dxa"/>
            </w:tcMar>
            <w:hideMark/>
          </w:tcPr>
          <w:p w14:paraId="314F69E9"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51FEBA95" w14:textId="77777777" w:rsidTr="00405995">
        <w:trPr>
          <w:trHeight w:val="294"/>
          <w:jc w:val="center"/>
        </w:trPr>
        <w:tc>
          <w:tcPr>
            <w:tcW w:w="413" w:type="pct"/>
            <w:vMerge/>
            <w:tcMar>
              <w:left w:w="57" w:type="dxa"/>
              <w:right w:w="57" w:type="dxa"/>
            </w:tcMar>
            <w:vAlign w:val="center"/>
          </w:tcPr>
          <w:p w14:paraId="41BAC85B"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vMerge w:val="restart"/>
            <w:tcMar>
              <w:left w:w="57" w:type="dxa"/>
              <w:right w:w="57" w:type="dxa"/>
            </w:tcMar>
            <w:vAlign w:val="center"/>
            <w:hideMark/>
          </w:tcPr>
          <w:p w14:paraId="35A52C64"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11</w:t>
            </w:r>
          </w:p>
        </w:tc>
        <w:tc>
          <w:tcPr>
            <w:tcW w:w="727" w:type="pct"/>
            <w:vMerge w:val="restart"/>
            <w:shd w:val="clear" w:color="auto" w:fill="FFFFFF" w:themeFill="background1"/>
            <w:tcMar>
              <w:left w:w="57" w:type="dxa"/>
              <w:right w:w="57" w:type="dxa"/>
            </w:tcMar>
            <w:vAlign w:val="center"/>
            <w:hideMark/>
          </w:tcPr>
          <w:p w14:paraId="1CA4D04C"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 xml:space="preserve">Post </w:t>
            </w:r>
            <w:r>
              <w:rPr>
                <w:rFonts w:asciiTheme="minorHAnsi" w:hAnsiTheme="minorHAnsi" w:cstheme="minorHAnsi"/>
                <w:sz w:val="18"/>
                <w:szCs w:val="18"/>
              </w:rPr>
              <w:t>Spring Fresh</w:t>
            </w:r>
            <w:r w:rsidRPr="00FE7071">
              <w:rPr>
                <w:rFonts w:asciiTheme="minorHAnsi" w:hAnsiTheme="minorHAnsi" w:cstheme="minorHAnsi"/>
                <w:sz w:val="18"/>
                <w:szCs w:val="18"/>
              </w:rPr>
              <w:t xml:space="preserve"> </w:t>
            </w:r>
          </w:p>
          <w:p w14:paraId="79D7B086"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Pre IVT</w:t>
            </w:r>
          </w:p>
        </w:tc>
        <w:tc>
          <w:tcPr>
            <w:tcW w:w="859" w:type="pct"/>
            <w:shd w:val="clear" w:color="auto" w:fill="FFFFFF" w:themeFill="background1"/>
            <w:tcMar>
              <w:left w:w="57" w:type="dxa"/>
              <w:right w:w="57" w:type="dxa"/>
            </w:tcMar>
            <w:hideMark/>
          </w:tcPr>
          <w:p w14:paraId="629BF85E"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10 &amp; 11 Dec 2018</w:t>
            </w:r>
          </w:p>
        </w:tc>
        <w:tc>
          <w:tcPr>
            <w:tcW w:w="644" w:type="pct"/>
            <w:shd w:val="clear" w:color="auto" w:fill="FFFFFF" w:themeFill="background1"/>
            <w:tcMar>
              <w:left w:w="57" w:type="dxa"/>
              <w:right w:w="57" w:type="dxa"/>
            </w:tcMar>
            <w:hideMark/>
          </w:tcPr>
          <w:p w14:paraId="14941960"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 xml:space="preserve">Loch Garry </w:t>
            </w:r>
          </w:p>
        </w:tc>
        <w:tc>
          <w:tcPr>
            <w:tcW w:w="1073" w:type="pct"/>
            <w:shd w:val="clear" w:color="auto" w:fill="FFFFFF" w:themeFill="background1"/>
            <w:tcMar>
              <w:left w:w="57" w:type="dxa"/>
              <w:right w:w="57" w:type="dxa"/>
            </w:tcMar>
            <w:hideMark/>
          </w:tcPr>
          <w:p w14:paraId="109E2895"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1, 3, 5, 8, 9, 10, 12, 13</w:t>
            </w:r>
          </w:p>
        </w:tc>
        <w:tc>
          <w:tcPr>
            <w:tcW w:w="996" w:type="pct"/>
            <w:shd w:val="clear" w:color="auto" w:fill="FFFFFF" w:themeFill="background1"/>
            <w:tcMar>
              <w:left w:w="57" w:type="dxa"/>
              <w:right w:w="57" w:type="dxa"/>
            </w:tcMar>
            <w:hideMark/>
          </w:tcPr>
          <w:p w14:paraId="1E879228"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1, 3, 5, 8, 9, 12, 13, 15</w:t>
            </w:r>
          </w:p>
        </w:tc>
      </w:tr>
      <w:tr w:rsidR="00405995" w:rsidRPr="00FE7071" w14:paraId="39ADA386" w14:textId="77777777" w:rsidTr="00405995">
        <w:trPr>
          <w:jc w:val="center"/>
        </w:trPr>
        <w:tc>
          <w:tcPr>
            <w:tcW w:w="413" w:type="pct"/>
            <w:vMerge/>
            <w:tcMar>
              <w:left w:w="57" w:type="dxa"/>
              <w:right w:w="57" w:type="dxa"/>
            </w:tcMar>
            <w:vAlign w:val="center"/>
          </w:tcPr>
          <w:p w14:paraId="3448CCDB"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vMerge/>
            <w:tcMar>
              <w:left w:w="57" w:type="dxa"/>
              <w:right w:w="57" w:type="dxa"/>
            </w:tcMar>
            <w:vAlign w:val="center"/>
          </w:tcPr>
          <w:p w14:paraId="67E7C885" w14:textId="77777777" w:rsidR="00405995" w:rsidRPr="00FE7071" w:rsidRDefault="00405995" w:rsidP="00341517">
            <w:pPr>
              <w:pStyle w:val="Tablesmalltext"/>
              <w:rPr>
                <w:rFonts w:asciiTheme="minorHAnsi" w:eastAsia="MS Mincho" w:hAnsiTheme="minorHAnsi" w:cstheme="minorHAnsi"/>
                <w:sz w:val="18"/>
                <w:szCs w:val="18"/>
              </w:rPr>
            </w:pPr>
          </w:p>
        </w:tc>
        <w:tc>
          <w:tcPr>
            <w:tcW w:w="727" w:type="pct"/>
            <w:vMerge/>
            <w:tcMar>
              <w:left w:w="57" w:type="dxa"/>
              <w:right w:w="57" w:type="dxa"/>
            </w:tcMar>
            <w:vAlign w:val="center"/>
            <w:hideMark/>
          </w:tcPr>
          <w:p w14:paraId="420483C9" w14:textId="77777777" w:rsidR="00405995" w:rsidRPr="00FE7071" w:rsidRDefault="00405995" w:rsidP="00341517">
            <w:pPr>
              <w:spacing w:after="0"/>
              <w:rPr>
                <w:rFonts w:eastAsia="MS Mincho" w:cstheme="minorHAnsi"/>
                <w:sz w:val="18"/>
                <w:szCs w:val="18"/>
              </w:rPr>
            </w:pPr>
          </w:p>
        </w:tc>
        <w:tc>
          <w:tcPr>
            <w:tcW w:w="859" w:type="pct"/>
            <w:shd w:val="clear" w:color="auto" w:fill="FFFFFF" w:themeFill="background1"/>
            <w:tcMar>
              <w:left w:w="57" w:type="dxa"/>
              <w:right w:w="57" w:type="dxa"/>
            </w:tcMar>
            <w:hideMark/>
          </w:tcPr>
          <w:p w14:paraId="42409E52"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11 &amp; 12 Dec 2018</w:t>
            </w:r>
          </w:p>
        </w:tc>
        <w:tc>
          <w:tcPr>
            <w:tcW w:w="644" w:type="pct"/>
            <w:shd w:val="clear" w:color="auto" w:fill="FFFFFF" w:themeFill="background1"/>
            <w:tcMar>
              <w:left w:w="57" w:type="dxa"/>
              <w:right w:w="57" w:type="dxa"/>
            </w:tcMar>
            <w:hideMark/>
          </w:tcPr>
          <w:p w14:paraId="440683A2"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shd w:val="clear" w:color="auto" w:fill="FFFFFF" w:themeFill="background1"/>
            <w:tcMar>
              <w:left w:w="57" w:type="dxa"/>
              <w:right w:w="57" w:type="dxa"/>
            </w:tcMar>
            <w:hideMark/>
          </w:tcPr>
          <w:p w14:paraId="48F4C182"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1, 2, 3, 10, 12, 13, 15</w:t>
            </w:r>
          </w:p>
        </w:tc>
        <w:tc>
          <w:tcPr>
            <w:tcW w:w="996" w:type="pct"/>
            <w:shd w:val="clear" w:color="auto" w:fill="FFFFFF" w:themeFill="background1"/>
            <w:tcMar>
              <w:left w:w="57" w:type="dxa"/>
              <w:right w:w="57" w:type="dxa"/>
            </w:tcMar>
            <w:hideMark/>
          </w:tcPr>
          <w:p w14:paraId="70B06207"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44AB58E3" w14:textId="77777777" w:rsidTr="00405995">
        <w:trPr>
          <w:jc w:val="center"/>
        </w:trPr>
        <w:tc>
          <w:tcPr>
            <w:tcW w:w="413" w:type="pct"/>
            <w:vMerge/>
            <w:tcBorders>
              <w:bottom w:val="single" w:sz="4" w:space="0" w:color="auto"/>
            </w:tcBorders>
            <w:tcMar>
              <w:left w:w="57" w:type="dxa"/>
              <w:right w:w="57" w:type="dxa"/>
            </w:tcMar>
            <w:vAlign w:val="center"/>
          </w:tcPr>
          <w:p w14:paraId="5567249E"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tcMar>
              <w:left w:w="57" w:type="dxa"/>
              <w:right w:w="57" w:type="dxa"/>
            </w:tcMar>
            <w:vAlign w:val="center"/>
            <w:hideMark/>
          </w:tcPr>
          <w:p w14:paraId="70F4B28A"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12</w:t>
            </w:r>
          </w:p>
        </w:tc>
        <w:tc>
          <w:tcPr>
            <w:tcW w:w="727" w:type="pct"/>
            <w:shd w:val="clear" w:color="auto" w:fill="FFFFFF" w:themeFill="background1"/>
            <w:tcMar>
              <w:left w:w="57" w:type="dxa"/>
              <w:right w:w="57" w:type="dxa"/>
            </w:tcMar>
            <w:vAlign w:val="center"/>
            <w:hideMark/>
          </w:tcPr>
          <w:p w14:paraId="76723C9C"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Post IVT</w:t>
            </w:r>
          </w:p>
        </w:tc>
        <w:tc>
          <w:tcPr>
            <w:tcW w:w="859" w:type="pct"/>
            <w:shd w:val="clear" w:color="auto" w:fill="FFFFFF" w:themeFill="background1"/>
            <w:tcMar>
              <w:left w:w="57" w:type="dxa"/>
              <w:right w:w="57" w:type="dxa"/>
            </w:tcMar>
            <w:hideMark/>
          </w:tcPr>
          <w:p w14:paraId="178C1CD8"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4-5 Mar 2019</w:t>
            </w:r>
          </w:p>
        </w:tc>
        <w:tc>
          <w:tcPr>
            <w:tcW w:w="644" w:type="pct"/>
            <w:shd w:val="clear" w:color="auto" w:fill="FFFFFF" w:themeFill="background1"/>
            <w:tcMar>
              <w:left w:w="57" w:type="dxa"/>
              <w:right w:w="57" w:type="dxa"/>
            </w:tcMar>
            <w:hideMark/>
          </w:tcPr>
          <w:p w14:paraId="753B3ACB"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shd w:val="clear" w:color="auto" w:fill="FFFFFF" w:themeFill="background1"/>
            <w:tcMar>
              <w:left w:w="57" w:type="dxa"/>
              <w:right w:w="57" w:type="dxa"/>
            </w:tcMar>
            <w:hideMark/>
          </w:tcPr>
          <w:p w14:paraId="7C4B8404"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1, 2, 3, 6, 10, 12, 13, 15</w:t>
            </w:r>
          </w:p>
        </w:tc>
        <w:tc>
          <w:tcPr>
            <w:tcW w:w="996" w:type="pct"/>
            <w:shd w:val="clear" w:color="auto" w:fill="FFFFFF" w:themeFill="background1"/>
            <w:tcMar>
              <w:left w:w="57" w:type="dxa"/>
              <w:right w:w="57" w:type="dxa"/>
            </w:tcMar>
            <w:hideMark/>
          </w:tcPr>
          <w:p w14:paraId="78147A78"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1329F5AA" w14:textId="77777777" w:rsidTr="00405995">
        <w:trPr>
          <w:jc w:val="center"/>
        </w:trPr>
        <w:tc>
          <w:tcPr>
            <w:tcW w:w="413" w:type="pct"/>
            <w:vMerge w:val="restart"/>
            <w:tcMar>
              <w:left w:w="57" w:type="dxa"/>
              <w:right w:w="57" w:type="dxa"/>
            </w:tcMar>
            <w:vAlign w:val="center"/>
            <w:hideMark/>
          </w:tcPr>
          <w:p w14:paraId="7C7DC9B6"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hAnsiTheme="minorHAnsi" w:cstheme="minorHAnsi"/>
                <w:sz w:val="18"/>
                <w:szCs w:val="18"/>
              </w:rPr>
              <w:t>2019-20</w:t>
            </w:r>
          </w:p>
        </w:tc>
        <w:tc>
          <w:tcPr>
            <w:tcW w:w="288" w:type="pct"/>
            <w:vMerge w:val="restart"/>
            <w:tcMar>
              <w:left w:w="57" w:type="dxa"/>
              <w:right w:w="57" w:type="dxa"/>
            </w:tcMar>
            <w:vAlign w:val="center"/>
            <w:hideMark/>
          </w:tcPr>
          <w:p w14:paraId="00B055BD"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13</w:t>
            </w:r>
          </w:p>
        </w:tc>
        <w:tc>
          <w:tcPr>
            <w:tcW w:w="727" w:type="pct"/>
            <w:vMerge w:val="restart"/>
            <w:shd w:val="clear" w:color="auto" w:fill="FFFFFF" w:themeFill="background1"/>
            <w:tcMar>
              <w:left w:w="57" w:type="dxa"/>
              <w:right w:w="57" w:type="dxa"/>
            </w:tcMar>
            <w:vAlign w:val="center"/>
            <w:hideMark/>
          </w:tcPr>
          <w:p w14:paraId="07D5E8A3"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Pre-Spring</w:t>
            </w:r>
            <w:r>
              <w:rPr>
                <w:rFonts w:asciiTheme="minorHAnsi" w:hAnsiTheme="minorHAnsi" w:cstheme="minorHAnsi"/>
                <w:sz w:val="18"/>
                <w:szCs w:val="18"/>
              </w:rPr>
              <w:t xml:space="preserve"> Fresh</w:t>
            </w:r>
          </w:p>
        </w:tc>
        <w:tc>
          <w:tcPr>
            <w:tcW w:w="859" w:type="pct"/>
            <w:shd w:val="clear" w:color="auto" w:fill="FFFFFF" w:themeFill="background1"/>
            <w:tcMar>
              <w:left w:w="57" w:type="dxa"/>
              <w:right w:w="57" w:type="dxa"/>
            </w:tcMar>
            <w:hideMark/>
          </w:tcPr>
          <w:p w14:paraId="344A78CD"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17 Sept 2019</w:t>
            </w:r>
          </w:p>
        </w:tc>
        <w:tc>
          <w:tcPr>
            <w:tcW w:w="644" w:type="pct"/>
            <w:shd w:val="clear" w:color="auto" w:fill="FFFFFF" w:themeFill="background1"/>
            <w:tcMar>
              <w:left w:w="57" w:type="dxa"/>
              <w:right w:w="57" w:type="dxa"/>
            </w:tcMar>
            <w:hideMark/>
          </w:tcPr>
          <w:p w14:paraId="28092FAC"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 xml:space="preserve">Loch Garry </w:t>
            </w:r>
          </w:p>
        </w:tc>
        <w:tc>
          <w:tcPr>
            <w:tcW w:w="1073" w:type="pct"/>
            <w:shd w:val="clear" w:color="auto" w:fill="FFFFFF" w:themeFill="background1"/>
            <w:tcMar>
              <w:left w:w="57" w:type="dxa"/>
              <w:right w:w="57" w:type="dxa"/>
            </w:tcMar>
            <w:hideMark/>
          </w:tcPr>
          <w:p w14:paraId="0376977E"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1, 3, 5, 8, 10, 12, 13</w:t>
            </w:r>
          </w:p>
        </w:tc>
        <w:tc>
          <w:tcPr>
            <w:tcW w:w="996" w:type="pct"/>
            <w:shd w:val="clear" w:color="auto" w:fill="FFFFFF" w:themeFill="background1"/>
            <w:tcMar>
              <w:left w:w="57" w:type="dxa"/>
              <w:right w:w="57" w:type="dxa"/>
            </w:tcMar>
            <w:hideMark/>
          </w:tcPr>
          <w:p w14:paraId="779E68DE"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1, 3, 5, 8, 9, 12, 13, 15</w:t>
            </w:r>
          </w:p>
        </w:tc>
      </w:tr>
      <w:tr w:rsidR="00405995" w:rsidRPr="00FE7071" w14:paraId="4BF7A4EE" w14:textId="77777777" w:rsidTr="00405995">
        <w:trPr>
          <w:jc w:val="center"/>
        </w:trPr>
        <w:tc>
          <w:tcPr>
            <w:tcW w:w="413" w:type="pct"/>
            <w:vMerge/>
            <w:tcMar>
              <w:left w:w="57" w:type="dxa"/>
              <w:right w:w="57" w:type="dxa"/>
            </w:tcMar>
            <w:vAlign w:val="center"/>
          </w:tcPr>
          <w:p w14:paraId="4BC230EE"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vMerge/>
            <w:tcMar>
              <w:left w:w="57" w:type="dxa"/>
              <w:right w:w="57" w:type="dxa"/>
            </w:tcMar>
            <w:vAlign w:val="center"/>
          </w:tcPr>
          <w:p w14:paraId="73DC00CF" w14:textId="77777777" w:rsidR="00405995" w:rsidRPr="00FE7071" w:rsidRDefault="00405995" w:rsidP="00341517">
            <w:pPr>
              <w:pStyle w:val="Tablesmalltext"/>
              <w:rPr>
                <w:rFonts w:asciiTheme="minorHAnsi" w:eastAsia="MS Mincho" w:hAnsiTheme="minorHAnsi" w:cstheme="minorHAnsi"/>
                <w:sz w:val="18"/>
                <w:szCs w:val="18"/>
              </w:rPr>
            </w:pPr>
          </w:p>
        </w:tc>
        <w:tc>
          <w:tcPr>
            <w:tcW w:w="727" w:type="pct"/>
            <w:vMerge/>
            <w:tcMar>
              <w:left w:w="57" w:type="dxa"/>
              <w:right w:w="57" w:type="dxa"/>
            </w:tcMar>
            <w:vAlign w:val="center"/>
            <w:hideMark/>
          </w:tcPr>
          <w:p w14:paraId="5A180A0C" w14:textId="77777777" w:rsidR="00405995" w:rsidRPr="00FE7071" w:rsidRDefault="00405995" w:rsidP="00341517">
            <w:pPr>
              <w:spacing w:after="0"/>
              <w:rPr>
                <w:rFonts w:eastAsia="MS Mincho" w:cstheme="minorHAnsi"/>
                <w:sz w:val="18"/>
                <w:szCs w:val="18"/>
              </w:rPr>
            </w:pPr>
          </w:p>
        </w:tc>
        <w:tc>
          <w:tcPr>
            <w:tcW w:w="859" w:type="pct"/>
            <w:shd w:val="clear" w:color="auto" w:fill="FFFFFF" w:themeFill="background1"/>
            <w:tcMar>
              <w:left w:w="57" w:type="dxa"/>
              <w:right w:w="57" w:type="dxa"/>
            </w:tcMar>
            <w:hideMark/>
          </w:tcPr>
          <w:p w14:paraId="67464A25"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16 Sept 2019</w:t>
            </w:r>
          </w:p>
        </w:tc>
        <w:tc>
          <w:tcPr>
            <w:tcW w:w="644" w:type="pct"/>
            <w:shd w:val="clear" w:color="auto" w:fill="FFFFFF" w:themeFill="background1"/>
            <w:tcMar>
              <w:left w:w="57" w:type="dxa"/>
              <w:right w:w="57" w:type="dxa"/>
            </w:tcMar>
            <w:hideMark/>
          </w:tcPr>
          <w:p w14:paraId="0E975AD7"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shd w:val="clear" w:color="auto" w:fill="FFFFFF" w:themeFill="background1"/>
            <w:tcMar>
              <w:left w:w="57" w:type="dxa"/>
              <w:right w:w="57" w:type="dxa"/>
            </w:tcMar>
            <w:hideMark/>
          </w:tcPr>
          <w:p w14:paraId="5F84A513"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1, 2, 3, 6, 10, 12, 13, 15</w:t>
            </w:r>
          </w:p>
        </w:tc>
        <w:tc>
          <w:tcPr>
            <w:tcW w:w="996" w:type="pct"/>
            <w:shd w:val="clear" w:color="auto" w:fill="FFFFFF" w:themeFill="background1"/>
            <w:tcMar>
              <w:left w:w="57" w:type="dxa"/>
              <w:right w:w="57" w:type="dxa"/>
            </w:tcMar>
            <w:hideMark/>
          </w:tcPr>
          <w:p w14:paraId="7EBDA1DD"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1CE448C5" w14:textId="77777777" w:rsidTr="00405995">
        <w:trPr>
          <w:trHeight w:val="361"/>
          <w:jc w:val="center"/>
        </w:trPr>
        <w:tc>
          <w:tcPr>
            <w:tcW w:w="413" w:type="pct"/>
            <w:vMerge/>
            <w:tcMar>
              <w:left w:w="57" w:type="dxa"/>
              <w:right w:w="57" w:type="dxa"/>
            </w:tcMar>
            <w:vAlign w:val="center"/>
          </w:tcPr>
          <w:p w14:paraId="767F0BDC"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vMerge w:val="restart"/>
            <w:tcMar>
              <w:left w:w="57" w:type="dxa"/>
              <w:right w:w="57" w:type="dxa"/>
            </w:tcMar>
            <w:vAlign w:val="center"/>
            <w:hideMark/>
          </w:tcPr>
          <w:p w14:paraId="02F6E91E"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14</w:t>
            </w:r>
          </w:p>
        </w:tc>
        <w:tc>
          <w:tcPr>
            <w:tcW w:w="727" w:type="pct"/>
            <w:vMerge w:val="restart"/>
            <w:shd w:val="clear" w:color="auto" w:fill="FFFFFF" w:themeFill="background1"/>
            <w:tcMar>
              <w:left w:w="57" w:type="dxa"/>
              <w:right w:w="57" w:type="dxa"/>
            </w:tcMar>
            <w:vAlign w:val="center"/>
            <w:hideMark/>
          </w:tcPr>
          <w:p w14:paraId="5559D07B"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 xml:space="preserve">Post </w:t>
            </w:r>
            <w:r>
              <w:rPr>
                <w:rFonts w:asciiTheme="minorHAnsi" w:hAnsiTheme="minorHAnsi" w:cstheme="minorHAnsi"/>
                <w:sz w:val="18"/>
                <w:szCs w:val="18"/>
              </w:rPr>
              <w:t>Spring Fresh</w:t>
            </w:r>
            <w:r w:rsidRPr="00FE7071">
              <w:rPr>
                <w:rFonts w:asciiTheme="minorHAnsi" w:hAnsiTheme="minorHAnsi" w:cstheme="minorHAnsi"/>
                <w:sz w:val="18"/>
                <w:szCs w:val="18"/>
              </w:rPr>
              <w:t xml:space="preserve"> </w:t>
            </w:r>
          </w:p>
          <w:p w14:paraId="719FDB72"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Pre IVT</w:t>
            </w:r>
          </w:p>
        </w:tc>
        <w:tc>
          <w:tcPr>
            <w:tcW w:w="859" w:type="pct"/>
            <w:shd w:val="clear" w:color="auto" w:fill="FFFFFF" w:themeFill="background1"/>
            <w:tcMar>
              <w:left w:w="57" w:type="dxa"/>
              <w:right w:w="57" w:type="dxa"/>
            </w:tcMar>
            <w:hideMark/>
          </w:tcPr>
          <w:p w14:paraId="1CB29050"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28 Nov2018</w:t>
            </w:r>
          </w:p>
        </w:tc>
        <w:tc>
          <w:tcPr>
            <w:tcW w:w="644" w:type="pct"/>
            <w:shd w:val="clear" w:color="auto" w:fill="FFFFFF" w:themeFill="background1"/>
            <w:tcMar>
              <w:left w:w="57" w:type="dxa"/>
              <w:right w:w="57" w:type="dxa"/>
            </w:tcMar>
            <w:hideMark/>
          </w:tcPr>
          <w:p w14:paraId="0957161F"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 xml:space="preserve">Loch Garry </w:t>
            </w:r>
          </w:p>
        </w:tc>
        <w:tc>
          <w:tcPr>
            <w:tcW w:w="1073" w:type="pct"/>
            <w:shd w:val="clear" w:color="auto" w:fill="FFFFFF" w:themeFill="background1"/>
            <w:tcMar>
              <w:left w:w="57" w:type="dxa"/>
              <w:right w:w="57" w:type="dxa"/>
            </w:tcMar>
            <w:hideMark/>
          </w:tcPr>
          <w:p w14:paraId="6CF85A8E"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1, 3, 5, 8, 9, 10, 12, 13</w:t>
            </w:r>
          </w:p>
        </w:tc>
        <w:tc>
          <w:tcPr>
            <w:tcW w:w="996" w:type="pct"/>
            <w:shd w:val="clear" w:color="auto" w:fill="FFFFFF" w:themeFill="background1"/>
            <w:tcMar>
              <w:left w:w="57" w:type="dxa"/>
              <w:right w:w="57" w:type="dxa"/>
            </w:tcMar>
            <w:hideMark/>
          </w:tcPr>
          <w:p w14:paraId="0EB6FBBD"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1, 3, 5, 8, 9, 12, 13 ,15</w:t>
            </w:r>
          </w:p>
        </w:tc>
      </w:tr>
      <w:tr w:rsidR="00405995" w:rsidRPr="00FE7071" w14:paraId="7A197179" w14:textId="77777777" w:rsidTr="00405995">
        <w:trPr>
          <w:jc w:val="center"/>
        </w:trPr>
        <w:tc>
          <w:tcPr>
            <w:tcW w:w="413" w:type="pct"/>
            <w:vMerge/>
            <w:tcMar>
              <w:left w:w="57" w:type="dxa"/>
              <w:right w:w="57" w:type="dxa"/>
            </w:tcMar>
            <w:vAlign w:val="center"/>
          </w:tcPr>
          <w:p w14:paraId="7CC86F80"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vMerge/>
            <w:tcMar>
              <w:left w:w="57" w:type="dxa"/>
              <w:right w:w="57" w:type="dxa"/>
            </w:tcMar>
            <w:vAlign w:val="center"/>
          </w:tcPr>
          <w:p w14:paraId="306A7BB6" w14:textId="77777777" w:rsidR="00405995" w:rsidRPr="00FE7071" w:rsidRDefault="00405995" w:rsidP="00341517">
            <w:pPr>
              <w:pStyle w:val="Tablesmalltext"/>
              <w:rPr>
                <w:rFonts w:asciiTheme="minorHAnsi" w:eastAsia="MS Mincho" w:hAnsiTheme="minorHAnsi" w:cstheme="minorHAnsi"/>
                <w:sz w:val="18"/>
                <w:szCs w:val="18"/>
              </w:rPr>
            </w:pPr>
          </w:p>
        </w:tc>
        <w:tc>
          <w:tcPr>
            <w:tcW w:w="727" w:type="pct"/>
            <w:vMerge/>
            <w:tcMar>
              <w:left w:w="57" w:type="dxa"/>
              <w:right w:w="57" w:type="dxa"/>
            </w:tcMar>
            <w:vAlign w:val="center"/>
            <w:hideMark/>
          </w:tcPr>
          <w:p w14:paraId="0018B27D" w14:textId="77777777" w:rsidR="00405995" w:rsidRPr="00FE7071" w:rsidRDefault="00405995" w:rsidP="00341517">
            <w:pPr>
              <w:spacing w:after="0"/>
              <w:rPr>
                <w:rFonts w:eastAsia="MS Mincho" w:cstheme="minorHAnsi"/>
                <w:sz w:val="18"/>
                <w:szCs w:val="18"/>
              </w:rPr>
            </w:pPr>
          </w:p>
        </w:tc>
        <w:tc>
          <w:tcPr>
            <w:tcW w:w="859" w:type="pct"/>
            <w:shd w:val="clear" w:color="auto" w:fill="FFFFFF" w:themeFill="background1"/>
            <w:tcMar>
              <w:left w:w="57" w:type="dxa"/>
              <w:right w:w="57" w:type="dxa"/>
            </w:tcMar>
            <w:hideMark/>
          </w:tcPr>
          <w:p w14:paraId="4E840FD2"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27 Nov 2019</w:t>
            </w:r>
          </w:p>
        </w:tc>
        <w:tc>
          <w:tcPr>
            <w:tcW w:w="644" w:type="pct"/>
            <w:shd w:val="clear" w:color="auto" w:fill="FFFFFF" w:themeFill="background1"/>
            <w:tcMar>
              <w:left w:w="57" w:type="dxa"/>
              <w:right w:w="57" w:type="dxa"/>
            </w:tcMar>
            <w:hideMark/>
          </w:tcPr>
          <w:p w14:paraId="3B5FBDCA"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shd w:val="clear" w:color="auto" w:fill="FFFFFF" w:themeFill="background1"/>
            <w:tcMar>
              <w:left w:w="57" w:type="dxa"/>
              <w:right w:w="57" w:type="dxa"/>
            </w:tcMar>
            <w:hideMark/>
          </w:tcPr>
          <w:p w14:paraId="6300AEF8"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1, 2, 3, 6, 10, 12, 13, 15</w:t>
            </w:r>
          </w:p>
        </w:tc>
        <w:tc>
          <w:tcPr>
            <w:tcW w:w="996" w:type="pct"/>
            <w:shd w:val="clear" w:color="auto" w:fill="FFFFFF" w:themeFill="background1"/>
            <w:tcMar>
              <w:left w:w="57" w:type="dxa"/>
              <w:right w:w="57" w:type="dxa"/>
            </w:tcMar>
            <w:hideMark/>
          </w:tcPr>
          <w:p w14:paraId="2C454FF7"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37581A4D" w14:textId="77777777" w:rsidTr="00405995">
        <w:trPr>
          <w:jc w:val="center"/>
        </w:trPr>
        <w:tc>
          <w:tcPr>
            <w:tcW w:w="413" w:type="pct"/>
            <w:vMerge/>
            <w:tcMar>
              <w:left w:w="57" w:type="dxa"/>
              <w:right w:w="57" w:type="dxa"/>
            </w:tcMar>
            <w:vAlign w:val="center"/>
          </w:tcPr>
          <w:p w14:paraId="3D231862"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vMerge w:val="restart"/>
            <w:tcMar>
              <w:left w:w="57" w:type="dxa"/>
              <w:right w:w="57" w:type="dxa"/>
            </w:tcMar>
            <w:vAlign w:val="center"/>
            <w:hideMark/>
          </w:tcPr>
          <w:p w14:paraId="066B30F6"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15</w:t>
            </w:r>
          </w:p>
        </w:tc>
        <w:tc>
          <w:tcPr>
            <w:tcW w:w="727" w:type="pct"/>
            <w:vMerge w:val="restart"/>
            <w:shd w:val="clear" w:color="auto" w:fill="FFFFFF" w:themeFill="background1"/>
            <w:tcMar>
              <w:left w:w="57" w:type="dxa"/>
              <w:right w:w="57" w:type="dxa"/>
            </w:tcMar>
            <w:vAlign w:val="center"/>
            <w:hideMark/>
          </w:tcPr>
          <w:p w14:paraId="5941FA2C"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Post IVT</w:t>
            </w:r>
          </w:p>
        </w:tc>
        <w:tc>
          <w:tcPr>
            <w:tcW w:w="859" w:type="pct"/>
            <w:shd w:val="clear" w:color="auto" w:fill="FFFFFF" w:themeFill="background1"/>
            <w:tcMar>
              <w:left w:w="57" w:type="dxa"/>
              <w:right w:w="57" w:type="dxa"/>
            </w:tcMar>
            <w:hideMark/>
          </w:tcPr>
          <w:p w14:paraId="53275BA6"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2 Mar 2020</w:t>
            </w:r>
          </w:p>
        </w:tc>
        <w:tc>
          <w:tcPr>
            <w:tcW w:w="644" w:type="pct"/>
            <w:shd w:val="clear" w:color="auto" w:fill="FFFFFF" w:themeFill="background1"/>
            <w:tcMar>
              <w:left w:w="57" w:type="dxa"/>
              <w:right w:w="57" w:type="dxa"/>
            </w:tcMar>
            <w:hideMark/>
          </w:tcPr>
          <w:p w14:paraId="27F3DE33"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Loch Garry</w:t>
            </w:r>
          </w:p>
        </w:tc>
        <w:tc>
          <w:tcPr>
            <w:tcW w:w="1073" w:type="pct"/>
            <w:shd w:val="clear" w:color="auto" w:fill="FFFFFF" w:themeFill="background1"/>
            <w:tcMar>
              <w:left w:w="57" w:type="dxa"/>
              <w:right w:w="57" w:type="dxa"/>
            </w:tcMar>
            <w:hideMark/>
          </w:tcPr>
          <w:p w14:paraId="51A01DC6"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1, 3, 5, 8, 9, 10, 12, 13</w:t>
            </w:r>
          </w:p>
        </w:tc>
        <w:tc>
          <w:tcPr>
            <w:tcW w:w="996" w:type="pct"/>
            <w:shd w:val="clear" w:color="auto" w:fill="FFFFFF" w:themeFill="background1"/>
            <w:tcMar>
              <w:left w:w="57" w:type="dxa"/>
              <w:right w:w="57" w:type="dxa"/>
            </w:tcMar>
            <w:hideMark/>
          </w:tcPr>
          <w:p w14:paraId="06A30734"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1, 3, 5, 8, 9, 12, 13, 15</w:t>
            </w:r>
          </w:p>
        </w:tc>
      </w:tr>
      <w:tr w:rsidR="00405995" w:rsidRPr="00FE7071" w14:paraId="37428597" w14:textId="77777777" w:rsidTr="00405995">
        <w:trPr>
          <w:jc w:val="center"/>
        </w:trPr>
        <w:tc>
          <w:tcPr>
            <w:tcW w:w="413" w:type="pct"/>
            <w:vMerge/>
            <w:tcMar>
              <w:left w:w="57" w:type="dxa"/>
              <w:right w:w="57" w:type="dxa"/>
            </w:tcMar>
          </w:tcPr>
          <w:p w14:paraId="49F5CF98"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vMerge/>
            <w:tcMar>
              <w:left w:w="57" w:type="dxa"/>
              <w:right w:w="57" w:type="dxa"/>
            </w:tcMar>
          </w:tcPr>
          <w:p w14:paraId="7629C8F7" w14:textId="77777777" w:rsidR="00405995" w:rsidRPr="00FE7071" w:rsidRDefault="00405995" w:rsidP="00341517">
            <w:pPr>
              <w:pStyle w:val="Tablesmalltext"/>
              <w:rPr>
                <w:rFonts w:asciiTheme="minorHAnsi" w:eastAsia="MS Mincho" w:hAnsiTheme="minorHAnsi" w:cstheme="minorHAnsi"/>
                <w:sz w:val="18"/>
                <w:szCs w:val="18"/>
              </w:rPr>
            </w:pPr>
          </w:p>
        </w:tc>
        <w:tc>
          <w:tcPr>
            <w:tcW w:w="727" w:type="pct"/>
            <w:vMerge/>
            <w:shd w:val="clear" w:color="auto" w:fill="FFFFFF" w:themeFill="background1"/>
            <w:tcMar>
              <w:left w:w="57" w:type="dxa"/>
              <w:right w:w="57" w:type="dxa"/>
            </w:tcMar>
          </w:tcPr>
          <w:p w14:paraId="3C0FA843" w14:textId="77777777" w:rsidR="00405995" w:rsidRPr="00FE7071" w:rsidRDefault="00405995" w:rsidP="00341517">
            <w:pPr>
              <w:pStyle w:val="Tablesmalltext"/>
              <w:rPr>
                <w:rFonts w:asciiTheme="minorHAnsi" w:hAnsiTheme="minorHAnsi" w:cstheme="minorHAnsi"/>
                <w:sz w:val="18"/>
                <w:szCs w:val="18"/>
              </w:rPr>
            </w:pPr>
          </w:p>
        </w:tc>
        <w:tc>
          <w:tcPr>
            <w:tcW w:w="859" w:type="pct"/>
            <w:shd w:val="clear" w:color="auto" w:fill="FFFFFF" w:themeFill="background1"/>
            <w:tcMar>
              <w:left w:w="57" w:type="dxa"/>
              <w:right w:w="57" w:type="dxa"/>
            </w:tcMar>
            <w:hideMark/>
          </w:tcPr>
          <w:p w14:paraId="3FB6E7FC"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3 Mar 2020</w:t>
            </w:r>
          </w:p>
        </w:tc>
        <w:tc>
          <w:tcPr>
            <w:tcW w:w="644" w:type="pct"/>
            <w:shd w:val="clear" w:color="auto" w:fill="FFFFFF" w:themeFill="background1"/>
            <w:tcMar>
              <w:left w:w="57" w:type="dxa"/>
              <w:right w:w="57" w:type="dxa"/>
            </w:tcMar>
            <w:hideMark/>
          </w:tcPr>
          <w:p w14:paraId="66EE799F"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McCoy’s Bridge</w:t>
            </w:r>
          </w:p>
        </w:tc>
        <w:tc>
          <w:tcPr>
            <w:tcW w:w="1073" w:type="pct"/>
            <w:shd w:val="clear" w:color="auto" w:fill="FFFFFF" w:themeFill="background1"/>
            <w:tcMar>
              <w:left w:w="57" w:type="dxa"/>
              <w:right w:w="57" w:type="dxa"/>
            </w:tcMar>
            <w:hideMark/>
          </w:tcPr>
          <w:p w14:paraId="65BCC91D"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hAnsiTheme="minorHAnsi" w:cstheme="minorHAnsi"/>
                <w:sz w:val="18"/>
                <w:szCs w:val="18"/>
              </w:rPr>
              <w:t>1, 2, 3, 6, 10, 12, 13, 15</w:t>
            </w:r>
          </w:p>
        </w:tc>
        <w:tc>
          <w:tcPr>
            <w:tcW w:w="996" w:type="pct"/>
            <w:shd w:val="clear" w:color="auto" w:fill="FFFFFF" w:themeFill="background1"/>
            <w:tcMar>
              <w:left w:w="57" w:type="dxa"/>
              <w:right w:w="57" w:type="dxa"/>
            </w:tcMar>
            <w:hideMark/>
          </w:tcPr>
          <w:p w14:paraId="167C3D26"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4D7422B2" w14:textId="77777777" w:rsidTr="00405995">
        <w:trPr>
          <w:jc w:val="center"/>
        </w:trPr>
        <w:tc>
          <w:tcPr>
            <w:tcW w:w="413" w:type="pct"/>
            <w:vMerge w:val="restart"/>
            <w:tcMar>
              <w:left w:w="57" w:type="dxa"/>
              <w:right w:w="57" w:type="dxa"/>
            </w:tcMar>
          </w:tcPr>
          <w:p w14:paraId="0E0BC0D5" w14:textId="77777777" w:rsidR="00405995" w:rsidRPr="00FE7071" w:rsidRDefault="00405995" w:rsidP="00341517">
            <w:pPr>
              <w:pStyle w:val="Tablesmalltext"/>
              <w:rPr>
                <w:rFonts w:asciiTheme="minorHAnsi" w:eastAsia="MS Mincho" w:hAnsiTheme="minorHAnsi" w:cstheme="minorHAnsi"/>
                <w:bCs/>
                <w:sz w:val="18"/>
                <w:szCs w:val="18"/>
              </w:rPr>
            </w:pPr>
          </w:p>
          <w:p w14:paraId="73F17016" w14:textId="77777777" w:rsidR="00405995" w:rsidRPr="00FE7071" w:rsidRDefault="00405995" w:rsidP="00341517">
            <w:pPr>
              <w:pStyle w:val="Tablesmalltext"/>
              <w:rPr>
                <w:rFonts w:asciiTheme="minorHAnsi" w:eastAsia="MS Mincho" w:hAnsiTheme="minorHAnsi" w:cstheme="minorHAnsi"/>
                <w:bCs/>
                <w:sz w:val="18"/>
                <w:szCs w:val="18"/>
              </w:rPr>
            </w:pPr>
          </w:p>
          <w:p w14:paraId="1065EB7D" w14:textId="77777777" w:rsidR="00405995" w:rsidRPr="00FE7071" w:rsidRDefault="00405995" w:rsidP="00341517">
            <w:pPr>
              <w:pStyle w:val="Tablesmalltext"/>
              <w:rPr>
                <w:rFonts w:asciiTheme="minorHAnsi" w:eastAsia="MS Mincho" w:hAnsiTheme="minorHAnsi" w:cstheme="minorHAnsi"/>
                <w:bCs/>
                <w:sz w:val="18"/>
                <w:szCs w:val="18"/>
              </w:rPr>
            </w:pPr>
          </w:p>
          <w:p w14:paraId="3107D8AD" w14:textId="77777777" w:rsidR="00405995" w:rsidRPr="00FE7071" w:rsidRDefault="00405995" w:rsidP="00341517">
            <w:pPr>
              <w:pStyle w:val="Tablesmalltext"/>
              <w:rPr>
                <w:rFonts w:asciiTheme="minorHAnsi" w:eastAsia="MS Mincho" w:hAnsiTheme="minorHAnsi" w:cstheme="minorHAnsi"/>
                <w:bCs/>
                <w:sz w:val="18"/>
                <w:szCs w:val="18"/>
              </w:rPr>
            </w:pPr>
            <w:r w:rsidRPr="00FE7071">
              <w:rPr>
                <w:rFonts w:asciiTheme="minorHAnsi" w:eastAsia="MS Mincho" w:hAnsiTheme="minorHAnsi" w:cstheme="minorHAnsi"/>
                <w:bCs/>
                <w:sz w:val="18"/>
                <w:szCs w:val="18"/>
              </w:rPr>
              <w:t>2020-21</w:t>
            </w:r>
          </w:p>
        </w:tc>
        <w:tc>
          <w:tcPr>
            <w:tcW w:w="288" w:type="pct"/>
            <w:vMerge w:val="restart"/>
            <w:tcMar>
              <w:left w:w="57" w:type="dxa"/>
              <w:right w:w="57" w:type="dxa"/>
            </w:tcMar>
          </w:tcPr>
          <w:p w14:paraId="15103C84"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eastAsia="MS Mincho" w:hAnsiTheme="minorHAnsi" w:cstheme="minorHAnsi"/>
                <w:sz w:val="18"/>
                <w:szCs w:val="18"/>
              </w:rPr>
              <w:t>16</w:t>
            </w:r>
          </w:p>
        </w:tc>
        <w:tc>
          <w:tcPr>
            <w:tcW w:w="727" w:type="pct"/>
            <w:vMerge w:val="restart"/>
            <w:shd w:val="clear" w:color="auto" w:fill="FFFFFF" w:themeFill="background1"/>
            <w:tcMar>
              <w:left w:w="57" w:type="dxa"/>
              <w:right w:w="57" w:type="dxa"/>
            </w:tcMar>
          </w:tcPr>
          <w:p w14:paraId="2AEE5B5D"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Post natural fresh</w:t>
            </w:r>
          </w:p>
        </w:tc>
        <w:tc>
          <w:tcPr>
            <w:tcW w:w="859" w:type="pct"/>
            <w:shd w:val="clear" w:color="auto" w:fill="FFFFFF" w:themeFill="background1"/>
            <w:tcMar>
              <w:left w:w="57" w:type="dxa"/>
              <w:right w:w="57" w:type="dxa"/>
            </w:tcMar>
          </w:tcPr>
          <w:p w14:paraId="1533B63C"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4 Nov 2020</w:t>
            </w:r>
          </w:p>
        </w:tc>
        <w:tc>
          <w:tcPr>
            <w:tcW w:w="644" w:type="pct"/>
            <w:shd w:val="clear" w:color="auto" w:fill="FFFFFF" w:themeFill="background1"/>
            <w:tcMar>
              <w:left w:w="57" w:type="dxa"/>
              <w:right w:w="57" w:type="dxa"/>
            </w:tcMar>
          </w:tcPr>
          <w:p w14:paraId="7BE2DF27"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 xml:space="preserve">Loch Garry </w:t>
            </w:r>
          </w:p>
        </w:tc>
        <w:tc>
          <w:tcPr>
            <w:tcW w:w="1073" w:type="pct"/>
            <w:shd w:val="clear" w:color="auto" w:fill="FFFFFF" w:themeFill="background1"/>
            <w:tcMar>
              <w:left w:w="57" w:type="dxa"/>
              <w:right w:w="57" w:type="dxa"/>
            </w:tcMar>
          </w:tcPr>
          <w:p w14:paraId="4997E6AF"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1, 3, 5, 8, 9, 10, 12, 13</w:t>
            </w:r>
          </w:p>
        </w:tc>
        <w:tc>
          <w:tcPr>
            <w:tcW w:w="996" w:type="pct"/>
            <w:shd w:val="clear" w:color="auto" w:fill="FFFFFF" w:themeFill="background1"/>
            <w:tcMar>
              <w:left w:w="57" w:type="dxa"/>
              <w:right w:w="57" w:type="dxa"/>
            </w:tcMar>
          </w:tcPr>
          <w:p w14:paraId="6379A9CE"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1, 3, 5, 8, 9, 12, 13, 15</w:t>
            </w:r>
          </w:p>
        </w:tc>
      </w:tr>
      <w:tr w:rsidR="00405995" w:rsidRPr="00FE7071" w14:paraId="48292B16" w14:textId="77777777" w:rsidTr="00405995">
        <w:trPr>
          <w:jc w:val="center"/>
        </w:trPr>
        <w:tc>
          <w:tcPr>
            <w:tcW w:w="413" w:type="pct"/>
            <w:vMerge/>
            <w:tcMar>
              <w:left w:w="57" w:type="dxa"/>
              <w:right w:w="57" w:type="dxa"/>
            </w:tcMar>
          </w:tcPr>
          <w:p w14:paraId="7B63DEDA"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vMerge/>
            <w:tcMar>
              <w:left w:w="57" w:type="dxa"/>
              <w:right w:w="57" w:type="dxa"/>
            </w:tcMar>
          </w:tcPr>
          <w:p w14:paraId="41694961" w14:textId="77777777" w:rsidR="00405995" w:rsidRPr="00FE7071" w:rsidRDefault="00405995" w:rsidP="00341517">
            <w:pPr>
              <w:pStyle w:val="Tablesmalltext"/>
              <w:rPr>
                <w:rFonts w:asciiTheme="minorHAnsi" w:eastAsia="MS Mincho" w:hAnsiTheme="minorHAnsi" w:cstheme="minorHAnsi"/>
                <w:sz w:val="18"/>
                <w:szCs w:val="18"/>
              </w:rPr>
            </w:pPr>
          </w:p>
        </w:tc>
        <w:tc>
          <w:tcPr>
            <w:tcW w:w="727" w:type="pct"/>
            <w:vMerge/>
            <w:shd w:val="clear" w:color="auto" w:fill="FFFFFF" w:themeFill="background1"/>
            <w:tcMar>
              <w:left w:w="57" w:type="dxa"/>
              <w:right w:w="57" w:type="dxa"/>
            </w:tcMar>
          </w:tcPr>
          <w:p w14:paraId="7F30F590" w14:textId="77777777" w:rsidR="00405995" w:rsidRPr="00FE7071" w:rsidRDefault="00405995" w:rsidP="00341517">
            <w:pPr>
              <w:pStyle w:val="Tablesmalltext"/>
              <w:rPr>
                <w:rFonts w:asciiTheme="minorHAnsi" w:hAnsiTheme="minorHAnsi" w:cstheme="minorHAnsi"/>
                <w:sz w:val="18"/>
                <w:szCs w:val="18"/>
              </w:rPr>
            </w:pPr>
          </w:p>
        </w:tc>
        <w:tc>
          <w:tcPr>
            <w:tcW w:w="859" w:type="pct"/>
            <w:shd w:val="clear" w:color="auto" w:fill="FFFFFF" w:themeFill="background1"/>
            <w:tcMar>
              <w:left w:w="57" w:type="dxa"/>
              <w:right w:w="57" w:type="dxa"/>
            </w:tcMar>
          </w:tcPr>
          <w:p w14:paraId="144981A9"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5 Nov 2020</w:t>
            </w:r>
          </w:p>
        </w:tc>
        <w:tc>
          <w:tcPr>
            <w:tcW w:w="644" w:type="pct"/>
            <w:shd w:val="clear" w:color="auto" w:fill="FFFFFF" w:themeFill="background1"/>
            <w:tcMar>
              <w:left w:w="57" w:type="dxa"/>
              <w:right w:w="57" w:type="dxa"/>
            </w:tcMar>
          </w:tcPr>
          <w:p w14:paraId="62FFFD0B"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McCoy’s Bridge</w:t>
            </w:r>
          </w:p>
        </w:tc>
        <w:tc>
          <w:tcPr>
            <w:tcW w:w="1073" w:type="pct"/>
            <w:shd w:val="clear" w:color="auto" w:fill="FFFFFF" w:themeFill="background1"/>
            <w:tcMar>
              <w:left w:w="57" w:type="dxa"/>
              <w:right w:w="57" w:type="dxa"/>
            </w:tcMar>
          </w:tcPr>
          <w:p w14:paraId="119B883C"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1, 2, 3, 6, 10, 12, 13, 15</w:t>
            </w:r>
          </w:p>
        </w:tc>
        <w:tc>
          <w:tcPr>
            <w:tcW w:w="996" w:type="pct"/>
            <w:shd w:val="clear" w:color="auto" w:fill="FFFFFF" w:themeFill="background1"/>
            <w:tcMar>
              <w:left w:w="57" w:type="dxa"/>
              <w:right w:w="57" w:type="dxa"/>
            </w:tcMar>
          </w:tcPr>
          <w:p w14:paraId="16C6153B"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432C176E" w14:textId="77777777" w:rsidTr="00405995">
        <w:trPr>
          <w:jc w:val="center"/>
        </w:trPr>
        <w:tc>
          <w:tcPr>
            <w:tcW w:w="413" w:type="pct"/>
            <w:vMerge/>
            <w:tcMar>
              <w:left w:w="57" w:type="dxa"/>
              <w:right w:w="57" w:type="dxa"/>
            </w:tcMar>
          </w:tcPr>
          <w:p w14:paraId="6E66BCBD"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vMerge w:val="restart"/>
            <w:tcMar>
              <w:left w:w="57" w:type="dxa"/>
              <w:right w:w="57" w:type="dxa"/>
            </w:tcMar>
          </w:tcPr>
          <w:p w14:paraId="76637F04"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eastAsia="MS Mincho" w:hAnsiTheme="minorHAnsi" w:cstheme="minorHAnsi"/>
                <w:sz w:val="18"/>
                <w:szCs w:val="18"/>
              </w:rPr>
              <w:t>17</w:t>
            </w:r>
          </w:p>
        </w:tc>
        <w:tc>
          <w:tcPr>
            <w:tcW w:w="727" w:type="pct"/>
            <w:vMerge w:val="restart"/>
            <w:shd w:val="clear" w:color="auto" w:fill="FFFFFF" w:themeFill="background1"/>
            <w:tcMar>
              <w:left w:w="57" w:type="dxa"/>
              <w:right w:w="57" w:type="dxa"/>
            </w:tcMar>
          </w:tcPr>
          <w:p w14:paraId="620CAD12"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 xml:space="preserve">Post </w:t>
            </w:r>
            <w:r>
              <w:rPr>
                <w:rFonts w:asciiTheme="minorHAnsi" w:hAnsiTheme="minorHAnsi" w:cstheme="minorHAnsi"/>
                <w:sz w:val="18"/>
                <w:szCs w:val="18"/>
              </w:rPr>
              <w:t>F</w:t>
            </w:r>
            <w:r w:rsidRPr="00FE7071">
              <w:rPr>
                <w:rFonts w:asciiTheme="minorHAnsi" w:hAnsiTheme="minorHAnsi" w:cstheme="minorHAnsi"/>
                <w:sz w:val="18"/>
                <w:szCs w:val="18"/>
              </w:rPr>
              <w:t xml:space="preserve">ish </w:t>
            </w:r>
            <w:r>
              <w:rPr>
                <w:rFonts w:asciiTheme="minorHAnsi" w:hAnsiTheme="minorHAnsi" w:cstheme="minorHAnsi"/>
                <w:sz w:val="18"/>
                <w:szCs w:val="18"/>
              </w:rPr>
              <w:t>F</w:t>
            </w:r>
            <w:r w:rsidRPr="00FE7071">
              <w:rPr>
                <w:rFonts w:asciiTheme="minorHAnsi" w:hAnsiTheme="minorHAnsi" w:cstheme="minorHAnsi"/>
                <w:sz w:val="18"/>
                <w:szCs w:val="18"/>
              </w:rPr>
              <w:t>resh</w:t>
            </w:r>
          </w:p>
          <w:p w14:paraId="1B5865AE"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Pre IVT</w:t>
            </w:r>
          </w:p>
        </w:tc>
        <w:tc>
          <w:tcPr>
            <w:tcW w:w="859" w:type="pct"/>
            <w:shd w:val="clear" w:color="auto" w:fill="FFFFFF" w:themeFill="background1"/>
            <w:tcMar>
              <w:left w:w="57" w:type="dxa"/>
              <w:right w:w="57" w:type="dxa"/>
            </w:tcMar>
          </w:tcPr>
          <w:p w14:paraId="29418B65"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9 Dec 2020</w:t>
            </w:r>
          </w:p>
        </w:tc>
        <w:tc>
          <w:tcPr>
            <w:tcW w:w="644" w:type="pct"/>
            <w:shd w:val="clear" w:color="auto" w:fill="FFFFFF" w:themeFill="background1"/>
            <w:tcMar>
              <w:left w:w="57" w:type="dxa"/>
              <w:right w:w="57" w:type="dxa"/>
            </w:tcMar>
          </w:tcPr>
          <w:p w14:paraId="528D6A99"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 xml:space="preserve">Loch Garry </w:t>
            </w:r>
          </w:p>
        </w:tc>
        <w:tc>
          <w:tcPr>
            <w:tcW w:w="1073" w:type="pct"/>
            <w:shd w:val="clear" w:color="auto" w:fill="FFFFFF" w:themeFill="background1"/>
            <w:tcMar>
              <w:left w:w="57" w:type="dxa"/>
              <w:right w:w="57" w:type="dxa"/>
            </w:tcMar>
          </w:tcPr>
          <w:p w14:paraId="163F3F4F"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1, 3, 5, 8, 9, 10, 12, 13</w:t>
            </w:r>
          </w:p>
        </w:tc>
        <w:tc>
          <w:tcPr>
            <w:tcW w:w="996" w:type="pct"/>
            <w:shd w:val="clear" w:color="auto" w:fill="FFFFFF" w:themeFill="background1"/>
            <w:tcMar>
              <w:left w:w="57" w:type="dxa"/>
              <w:right w:w="57" w:type="dxa"/>
            </w:tcMar>
          </w:tcPr>
          <w:p w14:paraId="136C775E"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1, 3, 5, 8, 9, 12, 13 ,15</w:t>
            </w:r>
          </w:p>
        </w:tc>
      </w:tr>
      <w:tr w:rsidR="00405995" w:rsidRPr="00FE7071" w14:paraId="2F55FC4E" w14:textId="77777777" w:rsidTr="00405995">
        <w:trPr>
          <w:jc w:val="center"/>
        </w:trPr>
        <w:tc>
          <w:tcPr>
            <w:tcW w:w="413" w:type="pct"/>
            <w:vMerge/>
            <w:tcMar>
              <w:left w:w="57" w:type="dxa"/>
              <w:right w:w="57" w:type="dxa"/>
            </w:tcMar>
          </w:tcPr>
          <w:p w14:paraId="0D8BBF57"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vMerge/>
            <w:tcMar>
              <w:left w:w="57" w:type="dxa"/>
              <w:right w:w="57" w:type="dxa"/>
            </w:tcMar>
          </w:tcPr>
          <w:p w14:paraId="4538210E" w14:textId="77777777" w:rsidR="00405995" w:rsidRPr="00FE7071" w:rsidRDefault="00405995" w:rsidP="00341517">
            <w:pPr>
              <w:pStyle w:val="Tablesmalltext"/>
              <w:rPr>
                <w:rFonts w:asciiTheme="minorHAnsi" w:eastAsia="MS Mincho" w:hAnsiTheme="minorHAnsi" w:cstheme="minorHAnsi"/>
                <w:sz w:val="18"/>
                <w:szCs w:val="18"/>
              </w:rPr>
            </w:pPr>
          </w:p>
        </w:tc>
        <w:tc>
          <w:tcPr>
            <w:tcW w:w="727" w:type="pct"/>
            <w:vMerge/>
            <w:shd w:val="clear" w:color="auto" w:fill="FFFFFF" w:themeFill="background1"/>
            <w:tcMar>
              <w:left w:w="57" w:type="dxa"/>
              <w:right w:w="57" w:type="dxa"/>
            </w:tcMar>
          </w:tcPr>
          <w:p w14:paraId="1558F59F" w14:textId="77777777" w:rsidR="00405995" w:rsidRPr="00FE7071" w:rsidRDefault="00405995" w:rsidP="00341517">
            <w:pPr>
              <w:pStyle w:val="Tablesmalltext"/>
              <w:rPr>
                <w:rFonts w:asciiTheme="minorHAnsi" w:hAnsiTheme="minorHAnsi" w:cstheme="minorHAnsi"/>
                <w:sz w:val="18"/>
                <w:szCs w:val="18"/>
              </w:rPr>
            </w:pPr>
          </w:p>
        </w:tc>
        <w:tc>
          <w:tcPr>
            <w:tcW w:w="859" w:type="pct"/>
            <w:shd w:val="clear" w:color="auto" w:fill="FFFFFF" w:themeFill="background1"/>
            <w:tcMar>
              <w:left w:w="57" w:type="dxa"/>
              <w:right w:w="57" w:type="dxa"/>
            </w:tcMar>
          </w:tcPr>
          <w:p w14:paraId="10D39EF2"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10 Dec 2020</w:t>
            </w:r>
          </w:p>
        </w:tc>
        <w:tc>
          <w:tcPr>
            <w:tcW w:w="644" w:type="pct"/>
            <w:shd w:val="clear" w:color="auto" w:fill="FFFFFF" w:themeFill="background1"/>
            <w:tcMar>
              <w:left w:w="57" w:type="dxa"/>
              <w:right w:w="57" w:type="dxa"/>
            </w:tcMar>
          </w:tcPr>
          <w:p w14:paraId="218556A6"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McCoy’s Bridge</w:t>
            </w:r>
          </w:p>
        </w:tc>
        <w:tc>
          <w:tcPr>
            <w:tcW w:w="1073" w:type="pct"/>
            <w:shd w:val="clear" w:color="auto" w:fill="FFFFFF" w:themeFill="background1"/>
            <w:tcMar>
              <w:left w:w="57" w:type="dxa"/>
              <w:right w:w="57" w:type="dxa"/>
            </w:tcMar>
          </w:tcPr>
          <w:p w14:paraId="1359E2A4"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1, 2, 3, 6, 10, 12, 13, 15</w:t>
            </w:r>
          </w:p>
        </w:tc>
        <w:tc>
          <w:tcPr>
            <w:tcW w:w="996" w:type="pct"/>
            <w:shd w:val="clear" w:color="auto" w:fill="FFFFFF" w:themeFill="background1"/>
            <w:tcMar>
              <w:left w:w="57" w:type="dxa"/>
              <w:right w:w="57" w:type="dxa"/>
            </w:tcMar>
          </w:tcPr>
          <w:p w14:paraId="7A587A3A"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r w:rsidR="00405995" w:rsidRPr="00FE7071" w14:paraId="1F9BC219" w14:textId="77777777" w:rsidTr="00405995">
        <w:trPr>
          <w:jc w:val="center"/>
        </w:trPr>
        <w:tc>
          <w:tcPr>
            <w:tcW w:w="413" w:type="pct"/>
            <w:vMerge/>
            <w:tcMar>
              <w:left w:w="57" w:type="dxa"/>
              <w:right w:w="57" w:type="dxa"/>
            </w:tcMar>
          </w:tcPr>
          <w:p w14:paraId="10BD1248"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vMerge w:val="restart"/>
            <w:tcMar>
              <w:left w:w="57" w:type="dxa"/>
              <w:right w:w="57" w:type="dxa"/>
            </w:tcMar>
          </w:tcPr>
          <w:p w14:paraId="407314BF" w14:textId="77777777" w:rsidR="00405995" w:rsidRPr="00FE7071" w:rsidRDefault="00405995" w:rsidP="00341517">
            <w:pPr>
              <w:pStyle w:val="Tablesmalltext"/>
              <w:rPr>
                <w:rFonts w:asciiTheme="minorHAnsi" w:eastAsia="MS Mincho" w:hAnsiTheme="minorHAnsi" w:cstheme="minorHAnsi"/>
                <w:sz w:val="18"/>
                <w:szCs w:val="18"/>
              </w:rPr>
            </w:pPr>
            <w:r w:rsidRPr="00FE7071">
              <w:rPr>
                <w:rFonts w:asciiTheme="minorHAnsi" w:eastAsia="MS Mincho" w:hAnsiTheme="minorHAnsi" w:cstheme="minorHAnsi"/>
                <w:sz w:val="18"/>
                <w:szCs w:val="18"/>
              </w:rPr>
              <w:t>18</w:t>
            </w:r>
          </w:p>
        </w:tc>
        <w:tc>
          <w:tcPr>
            <w:tcW w:w="727" w:type="pct"/>
            <w:vMerge w:val="restart"/>
            <w:shd w:val="clear" w:color="auto" w:fill="FFFFFF" w:themeFill="background1"/>
            <w:tcMar>
              <w:left w:w="57" w:type="dxa"/>
              <w:right w:w="57" w:type="dxa"/>
            </w:tcMar>
          </w:tcPr>
          <w:p w14:paraId="19EFACE5"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Post IVT</w:t>
            </w:r>
          </w:p>
        </w:tc>
        <w:tc>
          <w:tcPr>
            <w:tcW w:w="859" w:type="pct"/>
            <w:shd w:val="clear" w:color="auto" w:fill="FFFFFF" w:themeFill="background1"/>
            <w:tcMar>
              <w:left w:w="57" w:type="dxa"/>
              <w:right w:w="57" w:type="dxa"/>
            </w:tcMar>
          </w:tcPr>
          <w:p w14:paraId="1AC887F0"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10 Mar 2021</w:t>
            </w:r>
          </w:p>
        </w:tc>
        <w:tc>
          <w:tcPr>
            <w:tcW w:w="644" w:type="pct"/>
            <w:shd w:val="clear" w:color="auto" w:fill="FFFFFF" w:themeFill="background1"/>
            <w:tcMar>
              <w:left w:w="57" w:type="dxa"/>
              <w:right w:w="57" w:type="dxa"/>
            </w:tcMar>
          </w:tcPr>
          <w:p w14:paraId="1A13C540"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Loch Garry</w:t>
            </w:r>
          </w:p>
        </w:tc>
        <w:tc>
          <w:tcPr>
            <w:tcW w:w="1073" w:type="pct"/>
            <w:shd w:val="clear" w:color="auto" w:fill="FFFFFF" w:themeFill="background1"/>
            <w:tcMar>
              <w:left w:w="57" w:type="dxa"/>
              <w:right w:w="57" w:type="dxa"/>
            </w:tcMar>
          </w:tcPr>
          <w:p w14:paraId="0382F189"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1, 3, 5, 8, 9, 10, 12, 13</w:t>
            </w:r>
          </w:p>
        </w:tc>
        <w:tc>
          <w:tcPr>
            <w:tcW w:w="996" w:type="pct"/>
            <w:shd w:val="clear" w:color="auto" w:fill="FFFFFF" w:themeFill="background1"/>
            <w:tcMar>
              <w:left w:w="57" w:type="dxa"/>
              <w:right w:w="57" w:type="dxa"/>
            </w:tcMar>
          </w:tcPr>
          <w:p w14:paraId="5178BA9C"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1, 3, 5, 8, 9, 12, 13, 15</w:t>
            </w:r>
          </w:p>
        </w:tc>
      </w:tr>
      <w:tr w:rsidR="00405995" w:rsidRPr="00FE7071" w14:paraId="0652DC28" w14:textId="77777777" w:rsidTr="00405995">
        <w:trPr>
          <w:jc w:val="center"/>
        </w:trPr>
        <w:tc>
          <w:tcPr>
            <w:tcW w:w="413" w:type="pct"/>
            <w:vMerge/>
            <w:tcMar>
              <w:left w:w="57" w:type="dxa"/>
              <w:right w:w="57" w:type="dxa"/>
            </w:tcMar>
          </w:tcPr>
          <w:p w14:paraId="3572013D" w14:textId="77777777" w:rsidR="00405995" w:rsidRPr="00FE7071" w:rsidRDefault="00405995" w:rsidP="00341517">
            <w:pPr>
              <w:pStyle w:val="Tablesmalltext"/>
              <w:rPr>
                <w:rFonts w:asciiTheme="minorHAnsi" w:eastAsia="MS Mincho" w:hAnsiTheme="minorHAnsi" w:cstheme="minorHAnsi"/>
                <w:bCs/>
                <w:sz w:val="18"/>
                <w:szCs w:val="18"/>
              </w:rPr>
            </w:pPr>
          </w:p>
        </w:tc>
        <w:tc>
          <w:tcPr>
            <w:tcW w:w="288" w:type="pct"/>
            <w:vMerge/>
            <w:tcMar>
              <w:left w:w="57" w:type="dxa"/>
              <w:right w:w="57" w:type="dxa"/>
            </w:tcMar>
          </w:tcPr>
          <w:p w14:paraId="71A657ED" w14:textId="77777777" w:rsidR="00405995" w:rsidRPr="00FE7071" w:rsidRDefault="00405995" w:rsidP="00341517">
            <w:pPr>
              <w:pStyle w:val="Tablesmalltext"/>
              <w:rPr>
                <w:rFonts w:asciiTheme="minorHAnsi" w:eastAsia="MS Mincho" w:hAnsiTheme="minorHAnsi" w:cstheme="minorHAnsi"/>
                <w:sz w:val="18"/>
                <w:szCs w:val="18"/>
              </w:rPr>
            </w:pPr>
          </w:p>
        </w:tc>
        <w:tc>
          <w:tcPr>
            <w:tcW w:w="727" w:type="pct"/>
            <w:vMerge/>
            <w:shd w:val="clear" w:color="auto" w:fill="FFFFFF" w:themeFill="background1"/>
            <w:tcMar>
              <w:left w:w="57" w:type="dxa"/>
              <w:right w:w="57" w:type="dxa"/>
            </w:tcMar>
          </w:tcPr>
          <w:p w14:paraId="158805FA" w14:textId="77777777" w:rsidR="00405995" w:rsidRPr="00FE7071" w:rsidRDefault="00405995" w:rsidP="00341517">
            <w:pPr>
              <w:pStyle w:val="Tablesmalltext"/>
              <w:rPr>
                <w:rFonts w:asciiTheme="minorHAnsi" w:hAnsiTheme="minorHAnsi" w:cstheme="minorHAnsi"/>
                <w:sz w:val="18"/>
                <w:szCs w:val="18"/>
              </w:rPr>
            </w:pPr>
          </w:p>
        </w:tc>
        <w:tc>
          <w:tcPr>
            <w:tcW w:w="859" w:type="pct"/>
            <w:shd w:val="clear" w:color="auto" w:fill="FFFFFF" w:themeFill="background1"/>
            <w:tcMar>
              <w:left w:w="57" w:type="dxa"/>
              <w:right w:w="57" w:type="dxa"/>
            </w:tcMar>
          </w:tcPr>
          <w:p w14:paraId="1E5A0A6F"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11 Mar 2021</w:t>
            </w:r>
          </w:p>
        </w:tc>
        <w:tc>
          <w:tcPr>
            <w:tcW w:w="644" w:type="pct"/>
            <w:shd w:val="clear" w:color="auto" w:fill="FFFFFF" w:themeFill="background1"/>
            <w:tcMar>
              <w:left w:w="57" w:type="dxa"/>
              <w:right w:w="57" w:type="dxa"/>
            </w:tcMar>
          </w:tcPr>
          <w:p w14:paraId="7F4F0A27"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McCoy’s Bridge</w:t>
            </w:r>
          </w:p>
        </w:tc>
        <w:tc>
          <w:tcPr>
            <w:tcW w:w="1073" w:type="pct"/>
            <w:shd w:val="clear" w:color="auto" w:fill="FFFFFF" w:themeFill="background1"/>
            <w:tcMar>
              <w:left w:w="57" w:type="dxa"/>
              <w:right w:w="57" w:type="dxa"/>
            </w:tcMar>
          </w:tcPr>
          <w:p w14:paraId="16458576" w14:textId="77777777" w:rsidR="00405995" w:rsidRPr="00FE7071" w:rsidRDefault="00405995" w:rsidP="00341517">
            <w:pPr>
              <w:pStyle w:val="Tablesmalltext"/>
              <w:rPr>
                <w:rFonts w:asciiTheme="minorHAnsi" w:hAnsiTheme="minorHAnsi" w:cstheme="minorHAnsi"/>
                <w:sz w:val="18"/>
                <w:szCs w:val="18"/>
              </w:rPr>
            </w:pPr>
            <w:r w:rsidRPr="00FE7071">
              <w:rPr>
                <w:rFonts w:asciiTheme="minorHAnsi" w:hAnsiTheme="minorHAnsi" w:cstheme="minorHAnsi"/>
                <w:sz w:val="18"/>
                <w:szCs w:val="18"/>
              </w:rPr>
              <w:t>1, 2, 3, 6, 10, 12, 13, 15</w:t>
            </w:r>
          </w:p>
        </w:tc>
        <w:tc>
          <w:tcPr>
            <w:tcW w:w="996" w:type="pct"/>
            <w:shd w:val="clear" w:color="auto" w:fill="FFFFFF" w:themeFill="background1"/>
            <w:tcMar>
              <w:left w:w="57" w:type="dxa"/>
              <w:right w:w="57" w:type="dxa"/>
            </w:tcMar>
          </w:tcPr>
          <w:p w14:paraId="041DCD1F" w14:textId="77777777" w:rsidR="00405995" w:rsidRPr="00FE7071" w:rsidRDefault="00405995" w:rsidP="00341517">
            <w:pPr>
              <w:pStyle w:val="Tablesmalltext"/>
              <w:ind w:left="40"/>
              <w:rPr>
                <w:rFonts w:asciiTheme="minorHAnsi" w:hAnsiTheme="minorHAnsi" w:cstheme="minorHAnsi"/>
                <w:sz w:val="18"/>
                <w:szCs w:val="18"/>
              </w:rPr>
            </w:pPr>
            <w:r w:rsidRPr="00FE7071">
              <w:rPr>
                <w:rFonts w:asciiTheme="minorHAnsi" w:hAnsiTheme="minorHAnsi" w:cstheme="minorHAnsi"/>
                <w:sz w:val="18"/>
                <w:szCs w:val="18"/>
              </w:rPr>
              <w:t>1, 2, 3, 6, 10, 12, 13, 15</w:t>
            </w:r>
          </w:p>
        </w:tc>
      </w:tr>
    </w:tbl>
    <w:p w14:paraId="7369005B" w14:textId="77777777" w:rsidR="00405995" w:rsidRPr="00405995" w:rsidRDefault="00405995" w:rsidP="00405995"/>
    <w:p w14:paraId="23CA9AC4" w14:textId="77777777" w:rsidR="00405995" w:rsidRDefault="00405995">
      <w:pPr>
        <w:rPr>
          <w:rFonts w:asciiTheme="majorHAnsi" w:eastAsiaTheme="majorEastAsia" w:hAnsiTheme="majorHAnsi" w:cstheme="majorBidi"/>
          <w:b/>
          <w:color w:val="094183" w:themeColor="text2"/>
          <w:sz w:val="32"/>
        </w:rPr>
      </w:pPr>
      <w:r>
        <w:br w:type="page"/>
      </w:r>
    </w:p>
    <w:p w14:paraId="4C8A6BEB" w14:textId="52A52007" w:rsidR="00492D62" w:rsidRDefault="00492D62" w:rsidP="001827C8">
      <w:pPr>
        <w:pStyle w:val="Heading6"/>
      </w:pPr>
      <w:r>
        <w:lastRenderedPageBreak/>
        <w:t>Bank v</w:t>
      </w:r>
      <w:r w:rsidRPr="00BA2632">
        <w:t xml:space="preserve">egetation </w:t>
      </w:r>
      <w:r>
        <w:t>responses</w:t>
      </w:r>
      <w:bookmarkEnd w:id="795"/>
      <w:bookmarkEnd w:id="796"/>
    </w:p>
    <w:p w14:paraId="7FB7468E" w14:textId="15FF0D64" w:rsidR="008B075E" w:rsidRDefault="008B075E" w:rsidP="008B075E">
      <w:pPr>
        <w:rPr>
          <w:lang w:eastAsia="en-US"/>
        </w:rPr>
      </w:pPr>
      <w:r w:rsidRPr="00BA2632">
        <w:rPr>
          <w:lang w:eastAsia="en-US"/>
        </w:rPr>
        <w:t xml:space="preserve">The responses of different vegetation groups and taxa over time in each bank zone are </w:t>
      </w:r>
      <w:r>
        <w:rPr>
          <w:lang w:eastAsia="en-US"/>
        </w:rPr>
        <w:t>summarised below with relevant graphical responses is provided in</w:t>
      </w:r>
      <w:r w:rsidR="00CB022F">
        <w:rPr>
          <w:lang w:eastAsia="en-US"/>
        </w:rPr>
        <w:t xml:space="preserve"> </w:t>
      </w:r>
      <w:r w:rsidR="00CB022F">
        <w:t xml:space="preserve">Table </w:t>
      </w:r>
      <w:r w:rsidR="00CB022F">
        <w:rPr>
          <w:noProof/>
        </w:rPr>
        <w:t>G</w:t>
      </w:r>
      <w:r w:rsidR="00CB022F">
        <w:noBreakHyphen/>
      </w:r>
      <w:r w:rsidR="00CB022F">
        <w:rPr>
          <w:noProof/>
        </w:rPr>
        <w:t>1</w:t>
      </w:r>
      <w:r>
        <w:rPr>
          <w:lang w:eastAsia="en-US"/>
        </w:rPr>
        <w:t>.</w:t>
      </w:r>
    </w:p>
    <w:p w14:paraId="1E292F2C" w14:textId="77777777" w:rsidR="008D54F8" w:rsidRDefault="008D54F8" w:rsidP="008B075E"/>
    <w:p w14:paraId="351AC560" w14:textId="7623F749" w:rsidR="008B075E" w:rsidRPr="00BA2632" w:rsidRDefault="00CB022F" w:rsidP="00CB022F">
      <w:pPr>
        <w:pStyle w:val="Caption"/>
      </w:pPr>
      <w:bookmarkStart w:id="797" w:name="_Ref84475104"/>
      <w:bookmarkStart w:id="798" w:name="_Toc84492683"/>
      <w:r>
        <w:t xml:space="preserve">Table </w:t>
      </w:r>
      <w:r>
        <w:rPr>
          <w:noProof/>
        </w:rPr>
        <w:t>G</w:t>
      </w:r>
      <w:r>
        <w:noBreakHyphen/>
      </w:r>
      <w:r>
        <w:rPr>
          <w:noProof/>
        </w:rPr>
        <w:t>1</w:t>
      </w:r>
      <w:bookmarkEnd w:id="797"/>
      <w:r>
        <w:t xml:space="preserve"> </w:t>
      </w:r>
      <w:r w:rsidR="008B075E" w:rsidRPr="00BA2632">
        <w:t>Bank zone elevations and inundation of zone by Spring freshes and Inter Valley Transfers at McCoy</w:t>
      </w:r>
      <w:r w:rsidR="008B075E">
        <w:t>’</w:t>
      </w:r>
      <w:r w:rsidR="008B075E" w:rsidRPr="00BA2632">
        <w:t>s Bridge and Loch Garry.</w:t>
      </w:r>
      <w:bookmarkEnd w:id="798"/>
    </w:p>
    <w:tbl>
      <w:tblPr>
        <w:tblStyle w:val="TableGrid"/>
        <w:tblW w:w="3310" w:type="pct"/>
        <w:jc w:val="center"/>
        <w:tblLook w:val="04A0" w:firstRow="1" w:lastRow="0" w:firstColumn="1" w:lastColumn="0" w:noHBand="0" w:noVBand="1"/>
      </w:tblPr>
      <w:tblGrid>
        <w:gridCol w:w="1460"/>
        <w:gridCol w:w="1202"/>
        <w:gridCol w:w="1528"/>
        <w:gridCol w:w="1303"/>
        <w:gridCol w:w="1075"/>
      </w:tblGrid>
      <w:tr w:rsidR="008B075E" w:rsidRPr="00BA2632" w14:paraId="309DB5E6" w14:textId="77777777" w:rsidTr="00E26D3C">
        <w:trPr>
          <w:cnfStyle w:val="100000000000" w:firstRow="1" w:lastRow="0" w:firstColumn="0" w:lastColumn="0" w:oddVBand="0" w:evenVBand="0" w:oddHBand="0" w:evenHBand="0"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tcPr>
          <w:p w14:paraId="5F12BD3A" w14:textId="77777777" w:rsidR="008B075E" w:rsidRPr="008D54F8" w:rsidRDefault="008B075E" w:rsidP="00E26D3C">
            <w:pPr>
              <w:pStyle w:val="Tablesmalltext"/>
              <w:rPr>
                <w:rFonts w:asciiTheme="minorHAnsi" w:hAnsiTheme="minorHAnsi" w:cstheme="minorHAnsi"/>
                <w:sz w:val="18"/>
                <w:szCs w:val="18"/>
              </w:rPr>
            </w:pPr>
            <w:r w:rsidRPr="008D54F8">
              <w:rPr>
                <w:rFonts w:asciiTheme="minorHAnsi" w:hAnsiTheme="minorHAnsi" w:cstheme="minorHAnsi"/>
                <w:sz w:val="18"/>
                <w:szCs w:val="18"/>
              </w:rPr>
              <w:t>Site</w:t>
            </w:r>
          </w:p>
        </w:tc>
        <w:tc>
          <w:tcPr>
            <w:tcW w:w="0" w:type="pct"/>
          </w:tcPr>
          <w:p w14:paraId="6CF2539A" w14:textId="77777777" w:rsidR="008B075E" w:rsidRPr="008D54F8" w:rsidRDefault="008B075E" w:rsidP="00E26D3C">
            <w:pPr>
              <w:pStyle w:val="Tablesmall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Zone</w:t>
            </w:r>
          </w:p>
        </w:tc>
        <w:tc>
          <w:tcPr>
            <w:tcW w:w="0" w:type="pct"/>
          </w:tcPr>
          <w:p w14:paraId="277E2C9D" w14:textId="77777777" w:rsidR="008B075E" w:rsidRPr="008D54F8" w:rsidRDefault="008B075E" w:rsidP="00E26D3C">
            <w:pPr>
              <w:pStyle w:val="Tablesmall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Elevation AHD m</w:t>
            </w:r>
          </w:p>
        </w:tc>
        <w:tc>
          <w:tcPr>
            <w:tcW w:w="0" w:type="pct"/>
          </w:tcPr>
          <w:p w14:paraId="2E824BA4" w14:textId="77777777" w:rsidR="008B075E" w:rsidRPr="008D54F8" w:rsidRDefault="008B075E" w:rsidP="00E26D3C">
            <w:pPr>
              <w:pStyle w:val="Tablesmall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Spring fresh</w:t>
            </w:r>
          </w:p>
        </w:tc>
        <w:tc>
          <w:tcPr>
            <w:tcW w:w="0" w:type="pct"/>
          </w:tcPr>
          <w:p w14:paraId="579CACCA" w14:textId="77777777" w:rsidR="008B075E" w:rsidRPr="008D54F8" w:rsidRDefault="008B075E" w:rsidP="00E26D3C">
            <w:pPr>
              <w:pStyle w:val="Tablesmall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IVT</w:t>
            </w:r>
          </w:p>
        </w:tc>
      </w:tr>
      <w:tr w:rsidR="008B075E" w:rsidRPr="00BA2632" w14:paraId="32CDB7CD" w14:textId="77777777" w:rsidTr="00E26D3C">
        <w:trPr>
          <w:cnfStyle w:val="000000100000" w:firstRow="0" w:lastRow="0" w:firstColumn="0" w:lastColumn="0" w:oddVBand="0" w:evenVBand="0" w:oddHBand="1" w:evenHBand="0"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val="restart"/>
          </w:tcPr>
          <w:p w14:paraId="2D57FD57" w14:textId="77777777" w:rsidR="008B075E" w:rsidRPr="008D54F8" w:rsidRDefault="008B075E" w:rsidP="00E26D3C">
            <w:pPr>
              <w:pStyle w:val="Tablesmalltext"/>
              <w:rPr>
                <w:rFonts w:asciiTheme="minorHAnsi" w:hAnsiTheme="minorHAnsi" w:cstheme="minorHAnsi"/>
                <w:sz w:val="18"/>
                <w:szCs w:val="18"/>
              </w:rPr>
            </w:pPr>
            <w:r w:rsidRPr="008D54F8">
              <w:rPr>
                <w:rFonts w:asciiTheme="minorHAnsi" w:hAnsiTheme="minorHAnsi" w:cstheme="minorHAnsi"/>
                <w:sz w:val="18"/>
                <w:szCs w:val="18"/>
              </w:rPr>
              <w:t>McCoy’s Bridge</w:t>
            </w:r>
          </w:p>
        </w:tc>
        <w:tc>
          <w:tcPr>
            <w:tcW w:w="0" w:type="pct"/>
          </w:tcPr>
          <w:p w14:paraId="239EC2B5"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Zone 1a</w:t>
            </w:r>
          </w:p>
        </w:tc>
        <w:tc>
          <w:tcPr>
            <w:tcW w:w="0" w:type="pct"/>
          </w:tcPr>
          <w:p w14:paraId="1CA053E7"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 xml:space="preserve">&gt;93.00-93.25 </w:t>
            </w:r>
          </w:p>
        </w:tc>
        <w:tc>
          <w:tcPr>
            <w:tcW w:w="0" w:type="pct"/>
          </w:tcPr>
          <w:p w14:paraId="4DBF7698"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c>
          <w:tcPr>
            <w:tcW w:w="0" w:type="pct"/>
          </w:tcPr>
          <w:p w14:paraId="45358F78"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r>
      <w:tr w:rsidR="008B075E" w:rsidRPr="00BA2632" w14:paraId="2E7228CC" w14:textId="77777777" w:rsidTr="00E26D3C">
        <w:trPr>
          <w:cnfStyle w:val="000000010000" w:firstRow="0" w:lastRow="0" w:firstColumn="0" w:lastColumn="0" w:oddVBand="0" w:evenVBand="0" w:oddHBand="0" w:evenHBand="1"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tcPr>
          <w:p w14:paraId="1910F8B6" w14:textId="77777777" w:rsidR="008B075E" w:rsidRPr="008D54F8" w:rsidRDefault="008B075E" w:rsidP="00E26D3C">
            <w:pPr>
              <w:pStyle w:val="Tablesmalltext"/>
              <w:rPr>
                <w:rFonts w:asciiTheme="minorHAnsi" w:hAnsiTheme="minorHAnsi" w:cstheme="minorHAnsi"/>
                <w:sz w:val="18"/>
                <w:szCs w:val="18"/>
              </w:rPr>
            </w:pPr>
          </w:p>
        </w:tc>
        <w:tc>
          <w:tcPr>
            <w:tcW w:w="0" w:type="pct"/>
          </w:tcPr>
          <w:p w14:paraId="3B220B4D"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Zone 1b</w:t>
            </w:r>
          </w:p>
        </w:tc>
        <w:tc>
          <w:tcPr>
            <w:tcW w:w="0" w:type="pct"/>
          </w:tcPr>
          <w:p w14:paraId="241850C2"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93.25-93.5</w:t>
            </w:r>
          </w:p>
        </w:tc>
        <w:tc>
          <w:tcPr>
            <w:tcW w:w="0" w:type="pct"/>
          </w:tcPr>
          <w:p w14:paraId="53DED667"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c>
          <w:tcPr>
            <w:tcW w:w="0" w:type="pct"/>
          </w:tcPr>
          <w:p w14:paraId="26D4028A"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r>
      <w:tr w:rsidR="008B075E" w:rsidRPr="00BA2632" w14:paraId="36BAB215" w14:textId="77777777" w:rsidTr="00E26D3C">
        <w:trPr>
          <w:cnfStyle w:val="000000100000" w:firstRow="0" w:lastRow="0" w:firstColumn="0" w:lastColumn="0" w:oddVBand="0" w:evenVBand="0" w:oddHBand="1" w:evenHBand="0"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tcPr>
          <w:p w14:paraId="6C93EA94" w14:textId="77777777" w:rsidR="008B075E" w:rsidRPr="008D54F8" w:rsidRDefault="008B075E" w:rsidP="00E26D3C">
            <w:pPr>
              <w:pStyle w:val="Tablesmalltext"/>
              <w:rPr>
                <w:rFonts w:asciiTheme="minorHAnsi" w:hAnsiTheme="minorHAnsi" w:cstheme="minorHAnsi"/>
                <w:sz w:val="18"/>
                <w:szCs w:val="18"/>
              </w:rPr>
            </w:pPr>
          </w:p>
        </w:tc>
        <w:tc>
          <w:tcPr>
            <w:tcW w:w="0" w:type="pct"/>
          </w:tcPr>
          <w:p w14:paraId="019B331E"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Zone 2</w:t>
            </w:r>
          </w:p>
        </w:tc>
        <w:tc>
          <w:tcPr>
            <w:tcW w:w="0" w:type="pct"/>
          </w:tcPr>
          <w:p w14:paraId="3A04C969"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93.5-94.0</w:t>
            </w:r>
          </w:p>
        </w:tc>
        <w:tc>
          <w:tcPr>
            <w:tcW w:w="0" w:type="pct"/>
          </w:tcPr>
          <w:p w14:paraId="64AF8DDF"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c>
          <w:tcPr>
            <w:tcW w:w="0" w:type="pct"/>
          </w:tcPr>
          <w:p w14:paraId="3DE28951"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r>
      <w:tr w:rsidR="008B075E" w:rsidRPr="00BA2632" w14:paraId="05B91F87" w14:textId="77777777" w:rsidTr="00E26D3C">
        <w:trPr>
          <w:cnfStyle w:val="000000010000" w:firstRow="0" w:lastRow="0" w:firstColumn="0" w:lastColumn="0" w:oddVBand="0" w:evenVBand="0" w:oddHBand="0" w:evenHBand="1"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tcPr>
          <w:p w14:paraId="334E984F" w14:textId="77777777" w:rsidR="008B075E" w:rsidRPr="008D54F8" w:rsidRDefault="008B075E" w:rsidP="00E26D3C">
            <w:pPr>
              <w:pStyle w:val="Tablesmalltext"/>
              <w:rPr>
                <w:rFonts w:asciiTheme="minorHAnsi" w:hAnsiTheme="minorHAnsi" w:cstheme="minorHAnsi"/>
                <w:sz w:val="18"/>
                <w:szCs w:val="18"/>
              </w:rPr>
            </w:pPr>
          </w:p>
        </w:tc>
        <w:tc>
          <w:tcPr>
            <w:tcW w:w="0" w:type="pct"/>
          </w:tcPr>
          <w:p w14:paraId="6935EFE1"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Zone 3</w:t>
            </w:r>
          </w:p>
        </w:tc>
        <w:tc>
          <w:tcPr>
            <w:tcW w:w="0" w:type="pct"/>
          </w:tcPr>
          <w:p w14:paraId="55407B21"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94.0-95.5</w:t>
            </w:r>
          </w:p>
        </w:tc>
        <w:tc>
          <w:tcPr>
            <w:tcW w:w="0" w:type="pct"/>
          </w:tcPr>
          <w:p w14:paraId="25C08C83"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c>
          <w:tcPr>
            <w:tcW w:w="0" w:type="pct"/>
          </w:tcPr>
          <w:p w14:paraId="66DB4A2A"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x</w:t>
            </w:r>
          </w:p>
        </w:tc>
      </w:tr>
      <w:tr w:rsidR="008B075E" w:rsidRPr="00BA2632" w14:paraId="6912BC0A" w14:textId="77777777" w:rsidTr="00E26D3C">
        <w:trPr>
          <w:cnfStyle w:val="000000100000" w:firstRow="0" w:lastRow="0" w:firstColumn="0" w:lastColumn="0" w:oddVBand="0" w:evenVBand="0" w:oddHBand="1" w:evenHBand="0"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tcBorders>
              <w:bottom w:val="single" w:sz="4" w:space="0" w:color="auto"/>
            </w:tcBorders>
          </w:tcPr>
          <w:p w14:paraId="29FB3198" w14:textId="77777777" w:rsidR="008B075E" w:rsidRPr="008D54F8" w:rsidRDefault="008B075E" w:rsidP="00E26D3C">
            <w:pPr>
              <w:pStyle w:val="Tablesmalltext"/>
              <w:rPr>
                <w:rFonts w:asciiTheme="minorHAnsi" w:hAnsiTheme="minorHAnsi" w:cstheme="minorHAnsi"/>
                <w:sz w:val="18"/>
                <w:szCs w:val="18"/>
              </w:rPr>
            </w:pPr>
          </w:p>
        </w:tc>
        <w:tc>
          <w:tcPr>
            <w:tcW w:w="0" w:type="pct"/>
            <w:tcBorders>
              <w:bottom w:val="single" w:sz="4" w:space="0" w:color="auto"/>
            </w:tcBorders>
          </w:tcPr>
          <w:p w14:paraId="24AA6CDC"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Zone 4</w:t>
            </w:r>
          </w:p>
        </w:tc>
        <w:tc>
          <w:tcPr>
            <w:tcW w:w="0" w:type="pct"/>
            <w:tcBorders>
              <w:bottom w:val="single" w:sz="4" w:space="0" w:color="auto"/>
            </w:tcBorders>
          </w:tcPr>
          <w:p w14:paraId="391F0931"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&gt;95.5</w:t>
            </w:r>
          </w:p>
        </w:tc>
        <w:tc>
          <w:tcPr>
            <w:tcW w:w="0" w:type="pct"/>
            <w:tcBorders>
              <w:bottom w:val="single" w:sz="4" w:space="0" w:color="auto"/>
            </w:tcBorders>
          </w:tcPr>
          <w:p w14:paraId="76B06B66"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x</w:t>
            </w:r>
          </w:p>
        </w:tc>
        <w:tc>
          <w:tcPr>
            <w:tcW w:w="0" w:type="pct"/>
            <w:tcBorders>
              <w:bottom w:val="single" w:sz="4" w:space="0" w:color="auto"/>
            </w:tcBorders>
          </w:tcPr>
          <w:p w14:paraId="691516A6"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x</w:t>
            </w:r>
          </w:p>
        </w:tc>
      </w:tr>
      <w:tr w:rsidR="008B075E" w:rsidRPr="00BA2632" w14:paraId="4BB51BE4" w14:textId="77777777" w:rsidTr="00E26D3C">
        <w:trPr>
          <w:cnfStyle w:val="000000010000" w:firstRow="0" w:lastRow="0" w:firstColumn="0" w:lastColumn="0" w:oddVBand="0" w:evenVBand="0" w:oddHBand="0" w:evenHBand="1"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val="restart"/>
            <w:tcBorders>
              <w:top w:val="single" w:sz="4" w:space="0" w:color="auto"/>
            </w:tcBorders>
            <w:shd w:val="clear" w:color="auto" w:fill="auto"/>
          </w:tcPr>
          <w:p w14:paraId="0EC4AE64" w14:textId="77777777" w:rsidR="008B075E" w:rsidRPr="008D54F8" w:rsidRDefault="008B075E" w:rsidP="00E26D3C">
            <w:pPr>
              <w:pStyle w:val="Tablesmalltext"/>
              <w:rPr>
                <w:rFonts w:asciiTheme="minorHAnsi" w:hAnsiTheme="minorHAnsi" w:cstheme="minorHAnsi"/>
                <w:sz w:val="18"/>
                <w:szCs w:val="18"/>
              </w:rPr>
            </w:pPr>
            <w:r w:rsidRPr="008D54F8">
              <w:rPr>
                <w:rFonts w:asciiTheme="minorHAnsi" w:hAnsiTheme="minorHAnsi" w:cstheme="minorHAnsi"/>
                <w:sz w:val="18"/>
                <w:szCs w:val="18"/>
              </w:rPr>
              <w:t>Loch Garry</w:t>
            </w:r>
          </w:p>
        </w:tc>
        <w:tc>
          <w:tcPr>
            <w:tcW w:w="0" w:type="pct"/>
            <w:tcBorders>
              <w:top w:val="single" w:sz="4" w:space="0" w:color="auto"/>
            </w:tcBorders>
          </w:tcPr>
          <w:p w14:paraId="2A62F53E"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Zone 1a</w:t>
            </w:r>
          </w:p>
        </w:tc>
        <w:tc>
          <w:tcPr>
            <w:tcW w:w="0" w:type="pct"/>
            <w:tcBorders>
              <w:top w:val="single" w:sz="4" w:space="0" w:color="auto"/>
            </w:tcBorders>
          </w:tcPr>
          <w:p w14:paraId="316706DE"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&lt;98.3-98.6</w:t>
            </w:r>
          </w:p>
        </w:tc>
        <w:tc>
          <w:tcPr>
            <w:tcW w:w="0" w:type="pct"/>
            <w:tcBorders>
              <w:top w:val="single" w:sz="4" w:space="0" w:color="auto"/>
            </w:tcBorders>
          </w:tcPr>
          <w:p w14:paraId="587F4717"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c>
          <w:tcPr>
            <w:tcW w:w="0" w:type="pct"/>
            <w:tcBorders>
              <w:top w:val="single" w:sz="4" w:space="0" w:color="auto"/>
            </w:tcBorders>
          </w:tcPr>
          <w:p w14:paraId="25D73265"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r>
      <w:tr w:rsidR="008B075E" w:rsidRPr="00BA2632" w14:paraId="624405DF" w14:textId="77777777" w:rsidTr="00E26D3C">
        <w:trPr>
          <w:cnfStyle w:val="000000100000" w:firstRow="0" w:lastRow="0" w:firstColumn="0" w:lastColumn="0" w:oddVBand="0" w:evenVBand="0" w:oddHBand="1" w:evenHBand="0"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shd w:val="clear" w:color="auto" w:fill="auto"/>
          </w:tcPr>
          <w:p w14:paraId="7DFBD370" w14:textId="77777777" w:rsidR="008B075E" w:rsidRPr="008D54F8" w:rsidRDefault="008B075E" w:rsidP="00E26D3C">
            <w:pPr>
              <w:pStyle w:val="Tablesmalltext"/>
              <w:rPr>
                <w:rFonts w:asciiTheme="minorHAnsi" w:hAnsiTheme="minorHAnsi" w:cstheme="minorHAnsi"/>
                <w:sz w:val="18"/>
                <w:szCs w:val="18"/>
              </w:rPr>
            </w:pPr>
          </w:p>
        </w:tc>
        <w:tc>
          <w:tcPr>
            <w:tcW w:w="0" w:type="pct"/>
          </w:tcPr>
          <w:p w14:paraId="40EB792E"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Zone 1b</w:t>
            </w:r>
          </w:p>
        </w:tc>
        <w:tc>
          <w:tcPr>
            <w:tcW w:w="0" w:type="pct"/>
          </w:tcPr>
          <w:p w14:paraId="2494BF8A"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98.6-99.05</w:t>
            </w:r>
          </w:p>
        </w:tc>
        <w:tc>
          <w:tcPr>
            <w:tcW w:w="0" w:type="pct"/>
          </w:tcPr>
          <w:p w14:paraId="7984E533"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c>
          <w:tcPr>
            <w:tcW w:w="0" w:type="pct"/>
          </w:tcPr>
          <w:p w14:paraId="7A59CE15"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r>
      <w:tr w:rsidR="008B075E" w:rsidRPr="00BA2632" w14:paraId="3645F18B" w14:textId="77777777" w:rsidTr="00E26D3C">
        <w:trPr>
          <w:cnfStyle w:val="000000010000" w:firstRow="0" w:lastRow="0" w:firstColumn="0" w:lastColumn="0" w:oddVBand="0" w:evenVBand="0" w:oddHBand="0" w:evenHBand="1"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shd w:val="clear" w:color="auto" w:fill="auto"/>
          </w:tcPr>
          <w:p w14:paraId="66A21ACB" w14:textId="77777777" w:rsidR="008B075E" w:rsidRPr="008D54F8" w:rsidRDefault="008B075E" w:rsidP="00E26D3C">
            <w:pPr>
              <w:pStyle w:val="Tablesmalltext"/>
              <w:rPr>
                <w:rFonts w:asciiTheme="minorHAnsi" w:hAnsiTheme="minorHAnsi" w:cstheme="minorHAnsi"/>
                <w:sz w:val="18"/>
                <w:szCs w:val="18"/>
              </w:rPr>
            </w:pPr>
          </w:p>
        </w:tc>
        <w:tc>
          <w:tcPr>
            <w:tcW w:w="0" w:type="pct"/>
          </w:tcPr>
          <w:p w14:paraId="73EAD554"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Zone 2</w:t>
            </w:r>
          </w:p>
        </w:tc>
        <w:tc>
          <w:tcPr>
            <w:tcW w:w="0" w:type="pct"/>
          </w:tcPr>
          <w:p w14:paraId="1306F3D3"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99.05-99.8</w:t>
            </w:r>
          </w:p>
        </w:tc>
        <w:tc>
          <w:tcPr>
            <w:tcW w:w="0" w:type="pct"/>
          </w:tcPr>
          <w:p w14:paraId="0CC4A652"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c>
          <w:tcPr>
            <w:tcW w:w="0" w:type="pct"/>
          </w:tcPr>
          <w:p w14:paraId="6F2D41E5"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r>
      <w:tr w:rsidR="008B075E" w:rsidRPr="00BA2632" w14:paraId="1C57F5B8" w14:textId="77777777" w:rsidTr="00E26D3C">
        <w:trPr>
          <w:cnfStyle w:val="000000100000" w:firstRow="0" w:lastRow="0" w:firstColumn="0" w:lastColumn="0" w:oddVBand="0" w:evenVBand="0" w:oddHBand="1" w:evenHBand="0"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shd w:val="clear" w:color="auto" w:fill="auto"/>
          </w:tcPr>
          <w:p w14:paraId="34502502" w14:textId="77777777" w:rsidR="008B075E" w:rsidRPr="008D54F8" w:rsidRDefault="008B075E" w:rsidP="00E26D3C">
            <w:pPr>
              <w:pStyle w:val="Tablesmalltext"/>
              <w:rPr>
                <w:rFonts w:asciiTheme="minorHAnsi" w:hAnsiTheme="minorHAnsi" w:cstheme="minorHAnsi"/>
                <w:sz w:val="18"/>
                <w:szCs w:val="18"/>
              </w:rPr>
            </w:pPr>
          </w:p>
        </w:tc>
        <w:tc>
          <w:tcPr>
            <w:tcW w:w="0" w:type="pct"/>
          </w:tcPr>
          <w:p w14:paraId="01A88A75"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Zone 3</w:t>
            </w:r>
          </w:p>
        </w:tc>
        <w:tc>
          <w:tcPr>
            <w:tcW w:w="0" w:type="pct"/>
          </w:tcPr>
          <w:p w14:paraId="39D45DFB"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99.8-101.6</w:t>
            </w:r>
          </w:p>
        </w:tc>
        <w:tc>
          <w:tcPr>
            <w:tcW w:w="0" w:type="pct"/>
          </w:tcPr>
          <w:p w14:paraId="232637DC"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w:t>
            </w:r>
          </w:p>
        </w:tc>
        <w:tc>
          <w:tcPr>
            <w:tcW w:w="0" w:type="pct"/>
          </w:tcPr>
          <w:p w14:paraId="0C39B16A" w14:textId="77777777" w:rsidR="008B075E" w:rsidRPr="008D54F8" w:rsidRDefault="008B075E" w:rsidP="00E26D3C">
            <w:pPr>
              <w:pStyle w:val="Tablesmall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x</w:t>
            </w:r>
          </w:p>
        </w:tc>
      </w:tr>
      <w:tr w:rsidR="008B075E" w:rsidRPr="00BA2632" w14:paraId="39975390" w14:textId="77777777" w:rsidTr="00E26D3C">
        <w:trPr>
          <w:cnfStyle w:val="000000010000" w:firstRow="0" w:lastRow="0" w:firstColumn="0" w:lastColumn="0" w:oddVBand="0" w:evenVBand="0" w:oddHBand="0" w:evenHBand="1" w:firstRowFirstColumn="0" w:firstRowLastColumn="0" w:lastRowFirstColumn="0" w:lastRowLastColumn="0"/>
          <w:cantSplit/>
          <w:trHeight w:val="312"/>
          <w:jc w:val="center"/>
        </w:trPr>
        <w:tc>
          <w:tcPr>
            <w:cnfStyle w:val="001000000000" w:firstRow="0" w:lastRow="0" w:firstColumn="1" w:lastColumn="0" w:oddVBand="0" w:evenVBand="0" w:oddHBand="0" w:evenHBand="0" w:firstRowFirstColumn="0" w:firstRowLastColumn="0" w:lastRowFirstColumn="0" w:lastRowLastColumn="0"/>
            <w:tcW w:w="0" w:type="pct"/>
            <w:vMerge/>
            <w:tcBorders>
              <w:bottom w:val="single" w:sz="4" w:space="0" w:color="auto"/>
            </w:tcBorders>
            <w:shd w:val="clear" w:color="auto" w:fill="auto"/>
          </w:tcPr>
          <w:p w14:paraId="757A4EE2" w14:textId="77777777" w:rsidR="008B075E" w:rsidRPr="008D54F8" w:rsidRDefault="008B075E" w:rsidP="00E26D3C">
            <w:pPr>
              <w:pStyle w:val="Tablesmalltext"/>
              <w:rPr>
                <w:rFonts w:asciiTheme="minorHAnsi" w:hAnsiTheme="minorHAnsi" w:cstheme="minorHAnsi"/>
                <w:sz w:val="18"/>
                <w:szCs w:val="18"/>
              </w:rPr>
            </w:pPr>
          </w:p>
        </w:tc>
        <w:tc>
          <w:tcPr>
            <w:tcW w:w="0" w:type="pct"/>
            <w:tcBorders>
              <w:bottom w:val="single" w:sz="4" w:space="0" w:color="auto"/>
            </w:tcBorders>
          </w:tcPr>
          <w:p w14:paraId="70313965"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Zone 4</w:t>
            </w:r>
          </w:p>
        </w:tc>
        <w:tc>
          <w:tcPr>
            <w:tcW w:w="0" w:type="pct"/>
            <w:tcBorders>
              <w:bottom w:val="single" w:sz="4" w:space="0" w:color="auto"/>
            </w:tcBorders>
          </w:tcPr>
          <w:p w14:paraId="2B73DD4A"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&gt;101.6</w:t>
            </w:r>
          </w:p>
        </w:tc>
        <w:tc>
          <w:tcPr>
            <w:tcW w:w="0" w:type="pct"/>
            <w:tcBorders>
              <w:bottom w:val="single" w:sz="4" w:space="0" w:color="auto"/>
            </w:tcBorders>
          </w:tcPr>
          <w:p w14:paraId="16FD34A1"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x</w:t>
            </w:r>
          </w:p>
        </w:tc>
        <w:tc>
          <w:tcPr>
            <w:tcW w:w="0" w:type="pct"/>
            <w:tcBorders>
              <w:bottom w:val="single" w:sz="4" w:space="0" w:color="auto"/>
            </w:tcBorders>
          </w:tcPr>
          <w:p w14:paraId="0AD8C8AD" w14:textId="77777777" w:rsidR="008B075E" w:rsidRPr="008D54F8" w:rsidRDefault="008B075E" w:rsidP="00E26D3C">
            <w:pPr>
              <w:pStyle w:val="Tablesmall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D54F8">
              <w:rPr>
                <w:rFonts w:asciiTheme="minorHAnsi" w:hAnsiTheme="minorHAnsi" w:cstheme="minorHAnsi"/>
                <w:sz w:val="18"/>
                <w:szCs w:val="18"/>
              </w:rPr>
              <w:t>x</w:t>
            </w:r>
          </w:p>
        </w:tc>
      </w:tr>
    </w:tbl>
    <w:p w14:paraId="7D6D966C" w14:textId="77777777" w:rsidR="008B075E" w:rsidRPr="00BA2632" w:rsidRDefault="008B075E" w:rsidP="008B075E">
      <w:pPr>
        <w:rPr>
          <w:lang w:eastAsia="en-US"/>
        </w:rPr>
      </w:pPr>
    </w:p>
    <w:p w14:paraId="7030A8A3" w14:textId="77777777" w:rsidR="008B075E" w:rsidRDefault="008B075E" w:rsidP="008B075E">
      <w:r>
        <w:br w:type="page"/>
      </w:r>
    </w:p>
    <w:p w14:paraId="15C27BB7" w14:textId="77777777" w:rsidR="008B075E" w:rsidRDefault="008B075E" w:rsidP="005D46E3">
      <w:pPr>
        <w:pStyle w:val="Caption"/>
        <w:jc w:val="center"/>
      </w:pPr>
      <w:r>
        <w:rPr>
          <w:noProof/>
          <w:lang w:val="en-GB"/>
        </w:rPr>
        <w:lastRenderedPageBreak/>
        <w:drawing>
          <wp:inline distT="0" distB="0" distL="0" distR="0" wp14:anchorId="3726AF03" wp14:editId="389F70AA">
            <wp:extent cx="6051550" cy="1847850"/>
            <wp:effectExtent l="0" t="0" r="6350" b="0"/>
            <wp:docPr id="550" name="Chart 550">
              <a:extLst xmlns:a="http://schemas.openxmlformats.org/drawingml/2006/main">
                <a:ext uri="{FF2B5EF4-FFF2-40B4-BE49-F238E27FC236}">
                  <a16:creationId xmlns:a16="http://schemas.microsoft.com/office/drawing/2014/main" id="{A27536FF-1BE2-4704-8D33-48C96AAEDB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6110D0C1" w14:textId="77777777" w:rsidR="008B075E" w:rsidRDefault="008B075E" w:rsidP="005D46E3">
      <w:pPr>
        <w:pStyle w:val="Caption"/>
        <w:jc w:val="center"/>
      </w:pPr>
      <w:r>
        <w:rPr>
          <w:noProof/>
          <w:lang w:val="en-GB"/>
        </w:rPr>
        <w:drawing>
          <wp:inline distT="0" distB="0" distL="0" distR="0" wp14:anchorId="55302705" wp14:editId="3355D969">
            <wp:extent cx="6051550" cy="1695450"/>
            <wp:effectExtent l="0" t="0" r="6350" b="0"/>
            <wp:docPr id="551" name="Chart 551">
              <a:extLst xmlns:a="http://schemas.openxmlformats.org/drawingml/2006/main">
                <a:ext uri="{FF2B5EF4-FFF2-40B4-BE49-F238E27FC236}">
                  <a16:creationId xmlns:a16="http://schemas.microsoft.com/office/drawing/2014/main" id="{71DCD0BD-1D6A-45CF-9FD6-38095EE550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5D255B92" w14:textId="77777777" w:rsidR="008B075E" w:rsidRDefault="008B075E" w:rsidP="005D46E3">
      <w:pPr>
        <w:pStyle w:val="Caption"/>
        <w:jc w:val="center"/>
      </w:pPr>
      <w:r>
        <w:rPr>
          <w:noProof/>
          <w:lang w:val="en-GB"/>
        </w:rPr>
        <w:drawing>
          <wp:inline distT="0" distB="0" distL="0" distR="0" wp14:anchorId="7F826EE0" wp14:editId="49E4907E">
            <wp:extent cx="6051550" cy="2032000"/>
            <wp:effectExtent l="0" t="0" r="6350" b="6350"/>
            <wp:docPr id="552" name="Chart 552">
              <a:extLst xmlns:a="http://schemas.openxmlformats.org/drawingml/2006/main">
                <a:ext uri="{FF2B5EF4-FFF2-40B4-BE49-F238E27FC236}">
                  <a16:creationId xmlns:a16="http://schemas.microsoft.com/office/drawing/2014/main" id="{07EAA446-C4EE-4BC6-AF73-25916B56C6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4B1FF563" w14:textId="77777777" w:rsidR="00E25D87" w:rsidRDefault="008B075E" w:rsidP="00E25D87">
      <w:pPr>
        <w:keepNext/>
        <w:jc w:val="center"/>
      </w:pPr>
      <w:r>
        <w:rPr>
          <w:noProof/>
          <w:lang w:val="en-GB"/>
        </w:rPr>
        <w:drawing>
          <wp:inline distT="0" distB="0" distL="0" distR="0" wp14:anchorId="60881B32" wp14:editId="31E29235">
            <wp:extent cx="6051550" cy="1847850"/>
            <wp:effectExtent l="0" t="0" r="6350" b="0"/>
            <wp:docPr id="553" name="Chart 553">
              <a:extLst xmlns:a="http://schemas.openxmlformats.org/drawingml/2006/main">
                <a:ext uri="{FF2B5EF4-FFF2-40B4-BE49-F238E27FC236}">
                  <a16:creationId xmlns:a16="http://schemas.microsoft.com/office/drawing/2014/main" id="{403D572D-09FA-4DE6-8F6A-46C3743F81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7D36D99C" w14:textId="6162880A" w:rsidR="008B075E" w:rsidRPr="008D2002" w:rsidRDefault="00CB022F" w:rsidP="00E25D87">
      <w:pPr>
        <w:pStyle w:val="Caption"/>
      </w:pPr>
      <w:bookmarkStart w:id="799" w:name="_Toc83907825"/>
      <w:bookmarkStart w:id="800" w:name="_Toc84475802"/>
      <w:r>
        <w:t xml:space="preserve">Figure </w:t>
      </w:r>
      <w:r>
        <w:rPr>
          <w:noProof/>
        </w:rPr>
        <w:t>G</w:t>
      </w:r>
      <w:r>
        <w:noBreakHyphen/>
      </w:r>
      <w:r>
        <w:rPr>
          <w:noProof/>
        </w:rPr>
        <w:t>1</w:t>
      </w:r>
      <w:r>
        <w:t xml:space="preserve"> </w:t>
      </w:r>
      <w:r w:rsidR="00E25D87" w:rsidRPr="0015214D">
        <w:t>Average foliage projected cover index of summed cover of ground layer vegetation in each bank zone across surveys for all plants (</w:t>
      </w:r>
      <w:proofErr w:type="spellStart"/>
      <w:proofErr w:type="gramStart"/>
      <w:r w:rsidR="00E25D87" w:rsidRPr="0015214D">
        <w:t>a,b</w:t>
      </w:r>
      <w:proofErr w:type="spellEnd"/>
      <w:proofErr w:type="gramEnd"/>
      <w:r w:rsidR="00E25D87" w:rsidRPr="0015214D">
        <w:t>) and water dependant species (</w:t>
      </w:r>
      <w:proofErr w:type="spellStart"/>
      <w:r w:rsidR="00E25D87" w:rsidRPr="0015214D">
        <w:t>c,d</w:t>
      </w:r>
      <w:proofErr w:type="spellEnd"/>
      <w:r w:rsidR="00E25D87" w:rsidRPr="0015214D">
        <w:t>) at McCoy’s Bridge (</w:t>
      </w:r>
      <w:proofErr w:type="spellStart"/>
      <w:r w:rsidR="00E25D87" w:rsidRPr="0015214D">
        <w:t>a,c</w:t>
      </w:r>
      <w:proofErr w:type="spellEnd"/>
      <w:r w:rsidR="00E25D87" w:rsidRPr="0015214D">
        <w:t>) and Loch Garry (</w:t>
      </w:r>
      <w:proofErr w:type="spellStart"/>
      <w:r w:rsidR="00E25D87" w:rsidRPr="0015214D">
        <w:t>b,d</w:t>
      </w:r>
      <w:proofErr w:type="spellEnd"/>
      <w:r w:rsidR="00E25D87" w:rsidRPr="0015214D">
        <w:t>).</w:t>
      </w:r>
      <w:bookmarkEnd w:id="799"/>
      <w:bookmarkEnd w:id="800"/>
    </w:p>
    <w:p w14:paraId="12860894" w14:textId="77777777" w:rsidR="008B075E" w:rsidRPr="004D566D" w:rsidRDefault="008B075E" w:rsidP="008B075E"/>
    <w:p w14:paraId="3B03BF94" w14:textId="77777777" w:rsidR="008B075E" w:rsidRDefault="008B075E" w:rsidP="00B52DDF">
      <w:pPr>
        <w:pStyle w:val="Caption"/>
        <w:jc w:val="center"/>
        <w:rPr>
          <w:noProof/>
        </w:rPr>
      </w:pPr>
      <w:r>
        <w:rPr>
          <w:noProof/>
          <w:lang w:val="en-GB"/>
        </w:rPr>
        <w:lastRenderedPageBreak/>
        <w:drawing>
          <wp:inline distT="0" distB="0" distL="0" distR="0" wp14:anchorId="65919D66" wp14:editId="1E5047D8">
            <wp:extent cx="5920451" cy="2000250"/>
            <wp:effectExtent l="0" t="0" r="4445" b="0"/>
            <wp:docPr id="554" name="Chart 554">
              <a:extLst xmlns:a="http://schemas.openxmlformats.org/drawingml/2006/main">
                <a:ext uri="{FF2B5EF4-FFF2-40B4-BE49-F238E27FC236}">
                  <a16:creationId xmlns:a16="http://schemas.microsoft.com/office/drawing/2014/main" id="{4D8E9844-FC0A-41CB-8514-C79BFC54FB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423C42ED" w14:textId="77777777" w:rsidR="00547EF7" w:rsidRDefault="008B075E" w:rsidP="00B52DDF">
      <w:pPr>
        <w:pStyle w:val="Caption"/>
        <w:jc w:val="center"/>
        <w:rPr>
          <w:noProof/>
        </w:rPr>
      </w:pPr>
      <w:r>
        <w:rPr>
          <w:noProof/>
          <w:lang w:val="en-GB"/>
        </w:rPr>
        <w:drawing>
          <wp:inline distT="0" distB="0" distL="0" distR="0" wp14:anchorId="08E0F1A1" wp14:editId="38A25DE5">
            <wp:extent cx="5920105" cy="2006600"/>
            <wp:effectExtent l="0" t="0" r="4445" b="12700"/>
            <wp:docPr id="555" name="Chart 555">
              <a:extLst xmlns:a="http://schemas.openxmlformats.org/drawingml/2006/main">
                <a:ext uri="{FF2B5EF4-FFF2-40B4-BE49-F238E27FC236}">
                  <a16:creationId xmlns:a16="http://schemas.microsoft.com/office/drawing/2014/main" id="{A96A6C51-00A4-4482-9714-52D879CDC1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19D951E2" w14:textId="24D609A2" w:rsidR="008B075E" w:rsidRPr="00BA2632" w:rsidRDefault="008B075E" w:rsidP="00B52DDF">
      <w:pPr>
        <w:pStyle w:val="Caption"/>
        <w:jc w:val="center"/>
        <w:rPr>
          <w:noProof/>
        </w:rPr>
      </w:pPr>
      <w:r>
        <w:rPr>
          <w:noProof/>
          <w:lang w:val="en-GB"/>
        </w:rPr>
        <w:drawing>
          <wp:inline distT="0" distB="0" distL="0" distR="0" wp14:anchorId="47F8DAB4" wp14:editId="30EB144B">
            <wp:extent cx="5920105" cy="2081048"/>
            <wp:effectExtent l="0" t="0" r="4445" b="14605"/>
            <wp:docPr id="556" name="Chart 556">
              <a:extLst xmlns:a="http://schemas.openxmlformats.org/drawingml/2006/main">
                <a:ext uri="{FF2B5EF4-FFF2-40B4-BE49-F238E27FC236}">
                  <a16:creationId xmlns:a16="http://schemas.microsoft.com/office/drawing/2014/main" id="{FDD3094F-6477-445A-B123-508BB49066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4126F8A9" w14:textId="77777777" w:rsidR="008B075E" w:rsidRDefault="008B075E" w:rsidP="00447B2B">
      <w:pPr>
        <w:pStyle w:val="Caption"/>
        <w:jc w:val="center"/>
        <w:rPr>
          <w:noProof/>
        </w:rPr>
      </w:pPr>
      <w:r>
        <w:rPr>
          <w:noProof/>
          <w:lang w:val="en-GB"/>
        </w:rPr>
        <w:drawing>
          <wp:inline distT="0" distB="0" distL="0" distR="0" wp14:anchorId="4576401C" wp14:editId="7D1AAC94">
            <wp:extent cx="5920105" cy="2063750"/>
            <wp:effectExtent l="0" t="0" r="4445" b="12700"/>
            <wp:docPr id="557" name="Chart 557">
              <a:extLst xmlns:a="http://schemas.openxmlformats.org/drawingml/2006/main">
                <a:ext uri="{FF2B5EF4-FFF2-40B4-BE49-F238E27FC236}">
                  <a16:creationId xmlns:a16="http://schemas.microsoft.com/office/drawing/2014/main" id="{9B99B4F2-442B-461F-9E77-3F02C32744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0F1E2FA8" w14:textId="5D87C0F7" w:rsidR="008B075E" w:rsidRPr="00BA2632" w:rsidRDefault="00120784" w:rsidP="008B075E">
      <w:pPr>
        <w:pStyle w:val="Caption"/>
      </w:pPr>
      <w:bookmarkStart w:id="801" w:name="_Toc83907826"/>
      <w:bookmarkStart w:id="802" w:name="_Toc84475803"/>
      <w:r>
        <w:t xml:space="preserve">Figure </w:t>
      </w:r>
      <w:r w:rsidR="00B21BC5">
        <w:rPr>
          <w:noProof/>
        </w:rPr>
        <w:t>G</w:t>
      </w:r>
      <w:r>
        <w:noBreakHyphen/>
      </w:r>
      <w:r w:rsidR="00B21BC5">
        <w:rPr>
          <w:noProof/>
        </w:rPr>
        <w:t>2</w:t>
      </w:r>
      <w:r>
        <w:t xml:space="preserve"> </w:t>
      </w:r>
      <w:r w:rsidR="008B075E" w:rsidRPr="00BA2632">
        <w:t xml:space="preserve">Average foliage projected cover index of </w:t>
      </w:r>
      <w:r w:rsidR="008B075E">
        <w:t xml:space="preserve">summed cover of </w:t>
      </w:r>
      <w:r w:rsidR="008B075E" w:rsidRPr="00BA2632">
        <w:t>ground layer vegetation in each bank zone at McCoy’s Bridge</w:t>
      </w:r>
      <w:r w:rsidR="008B075E">
        <w:t xml:space="preserve"> </w:t>
      </w:r>
      <w:r w:rsidR="008B075E" w:rsidRPr="00BA2632">
        <w:t>across surveys</w:t>
      </w:r>
      <w:r w:rsidR="008B075E">
        <w:t xml:space="preserve"> for (a) grasses and (b) herbs and (c) sedges (d) rushes</w:t>
      </w:r>
      <w:r w:rsidR="008B075E" w:rsidRPr="00BA2632">
        <w:t>.</w:t>
      </w:r>
      <w:bookmarkEnd w:id="801"/>
      <w:bookmarkEnd w:id="802"/>
    </w:p>
    <w:p w14:paraId="141705B8" w14:textId="77777777" w:rsidR="008B075E" w:rsidRPr="00BA2632" w:rsidRDefault="008B075E" w:rsidP="008B075E">
      <w:pPr>
        <w:pStyle w:val="Caption"/>
      </w:pPr>
      <w:r>
        <w:lastRenderedPageBreak/>
        <w:t xml:space="preserve"> </w:t>
      </w:r>
    </w:p>
    <w:p w14:paraId="6B2A7953" w14:textId="5174F21B" w:rsidR="008B075E" w:rsidRPr="00B52DDF" w:rsidRDefault="008B075E" w:rsidP="00BD54C3">
      <w:pPr>
        <w:pStyle w:val="Caption"/>
        <w:jc w:val="center"/>
        <w:rPr>
          <w:noProof/>
        </w:rPr>
      </w:pPr>
      <w:r>
        <w:rPr>
          <w:noProof/>
          <w:lang w:val="en-GB"/>
        </w:rPr>
        <w:drawing>
          <wp:inline distT="0" distB="0" distL="0" distR="0" wp14:anchorId="11666683" wp14:editId="20776A09">
            <wp:extent cx="6063615" cy="2727158"/>
            <wp:effectExtent l="0" t="0" r="13335" b="16510"/>
            <wp:docPr id="558" name="Chart 558">
              <a:extLst xmlns:a="http://schemas.openxmlformats.org/drawingml/2006/main">
                <a:ext uri="{FF2B5EF4-FFF2-40B4-BE49-F238E27FC236}">
                  <a16:creationId xmlns:a16="http://schemas.microsoft.com/office/drawing/2014/main" id="{A0B1FD3F-0929-4C9F-A5BA-743003332B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577D6534" w14:textId="77777777" w:rsidR="008B075E" w:rsidRPr="00BA2632" w:rsidRDefault="008B075E" w:rsidP="00B52DDF">
      <w:pPr>
        <w:pStyle w:val="Caption"/>
        <w:jc w:val="center"/>
        <w:rPr>
          <w:noProof/>
        </w:rPr>
      </w:pPr>
      <w:r>
        <w:rPr>
          <w:noProof/>
          <w:lang w:val="en-GB"/>
        </w:rPr>
        <w:drawing>
          <wp:inline distT="0" distB="0" distL="0" distR="0" wp14:anchorId="202BA8D3" wp14:editId="4D927FA4">
            <wp:extent cx="6063615" cy="2225675"/>
            <wp:effectExtent l="0" t="0" r="13335" b="3175"/>
            <wp:docPr id="18" name="Chart 18">
              <a:extLst xmlns:a="http://schemas.openxmlformats.org/drawingml/2006/main">
                <a:ext uri="{FF2B5EF4-FFF2-40B4-BE49-F238E27FC236}">
                  <a16:creationId xmlns:a16="http://schemas.microsoft.com/office/drawing/2014/main" id="{E4F78630-A401-456D-A151-04EE4607DB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00A06611" w14:textId="3D5F679F" w:rsidR="008B075E" w:rsidRPr="00BA2632" w:rsidRDefault="00B21BC5" w:rsidP="008B075E">
      <w:pPr>
        <w:pStyle w:val="Caption"/>
      </w:pPr>
      <w:bookmarkStart w:id="803" w:name="_Toc83907827"/>
      <w:bookmarkStart w:id="804" w:name="_Toc84475804"/>
      <w:r>
        <w:t xml:space="preserve">Figure </w:t>
      </w:r>
      <w:r>
        <w:rPr>
          <w:noProof/>
        </w:rPr>
        <w:t>G</w:t>
      </w:r>
      <w:r>
        <w:noBreakHyphen/>
      </w:r>
      <w:r>
        <w:rPr>
          <w:noProof/>
        </w:rPr>
        <w:t>3</w:t>
      </w:r>
      <w:r>
        <w:t xml:space="preserve"> </w:t>
      </w:r>
      <w:r w:rsidR="008B075E" w:rsidRPr="00BA2632">
        <w:t xml:space="preserve">Average foliage projected cover index </w:t>
      </w:r>
      <w:r w:rsidR="008B075E">
        <w:t>(a) Common tussock grass (</w:t>
      </w:r>
      <w:r w:rsidR="008B075E" w:rsidRPr="00A945B5">
        <w:rPr>
          <w:i/>
          <w:iCs w:val="0"/>
        </w:rPr>
        <w:t xml:space="preserve">Poa </w:t>
      </w:r>
      <w:proofErr w:type="spellStart"/>
      <w:r w:rsidR="008B075E" w:rsidRPr="00A945B5">
        <w:rPr>
          <w:i/>
          <w:iCs w:val="0"/>
        </w:rPr>
        <w:t>labillardierei</w:t>
      </w:r>
      <w:proofErr w:type="spellEnd"/>
      <w:r w:rsidR="008B075E">
        <w:t xml:space="preserve">) and </w:t>
      </w:r>
      <w:r w:rsidR="008B075E" w:rsidRPr="00BA2632">
        <w:t>creeping knotweed (</w:t>
      </w:r>
      <w:proofErr w:type="spellStart"/>
      <w:r w:rsidR="008B075E" w:rsidRPr="003A6373">
        <w:t>Persicaria</w:t>
      </w:r>
      <w:proofErr w:type="spellEnd"/>
      <w:r w:rsidR="008B075E" w:rsidRPr="003A6373">
        <w:t xml:space="preserve"> </w:t>
      </w:r>
      <w:proofErr w:type="spellStart"/>
      <w:r w:rsidR="008B075E" w:rsidRPr="003A6373">
        <w:t>prostrata</w:t>
      </w:r>
      <w:proofErr w:type="spellEnd"/>
      <w:r w:rsidR="008B075E" w:rsidRPr="00BA2632">
        <w:t xml:space="preserve">) in each bank zone </w:t>
      </w:r>
      <w:r w:rsidR="008B075E">
        <w:t>across surveys at</w:t>
      </w:r>
      <w:r w:rsidR="008B075E" w:rsidRPr="00BA2632">
        <w:t xml:space="preserve"> </w:t>
      </w:r>
      <w:proofErr w:type="spellStart"/>
      <w:r w:rsidR="008B075E">
        <w:t>McCoys</w:t>
      </w:r>
      <w:proofErr w:type="spellEnd"/>
      <w:r w:rsidR="008B075E">
        <w:t xml:space="preserve"> Bridge</w:t>
      </w:r>
      <w:r w:rsidR="008B075E" w:rsidRPr="00BA2632">
        <w:t>.</w:t>
      </w:r>
      <w:bookmarkEnd w:id="803"/>
      <w:bookmarkEnd w:id="804"/>
    </w:p>
    <w:p w14:paraId="3BCCA427" w14:textId="77777777" w:rsidR="00492D62" w:rsidRDefault="00492D62" w:rsidP="00492D62">
      <w:pPr>
        <w:rPr>
          <w:rFonts w:ascii="Georgia" w:eastAsia="SimHei" w:hAnsi="Georgia" w:cs="Times New Roman"/>
          <w:b/>
          <w:color w:val="094183"/>
          <w:sz w:val="32"/>
          <w:szCs w:val="32"/>
          <w:lang w:eastAsia="en-US"/>
        </w:rPr>
      </w:pPr>
      <w:r>
        <w:br w:type="page"/>
      </w:r>
    </w:p>
    <w:p w14:paraId="4B4F7489" w14:textId="54E63ABD" w:rsidR="00B21CDF" w:rsidRPr="00BA2632" w:rsidRDefault="00B21CDF" w:rsidP="001827C8">
      <w:pPr>
        <w:pStyle w:val="Heading6"/>
      </w:pPr>
      <w:bookmarkStart w:id="805" w:name="_Toc84416148"/>
      <w:bookmarkStart w:id="806" w:name="_Toc84417458"/>
      <w:r w:rsidRPr="00BA2632">
        <w:lastRenderedPageBreak/>
        <w:t>Taxa recorded deposited on turf mats</w:t>
      </w:r>
      <w:bookmarkEnd w:id="805"/>
      <w:bookmarkEnd w:id="806"/>
      <w:r w:rsidR="00726031" w:rsidRPr="00BA2632">
        <w:t xml:space="preserve"> </w:t>
      </w:r>
    </w:p>
    <w:p w14:paraId="1B278E7F" w14:textId="4AE5FB9F" w:rsidR="0054479C" w:rsidRDefault="008645BF" w:rsidP="008645BF">
      <w:pPr>
        <w:pStyle w:val="Caption"/>
      </w:pPr>
      <w:bookmarkStart w:id="807" w:name="_Toc84492684"/>
      <w:r>
        <w:t xml:space="preserve">Table </w:t>
      </w:r>
      <w:r>
        <w:rPr>
          <w:noProof/>
        </w:rPr>
        <w:t>H</w:t>
      </w:r>
      <w:r>
        <w:noBreakHyphen/>
      </w:r>
      <w:r>
        <w:rPr>
          <w:noProof/>
        </w:rPr>
        <w:t>1</w:t>
      </w:r>
      <w:r>
        <w:t xml:space="preserve"> </w:t>
      </w:r>
      <w:r w:rsidR="0054479C" w:rsidRPr="00BA4FC4">
        <w:t xml:space="preserve">All taxa recorded from material deposited on turf mats across different geomorphic features (Bar, Bench, Ledge, Bank, Air) at three sites, Darcy’s Track, Loch </w:t>
      </w:r>
      <w:proofErr w:type="gramStart"/>
      <w:r w:rsidR="0054479C" w:rsidRPr="00BA4FC4">
        <w:t>Garry</w:t>
      </w:r>
      <w:proofErr w:type="gramEnd"/>
      <w:r w:rsidR="0054479C" w:rsidRPr="00BA4FC4">
        <w:t xml:space="preserve"> and McCoy’s Bridge for retrievals R5–7. </w:t>
      </w:r>
      <w:r w:rsidR="0054479C">
        <w:t>Numbers indicates the abundance of seeds</w:t>
      </w:r>
      <w:r w:rsidR="0054479C" w:rsidRPr="00BA2632">
        <w:t xml:space="preserve"> of a </w:t>
      </w:r>
      <w:r w:rsidR="0054479C">
        <w:t xml:space="preserve">particular </w:t>
      </w:r>
      <w:r w:rsidR="0054479C" w:rsidRPr="00BA2632">
        <w:t>taxon at a particular site and geomorphic feature</w:t>
      </w:r>
      <w:r w:rsidR="0054479C">
        <w:t xml:space="preserve"> for a given retrieval</w:t>
      </w:r>
      <w:r w:rsidR="0054479C" w:rsidRPr="00BA2632">
        <w:t>.</w:t>
      </w:r>
      <w:bookmarkEnd w:id="807"/>
    </w:p>
    <w:tbl>
      <w:tblPr>
        <w:tblW w:w="5000" w:type="pct"/>
        <w:jc w:val="center"/>
        <w:tblLayout w:type="fixed"/>
        <w:tblLook w:val="04A0" w:firstRow="1" w:lastRow="0" w:firstColumn="1" w:lastColumn="0" w:noHBand="0" w:noVBand="1"/>
      </w:tblPr>
      <w:tblGrid>
        <w:gridCol w:w="2489"/>
        <w:gridCol w:w="516"/>
        <w:gridCol w:w="516"/>
        <w:gridCol w:w="516"/>
        <w:gridCol w:w="516"/>
        <w:gridCol w:w="516"/>
        <w:gridCol w:w="516"/>
        <w:gridCol w:w="516"/>
        <w:gridCol w:w="516"/>
        <w:gridCol w:w="516"/>
        <w:gridCol w:w="516"/>
        <w:gridCol w:w="516"/>
        <w:gridCol w:w="516"/>
        <w:gridCol w:w="516"/>
        <w:gridCol w:w="724"/>
      </w:tblGrid>
      <w:tr w:rsidR="00BE78EE" w:rsidRPr="00CB64DE" w14:paraId="6B73B039" w14:textId="77777777" w:rsidTr="00F768CB">
        <w:trPr>
          <w:cantSplit/>
          <w:trHeight w:val="669"/>
          <w:jc w:val="center"/>
        </w:trPr>
        <w:tc>
          <w:tcPr>
            <w:tcW w:w="1255" w:type="pct"/>
            <w:tcBorders>
              <w:top w:val="single" w:sz="4" w:space="0" w:color="auto"/>
              <w:left w:val="nil"/>
              <w:bottom w:val="nil"/>
              <w:right w:val="nil"/>
            </w:tcBorders>
            <w:shd w:val="clear" w:color="auto" w:fill="auto"/>
            <w:noWrap/>
            <w:hideMark/>
          </w:tcPr>
          <w:p w14:paraId="0AE3A738" w14:textId="77777777" w:rsidR="00BE78EE" w:rsidRPr="00CB64DE" w:rsidRDefault="00BE78EE" w:rsidP="00E26D3C">
            <w:pPr>
              <w:spacing w:after="0" w:line="240" w:lineRule="auto"/>
              <w:rPr>
                <w:rFonts w:eastAsia="Times New Roman" w:cs="Times New Roman"/>
                <w:b/>
                <w:sz w:val="16"/>
                <w:szCs w:val="16"/>
                <w:lang w:eastAsia="en-AU"/>
              </w:rPr>
            </w:pPr>
            <w:r w:rsidRPr="00CB64DE">
              <w:rPr>
                <w:rFonts w:eastAsia="Times New Roman" w:cs="Times New Roman"/>
                <w:b/>
                <w:sz w:val="16"/>
                <w:szCs w:val="16"/>
                <w:lang w:eastAsia="en-AU"/>
              </w:rPr>
              <w:t>Species</w:t>
            </w:r>
          </w:p>
        </w:tc>
        <w:tc>
          <w:tcPr>
            <w:tcW w:w="260" w:type="pct"/>
            <w:tcBorders>
              <w:top w:val="single" w:sz="4" w:space="0" w:color="auto"/>
              <w:left w:val="nil"/>
              <w:bottom w:val="nil"/>
              <w:right w:val="nil"/>
            </w:tcBorders>
            <w:shd w:val="clear" w:color="auto" w:fill="auto"/>
            <w:noWrap/>
            <w:textDirection w:val="btLr"/>
            <w:vAlign w:val="bottom"/>
            <w:hideMark/>
          </w:tcPr>
          <w:p w14:paraId="5A92D51A"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DT</w:t>
            </w:r>
          </w:p>
        </w:tc>
        <w:tc>
          <w:tcPr>
            <w:tcW w:w="260" w:type="pct"/>
            <w:tcBorders>
              <w:top w:val="single" w:sz="4" w:space="0" w:color="auto"/>
              <w:left w:val="nil"/>
              <w:bottom w:val="nil"/>
              <w:right w:val="nil"/>
            </w:tcBorders>
            <w:shd w:val="clear" w:color="auto" w:fill="auto"/>
            <w:noWrap/>
            <w:textDirection w:val="btLr"/>
            <w:vAlign w:val="bottom"/>
            <w:hideMark/>
          </w:tcPr>
          <w:p w14:paraId="4E062468"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p>
        </w:tc>
        <w:tc>
          <w:tcPr>
            <w:tcW w:w="260" w:type="pct"/>
            <w:tcBorders>
              <w:top w:val="single" w:sz="4" w:space="0" w:color="auto"/>
              <w:left w:val="nil"/>
              <w:bottom w:val="nil"/>
              <w:right w:val="nil"/>
            </w:tcBorders>
            <w:shd w:val="clear" w:color="auto" w:fill="auto"/>
            <w:noWrap/>
            <w:textDirection w:val="btLr"/>
            <w:vAlign w:val="bottom"/>
            <w:hideMark/>
          </w:tcPr>
          <w:p w14:paraId="5CAF7B14" w14:textId="77777777" w:rsidR="00BE78EE" w:rsidRPr="00CB64DE" w:rsidRDefault="00BE78EE" w:rsidP="00E26D3C">
            <w:pPr>
              <w:spacing w:after="0" w:line="240" w:lineRule="auto"/>
              <w:ind w:left="113" w:right="113"/>
              <w:rPr>
                <w:rFonts w:eastAsia="Times New Roman" w:cs="Times New Roman"/>
                <w:sz w:val="16"/>
                <w:szCs w:val="16"/>
                <w:lang w:eastAsia="en-AU"/>
              </w:rPr>
            </w:pPr>
          </w:p>
        </w:tc>
        <w:tc>
          <w:tcPr>
            <w:tcW w:w="260" w:type="pct"/>
            <w:tcBorders>
              <w:top w:val="single" w:sz="4" w:space="0" w:color="auto"/>
              <w:left w:val="nil"/>
              <w:bottom w:val="nil"/>
              <w:right w:val="nil"/>
            </w:tcBorders>
            <w:shd w:val="clear" w:color="auto" w:fill="auto"/>
            <w:noWrap/>
            <w:textDirection w:val="btLr"/>
            <w:vAlign w:val="bottom"/>
            <w:hideMark/>
          </w:tcPr>
          <w:p w14:paraId="53118B2D" w14:textId="77777777" w:rsidR="00BE78EE" w:rsidRPr="00CB64DE" w:rsidRDefault="00BE78EE" w:rsidP="00E26D3C">
            <w:pPr>
              <w:spacing w:after="0" w:line="240" w:lineRule="auto"/>
              <w:ind w:left="113" w:right="113"/>
              <w:rPr>
                <w:rFonts w:eastAsia="Times New Roman" w:cs="Times New Roman"/>
                <w:sz w:val="16"/>
                <w:szCs w:val="16"/>
                <w:lang w:eastAsia="en-AU"/>
              </w:rPr>
            </w:pPr>
          </w:p>
        </w:tc>
        <w:tc>
          <w:tcPr>
            <w:tcW w:w="260" w:type="pct"/>
            <w:tcBorders>
              <w:top w:val="single" w:sz="4" w:space="0" w:color="auto"/>
              <w:left w:val="nil"/>
              <w:bottom w:val="nil"/>
              <w:right w:val="nil"/>
            </w:tcBorders>
            <w:shd w:val="clear" w:color="auto" w:fill="auto"/>
            <w:noWrap/>
            <w:textDirection w:val="btLr"/>
            <w:vAlign w:val="bottom"/>
            <w:hideMark/>
          </w:tcPr>
          <w:p w14:paraId="6315202D"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LG</w:t>
            </w:r>
          </w:p>
        </w:tc>
        <w:tc>
          <w:tcPr>
            <w:tcW w:w="260" w:type="pct"/>
            <w:tcBorders>
              <w:top w:val="single" w:sz="4" w:space="0" w:color="auto"/>
              <w:left w:val="nil"/>
              <w:bottom w:val="nil"/>
              <w:right w:val="nil"/>
            </w:tcBorders>
            <w:shd w:val="clear" w:color="auto" w:fill="auto"/>
            <w:noWrap/>
            <w:textDirection w:val="btLr"/>
            <w:vAlign w:val="bottom"/>
            <w:hideMark/>
          </w:tcPr>
          <w:p w14:paraId="3C804E97"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p>
        </w:tc>
        <w:tc>
          <w:tcPr>
            <w:tcW w:w="260" w:type="pct"/>
            <w:tcBorders>
              <w:top w:val="single" w:sz="4" w:space="0" w:color="auto"/>
              <w:left w:val="nil"/>
              <w:bottom w:val="nil"/>
              <w:right w:val="nil"/>
            </w:tcBorders>
            <w:shd w:val="clear" w:color="auto" w:fill="auto"/>
            <w:noWrap/>
            <w:textDirection w:val="btLr"/>
            <w:vAlign w:val="bottom"/>
            <w:hideMark/>
          </w:tcPr>
          <w:p w14:paraId="2153D471" w14:textId="77777777" w:rsidR="00BE78EE" w:rsidRPr="00CB64DE" w:rsidRDefault="00BE78EE" w:rsidP="00E26D3C">
            <w:pPr>
              <w:spacing w:after="0" w:line="240" w:lineRule="auto"/>
              <w:ind w:left="113" w:right="113"/>
              <w:rPr>
                <w:rFonts w:eastAsia="Times New Roman" w:cs="Times New Roman"/>
                <w:sz w:val="16"/>
                <w:szCs w:val="16"/>
                <w:lang w:eastAsia="en-AU"/>
              </w:rPr>
            </w:pPr>
          </w:p>
        </w:tc>
        <w:tc>
          <w:tcPr>
            <w:tcW w:w="260" w:type="pct"/>
            <w:tcBorders>
              <w:top w:val="single" w:sz="4" w:space="0" w:color="auto"/>
              <w:left w:val="nil"/>
              <w:bottom w:val="nil"/>
              <w:right w:val="nil"/>
            </w:tcBorders>
            <w:shd w:val="clear" w:color="auto" w:fill="auto"/>
            <w:noWrap/>
            <w:textDirection w:val="btLr"/>
            <w:vAlign w:val="bottom"/>
            <w:hideMark/>
          </w:tcPr>
          <w:p w14:paraId="2809C7DF" w14:textId="77777777" w:rsidR="00BE78EE" w:rsidRPr="00CB64DE" w:rsidRDefault="00BE78EE" w:rsidP="00E26D3C">
            <w:pPr>
              <w:spacing w:after="0" w:line="240" w:lineRule="auto"/>
              <w:ind w:left="113" w:right="113"/>
              <w:rPr>
                <w:rFonts w:eastAsia="Times New Roman" w:cs="Times New Roman"/>
                <w:sz w:val="16"/>
                <w:szCs w:val="16"/>
                <w:lang w:eastAsia="en-AU"/>
              </w:rPr>
            </w:pPr>
          </w:p>
        </w:tc>
        <w:tc>
          <w:tcPr>
            <w:tcW w:w="260" w:type="pct"/>
            <w:tcBorders>
              <w:top w:val="single" w:sz="4" w:space="0" w:color="auto"/>
              <w:left w:val="nil"/>
              <w:bottom w:val="nil"/>
              <w:right w:val="nil"/>
            </w:tcBorders>
            <w:shd w:val="clear" w:color="auto" w:fill="auto"/>
            <w:noWrap/>
            <w:textDirection w:val="btLr"/>
            <w:vAlign w:val="bottom"/>
            <w:hideMark/>
          </w:tcPr>
          <w:p w14:paraId="1A45812B"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MC</w:t>
            </w:r>
          </w:p>
        </w:tc>
        <w:tc>
          <w:tcPr>
            <w:tcW w:w="260" w:type="pct"/>
            <w:tcBorders>
              <w:top w:val="single" w:sz="4" w:space="0" w:color="auto"/>
              <w:left w:val="nil"/>
              <w:bottom w:val="nil"/>
              <w:right w:val="nil"/>
            </w:tcBorders>
            <w:shd w:val="clear" w:color="auto" w:fill="auto"/>
            <w:noWrap/>
            <w:textDirection w:val="btLr"/>
            <w:vAlign w:val="bottom"/>
            <w:hideMark/>
          </w:tcPr>
          <w:p w14:paraId="77790936"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p>
        </w:tc>
        <w:tc>
          <w:tcPr>
            <w:tcW w:w="260" w:type="pct"/>
            <w:tcBorders>
              <w:top w:val="single" w:sz="4" w:space="0" w:color="auto"/>
              <w:left w:val="nil"/>
              <w:bottom w:val="nil"/>
              <w:right w:val="nil"/>
            </w:tcBorders>
            <w:shd w:val="clear" w:color="auto" w:fill="auto"/>
            <w:noWrap/>
            <w:textDirection w:val="btLr"/>
            <w:vAlign w:val="bottom"/>
            <w:hideMark/>
          </w:tcPr>
          <w:p w14:paraId="79635E77" w14:textId="77777777" w:rsidR="00BE78EE" w:rsidRPr="00CB64DE" w:rsidRDefault="00BE78EE" w:rsidP="00E26D3C">
            <w:pPr>
              <w:spacing w:after="0" w:line="240" w:lineRule="auto"/>
              <w:ind w:left="113" w:right="113"/>
              <w:rPr>
                <w:rFonts w:eastAsia="Times New Roman" w:cs="Times New Roman"/>
                <w:sz w:val="16"/>
                <w:szCs w:val="16"/>
                <w:lang w:eastAsia="en-AU"/>
              </w:rPr>
            </w:pPr>
          </w:p>
        </w:tc>
        <w:tc>
          <w:tcPr>
            <w:tcW w:w="260" w:type="pct"/>
            <w:tcBorders>
              <w:top w:val="single" w:sz="4" w:space="0" w:color="auto"/>
              <w:left w:val="nil"/>
              <w:bottom w:val="nil"/>
              <w:right w:val="nil"/>
            </w:tcBorders>
            <w:shd w:val="clear" w:color="auto" w:fill="auto"/>
            <w:noWrap/>
            <w:textDirection w:val="btLr"/>
            <w:vAlign w:val="bottom"/>
            <w:hideMark/>
          </w:tcPr>
          <w:p w14:paraId="742BF330" w14:textId="77777777" w:rsidR="00BE78EE" w:rsidRPr="00CB64DE" w:rsidRDefault="00BE78EE" w:rsidP="00E26D3C">
            <w:pPr>
              <w:spacing w:after="0" w:line="240" w:lineRule="auto"/>
              <w:ind w:left="113" w:right="113"/>
              <w:rPr>
                <w:rFonts w:eastAsia="Times New Roman" w:cs="Times New Roman"/>
                <w:sz w:val="16"/>
                <w:szCs w:val="16"/>
                <w:lang w:eastAsia="en-AU"/>
              </w:rPr>
            </w:pPr>
          </w:p>
        </w:tc>
        <w:tc>
          <w:tcPr>
            <w:tcW w:w="260" w:type="pct"/>
            <w:tcBorders>
              <w:top w:val="single" w:sz="4" w:space="0" w:color="auto"/>
              <w:left w:val="nil"/>
              <w:bottom w:val="nil"/>
              <w:right w:val="nil"/>
            </w:tcBorders>
            <w:shd w:val="clear" w:color="auto" w:fill="auto"/>
            <w:noWrap/>
            <w:textDirection w:val="btLr"/>
            <w:vAlign w:val="bottom"/>
            <w:hideMark/>
          </w:tcPr>
          <w:p w14:paraId="551D714C" w14:textId="77777777" w:rsidR="00BE78EE" w:rsidRPr="00CB64DE" w:rsidRDefault="00BE78EE" w:rsidP="00E26D3C">
            <w:pPr>
              <w:spacing w:after="0" w:line="240" w:lineRule="auto"/>
              <w:ind w:left="113" w:right="113"/>
              <w:rPr>
                <w:rFonts w:eastAsia="Times New Roman" w:cs="Times New Roman"/>
                <w:sz w:val="16"/>
                <w:szCs w:val="16"/>
                <w:lang w:eastAsia="en-AU"/>
              </w:rPr>
            </w:pPr>
          </w:p>
        </w:tc>
        <w:tc>
          <w:tcPr>
            <w:tcW w:w="365" w:type="pct"/>
            <w:tcBorders>
              <w:top w:val="single" w:sz="4" w:space="0" w:color="auto"/>
              <w:left w:val="nil"/>
              <w:bottom w:val="nil"/>
              <w:right w:val="nil"/>
            </w:tcBorders>
            <w:shd w:val="clear" w:color="auto" w:fill="auto"/>
            <w:noWrap/>
            <w:textDirection w:val="btLr"/>
            <w:vAlign w:val="bottom"/>
            <w:hideMark/>
          </w:tcPr>
          <w:p w14:paraId="659049FF"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Total</w:t>
            </w:r>
          </w:p>
        </w:tc>
      </w:tr>
      <w:tr w:rsidR="00BE78EE" w:rsidRPr="00CB64DE" w14:paraId="17E17E92" w14:textId="77777777" w:rsidTr="00F768CB">
        <w:trPr>
          <w:cantSplit/>
          <w:trHeight w:val="716"/>
          <w:jc w:val="center"/>
        </w:trPr>
        <w:tc>
          <w:tcPr>
            <w:tcW w:w="1255" w:type="pct"/>
            <w:tcBorders>
              <w:top w:val="nil"/>
              <w:left w:val="nil"/>
              <w:bottom w:val="single" w:sz="4" w:space="0" w:color="auto"/>
              <w:right w:val="nil"/>
            </w:tcBorders>
            <w:shd w:val="clear" w:color="auto" w:fill="auto"/>
            <w:noWrap/>
            <w:vAlign w:val="bottom"/>
            <w:hideMark/>
          </w:tcPr>
          <w:p w14:paraId="503C6CD2" w14:textId="77777777" w:rsidR="00BE78EE" w:rsidRPr="00CB64DE" w:rsidRDefault="00BE78EE" w:rsidP="00E26D3C">
            <w:pPr>
              <w:spacing w:after="0" w:line="240" w:lineRule="auto"/>
              <w:rPr>
                <w:rFonts w:eastAsia="Times New Roman" w:cs="Times New Roman"/>
                <w:b/>
                <w:bCs/>
                <w:color w:val="000000"/>
                <w:sz w:val="16"/>
                <w:szCs w:val="16"/>
                <w:lang w:eastAsia="en-AU"/>
              </w:rPr>
            </w:pPr>
          </w:p>
        </w:tc>
        <w:tc>
          <w:tcPr>
            <w:tcW w:w="260" w:type="pct"/>
            <w:tcBorders>
              <w:top w:val="nil"/>
              <w:left w:val="nil"/>
              <w:bottom w:val="single" w:sz="4" w:space="0" w:color="auto"/>
              <w:right w:val="nil"/>
            </w:tcBorders>
            <w:shd w:val="clear" w:color="auto" w:fill="auto"/>
            <w:noWrap/>
            <w:textDirection w:val="btLr"/>
            <w:vAlign w:val="bottom"/>
            <w:hideMark/>
          </w:tcPr>
          <w:p w14:paraId="3927A6B5"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Bank</w:t>
            </w:r>
          </w:p>
        </w:tc>
        <w:tc>
          <w:tcPr>
            <w:tcW w:w="260" w:type="pct"/>
            <w:tcBorders>
              <w:top w:val="nil"/>
              <w:left w:val="nil"/>
              <w:bottom w:val="single" w:sz="4" w:space="0" w:color="auto"/>
              <w:right w:val="nil"/>
            </w:tcBorders>
            <w:shd w:val="clear" w:color="auto" w:fill="auto"/>
            <w:noWrap/>
            <w:textDirection w:val="btLr"/>
            <w:vAlign w:val="bottom"/>
            <w:hideMark/>
          </w:tcPr>
          <w:p w14:paraId="41332F3E"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Bar</w:t>
            </w:r>
          </w:p>
        </w:tc>
        <w:tc>
          <w:tcPr>
            <w:tcW w:w="260" w:type="pct"/>
            <w:tcBorders>
              <w:top w:val="nil"/>
              <w:left w:val="nil"/>
              <w:bottom w:val="single" w:sz="4" w:space="0" w:color="auto"/>
              <w:right w:val="nil"/>
            </w:tcBorders>
            <w:shd w:val="clear" w:color="auto" w:fill="auto"/>
            <w:noWrap/>
            <w:textDirection w:val="btLr"/>
            <w:vAlign w:val="bottom"/>
            <w:hideMark/>
          </w:tcPr>
          <w:p w14:paraId="63A82DEB"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Bench</w:t>
            </w:r>
          </w:p>
        </w:tc>
        <w:tc>
          <w:tcPr>
            <w:tcW w:w="260" w:type="pct"/>
            <w:tcBorders>
              <w:top w:val="nil"/>
              <w:left w:val="nil"/>
              <w:bottom w:val="single" w:sz="4" w:space="0" w:color="auto"/>
              <w:right w:val="nil"/>
            </w:tcBorders>
            <w:shd w:val="clear" w:color="auto" w:fill="auto"/>
            <w:noWrap/>
            <w:textDirection w:val="btLr"/>
            <w:vAlign w:val="bottom"/>
            <w:hideMark/>
          </w:tcPr>
          <w:p w14:paraId="45F68CC1"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Ledge</w:t>
            </w:r>
          </w:p>
        </w:tc>
        <w:tc>
          <w:tcPr>
            <w:tcW w:w="260" w:type="pct"/>
            <w:tcBorders>
              <w:top w:val="nil"/>
              <w:left w:val="nil"/>
              <w:bottom w:val="single" w:sz="4" w:space="0" w:color="auto"/>
              <w:right w:val="nil"/>
            </w:tcBorders>
            <w:shd w:val="clear" w:color="auto" w:fill="auto"/>
            <w:noWrap/>
            <w:textDirection w:val="btLr"/>
            <w:vAlign w:val="bottom"/>
            <w:hideMark/>
          </w:tcPr>
          <w:p w14:paraId="1E828FAC"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Bank</w:t>
            </w:r>
          </w:p>
        </w:tc>
        <w:tc>
          <w:tcPr>
            <w:tcW w:w="260" w:type="pct"/>
            <w:tcBorders>
              <w:top w:val="nil"/>
              <w:left w:val="nil"/>
              <w:bottom w:val="single" w:sz="4" w:space="0" w:color="auto"/>
              <w:right w:val="nil"/>
            </w:tcBorders>
            <w:shd w:val="clear" w:color="auto" w:fill="auto"/>
            <w:noWrap/>
            <w:textDirection w:val="btLr"/>
            <w:vAlign w:val="bottom"/>
            <w:hideMark/>
          </w:tcPr>
          <w:p w14:paraId="11CE7EDF"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Bar</w:t>
            </w:r>
          </w:p>
        </w:tc>
        <w:tc>
          <w:tcPr>
            <w:tcW w:w="260" w:type="pct"/>
            <w:tcBorders>
              <w:top w:val="nil"/>
              <w:left w:val="nil"/>
              <w:bottom w:val="single" w:sz="4" w:space="0" w:color="auto"/>
              <w:right w:val="nil"/>
            </w:tcBorders>
            <w:shd w:val="clear" w:color="auto" w:fill="auto"/>
            <w:noWrap/>
            <w:textDirection w:val="btLr"/>
            <w:vAlign w:val="bottom"/>
            <w:hideMark/>
          </w:tcPr>
          <w:p w14:paraId="39E5EC21"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Bench</w:t>
            </w:r>
          </w:p>
        </w:tc>
        <w:tc>
          <w:tcPr>
            <w:tcW w:w="260" w:type="pct"/>
            <w:tcBorders>
              <w:top w:val="nil"/>
              <w:left w:val="nil"/>
              <w:bottom w:val="single" w:sz="4" w:space="0" w:color="auto"/>
              <w:right w:val="nil"/>
            </w:tcBorders>
            <w:shd w:val="clear" w:color="auto" w:fill="auto"/>
            <w:noWrap/>
            <w:textDirection w:val="btLr"/>
            <w:vAlign w:val="bottom"/>
            <w:hideMark/>
          </w:tcPr>
          <w:p w14:paraId="44A093E4"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Ledge</w:t>
            </w:r>
          </w:p>
        </w:tc>
        <w:tc>
          <w:tcPr>
            <w:tcW w:w="260" w:type="pct"/>
            <w:tcBorders>
              <w:top w:val="nil"/>
              <w:left w:val="nil"/>
              <w:bottom w:val="single" w:sz="4" w:space="0" w:color="auto"/>
              <w:right w:val="nil"/>
            </w:tcBorders>
            <w:shd w:val="clear" w:color="auto" w:fill="auto"/>
            <w:noWrap/>
            <w:textDirection w:val="btLr"/>
            <w:vAlign w:val="bottom"/>
            <w:hideMark/>
          </w:tcPr>
          <w:p w14:paraId="5F566CDD"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Air</w:t>
            </w:r>
          </w:p>
        </w:tc>
        <w:tc>
          <w:tcPr>
            <w:tcW w:w="260" w:type="pct"/>
            <w:tcBorders>
              <w:top w:val="nil"/>
              <w:left w:val="nil"/>
              <w:bottom w:val="single" w:sz="4" w:space="0" w:color="auto"/>
              <w:right w:val="nil"/>
            </w:tcBorders>
            <w:shd w:val="clear" w:color="auto" w:fill="auto"/>
            <w:noWrap/>
            <w:textDirection w:val="btLr"/>
            <w:vAlign w:val="bottom"/>
            <w:hideMark/>
          </w:tcPr>
          <w:p w14:paraId="119B4EBA"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Bank</w:t>
            </w:r>
          </w:p>
        </w:tc>
        <w:tc>
          <w:tcPr>
            <w:tcW w:w="260" w:type="pct"/>
            <w:tcBorders>
              <w:top w:val="nil"/>
              <w:left w:val="nil"/>
              <w:bottom w:val="single" w:sz="4" w:space="0" w:color="auto"/>
              <w:right w:val="nil"/>
            </w:tcBorders>
            <w:shd w:val="clear" w:color="auto" w:fill="auto"/>
            <w:noWrap/>
            <w:textDirection w:val="btLr"/>
            <w:vAlign w:val="bottom"/>
            <w:hideMark/>
          </w:tcPr>
          <w:p w14:paraId="0E27F364"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Bar</w:t>
            </w:r>
          </w:p>
        </w:tc>
        <w:tc>
          <w:tcPr>
            <w:tcW w:w="260" w:type="pct"/>
            <w:tcBorders>
              <w:top w:val="nil"/>
              <w:left w:val="nil"/>
              <w:bottom w:val="single" w:sz="4" w:space="0" w:color="auto"/>
              <w:right w:val="nil"/>
            </w:tcBorders>
            <w:shd w:val="clear" w:color="auto" w:fill="auto"/>
            <w:noWrap/>
            <w:textDirection w:val="btLr"/>
            <w:vAlign w:val="bottom"/>
            <w:hideMark/>
          </w:tcPr>
          <w:p w14:paraId="2DB0F130"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Bench</w:t>
            </w:r>
          </w:p>
        </w:tc>
        <w:tc>
          <w:tcPr>
            <w:tcW w:w="260" w:type="pct"/>
            <w:tcBorders>
              <w:top w:val="nil"/>
              <w:left w:val="nil"/>
              <w:bottom w:val="single" w:sz="4" w:space="0" w:color="auto"/>
              <w:right w:val="nil"/>
            </w:tcBorders>
            <w:shd w:val="clear" w:color="auto" w:fill="auto"/>
            <w:noWrap/>
            <w:textDirection w:val="btLr"/>
            <w:vAlign w:val="bottom"/>
            <w:hideMark/>
          </w:tcPr>
          <w:p w14:paraId="78217834" w14:textId="77777777" w:rsidR="00BE78EE" w:rsidRPr="00CB64DE" w:rsidRDefault="00BE78EE" w:rsidP="00E26D3C">
            <w:pPr>
              <w:spacing w:after="0" w:line="240" w:lineRule="auto"/>
              <w:ind w:left="113" w:right="113"/>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Ledge</w:t>
            </w:r>
          </w:p>
        </w:tc>
        <w:tc>
          <w:tcPr>
            <w:tcW w:w="365" w:type="pct"/>
            <w:tcBorders>
              <w:top w:val="nil"/>
              <w:left w:val="nil"/>
              <w:bottom w:val="single" w:sz="4" w:space="0" w:color="auto"/>
              <w:right w:val="nil"/>
            </w:tcBorders>
            <w:shd w:val="clear" w:color="auto" w:fill="auto"/>
            <w:noWrap/>
            <w:textDirection w:val="btLr"/>
            <w:vAlign w:val="bottom"/>
            <w:hideMark/>
          </w:tcPr>
          <w:p w14:paraId="370D64D1" w14:textId="77777777" w:rsidR="00BE78EE" w:rsidRPr="00CB64DE" w:rsidRDefault="00BE78EE" w:rsidP="00E26D3C">
            <w:pPr>
              <w:spacing w:after="0" w:line="240" w:lineRule="auto"/>
              <w:ind w:left="113" w:right="113"/>
              <w:rPr>
                <w:rFonts w:eastAsia="Times New Roman" w:cs="Times New Roman"/>
                <w:sz w:val="16"/>
                <w:szCs w:val="16"/>
                <w:lang w:eastAsia="en-AU"/>
              </w:rPr>
            </w:pPr>
          </w:p>
        </w:tc>
      </w:tr>
      <w:tr w:rsidR="00BE78EE" w:rsidRPr="00CB64DE" w14:paraId="29ED404A" w14:textId="77777777" w:rsidTr="00F768CB">
        <w:trPr>
          <w:trHeight w:val="300"/>
          <w:jc w:val="center"/>
        </w:trPr>
        <w:tc>
          <w:tcPr>
            <w:tcW w:w="1255" w:type="pct"/>
            <w:tcBorders>
              <w:top w:val="single" w:sz="4" w:space="0" w:color="auto"/>
              <w:left w:val="nil"/>
              <w:right w:val="nil"/>
            </w:tcBorders>
            <w:shd w:val="clear" w:color="auto" w:fill="auto"/>
            <w:noWrap/>
            <w:vAlign w:val="bottom"/>
            <w:hideMark/>
          </w:tcPr>
          <w:p w14:paraId="40C155F2" w14:textId="77777777" w:rsidR="00BE78EE" w:rsidRPr="00CB64DE" w:rsidRDefault="00BE78EE" w:rsidP="00E26D3C">
            <w:pPr>
              <w:spacing w:after="0" w:line="240" w:lineRule="auto"/>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R5</w:t>
            </w:r>
          </w:p>
        </w:tc>
        <w:tc>
          <w:tcPr>
            <w:tcW w:w="260" w:type="pct"/>
            <w:tcBorders>
              <w:top w:val="single" w:sz="4" w:space="0" w:color="auto"/>
              <w:left w:val="nil"/>
              <w:right w:val="nil"/>
            </w:tcBorders>
            <w:shd w:val="clear" w:color="auto" w:fill="auto"/>
            <w:noWrap/>
            <w:vAlign w:val="bottom"/>
          </w:tcPr>
          <w:p w14:paraId="540AF383"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single" w:sz="4" w:space="0" w:color="auto"/>
              <w:left w:val="nil"/>
              <w:right w:val="nil"/>
            </w:tcBorders>
            <w:shd w:val="clear" w:color="auto" w:fill="auto"/>
            <w:noWrap/>
            <w:vAlign w:val="bottom"/>
          </w:tcPr>
          <w:p w14:paraId="432CD72F"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single" w:sz="4" w:space="0" w:color="auto"/>
              <w:left w:val="nil"/>
              <w:right w:val="nil"/>
            </w:tcBorders>
            <w:shd w:val="clear" w:color="auto" w:fill="auto"/>
            <w:noWrap/>
            <w:vAlign w:val="bottom"/>
          </w:tcPr>
          <w:p w14:paraId="2A4803D0"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single" w:sz="4" w:space="0" w:color="auto"/>
              <w:left w:val="nil"/>
              <w:right w:val="nil"/>
            </w:tcBorders>
            <w:shd w:val="clear" w:color="auto" w:fill="auto"/>
            <w:noWrap/>
            <w:vAlign w:val="bottom"/>
          </w:tcPr>
          <w:p w14:paraId="27C6FEF5"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single" w:sz="4" w:space="0" w:color="auto"/>
              <w:left w:val="nil"/>
              <w:right w:val="nil"/>
            </w:tcBorders>
            <w:shd w:val="clear" w:color="auto" w:fill="auto"/>
            <w:noWrap/>
            <w:vAlign w:val="bottom"/>
          </w:tcPr>
          <w:p w14:paraId="182FBFEB"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single" w:sz="4" w:space="0" w:color="auto"/>
              <w:left w:val="nil"/>
              <w:right w:val="nil"/>
            </w:tcBorders>
            <w:shd w:val="clear" w:color="auto" w:fill="auto"/>
            <w:noWrap/>
            <w:vAlign w:val="bottom"/>
          </w:tcPr>
          <w:p w14:paraId="7AE255B6"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single" w:sz="4" w:space="0" w:color="auto"/>
              <w:left w:val="nil"/>
              <w:right w:val="nil"/>
            </w:tcBorders>
            <w:shd w:val="clear" w:color="auto" w:fill="auto"/>
            <w:noWrap/>
            <w:vAlign w:val="bottom"/>
          </w:tcPr>
          <w:p w14:paraId="57FF21EC"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single" w:sz="4" w:space="0" w:color="auto"/>
              <w:left w:val="nil"/>
              <w:right w:val="nil"/>
            </w:tcBorders>
            <w:shd w:val="clear" w:color="auto" w:fill="auto"/>
            <w:noWrap/>
            <w:vAlign w:val="bottom"/>
          </w:tcPr>
          <w:p w14:paraId="71C54FD8"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single" w:sz="4" w:space="0" w:color="auto"/>
              <w:left w:val="nil"/>
              <w:right w:val="nil"/>
            </w:tcBorders>
            <w:shd w:val="clear" w:color="auto" w:fill="auto"/>
            <w:noWrap/>
            <w:vAlign w:val="bottom"/>
          </w:tcPr>
          <w:p w14:paraId="39950E00"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single" w:sz="4" w:space="0" w:color="auto"/>
              <w:left w:val="nil"/>
              <w:right w:val="nil"/>
            </w:tcBorders>
            <w:shd w:val="clear" w:color="auto" w:fill="auto"/>
            <w:noWrap/>
            <w:vAlign w:val="bottom"/>
          </w:tcPr>
          <w:p w14:paraId="2646EBA5"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single" w:sz="4" w:space="0" w:color="auto"/>
              <w:left w:val="nil"/>
              <w:right w:val="nil"/>
            </w:tcBorders>
            <w:shd w:val="clear" w:color="auto" w:fill="auto"/>
            <w:noWrap/>
            <w:vAlign w:val="bottom"/>
          </w:tcPr>
          <w:p w14:paraId="09CAE406"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single" w:sz="4" w:space="0" w:color="auto"/>
              <w:left w:val="nil"/>
              <w:right w:val="nil"/>
            </w:tcBorders>
            <w:shd w:val="clear" w:color="auto" w:fill="auto"/>
            <w:noWrap/>
            <w:vAlign w:val="bottom"/>
          </w:tcPr>
          <w:p w14:paraId="479A6DCE"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single" w:sz="4" w:space="0" w:color="auto"/>
              <w:left w:val="nil"/>
              <w:right w:val="nil"/>
            </w:tcBorders>
            <w:shd w:val="clear" w:color="auto" w:fill="auto"/>
            <w:noWrap/>
            <w:vAlign w:val="bottom"/>
          </w:tcPr>
          <w:p w14:paraId="0A735773"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365" w:type="pct"/>
            <w:tcBorders>
              <w:top w:val="single" w:sz="4" w:space="0" w:color="auto"/>
              <w:left w:val="nil"/>
              <w:right w:val="nil"/>
            </w:tcBorders>
            <w:shd w:val="clear" w:color="auto" w:fill="auto"/>
            <w:noWrap/>
            <w:vAlign w:val="bottom"/>
          </w:tcPr>
          <w:p w14:paraId="05EE8191"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r>
      <w:tr w:rsidR="00BE78EE" w:rsidRPr="00CB64DE" w14:paraId="268C48B7"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DC81B98"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Alternanthera </w:t>
            </w:r>
            <w:proofErr w:type="spellStart"/>
            <w:r w:rsidRPr="00C80F8D">
              <w:rPr>
                <w:rFonts w:eastAsia="Times New Roman" w:cs="Times New Roman"/>
                <w:i/>
                <w:iCs/>
                <w:color w:val="000000"/>
                <w:sz w:val="16"/>
                <w:szCs w:val="16"/>
                <w:lang w:eastAsia="en-AU"/>
              </w:rPr>
              <w:t>denticulata</w:t>
            </w:r>
            <w:proofErr w:type="spellEnd"/>
          </w:p>
        </w:tc>
        <w:tc>
          <w:tcPr>
            <w:tcW w:w="260" w:type="pct"/>
            <w:tcBorders>
              <w:top w:val="nil"/>
              <w:left w:val="nil"/>
              <w:bottom w:val="nil"/>
              <w:right w:val="nil"/>
            </w:tcBorders>
            <w:shd w:val="clear" w:color="auto" w:fill="auto"/>
            <w:noWrap/>
            <w:vAlign w:val="bottom"/>
            <w:hideMark/>
          </w:tcPr>
          <w:p w14:paraId="50D75F5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15</w:t>
            </w:r>
          </w:p>
        </w:tc>
        <w:tc>
          <w:tcPr>
            <w:tcW w:w="260" w:type="pct"/>
            <w:tcBorders>
              <w:top w:val="nil"/>
              <w:left w:val="nil"/>
              <w:bottom w:val="nil"/>
              <w:right w:val="nil"/>
            </w:tcBorders>
            <w:shd w:val="clear" w:color="auto" w:fill="auto"/>
            <w:noWrap/>
            <w:vAlign w:val="bottom"/>
            <w:hideMark/>
          </w:tcPr>
          <w:p w14:paraId="7171BDF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60</w:t>
            </w:r>
          </w:p>
        </w:tc>
        <w:tc>
          <w:tcPr>
            <w:tcW w:w="260" w:type="pct"/>
            <w:tcBorders>
              <w:top w:val="nil"/>
              <w:left w:val="nil"/>
              <w:bottom w:val="nil"/>
              <w:right w:val="nil"/>
            </w:tcBorders>
            <w:shd w:val="clear" w:color="auto" w:fill="auto"/>
            <w:noWrap/>
            <w:vAlign w:val="bottom"/>
            <w:hideMark/>
          </w:tcPr>
          <w:p w14:paraId="33915E0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26</w:t>
            </w:r>
          </w:p>
        </w:tc>
        <w:tc>
          <w:tcPr>
            <w:tcW w:w="260" w:type="pct"/>
            <w:tcBorders>
              <w:top w:val="nil"/>
              <w:left w:val="nil"/>
              <w:bottom w:val="nil"/>
              <w:right w:val="nil"/>
            </w:tcBorders>
            <w:shd w:val="clear" w:color="auto" w:fill="auto"/>
            <w:noWrap/>
            <w:vAlign w:val="bottom"/>
            <w:hideMark/>
          </w:tcPr>
          <w:p w14:paraId="6AD146D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w:t>
            </w:r>
          </w:p>
        </w:tc>
        <w:tc>
          <w:tcPr>
            <w:tcW w:w="260" w:type="pct"/>
            <w:tcBorders>
              <w:top w:val="nil"/>
              <w:left w:val="nil"/>
              <w:bottom w:val="nil"/>
              <w:right w:val="nil"/>
            </w:tcBorders>
            <w:shd w:val="clear" w:color="auto" w:fill="auto"/>
            <w:noWrap/>
            <w:vAlign w:val="bottom"/>
            <w:hideMark/>
          </w:tcPr>
          <w:p w14:paraId="7996F86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260" w:type="pct"/>
            <w:tcBorders>
              <w:top w:val="nil"/>
              <w:left w:val="nil"/>
              <w:bottom w:val="nil"/>
              <w:right w:val="nil"/>
            </w:tcBorders>
            <w:shd w:val="clear" w:color="auto" w:fill="auto"/>
            <w:noWrap/>
            <w:vAlign w:val="bottom"/>
            <w:hideMark/>
          </w:tcPr>
          <w:p w14:paraId="2FC442B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19</w:t>
            </w:r>
          </w:p>
        </w:tc>
        <w:tc>
          <w:tcPr>
            <w:tcW w:w="260" w:type="pct"/>
            <w:tcBorders>
              <w:top w:val="nil"/>
              <w:left w:val="nil"/>
              <w:bottom w:val="nil"/>
              <w:right w:val="nil"/>
            </w:tcBorders>
            <w:shd w:val="clear" w:color="auto" w:fill="auto"/>
            <w:noWrap/>
            <w:vAlign w:val="bottom"/>
            <w:hideMark/>
          </w:tcPr>
          <w:p w14:paraId="173F277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w:t>
            </w:r>
          </w:p>
        </w:tc>
        <w:tc>
          <w:tcPr>
            <w:tcW w:w="260" w:type="pct"/>
            <w:tcBorders>
              <w:top w:val="nil"/>
              <w:left w:val="nil"/>
              <w:bottom w:val="nil"/>
              <w:right w:val="nil"/>
            </w:tcBorders>
            <w:shd w:val="clear" w:color="auto" w:fill="auto"/>
            <w:noWrap/>
            <w:vAlign w:val="bottom"/>
            <w:hideMark/>
          </w:tcPr>
          <w:p w14:paraId="6CDAC02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15</w:t>
            </w:r>
          </w:p>
        </w:tc>
        <w:tc>
          <w:tcPr>
            <w:tcW w:w="260" w:type="pct"/>
            <w:tcBorders>
              <w:top w:val="nil"/>
              <w:left w:val="nil"/>
              <w:bottom w:val="nil"/>
              <w:right w:val="nil"/>
            </w:tcBorders>
            <w:shd w:val="clear" w:color="auto" w:fill="auto"/>
            <w:noWrap/>
            <w:vAlign w:val="bottom"/>
            <w:hideMark/>
          </w:tcPr>
          <w:p w14:paraId="1F0B490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EFE555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76</w:t>
            </w:r>
          </w:p>
        </w:tc>
        <w:tc>
          <w:tcPr>
            <w:tcW w:w="260" w:type="pct"/>
            <w:tcBorders>
              <w:top w:val="nil"/>
              <w:left w:val="nil"/>
              <w:bottom w:val="nil"/>
              <w:right w:val="nil"/>
            </w:tcBorders>
            <w:shd w:val="clear" w:color="auto" w:fill="auto"/>
            <w:noWrap/>
            <w:vAlign w:val="bottom"/>
            <w:hideMark/>
          </w:tcPr>
          <w:p w14:paraId="4E1B8C8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111</w:t>
            </w:r>
          </w:p>
        </w:tc>
        <w:tc>
          <w:tcPr>
            <w:tcW w:w="260" w:type="pct"/>
            <w:tcBorders>
              <w:top w:val="nil"/>
              <w:left w:val="nil"/>
              <w:bottom w:val="nil"/>
              <w:right w:val="nil"/>
            </w:tcBorders>
            <w:shd w:val="clear" w:color="auto" w:fill="auto"/>
            <w:noWrap/>
            <w:vAlign w:val="bottom"/>
            <w:hideMark/>
          </w:tcPr>
          <w:p w14:paraId="11EA957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w:t>
            </w:r>
          </w:p>
        </w:tc>
        <w:tc>
          <w:tcPr>
            <w:tcW w:w="260" w:type="pct"/>
            <w:tcBorders>
              <w:top w:val="nil"/>
              <w:left w:val="nil"/>
              <w:bottom w:val="nil"/>
              <w:right w:val="nil"/>
            </w:tcBorders>
            <w:shd w:val="clear" w:color="auto" w:fill="auto"/>
            <w:noWrap/>
            <w:vAlign w:val="bottom"/>
            <w:hideMark/>
          </w:tcPr>
          <w:p w14:paraId="6F74FD8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w:t>
            </w:r>
          </w:p>
        </w:tc>
        <w:tc>
          <w:tcPr>
            <w:tcW w:w="365" w:type="pct"/>
            <w:tcBorders>
              <w:top w:val="nil"/>
              <w:left w:val="nil"/>
              <w:bottom w:val="nil"/>
              <w:right w:val="nil"/>
            </w:tcBorders>
            <w:shd w:val="clear" w:color="auto" w:fill="auto"/>
            <w:noWrap/>
            <w:vAlign w:val="bottom"/>
            <w:hideMark/>
          </w:tcPr>
          <w:p w14:paraId="762FE5B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391</w:t>
            </w:r>
          </w:p>
        </w:tc>
      </w:tr>
      <w:tr w:rsidR="00BE78EE" w:rsidRPr="00CB64DE" w14:paraId="6113A2DF"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ECE66F9"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Bromus </w:t>
            </w:r>
            <w:proofErr w:type="spellStart"/>
            <w:r w:rsidRPr="00C80F8D">
              <w:rPr>
                <w:rFonts w:eastAsia="Times New Roman" w:cs="Times New Roman"/>
                <w:i/>
                <w:iCs/>
                <w:color w:val="000000"/>
                <w:sz w:val="16"/>
                <w:szCs w:val="16"/>
                <w:lang w:eastAsia="en-AU"/>
              </w:rPr>
              <w:t>diandrus</w:t>
            </w:r>
            <w:proofErr w:type="spellEnd"/>
          </w:p>
        </w:tc>
        <w:tc>
          <w:tcPr>
            <w:tcW w:w="260" w:type="pct"/>
            <w:tcBorders>
              <w:top w:val="nil"/>
              <w:left w:val="nil"/>
              <w:bottom w:val="nil"/>
              <w:right w:val="nil"/>
            </w:tcBorders>
            <w:shd w:val="clear" w:color="auto" w:fill="auto"/>
            <w:noWrap/>
            <w:vAlign w:val="bottom"/>
            <w:hideMark/>
          </w:tcPr>
          <w:p w14:paraId="7F515E22"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F952BF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8C4BF6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EEFCB6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260" w:type="pct"/>
            <w:tcBorders>
              <w:top w:val="nil"/>
              <w:left w:val="nil"/>
              <w:bottom w:val="nil"/>
              <w:right w:val="nil"/>
            </w:tcBorders>
            <w:shd w:val="clear" w:color="auto" w:fill="auto"/>
            <w:noWrap/>
            <w:vAlign w:val="bottom"/>
            <w:hideMark/>
          </w:tcPr>
          <w:p w14:paraId="105BFBD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3D9993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DD77D3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EEC781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0C79F3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532BAF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63AACD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40535D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6EEE6AC"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56143A7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r>
      <w:tr w:rsidR="00BE78EE" w:rsidRPr="00CB64DE" w14:paraId="1410E4CC"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495C3554"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Callitriche </w:t>
            </w:r>
            <w:proofErr w:type="spellStart"/>
            <w:r w:rsidRPr="00C80F8D">
              <w:rPr>
                <w:rFonts w:eastAsia="Times New Roman" w:cs="Times New Roman"/>
                <w:i/>
                <w:iCs/>
                <w:color w:val="000000"/>
                <w:sz w:val="16"/>
                <w:szCs w:val="16"/>
                <w:lang w:eastAsia="en-AU"/>
              </w:rPr>
              <w:t>sonderi</w:t>
            </w:r>
            <w:proofErr w:type="spellEnd"/>
          </w:p>
        </w:tc>
        <w:tc>
          <w:tcPr>
            <w:tcW w:w="260" w:type="pct"/>
            <w:tcBorders>
              <w:top w:val="nil"/>
              <w:left w:val="nil"/>
              <w:bottom w:val="nil"/>
              <w:right w:val="nil"/>
            </w:tcBorders>
            <w:shd w:val="clear" w:color="auto" w:fill="auto"/>
            <w:noWrap/>
            <w:vAlign w:val="bottom"/>
            <w:hideMark/>
          </w:tcPr>
          <w:p w14:paraId="7176BC11"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319CF3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03022C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1B2775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6984E8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C0913F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34FC7C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46B0812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C5776C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2759B2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4CEB4D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8FC450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0F08B0A"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712B75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57FDD0E1"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72610B4"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Centipeda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cunninghamii</w:t>
            </w:r>
            <w:proofErr w:type="spellEnd"/>
          </w:p>
        </w:tc>
        <w:tc>
          <w:tcPr>
            <w:tcW w:w="260" w:type="pct"/>
            <w:tcBorders>
              <w:top w:val="nil"/>
              <w:left w:val="nil"/>
              <w:bottom w:val="nil"/>
              <w:right w:val="nil"/>
            </w:tcBorders>
            <w:shd w:val="clear" w:color="auto" w:fill="auto"/>
            <w:noWrap/>
            <w:vAlign w:val="bottom"/>
            <w:hideMark/>
          </w:tcPr>
          <w:p w14:paraId="3A5BC07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6CF45D9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w:t>
            </w:r>
          </w:p>
        </w:tc>
        <w:tc>
          <w:tcPr>
            <w:tcW w:w="260" w:type="pct"/>
            <w:tcBorders>
              <w:top w:val="nil"/>
              <w:left w:val="nil"/>
              <w:bottom w:val="nil"/>
              <w:right w:val="nil"/>
            </w:tcBorders>
            <w:shd w:val="clear" w:color="auto" w:fill="auto"/>
            <w:noWrap/>
            <w:vAlign w:val="bottom"/>
            <w:hideMark/>
          </w:tcPr>
          <w:p w14:paraId="75B65B9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FE3A60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B668C4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82153B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31967DD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w:t>
            </w:r>
          </w:p>
        </w:tc>
        <w:tc>
          <w:tcPr>
            <w:tcW w:w="260" w:type="pct"/>
            <w:tcBorders>
              <w:top w:val="nil"/>
              <w:left w:val="nil"/>
              <w:bottom w:val="nil"/>
              <w:right w:val="nil"/>
            </w:tcBorders>
            <w:shd w:val="clear" w:color="auto" w:fill="auto"/>
            <w:noWrap/>
            <w:vAlign w:val="bottom"/>
            <w:hideMark/>
          </w:tcPr>
          <w:p w14:paraId="75663E1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6E69509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945DFD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c>
          <w:tcPr>
            <w:tcW w:w="260" w:type="pct"/>
            <w:tcBorders>
              <w:top w:val="nil"/>
              <w:left w:val="nil"/>
              <w:bottom w:val="nil"/>
              <w:right w:val="nil"/>
            </w:tcBorders>
            <w:shd w:val="clear" w:color="auto" w:fill="auto"/>
            <w:noWrap/>
            <w:vAlign w:val="bottom"/>
            <w:hideMark/>
          </w:tcPr>
          <w:p w14:paraId="68A80D7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22</w:t>
            </w:r>
          </w:p>
        </w:tc>
        <w:tc>
          <w:tcPr>
            <w:tcW w:w="260" w:type="pct"/>
            <w:tcBorders>
              <w:top w:val="nil"/>
              <w:left w:val="nil"/>
              <w:bottom w:val="nil"/>
              <w:right w:val="nil"/>
            </w:tcBorders>
            <w:shd w:val="clear" w:color="auto" w:fill="auto"/>
            <w:noWrap/>
            <w:vAlign w:val="bottom"/>
            <w:hideMark/>
          </w:tcPr>
          <w:p w14:paraId="121AA04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284515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365" w:type="pct"/>
            <w:tcBorders>
              <w:top w:val="nil"/>
              <w:left w:val="nil"/>
              <w:bottom w:val="nil"/>
              <w:right w:val="nil"/>
            </w:tcBorders>
            <w:shd w:val="clear" w:color="auto" w:fill="auto"/>
            <w:noWrap/>
            <w:vAlign w:val="bottom"/>
            <w:hideMark/>
          </w:tcPr>
          <w:p w14:paraId="49302B6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81</w:t>
            </w:r>
          </w:p>
        </w:tc>
      </w:tr>
      <w:tr w:rsidR="00BE78EE" w:rsidRPr="00CB64DE" w14:paraId="23C1FC0E"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F432600"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Centipeda</w:t>
            </w:r>
            <w:proofErr w:type="spellEnd"/>
            <w:r w:rsidRPr="00C80F8D">
              <w:rPr>
                <w:rFonts w:eastAsia="Times New Roman" w:cs="Times New Roman"/>
                <w:i/>
                <w:iCs/>
                <w:color w:val="000000"/>
                <w:sz w:val="16"/>
                <w:szCs w:val="16"/>
                <w:lang w:eastAsia="en-AU"/>
              </w:rPr>
              <w:t xml:space="preserve"> minima</w:t>
            </w:r>
          </w:p>
        </w:tc>
        <w:tc>
          <w:tcPr>
            <w:tcW w:w="260" w:type="pct"/>
            <w:tcBorders>
              <w:top w:val="nil"/>
              <w:left w:val="nil"/>
              <w:bottom w:val="nil"/>
              <w:right w:val="nil"/>
            </w:tcBorders>
            <w:shd w:val="clear" w:color="auto" w:fill="auto"/>
            <w:noWrap/>
            <w:vAlign w:val="bottom"/>
            <w:hideMark/>
          </w:tcPr>
          <w:p w14:paraId="0E1594D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6CFA95A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151</w:t>
            </w:r>
          </w:p>
        </w:tc>
        <w:tc>
          <w:tcPr>
            <w:tcW w:w="260" w:type="pct"/>
            <w:tcBorders>
              <w:top w:val="nil"/>
              <w:left w:val="nil"/>
              <w:bottom w:val="nil"/>
              <w:right w:val="nil"/>
            </w:tcBorders>
            <w:shd w:val="clear" w:color="auto" w:fill="auto"/>
            <w:noWrap/>
            <w:vAlign w:val="bottom"/>
            <w:hideMark/>
          </w:tcPr>
          <w:p w14:paraId="644AFF7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c>
          <w:tcPr>
            <w:tcW w:w="260" w:type="pct"/>
            <w:tcBorders>
              <w:top w:val="nil"/>
              <w:left w:val="nil"/>
              <w:bottom w:val="nil"/>
              <w:right w:val="nil"/>
            </w:tcBorders>
            <w:shd w:val="clear" w:color="auto" w:fill="auto"/>
            <w:noWrap/>
            <w:vAlign w:val="bottom"/>
            <w:hideMark/>
          </w:tcPr>
          <w:p w14:paraId="2C36E76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5157065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129C42B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0FB7C53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25</w:t>
            </w:r>
          </w:p>
        </w:tc>
        <w:tc>
          <w:tcPr>
            <w:tcW w:w="260" w:type="pct"/>
            <w:tcBorders>
              <w:top w:val="nil"/>
              <w:left w:val="nil"/>
              <w:bottom w:val="nil"/>
              <w:right w:val="nil"/>
            </w:tcBorders>
            <w:shd w:val="clear" w:color="auto" w:fill="auto"/>
            <w:noWrap/>
            <w:vAlign w:val="bottom"/>
            <w:hideMark/>
          </w:tcPr>
          <w:p w14:paraId="18158FF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19</w:t>
            </w:r>
          </w:p>
        </w:tc>
        <w:tc>
          <w:tcPr>
            <w:tcW w:w="260" w:type="pct"/>
            <w:tcBorders>
              <w:top w:val="nil"/>
              <w:left w:val="nil"/>
              <w:bottom w:val="nil"/>
              <w:right w:val="nil"/>
            </w:tcBorders>
            <w:shd w:val="clear" w:color="auto" w:fill="auto"/>
            <w:noWrap/>
            <w:vAlign w:val="bottom"/>
            <w:hideMark/>
          </w:tcPr>
          <w:p w14:paraId="0E3FFCE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7D5D00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260" w:type="pct"/>
            <w:tcBorders>
              <w:top w:val="nil"/>
              <w:left w:val="nil"/>
              <w:bottom w:val="nil"/>
              <w:right w:val="nil"/>
            </w:tcBorders>
            <w:shd w:val="clear" w:color="auto" w:fill="auto"/>
            <w:noWrap/>
            <w:vAlign w:val="bottom"/>
            <w:hideMark/>
          </w:tcPr>
          <w:p w14:paraId="709B946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16</w:t>
            </w:r>
          </w:p>
        </w:tc>
        <w:tc>
          <w:tcPr>
            <w:tcW w:w="260" w:type="pct"/>
            <w:tcBorders>
              <w:top w:val="nil"/>
              <w:left w:val="nil"/>
              <w:bottom w:val="nil"/>
              <w:right w:val="nil"/>
            </w:tcBorders>
            <w:shd w:val="clear" w:color="auto" w:fill="auto"/>
            <w:noWrap/>
            <w:vAlign w:val="bottom"/>
            <w:hideMark/>
          </w:tcPr>
          <w:p w14:paraId="1B9851A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3D80B28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365" w:type="pct"/>
            <w:tcBorders>
              <w:top w:val="nil"/>
              <w:left w:val="nil"/>
              <w:bottom w:val="nil"/>
              <w:right w:val="nil"/>
            </w:tcBorders>
            <w:shd w:val="clear" w:color="auto" w:fill="auto"/>
            <w:noWrap/>
            <w:vAlign w:val="bottom"/>
            <w:hideMark/>
          </w:tcPr>
          <w:p w14:paraId="0D4ED15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243</w:t>
            </w:r>
          </w:p>
        </w:tc>
      </w:tr>
      <w:tr w:rsidR="00BE78EE" w:rsidRPr="00CB64DE" w14:paraId="54069442"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3EF6BD1"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Cyperus </w:t>
            </w:r>
            <w:proofErr w:type="spellStart"/>
            <w:r w:rsidRPr="00C80F8D">
              <w:rPr>
                <w:rFonts w:eastAsia="Times New Roman" w:cs="Times New Roman"/>
                <w:i/>
                <w:iCs/>
                <w:color w:val="000000"/>
                <w:sz w:val="16"/>
                <w:szCs w:val="16"/>
                <w:lang w:eastAsia="en-AU"/>
              </w:rPr>
              <w:t>difformis</w:t>
            </w:r>
            <w:proofErr w:type="spellEnd"/>
          </w:p>
        </w:tc>
        <w:tc>
          <w:tcPr>
            <w:tcW w:w="260" w:type="pct"/>
            <w:tcBorders>
              <w:top w:val="nil"/>
              <w:left w:val="nil"/>
              <w:bottom w:val="nil"/>
              <w:right w:val="nil"/>
            </w:tcBorders>
            <w:shd w:val="clear" w:color="auto" w:fill="auto"/>
            <w:noWrap/>
            <w:vAlign w:val="bottom"/>
            <w:hideMark/>
          </w:tcPr>
          <w:p w14:paraId="73081CBF"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943B3D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5556FAA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4DB81D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410B10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F65366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8E5293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A6A2ED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693D97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10B026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E67DE2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1C2ECA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DFE2150"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195103A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5CA2A150"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B72795A"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Cyperus </w:t>
            </w:r>
            <w:proofErr w:type="spellStart"/>
            <w:r w:rsidRPr="00C80F8D">
              <w:rPr>
                <w:rFonts w:eastAsia="Times New Roman" w:cs="Times New Roman"/>
                <w:i/>
                <w:iCs/>
                <w:color w:val="000000"/>
                <w:sz w:val="16"/>
                <w:szCs w:val="16"/>
                <w:lang w:eastAsia="en-AU"/>
              </w:rPr>
              <w:t>eragrostis</w:t>
            </w:r>
            <w:proofErr w:type="spellEnd"/>
          </w:p>
        </w:tc>
        <w:tc>
          <w:tcPr>
            <w:tcW w:w="260" w:type="pct"/>
            <w:tcBorders>
              <w:top w:val="nil"/>
              <w:left w:val="nil"/>
              <w:bottom w:val="nil"/>
              <w:right w:val="nil"/>
            </w:tcBorders>
            <w:shd w:val="clear" w:color="auto" w:fill="auto"/>
            <w:noWrap/>
            <w:vAlign w:val="bottom"/>
            <w:hideMark/>
          </w:tcPr>
          <w:p w14:paraId="11A62F3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45</w:t>
            </w:r>
          </w:p>
        </w:tc>
        <w:tc>
          <w:tcPr>
            <w:tcW w:w="260" w:type="pct"/>
            <w:tcBorders>
              <w:top w:val="nil"/>
              <w:left w:val="nil"/>
              <w:bottom w:val="nil"/>
              <w:right w:val="nil"/>
            </w:tcBorders>
            <w:shd w:val="clear" w:color="auto" w:fill="auto"/>
            <w:noWrap/>
            <w:vAlign w:val="bottom"/>
            <w:hideMark/>
          </w:tcPr>
          <w:p w14:paraId="2F6E095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314</w:t>
            </w:r>
          </w:p>
        </w:tc>
        <w:tc>
          <w:tcPr>
            <w:tcW w:w="260" w:type="pct"/>
            <w:tcBorders>
              <w:top w:val="nil"/>
              <w:left w:val="nil"/>
              <w:bottom w:val="nil"/>
              <w:right w:val="nil"/>
            </w:tcBorders>
            <w:shd w:val="clear" w:color="auto" w:fill="auto"/>
            <w:noWrap/>
            <w:vAlign w:val="bottom"/>
            <w:hideMark/>
          </w:tcPr>
          <w:p w14:paraId="2B68A5C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69</w:t>
            </w:r>
          </w:p>
        </w:tc>
        <w:tc>
          <w:tcPr>
            <w:tcW w:w="260" w:type="pct"/>
            <w:tcBorders>
              <w:top w:val="nil"/>
              <w:left w:val="nil"/>
              <w:bottom w:val="nil"/>
              <w:right w:val="nil"/>
            </w:tcBorders>
            <w:shd w:val="clear" w:color="auto" w:fill="auto"/>
            <w:noWrap/>
            <w:vAlign w:val="bottom"/>
            <w:hideMark/>
          </w:tcPr>
          <w:p w14:paraId="68AC50A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455</w:t>
            </w:r>
          </w:p>
        </w:tc>
        <w:tc>
          <w:tcPr>
            <w:tcW w:w="260" w:type="pct"/>
            <w:tcBorders>
              <w:top w:val="nil"/>
              <w:left w:val="nil"/>
              <w:bottom w:val="nil"/>
              <w:right w:val="nil"/>
            </w:tcBorders>
            <w:shd w:val="clear" w:color="auto" w:fill="auto"/>
            <w:noWrap/>
            <w:vAlign w:val="bottom"/>
            <w:hideMark/>
          </w:tcPr>
          <w:p w14:paraId="359E171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30</w:t>
            </w:r>
          </w:p>
        </w:tc>
        <w:tc>
          <w:tcPr>
            <w:tcW w:w="260" w:type="pct"/>
            <w:tcBorders>
              <w:top w:val="nil"/>
              <w:left w:val="nil"/>
              <w:bottom w:val="nil"/>
              <w:right w:val="nil"/>
            </w:tcBorders>
            <w:shd w:val="clear" w:color="auto" w:fill="auto"/>
            <w:noWrap/>
            <w:vAlign w:val="bottom"/>
            <w:hideMark/>
          </w:tcPr>
          <w:p w14:paraId="0CE7B43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37</w:t>
            </w:r>
          </w:p>
        </w:tc>
        <w:tc>
          <w:tcPr>
            <w:tcW w:w="260" w:type="pct"/>
            <w:tcBorders>
              <w:top w:val="nil"/>
              <w:left w:val="nil"/>
              <w:bottom w:val="nil"/>
              <w:right w:val="nil"/>
            </w:tcBorders>
            <w:shd w:val="clear" w:color="auto" w:fill="auto"/>
            <w:noWrap/>
            <w:vAlign w:val="bottom"/>
            <w:hideMark/>
          </w:tcPr>
          <w:p w14:paraId="2FF8FE3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272</w:t>
            </w:r>
          </w:p>
        </w:tc>
        <w:tc>
          <w:tcPr>
            <w:tcW w:w="260" w:type="pct"/>
            <w:tcBorders>
              <w:top w:val="nil"/>
              <w:left w:val="nil"/>
              <w:bottom w:val="nil"/>
              <w:right w:val="nil"/>
            </w:tcBorders>
            <w:shd w:val="clear" w:color="auto" w:fill="auto"/>
            <w:noWrap/>
            <w:vAlign w:val="bottom"/>
            <w:hideMark/>
          </w:tcPr>
          <w:p w14:paraId="7E3E51B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111</w:t>
            </w:r>
          </w:p>
        </w:tc>
        <w:tc>
          <w:tcPr>
            <w:tcW w:w="260" w:type="pct"/>
            <w:tcBorders>
              <w:top w:val="nil"/>
              <w:left w:val="nil"/>
              <w:bottom w:val="nil"/>
              <w:right w:val="nil"/>
            </w:tcBorders>
            <w:shd w:val="clear" w:color="auto" w:fill="auto"/>
            <w:noWrap/>
            <w:vAlign w:val="bottom"/>
            <w:hideMark/>
          </w:tcPr>
          <w:p w14:paraId="37D18E0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D41A2F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99</w:t>
            </w:r>
          </w:p>
        </w:tc>
        <w:tc>
          <w:tcPr>
            <w:tcW w:w="260" w:type="pct"/>
            <w:tcBorders>
              <w:top w:val="nil"/>
              <w:left w:val="nil"/>
              <w:bottom w:val="nil"/>
              <w:right w:val="nil"/>
            </w:tcBorders>
            <w:shd w:val="clear" w:color="auto" w:fill="auto"/>
            <w:noWrap/>
            <w:vAlign w:val="bottom"/>
            <w:hideMark/>
          </w:tcPr>
          <w:p w14:paraId="5A14C49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282</w:t>
            </w:r>
          </w:p>
        </w:tc>
        <w:tc>
          <w:tcPr>
            <w:tcW w:w="260" w:type="pct"/>
            <w:tcBorders>
              <w:top w:val="nil"/>
              <w:left w:val="nil"/>
              <w:bottom w:val="nil"/>
              <w:right w:val="nil"/>
            </w:tcBorders>
            <w:shd w:val="clear" w:color="auto" w:fill="auto"/>
            <w:noWrap/>
            <w:vAlign w:val="bottom"/>
            <w:hideMark/>
          </w:tcPr>
          <w:p w14:paraId="69C6311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46</w:t>
            </w:r>
          </w:p>
        </w:tc>
        <w:tc>
          <w:tcPr>
            <w:tcW w:w="260" w:type="pct"/>
            <w:tcBorders>
              <w:top w:val="nil"/>
              <w:left w:val="nil"/>
              <w:bottom w:val="nil"/>
              <w:right w:val="nil"/>
            </w:tcBorders>
            <w:shd w:val="clear" w:color="auto" w:fill="auto"/>
            <w:noWrap/>
            <w:vAlign w:val="bottom"/>
            <w:hideMark/>
          </w:tcPr>
          <w:p w14:paraId="73570D1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w:t>
            </w:r>
          </w:p>
        </w:tc>
        <w:tc>
          <w:tcPr>
            <w:tcW w:w="365" w:type="pct"/>
            <w:tcBorders>
              <w:top w:val="nil"/>
              <w:left w:val="nil"/>
              <w:bottom w:val="nil"/>
              <w:right w:val="nil"/>
            </w:tcBorders>
            <w:shd w:val="clear" w:color="auto" w:fill="auto"/>
            <w:noWrap/>
            <w:vAlign w:val="bottom"/>
            <w:hideMark/>
          </w:tcPr>
          <w:p w14:paraId="6D9DDFE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1771</w:t>
            </w:r>
          </w:p>
        </w:tc>
      </w:tr>
      <w:tr w:rsidR="00BE78EE" w:rsidRPr="00CB64DE" w14:paraId="2883EB43"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6136D86"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Cyperus </w:t>
            </w:r>
            <w:proofErr w:type="spellStart"/>
            <w:r w:rsidRPr="00C80F8D">
              <w:rPr>
                <w:rFonts w:eastAsia="Times New Roman" w:cs="Times New Roman"/>
                <w:i/>
                <w:iCs/>
                <w:color w:val="000000"/>
                <w:sz w:val="16"/>
                <w:szCs w:val="16"/>
                <w:lang w:eastAsia="en-AU"/>
              </w:rPr>
              <w:t>exaltatus</w:t>
            </w:r>
            <w:proofErr w:type="spellEnd"/>
          </w:p>
        </w:tc>
        <w:tc>
          <w:tcPr>
            <w:tcW w:w="260" w:type="pct"/>
            <w:tcBorders>
              <w:top w:val="nil"/>
              <w:left w:val="nil"/>
              <w:bottom w:val="nil"/>
              <w:right w:val="nil"/>
            </w:tcBorders>
            <w:shd w:val="clear" w:color="auto" w:fill="auto"/>
            <w:noWrap/>
            <w:vAlign w:val="bottom"/>
            <w:hideMark/>
          </w:tcPr>
          <w:p w14:paraId="125DAA5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371</w:t>
            </w:r>
          </w:p>
        </w:tc>
        <w:tc>
          <w:tcPr>
            <w:tcW w:w="260" w:type="pct"/>
            <w:tcBorders>
              <w:top w:val="nil"/>
              <w:left w:val="nil"/>
              <w:bottom w:val="nil"/>
              <w:right w:val="nil"/>
            </w:tcBorders>
            <w:shd w:val="clear" w:color="auto" w:fill="auto"/>
            <w:noWrap/>
            <w:vAlign w:val="bottom"/>
            <w:hideMark/>
          </w:tcPr>
          <w:p w14:paraId="2E5D6ED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377</w:t>
            </w:r>
          </w:p>
        </w:tc>
        <w:tc>
          <w:tcPr>
            <w:tcW w:w="260" w:type="pct"/>
            <w:tcBorders>
              <w:top w:val="nil"/>
              <w:left w:val="nil"/>
              <w:bottom w:val="nil"/>
              <w:right w:val="nil"/>
            </w:tcBorders>
            <w:shd w:val="clear" w:color="auto" w:fill="auto"/>
            <w:noWrap/>
            <w:vAlign w:val="bottom"/>
            <w:hideMark/>
          </w:tcPr>
          <w:p w14:paraId="51727C7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528</w:t>
            </w:r>
          </w:p>
        </w:tc>
        <w:tc>
          <w:tcPr>
            <w:tcW w:w="260" w:type="pct"/>
            <w:tcBorders>
              <w:top w:val="nil"/>
              <w:left w:val="nil"/>
              <w:bottom w:val="nil"/>
              <w:right w:val="nil"/>
            </w:tcBorders>
            <w:shd w:val="clear" w:color="auto" w:fill="auto"/>
            <w:noWrap/>
            <w:vAlign w:val="bottom"/>
            <w:hideMark/>
          </w:tcPr>
          <w:p w14:paraId="301D777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57DA7D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38</w:t>
            </w:r>
          </w:p>
        </w:tc>
        <w:tc>
          <w:tcPr>
            <w:tcW w:w="260" w:type="pct"/>
            <w:tcBorders>
              <w:top w:val="nil"/>
              <w:left w:val="nil"/>
              <w:bottom w:val="nil"/>
              <w:right w:val="nil"/>
            </w:tcBorders>
            <w:shd w:val="clear" w:color="auto" w:fill="auto"/>
            <w:noWrap/>
            <w:vAlign w:val="bottom"/>
            <w:hideMark/>
          </w:tcPr>
          <w:p w14:paraId="709D9EA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30</w:t>
            </w:r>
          </w:p>
        </w:tc>
        <w:tc>
          <w:tcPr>
            <w:tcW w:w="260" w:type="pct"/>
            <w:tcBorders>
              <w:top w:val="nil"/>
              <w:left w:val="nil"/>
              <w:bottom w:val="nil"/>
              <w:right w:val="nil"/>
            </w:tcBorders>
            <w:shd w:val="clear" w:color="auto" w:fill="auto"/>
            <w:noWrap/>
            <w:vAlign w:val="bottom"/>
            <w:hideMark/>
          </w:tcPr>
          <w:p w14:paraId="69DB5C2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1F6A4F8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22</w:t>
            </w:r>
          </w:p>
        </w:tc>
        <w:tc>
          <w:tcPr>
            <w:tcW w:w="260" w:type="pct"/>
            <w:tcBorders>
              <w:top w:val="nil"/>
              <w:left w:val="nil"/>
              <w:bottom w:val="nil"/>
              <w:right w:val="nil"/>
            </w:tcBorders>
            <w:shd w:val="clear" w:color="auto" w:fill="auto"/>
            <w:noWrap/>
            <w:vAlign w:val="bottom"/>
            <w:hideMark/>
          </w:tcPr>
          <w:p w14:paraId="4C78E8D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5889BC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199</w:t>
            </w:r>
          </w:p>
        </w:tc>
        <w:tc>
          <w:tcPr>
            <w:tcW w:w="260" w:type="pct"/>
            <w:tcBorders>
              <w:top w:val="nil"/>
              <w:left w:val="nil"/>
              <w:bottom w:val="nil"/>
              <w:right w:val="nil"/>
            </w:tcBorders>
            <w:shd w:val="clear" w:color="auto" w:fill="auto"/>
            <w:noWrap/>
            <w:vAlign w:val="bottom"/>
            <w:hideMark/>
          </w:tcPr>
          <w:p w14:paraId="74CCF2D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451</w:t>
            </w:r>
          </w:p>
        </w:tc>
        <w:tc>
          <w:tcPr>
            <w:tcW w:w="260" w:type="pct"/>
            <w:tcBorders>
              <w:top w:val="nil"/>
              <w:left w:val="nil"/>
              <w:bottom w:val="nil"/>
              <w:right w:val="nil"/>
            </w:tcBorders>
            <w:shd w:val="clear" w:color="auto" w:fill="auto"/>
            <w:noWrap/>
            <w:vAlign w:val="bottom"/>
            <w:hideMark/>
          </w:tcPr>
          <w:p w14:paraId="758C076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187</w:t>
            </w:r>
          </w:p>
        </w:tc>
        <w:tc>
          <w:tcPr>
            <w:tcW w:w="260" w:type="pct"/>
            <w:tcBorders>
              <w:top w:val="nil"/>
              <w:left w:val="nil"/>
              <w:bottom w:val="nil"/>
              <w:right w:val="nil"/>
            </w:tcBorders>
            <w:shd w:val="clear" w:color="auto" w:fill="auto"/>
            <w:noWrap/>
            <w:vAlign w:val="bottom"/>
            <w:hideMark/>
          </w:tcPr>
          <w:p w14:paraId="1803EAC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c>
          <w:tcPr>
            <w:tcW w:w="365" w:type="pct"/>
            <w:tcBorders>
              <w:top w:val="nil"/>
              <w:left w:val="nil"/>
              <w:bottom w:val="nil"/>
              <w:right w:val="nil"/>
            </w:tcBorders>
            <w:shd w:val="clear" w:color="auto" w:fill="auto"/>
            <w:noWrap/>
            <w:vAlign w:val="bottom"/>
            <w:hideMark/>
          </w:tcPr>
          <w:p w14:paraId="6952CCB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2212</w:t>
            </w:r>
          </w:p>
        </w:tc>
      </w:tr>
      <w:tr w:rsidR="00BE78EE" w:rsidRPr="00CB64DE" w14:paraId="60199C11"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7E522F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Dysphania</w:t>
            </w:r>
            <w:proofErr w:type="spellEnd"/>
            <w:r w:rsidRPr="00C80F8D">
              <w:rPr>
                <w:rFonts w:eastAsia="Times New Roman" w:cs="Times New Roman"/>
                <w:i/>
                <w:iCs/>
                <w:color w:val="000000"/>
                <w:sz w:val="16"/>
                <w:szCs w:val="16"/>
                <w:lang w:eastAsia="en-AU"/>
              </w:rPr>
              <w:t xml:space="preserve"> ambrosioides</w:t>
            </w:r>
          </w:p>
        </w:tc>
        <w:tc>
          <w:tcPr>
            <w:tcW w:w="260" w:type="pct"/>
            <w:tcBorders>
              <w:top w:val="nil"/>
              <w:left w:val="nil"/>
              <w:bottom w:val="nil"/>
              <w:right w:val="nil"/>
            </w:tcBorders>
            <w:shd w:val="clear" w:color="auto" w:fill="auto"/>
            <w:noWrap/>
            <w:vAlign w:val="bottom"/>
            <w:hideMark/>
          </w:tcPr>
          <w:p w14:paraId="5C7B04FE"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67B650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6DEC44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B1DE8B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5764CA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666E8F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504778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76AD63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8A95AE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410C54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26D169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3E07E0D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F487C7B"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ADC4A4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r>
      <w:tr w:rsidR="00BE78EE" w:rsidRPr="00CB64DE" w14:paraId="5121345A"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1852D10"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Dysphania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glomulifera</w:t>
            </w:r>
            <w:proofErr w:type="spellEnd"/>
          </w:p>
        </w:tc>
        <w:tc>
          <w:tcPr>
            <w:tcW w:w="260" w:type="pct"/>
            <w:tcBorders>
              <w:top w:val="nil"/>
              <w:left w:val="nil"/>
              <w:bottom w:val="nil"/>
              <w:right w:val="nil"/>
            </w:tcBorders>
            <w:shd w:val="clear" w:color="auto" w:fill="auto"/>
            <w:noWrap/>
            <w:vAlign w:val="bottom"/>
            <w:hideMark/>
          </w:tcPr>
          <w:p w14:paraId="7D1EA66F"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BE3F88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3C2CF0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38D13E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641BFB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364A2C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26C66BB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51F0BC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313589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839578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AE0311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5C6E3D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A1E9AD2"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6326589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r>
      <w:tr w:rsidR="00BE78EE" w:rsidRPr="00CB64DE" w14:paraId="684F0633"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1E253F0"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Dysphania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pumilo</w:t>
            </w:r>
            <w:proofErr w:type="spellEnd"/>
          </w:p>
        </w:tc>
        <w:tc>
          <w:tcPr>
            <w:tcW w:w="260" w:type="pct"/>
            <w:tcBorders>
              <w:top w:val="nil"/>
              <w:left w:val="nil"/>
              <w:bottom w:val="nil"/>
              <w:right w:val="nil"/>
            </w:tcBorders>
            <w:shd w:val="clear" w:color="auto" w:fill="auto"/>
            <w:noWrap/>
            <w:vAlign w:val="bottom"/>
            <w:hideMark/>
          </w:tcPr>
          <w:p w14:paraId="62BADF99"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620E06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264CB40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7A2E1E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EC2578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0A5B23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FB384E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4FF963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C31E00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06CE4B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C8EBE0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w:t>
            </w:r>
          </w:p>
        </w:tc>
        <w:tc>
          <w:tcPr>
            <w:tcW w:w="260" w:type="pct"/>
            <w:tcBorders>
              <w:top w:val="nil"/>
              <w:left w:val="nil"/>
              <w:bottom w:val="nil"/>
              <w:right w:val="nil"/>
            </w:tcBorders>
            <w:shd w:val="clear" w:color="auto" w:fill="auto"/>
            <w:noWrap/>
            <w:vAlign w:val="bottom"/>
            <w:hideMark/>
          </w:tcPr>
          <w:p w14:paraId="3B1C2CC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2EF3380"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6D97817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23</w:t>
            </w:r>
          </w:p>
        </w:tc>
      </w:tr>
      <w:tr w:rsidR="00BE78EE" w:rsidRPr="00CB64DE" w14:paraId="03C25634"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AADCD7C"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Elatine</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gratioloides</w:t>
            </w:r>
            <w:proofErr w:type="spellEnd"/>
          </w:p>
        </w:tc>
        <w:tc>
          <w:tcPr>
            <w:tcW w:w="260" w:type="pct"/>
            <w:tcBorders>
              <w:top w:val="nil"/>
              <w:left w:val="nil"/>
              <w:bottom w:val="nil"/>
              <w:right w:val="nil"/>
            </w:tcBorders>
            <w:shd w:val="clear" w:color="auto" w:fill="auto"/>
            <w:noWrap/>
            <w:vAlign w:val="bottom"/>
            <w:hideMark/>
          </w:tcPr>
          <w:p w14:paraId="38B0EAA9"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6271C5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577830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4EBB2A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132D46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60BD57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F09838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B07ECE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A18DE8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71D646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3DA2170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E59CC7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2606E80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71FFF76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r>
      <w:tr w:rsidR="00BE78EE" w:rsidRPr="00CB64DE" w14:paraId="3D5509D2"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171B612"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Eragrostis</w:t>
            </w:r>
            <w:proofErr w:type="spellEnd"/>
            <w:r w:rsidRPr="00C80F8D">
              <w:rPr>
                <w:rFonts w:eastAsia="Times New Roman" w:cs="Times New Roman"/>
                <w:i/>
                <w:iCs/>
                <w:color w:val="000000"/>
                <w:sz w:val="16"/>
                <w:szCs w:val="16"/>
                <w:lang w:eastAsia="en-AU"/>
              </w:rPr>
              <w:t xml:space="preserve"> parviflora</w:t>
            </w:r>
          </w:p>
        </w:tc>
        <w:tc>
          <w:tcPr>
            <w:tcW w:w="260" w:type="pct"/>
            <w:tcBorders>
              <w:top w:val="nil"/>
              <w:left w:val="nil"/>
              <w:bottom w:val="nil"/>
              <w:right w:val="nil"/>
            </w:tcBorders>
            <w:shd w:val="clear" w:color="auto" w:fill="auto"/>
            <w:noWrap/>
            <w:vAlign w:val="bottom"/>
            <w:hideMark/>
          </w:tcPr>
          <w:p w14:paraId="1262BEB0"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13A19D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CFF086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3EF23E7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E526BE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14</w:t>
            </w:r>
          </w:p>
        </w:tc>
        <w:tc>
          <w:tcPr>
            <w:tcW w:w="260" w:type="pct"/>
            <w:tcBorders>
              <w:top w:val="nil"/>
              <w:left w:val="nil"/>
              <w:bottom w:val="nil"/>
              <w:right w:val="nil"/>
            </w:tcBorders>
            <w:shd w:val="clear" w:color="auto" w:fill="auto"/>
            <w:noWrap/>
            <w:vAlign w:val="bottom"/>
            <w:hideMark/>
          </w:tcPr>
          <w:p w14:paraId="6B01C07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w:t>
            </w:r>
          </w:p>
        </w:tc>
        <w:tc>
          <w:tcPr>
            <w:tcW w:w="260" w:type="pct"/>
            <w:tcBorders>
              <w:top w:val="nil"/>
              <w:left w:val="nil"/>
              <w:bottom w:val="nil"/>
              <w:right w:val="nil"/>
            </w:tcBorders>
            <w:shd w:val="clear" w:color="auto" w:fill="auto"/>
            <w:noWrap/>
            <w:vAlign w:val="bottom"/>
            <w:hideMark/>
          </w:tcPr>
          <w:p w14:paraId="3D40E5A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335</w:t>
            </w:r>
          </w:p>
        </w:tc>
        <w:tc>
          <w:tcPr>
            <w:tcW w:w="260" w:type="pct"/>
            <w:tcBorders>
              <w:top w:val="nil"/>
              <w:left w:val="nil"/>
              <w:bottom w:val="nil"/>
              <w:right w:val="nil"/>
            </w:tcBorders>
            <w:shd w:val="clear" w:color="auto" w:fill="auto"/>
            <w:noWrap/>
            <w:vAlign w:val="bottom"/>
            <w:hideMark/>
          </w:tcPr>
          <w:p w14:paraId="7DB7047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286</w:t>
            </w:r>
          </w:p>
        </w:tc>
        <w:tc>
          <w:tcPr>
            <w:tcW w:w="260" w:type="pct"/>
            <w:tcBorders>
              <w:top w:val="nil"/>
              <w:left w:val="nil"/>
              <w:bottom w:val="nil"/>
              <w:right w:val="nil"/>
            </w:tcBorders>
            <w:shd w:val="clear" w:color="auto" w:fill="auto"/>
            <w:noWrap/>
            <w:vAlign w:val="bottom"/>
            <w:hideMark/>
          </w:tcPr>
          <w:p w14:paraId="7133506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8A04CF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w:t>
            </w:r>
          </w:p>
        </w:tc>
        <w:tc>
          <w:tcPr>
            <w:tcW w:w="260" w:type="pct"/>
            <w:tcBorders>
              <w:top w:val="nil"/>
              <w:left w:val="nil"/>
              <w:bottom w:val="nil"/>
              <w:right w:val="nil"/>
            </w:tcBorders>
            <w:shd w:val="clear" w:color="auto" w:fill="auto"/>
            <w:noWrap/>
            <w:vAlign w:val="bottom"/>
            <w:hideMark/>
          </w:tcPr>
          <w:p w14:paraId="18B59FE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c>
          <w:tcPr>
            <w:tcW w:w="260" w:type="pct"/>
            <w:tcBorders>
              <w:top w:val="nil"/>
              <w:left w:val="nil"/>
              <w:bottom w:val="nil"/>
              <w:right w:val="nil"/>
            </w:tcBorders>
            <w:shd w:val="clear" w:color="auto" w:fill="auto"/>
            <w:noWrap/>
            <w:vAlign w:val="bottom"/>
            <w:hideMark/>
          </w:tcPr>
          <w:p w14:paraId="0AC5658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51D3928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365" w:type="pct"/>
            <w:tcBorders>
              <w:top w:val="nil"/>
              <w:left w:val="nil"/>
              <w:bottom w:val="nil"/>
              <w:right w:val="nil"/>
            </w:tcBorders>
            <w:shd w:val="clear" w:color="auto" w:fill="auto"/>
            <w:noWrap/>
            <w:vAlign w:val="bottom"/>
            <w:hideMark/>
          </w:tcPr>
          <w:p w14:paraId="3CA9134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668</w:t>
            </w:r>
          </w:p>
        </w:tc>
      </w:tr>
      <w:tr w:rsidR="00BE78EE" w:rsidRPr="00CB64DE" w14:paraId="53509CA1"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266894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Eucalyptus camaldulensis</w:t>
            </w:r>
          </w:p>
        </w:tc>
        <w:tc>
          <w:tcPr>
            <w:tcW w:w="260" w:type="pct"/>
            <w:tcBorders>
              <w:top w:val="nil"/>
              <w:left w:val="nil"/>
              <w:bottom w:val="nil"/>
              <w:right w:val="nil"/>
            </w:tcBorders>
            <w:shd w:val="clear" w:color="auto" w:fill="auto"/>
            <w:noWrap/>
            <w:vAlign w:val="bottom"/>
            <w:hideMark/>
          </w:tcPr>
          <w:p w14:paraId="32ACD69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42</w:t>
            </w:r>
          </w:p>
        </w:tc>
        <w:tc>
          <w:tcPr>
            <w:tcW w:w="260" w:type="pct"/>
            <w:tcBorders>
              <w:top w:val="nil"/>
              <w:left w:val="nil"/>
              <w:bottom w:val="nil"/>
              <w:right w:val="nil"/>
            </w:tcBorders>
            <w:shd w:val="clear" w:color="auto" w:fill="auto"/>
            <w:noWrap/>
            <w:vAlign w:val="bottom"/>
            <w:hideMark/>
          </w:tcPr>
          <w:p w14:paraId="2BB10D0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24D18B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w:t>
            </w:r>
          </w:p>
        </w:tc>
        <w:tc>
          <w:tcPr>
            <w:tcW w:w="260" w:type="pct"/>
            <w:tcBorders>
              <w:top w:val="nil"/>
              <w:left w:val="nil"/>
              <w:bottom w:val="nil"/>
              <w:right w:val="nil"/>
            </w:tcBorders>
            <w:shd w:val="clear" w:color="auto" w:fill="auto"/>
            <w:noWrap/>
            <w:vAlign w:val="bottom"/>
            <w:hideMark/>
          </w:tcPr>
          <w:p w14:paraId="22BACCA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w:t>
            </w:r>
          </w:p>
        </w:tc>
        <w:tc>
          <w:tcPr>
            <w:tcW w:w="260" w:type="pct"/>
            <w:tcBorders>
              <w:top w:val="nil"/>
              <w:left w:val="nil"/>
              <w:bottom w:val="nil"/>
              <w:right w:val="nil"/>
            </w:tcBorders>
            <w:shd w:val="clear" w:color="auto" w:fill="auto"/>
            <w:noWrap/>
            <w:vAlign w:val="bottom"/>
            <w:hideMark/>
          </w:tcPr>
          <w:p w14:paraId="734ABD4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260" w:type="pct"/>
            <w:tcBorders>
              <w:top w:val="nil"/>
              <w:left w:val="nil"/>
              <w:bottom w:val="nil"/>
              <w:right w:val="nil"/>
            </w:tcBorders>
            <w:shd w:val="clear" w:color="auto" w:fill="auto"/>
            <w:noWrap/>
            <w:vAlign w:val="bottom"/>
            <w:hideMark/>
          </w:tcPr>
          <w:p w14:paraId="154CEC2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430C11B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410FB3B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26ECD2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FC0F7D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68F075B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6BE1481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C98A826"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777A06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85</w:t>
            </w:r>
          </w:p>
        </w:tc>
      </w:tr>
      <w:tr w:rsidR="00BE78EE" w:rsidRPr="00CB64DE" w14:paraId="233D0D14"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6959BD6"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Fimbristylis</w:t>
            </w:r>
            <w:proofErr w:type="spellEnd"/>
            <w:r w:rsidRPr="00C80F8D">
              <w:rPr>
                <w:rFonts w:eastAsia="Times New Roman" w:cs="Times New Roman"/>
                <w:i/>
                <w:iCs/>
                <w:color w:val="000000"/>
                <w:sz w:val="16"/>
                <w:szCs w:val="16"/>
                <w:lang w:eastAsia="en-AU"/>
              </w:rPr>
              <w:t xml:space="preserve"> </w:t>
            </w:r>
            <w:r w:rsidRPr="00C80F8D">
              <w:rPr>
                <w:rFonts w:eastAsia="Times New Roman" w:cs="Times New Roman"/>
                <w:color w:val="000000"/>
                <w:sz w:val="16"/>
                <w:szCs w:val="16"/>
                <w:lang w:eastAsia="en-AU"/>
              </w:rPr>
              <w:t>spp</w:t>
            </w:r>
            <w:r w:rsidRPr="00C80F8D">
              <w:rPr>
                <w:rFonts w:eastAsia="Times New Roman" w:cs="Times New Roman"/>
                <w:i/>
                <w:iCs/>
                <w:color w:val="000000"/>
                <w:sz w:val="16"/>
                <w:szCs w:val="16"/>
                <w:lang w:eastAsia="en-AU"/>
              </w:rPr>
              <w:t>.</w:t>
            </w:r>
          </w:p>
        </w:tc>
        <w:tc>
          <w:tcPr>
            <w:tcW w:w="260" w:type="pct"/>
            <w:tcBorders>
              <w:top w:val="nil"/>
              <w:left w:val="nil"/>
              <w:bottom w:val="nil"/>
              <w:right w:val="nil"/>
            </w:tcBorders>
            <w:shd w:val="clear" w:color="auto" w:fill="auto"/>
            <w:noWrap/>
            <w:vAlign w:val="bottom"/>
            <w:hideMark/>
          </w:tcPr>
          <w:p w14:paraId="4488484B"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B4A402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A8B3ED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AF71D9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53809D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1DF70D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3F82D1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2E5938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C5A992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AB1926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94B611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BD7EAF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55D25F9"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0186963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6E890A77"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82B76FB"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Gnaphalium </w:t>
            </w:r>
            <w:proofErr w:type="spellStart"/>
            <w:r w:rsidRPr="00C80F8D">
              <w:rPr>
                <w:rFonts w:eastAsia="Times New Roman" w:cs="Times New Roman"/>
                <w:i/>
                <w:iCs/>
                <w:color w:val="000000"/>
                <w:sz w:val="16"/>
                <w:szCs w:val="16"/>
                <w:lang w:eastAsia="en-AU"/>
              </w:rPr>
              <w:t>polycaulon</w:t>
            </w:r>
            <w:proofErr w:type="spellEnd"/>
          </w:p>
        </w:tc>
        <w:tc>
          <w:tcPr>
            <w:tcW w:w="260" w:type="pct"/>
            <w:tcBorders>
              <w:top w:val="nil"/>
              <w:left w:val="nil"/>
              <w:bottom w:val="nil"/>
              <w:right w:val="nil"/>
            </w:tcBorders>
            <w:shd w:val="clear" w:color="auto" w:fill="auto"/>
            <w:noWrap/>
            <w:vAlign w:val="bottom"/>
            <w:hideMark/>
          </w:tcPr>
          <w:p w14:paraId="368061C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w:t>
            </w:r>
          </w:p>
        </w:tc>
        <w:tc>
          <w:tcPr>
            <w:tcW w:w="260" w:type="pct"/>
            <w:tcBorders>
              <w:top w:val="nil"/>
              <w:left w:val="nil"/>
              <w:bottom w:val="nil"/>
              <w:right w:val="nil"/>
            </w:tcBorders>
            <w:shd w:val="clear" w:color="auto" w:fill="auto"/>
            <w:noWrap/>
            <w:vAlign w:val="bottom"/>
            <w:hideMark/>
          </w:tcPr>
          <w:p w14:paraId="7634B2D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EBDB2E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E84346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0DA7AD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w:t>
            </w:r>
          </w:p>
        </w:tc>
        <w:tc>
          <w:tcPr>
            <w:tcW w:w="260" w:type="pct"/>
            <w:tcBorders>
              <w:top w:val="nil"/>
              <w:left w:val="nil"/>
              <w:bottom w:val="nil"/>
              <w:right w:val="nil"/>
            </w:tcBorders>
            <w:shd w:val="clear" w:color="auto" w:fill="auto"/>
            <w:noWrap/>
            <w:vAlign w:val="bottom"/>
            <w:hideMark/>
          </w:tcPr>
          <w:p w14:paraId="78A7E29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13</w:t>
            </w:r>
          </w:p>
        </w:tc>
        <w:tc>
          <w:tcPr>
            <w:tcW w:w="260" w:type="pct"/>
            <w:tcBorders>
              <w:top w:val="nil"/>
              <w:left w:val="nil"/>
              <w:bottom w:val="nil"/>
              <w:right w:val="nil"/>
            </w:tcBorders>
            <w:shd w:val="clear" w:color="auto" w:fill="auto"/>
            <w:noWrap/>
            <w:vAlign w:val="bottom"/>
            <w:hideMark/>
          </w:tcPr>
          <w:p w14:paraId="5BABF20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6E70BB1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75C6B60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3410B0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w:t>
            </w:r>
          </w:p>
        </w:tc>
        <w:tc>
          <w:tcPr>
            <w:tcW w:w="260" w:type="pct"/>
            <w:tcBorders>
              <w:top w:val="nil"/>
              <w:left w:val="nil"/>
              <w:bottom w:val="nil"/>
              <w:right w:val="nil"/>
            </w:tcBorders>
            <w:shd w:val="clear" w:color="auto" w:fill="auto"/>
            <w:noWrap/>
            <w:vAlign w:val="bottom"/>
            <w:hideMark/>
          </w:tcPr>
          <w:p w14:paraId="5150A3B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69</w:t>
            </w:r>
          </w:p>
        </w:tc>
        <w:tc>
          <w:tcPr>
            <w:tcW w:w="260" w:type="pct"/>
            <w:tcBorders>
              <w:top w:val="nil"/>
              <w:left w:val="nil"/>
              <w:bottom w:val="nil"/>
              <w:right w:val="nil"/>
            </w:tcBorders>
            <w:shd w:val="clear" w:color="auto" w:fill="auto"/>
            <w:noWrap/>
            <w:vAlign w:val="bottom"/>
            <w:hideMark/>
          </w:tcPr>
          <w:p w14:paraId="1DA6A39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CDDA89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7E99D4E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129</w:t>
            </w:r>
          </w:p>
        </w:tc>
      </w:tr>
      <w:tr w:rsidR="00BE78EE" w:rsidRPr="00CB64DE" w14:paraId="621957EA"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A6356C4"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Juncus amabilis</w:t>
            </w:r>
          </w:p>
        </w:tc>
        <w:tc>
          <w:tcPr>
            <w:tcW w:w="260" w:type="pct"/>
            <w:tcBorders>
              <w:top w:val="nil"/>
              <w:left w:val="nil"/>
              <w:bottom w:val="nil"/>
              <w:right w:val="nil"/>
            </w:tcBorders>
            <w:shd w:val="clear" w:color="auto" w:fill="auto"/>
            <w:noWrap/>
            <w:vAlign w:val="bottom"/>
            <w:hideMark/>
          </w:tcPr>
          <w:p w14:paraId="7004677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7401CD9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96</w:t>
            </w:r>
          </w:p>
        </w:tc>
        <w:tc>
          <w:tcPr>
            <w:tcW w:w="260" w:type="pct"/>
            <w:tcBorders>
              <w:top w:val="nil"/>
              <w:left w:val="nil"/>
              <w:bottom w:val="nil"/>
              <w:right w:val="nil"/>
            </w:tcBorders>
            <w:shd w:val="clear" w:color="auto" w:fill="auto"/>
            <w:noWrap/>
            <w:vAlign w:val="bottom"/>
            <w:hideMark/>
          </w:tcPr>
          <w:p w14:paraId="04381A6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w:t>
            </w:r>
          </w:p>
        </w:tc>
        <w:tc>
          <w:tcPr>
            <w:tcW w:w="260" w:type="pct"/>
            <w:tcBorders>
              <w:top w:val="nil"/>
              <w:left w:val="nil"/>
              <w:bottom w:val="nil"/>
              <w:right w:val="nil"/>
            </w:tcBorders>
            <w:shd w:val="clear" w:color="auto" w:fill="auto"/>
            <w:noWrap/>
            <w:vAlign w:val="bottom"/>
            <w:hideMark/>
          </w:tcPr>
          <w:p w14:paraId="7759BC7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w:t>
            </w:r>
          </w:p>
        </w:tc>
        <w:tc>
          <w:tcPr>
            <w:tcW w:w="260" w:type="pct"/>
            <w:tcBorders>
              <w:top w:val="nil"/>
              <w:left w:val="nil"/>
              <w:bottom w:val="nil"/>
              <w:right w:val="nil"/>
            </w:tcBorders>
            <w:shd w:val="clear" w:color="auto" w:fill="auto"/>
            <w:noWrap/>
            <w:vAlign w:val="bottom"/>
            <w:hideMark/>
          </w:tcPr>
          <w:p w14:paraId="489FA29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c>
          <w:tcPr>
            <w:tcW w:w="260" w:type="pct"/>
            <w:tcBorders>
              <w:top w:val="nil"/>
              <w:left w:val="nil"/>
              <w:bottom w:val="nil"/>
              <w:right w:val="nil"/>
            </w:tcBorders>
            <w:shd w:val="clear" w:color="auto" w:fill="auto"/>
            <w:noWrap/>
            <w:vAlign w:val="bottom"/>
            <w:hideMark/>
          </w:tcPr>
          <w:p w14:paraId="2F2CEC1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696A36D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877</w:t>
            </w:r>
          </w:p>
        </w:tc>
        <w:tc>
          <w:tcPr>
            <w:tcW w:w="260" w:type="pct"/>
            <w:tcBorders>
              <w:top w:val="nil"/>
              <w:left w:val="nil"/>
              <w:bottom w:val="nil"/>
              <w:right w:val="nil"/>
            </w:tcBorders>
            <w:shd w:val="clear" w:color="auto" w:fill="auto"/>
            <w:noWrap/>
            <w:vAlign w:val="bottom"/>
            <w:hideMark/>
          </w:tcPr>
          <w:p w14:paraId="2AC8074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52</w:t>
            </w:r>
          </w:p>
        </w:tc>
        <w:tc>
          <w:tcPr>
            <w:tcW w:w="260" w:type="pct"/>
            <w:tcBorders>
              <w:top w:val="nil"/>
              <w:left w:val="nil"/>
              <w:bottom w:val="nil"/>
              <w:right w:val="nil"/>
            </w:tcBorders>
            <w:shd w:val="clear" w:color="auto" w:fill="auto"/>
            <w:noWrap/>
            <w:vAlign w:val="bottom"/>
            <w:hideMark/>
          </w:tcPr>
          <w:p w14:paraId="56CB980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B93A2E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235</w:t>
            </w:r>
          </w:p>
        </w:tc>
        <w:tc>
          <w:tcPr>
            <w:tcW w:w="260" w:type="pct"/>
            <w:tcBorders>
              <w:top w:val="nil"/>
              <w:left w:val="nil"/>
              <w:bottom w:val="nil"/>
              <w:right w:val="nil"/>
            </w:tcBorders>
            <w:shd w:val="clear" w:color="auto" w:fill="auto"/>
            <w:noWrap/>
            <w:vAlign w:val="bottom"/>
            <w:hideMark/>
          </w:tcPr>
          <w:p w14:paraId="49DD3C6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169</w:t>
            </w:r>
          </w:p>
        </w:tc>
        <w:tc>
          <w:tcPr>
            <w:tcW w:w="260" w:type="pct"/>
            <w:tcBorders>
              <w:top w:val="nil"/>
              <w:left w:val="nil"/>
              <w:bottom w:val="nil"/>
              <w:right w:val="nil"/>
            </w:tcBorders>
            <w:shd w:val="clear" w:color="auto" w:fill="auto"/>
            <w:noWrap/>
            <w:vAlign w:val="bottom"/>
            <w:hideMark/>
          </w:tcPr>
          <w:p w14:paraId="4763160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83</w:t>
            </w:r>
          </w:p>
        </w:tc>
        <w:tc>
          <w:tcPr>
            <w:tcW w:w="260" w:type="pct"/>
            <w:tcBorders>
              <w:top w:val="nil"/>
              <w:left w:val="nil"/>
              <w:bottom w:val="nil"/>
              <w:right w:val="nil"/>
            </w:tcBorders>
            <w:shd w:val="clear" w:color="auto" w:fill="auto"/>
            <w:noWrap/>
            <w:vAlign w:val="bottom"/>
            <w:hideMark/>
          </w:tcPr>
          <w:p w14:paraId="3F50155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365" w:type="pct"/>
            <w:tcBorders>
              <w:top w:val="nil"/>
              <w:left w:val="nil"/>
              <w:bottom w:val="nil"/>
              <w:right w:val="nil"/>
            </w:tcBorders>
            <w:shd w:val="clear" w:color="auto" w:fill="auto"/>
            <w:noWrap/>
            <w:vAlign w:val="bottom"/>
            <w:hideMark/>
          </w:tcPr>
          <w:p w14:paraId="7E501A9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1559</w:t>
            </w:r>
          </w:p>
        </w:tc>
      </w:tr>
      <w:tr w:rsidR="00BE78EE" w:rsidRPr="00CB64DE" w14:paraId="424E5EDE"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14EA16D"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Juncus </w:t>
            </w:r>
            <w:proofErr w:type="spellStart"/>
            <w:r w:rsidRPr="00C80F8D">
              <w:rPr>
                <w:rFonts w:eastAsia="Times New Roman" w:cs="Times New Roman"/>
                <w:i/>
                <w:iCs/>
                <w:color w:val="000000"/>
                <w:sz w:val="16"/>
                <w:szCs w:val="16"/>
                <w:lang w:eastAsia="en-AU"/>
              </w:rPr>
              <w:t>articulatus</w:t>
            </w:r>
            <w:proofErr w:type="spellEnd"/>
          </w:p>
        </w:tc>
        <w:tc>
          <w:tcPr>
            <w:tcW w:w="260" w:type="pct"/>
            <w:tcBorders>
              <w:top w:val="nil"/>
              <w:left w:val="nil"/>
              <w:bottom w:val="nil"/>
              <w:right w:val="nil"/>
            </w:tcBorders>
            <w:shd w:val="clear" w:color="auto" w:fill="auto"/>
            <w:noWrap/>
            <w:vAlign w:val="bottom"/>
            <w:hideMark/>
          </w:tcPr>
          <w:p w14:paraId="409377EA"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46C110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0D5B6E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51D747F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AEF91B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3B4DC0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C6B247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56283C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F65687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0667A6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6725F9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CCAEB9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FBCFB1D"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7FFA59A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1D8EB8B0"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39A4696"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Juncus </w:t>
            </w:r>
            <w:proofErr w:type="spellStart"/>
            <w:r w:rsidRPr="00C80F8D">
              <w:rPr>
                <w:rFonts w:eastAsia="Times New Roman" w:cs="Times New Roman"/>
                <w:i/>
                <w:iCs/>
                <w:color w:val="000000"/>
                <w:sz w:val="16"/>
                <w:szCs w:val="16"/>
                <w:lang w:eastAsia="en-AU"/>
              </w:rPr>
              <w:t>prismatocarpus</w:t>
            </w:r>
            <w:proofErr w:type="spellEnd"/>
          </w:p>
        </w:tc>
        <w:tc>
          <w:tcPr>
            <w:tcW w:w="260" w:type="pct"/>
            <w:tcBorders>
              <w:top w:val="nil"/>
              <w:left w:val="nil"/>
              <w:bottom w:val="nil"/>
              <w:right w:val="nil"/>
            </w:tcBorders>
            <w:shd w:val="clear" w:color="auto" w:fill="auto"/>
            <w:noWrap/>
            <w:vAlign w:val="bottom"/>
            <w:hideMark/>
          </w:tcPr>
          <w:p w14:paraId="6092BD76"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87B30F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2911FFB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328C121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29E7A1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4BF4CC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9F1488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877716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9455B0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4C1C54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8BA154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5D0030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8107469"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5A4ED6A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r>
      <w:tr w:rsidR="00BE78EE" w:rsidRPr="00CB64DE" w14:paraId="35D007A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7500BDC"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Juncus </w:t>
            </w:r>
            <w:proofErr w:type="spellStart"/>
            <w:r w:rsidRPr="00C80F8D">
              <w:rPr>
                <w:rFonts w:eastAsia="Times New Roman" w:cs="Times New Roman"/>
                <w:i/>
                <w:iCs/>
                <w:color w:val="000000"/>
                <w:sz w:val="16"/>
                <w:szCs w:val="16"/>
                <w:lang w:eastAsia="en-AU"/>
              </w:rPr>
              <w:t>usitatus</w:t>
            </w:r>
            <w:proofErr w:type="spellEnd"/>
          </w:p>
        </w:tc>
        <w:tc>
          <w:tcPr>
            <w:tcW w:w="260" w:type="pct"/>
            <w:tcBorders>
              <w:top w:val="nil"/>
              <w:left w:val="nil"/>
              <w:bottom w:val="nil"/>
              <w:right w:val="nil"/>
            </w:tcBorders>
            <w:shd w:val="clear" w:color="auto" w:fill="auto"/>
            <w:noWrap/>
            <w:vAlign w:val="bottom"/>
            <w:hideMark/>
          </w:tcPr>
          <w:p w14:paraId="24E3BB2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15</w:t>
            </w:r>
          </w:p>
        </w:tc>
        <w:tc>
          <w:tcPr>
            <w:tcW w:w="260" w:type="pct"/>
            <w:tcBorders>
              <w:top w:val="nil"/>
              <w:left w:val="nil"/>
              <w:bottom w:val="nil"/>
              <w:right w:val="nil"/>
            </w:tcBorders>
            <w:shd w:val="clear" w:color="auto" w:fill="auto"/>
            <w:noWrap/>
            <w:vAlign w:val="bottom"/>
            <w:hideMark/>
          </w:tcPr>
          <w:p w14:paraId="4F90BFC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33</w:t>
            </w:r>
          </w:p>
        </w:tc>
        <w:tc>
          <w:tcPr>
            <w:tcW w:w="260" w:type="pct"/>
            <w:tcBorders>
              <w:top w:val="nil"/>
              <w:left w:val="nil"/>
              <w:bottom w:val="nil"/>
              <w:right w:val="nil"/>
            </w:tcBorders>
            <w:shd w:val="clear" w:color="auto" w:fill="auto"/>
            <w:noWrap/>
            <w:vAlign w:val="bottom"/>
            <w:hideMark/>
          </w:tcPr>
          <w:p w14:paraId="7F194C7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42</w:t>
            </w:r>
          </w:p>
        </w:tc>
        <w:tc>
          <w:tcPr>
            <w:tcW w:w="260" w:type="pct"/>
            <w:tcBorders>
              <w:top w:val="nil"/>
              <w:left w:val="nil"/>
              <w:bottom w:val="nil"/>
              <w:right w:val="nil"/>
            </w:tcBorders>
            <w:shd w:val="clear" w:color="auto" w:fill="auto"/>
            <w:noWrap/>
            <w:vAlign w:val="bottom"/>
            <w:hideMark/>
          </w:tcPr>
          <w:p w14:paraId="08976D0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22</w:t>
            </w:r>
          </w:p>
        </w:tc>
        <w:tc>
          <w:tcPr>
            <w:tcW w:w="260" w:type="pct"/>
            <w:tcBorders>
              <w:top w:val="nil"/>
              <w:left w:val="nil"/>
              <w:bottom w:val="nil"/>
              <w:right w:val="nil"/>
            </w:tcBorders>
            <w:shd w:val="clear" w:color="auto" w:fill="auto"/>
            <w:noWrap/>
            <w:vAlign w:val="bottom"/>
            <w:hideMark/>
          </w:tcPr>
          <w:p w14:paraId="343DE8A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w:t>
            </w:r>
          </w:p>
        </w:tc>
        <w:tc>
          <w:tcPr>
            <w:tcW w:w="260" w:type="pct"/>
            <w:tcBorders>
              <w:top w:val="nil"/>
              <w:left w:val="nil"/>
              <w:bottom w:val="nil"/>
              <w:right w:val="nil"/>
            </w:tcBorders>
            <w:shd w:val="clear" w:color="auto" w:fill="auto"/>
            <w:noWrap/>
            <w:vAlign w:val="bottom"/>
            <w:hideMark/>
          </w:tcPr>
          <w:p w14:paraId="4612287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w:t>
            </w:r>
          </w:p>
        </w:tc>
        <w:tc>
          <w:tcPr>
            <w:tcW w:w="260" w:type="pct"/>
            <w:tcBorders>
              <w:top w:val="nil"/>
              <w:left w:val="nil"/>
              <w:bottom w:val="nil"/>
              <w:right w:val="nil"/>
            </w:tcBorders>
            <w:shd w:val="clear" w:color="auto" w:fill="auto"/>
            <w:noWrap/>
            <w:vAlign w:val="bottom"/>
            <w:hideMark/>
          </w:tcPr>
          <w:p w14:paraId="41A7AEC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79</w:t>
            </w:r>
          </w:p>
        </w:tc>
        <w:tc>
          <w:tcPr>
            <w:tcW w:w="260" w:type="pct"/>
            <w:tcBorders>
              <w:top w:val="nil"/>
              <w:left w:val="nil"/>
              <w:bottom w:val="nil"/>
              <w:right w:val="nil"/>
            </w:tcBorders>
            <w:shd w:val="clear" w:color="auto" w:fill="auto"/>
            <w:noWrap/>
            <w:vAlign w:val="bottom"/>
            <w:hideMark/>
          </w:tcPr>
          <w:p w14:paraId="58E9F08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36</w:t>
            </w:r>
          </w:p>
        </w:tc>
        <w:tc>
          <w:tcPr>
            <w:tcW w:w="260" w:type="pct"/>
            <w:tcBorders>
              <w:top w:val="nil"/>
              <w:left w:val="nil"/>
              <w:bottom w:val="nil"/>
              <w:right w:val="nil"/>
            </w:tcBorders>
            <w:shd w:val="clear" w:color="auto" w:fill="auto"/>
            <w:noWrap/>
            <w:vAlign w:val="bottom"/>
            <w:hideMark/>
          </w:tcPr>
          <w:p w14:paraId="21BE114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3AA02F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38</w:t>
            </w:r>
          </w:p>
        </w:tc>
        <w:tc>
          <w:tcPr>
            <w:tcW w:w="260" w:type="pct"/>
            <w:tcBorders>
              <w:top w:val="nil"/>
              <w:left w:val="nil"/>
              <w:bottom w:val="nil"/>
              <w:right w:val="nil"/>
            </w:tcBorders>
            <w:shd w:val="clear" w:color="auto" w:fill="auto"/>
            <w:noWrap/>
            <w:vAlign w:val="bottom"/>
            <w:hideMark/>
          </w:tcPr>
          <w:p w14:paraId="7C40E20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73</w:t>
            </w:r>
          </w:p>
        </w:tc>
        <w:tc>
          <w:tcPr>
            <w:tcW w:w="260" w:type="pct"/>
            <w:tcBorders>
              <w:top w:val="nil"/>
              <w:left w:val="nil"/>
              <w:bottom w:val="nil"/>
              <w:right w:val="nil"/>
            </w:tcBorders>
            <w:shd w:val="clear" w:color="auto" w:fill="auto"/>
            <w:noWrap/>
            <w:vAlign w:val="bottom"/>
            <w:hideMark/>
          </w:tcPr>
          <w:p w14:paraId="602CCD2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w:t>
            </w:r>
          </w:p>
        </w:tc>
        <w:tc>
          <w:tcPr>
            <w:tcW w:w="260" w:type="pct"/>
            <w:tcBorders>
              <w:top w:val="nil"/>
              <w:left w:val="nil"/>
              <w:bottom w:val="nil"/>
              <w:right w:val="nil"/>
            </w:tcBorders>
            <w:shd w:val="clear" w:color="auto" w:fill="auto"/>
            <w:noWrap/>
            <w:vAlign w:val="bottom"/>
            <w:hideMark/>
          </w:tcPr>
          <w:p w14:paraId="31C77FD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365" w:type="pct"/>
            <w:tcBorders>
              <w:top w:val="nil"/>
              <w:left w:val="nil"/>
              <w:bottom w:val="nil"/>
              <w:right w:val="nil"/>
            </w:tcBorders>
            <w:shd w:val="clear" w:color="auto" w:fill="auto"/>
            <w:noWrap/>
            <w:vAlign w:val="bottom"/>
            <w:hideMark/>
          </w:tcPr>
          <w:p w14:paraId="4D7FAB0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398</w:t>
            </w:r>
          </w:p>
        </w:tc>
      </w:tr>
      <w:tr w:rsidR="00BE78EE" w:rsidRPr="00CB64DE" w14:paraId="081BA4E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8C3482D"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Lachnagrostis</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filiformis</w:t>
            </w:r>
            <w:proofErr w:type="spellEnd"/>
          </w:p>
        </w:tc>
        <w:tc>
          <w:tcPr>
            <w:tcW w:w="260" w:type="pct"/>
            <w:tcBorders>
              <w:top w:val="nil"/>
              <w:left w:val="nil"/>
              <w:bottom w:val="nil"/>
              <w:right w:val="nil"/>
            </w:tcBorders>
            <w:shd w:val="clear" w:color="auto" w:fill="auto"/>
            <w:noWrap/>
            <w:vAlign w:val="bottom"/>
            <w:hideMark/>
          </w:tcPr>
          <w:p w14:paraId="46B48F09"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7E017F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B038A4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1DCF78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510A3D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A69AED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364679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DE7A3C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A83473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950B43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81F9A7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F76CA2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B36606F"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601E5E7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29C0E72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792BE76"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Laphangium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luteoalbum</w:t>
            </w:r>
            <w:proofErr w:type="spellEnd"/>
          </w:p>
        </w:tc>
        <w:tc>
          <w:tcPr>
            <w:tcW w:w="260" w:type="pct"/>
            <w:tcBorders>
              <w:top w:val="nil"/>
              <w:left w:val="nil"/>
              <w:bottom w:val="nil"/>
              <w:right w:val="nil"/>
            </w:tcBorders>
            <w:shd w:val="clear" w:color="auto" w:fill="auto"/>
            <w:noWrap/>
            <w:vAlign w:val="bottom"/>
            <w:hideMark/>
          </w:tcPr>
          <w:p w14:paraId="43A18EB5"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7EC876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81439F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7B016D2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0C4A37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2BFFEA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A98E7C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70132A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400C8A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D1E409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CA0310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8869DE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F64B37C"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75466C9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r>
      <w:tr w:rsidR="00BE78EE" w:rsidRPr="00CB64DE" w14:paraId="4AE10127"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87168CF"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Lipocarpha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microcephala</w:t>
            </w:r>
            <w:proofErr w:type="spellEnd"/>
          </w:p>
        </w:tc>
        <w:tc>
          <w:tcPr>
            <w:tcW w:w="260" w:type="pct"/>
            <w:tcBorders>
              <w:top w:val="nil"/>
              <w:left w:val="nil"/>
              <w:bottom w:val="nil"/>
              <w:right w:val="nil"/>
            </w:tcBorders>
            <w:shd w:val="clear" w:color="auto" w:fill="auto"/>
            <w:noWrap/>
            <w:vAlign w:val="bottom"/>
            <w:hideMark/>
          </w:tcPr>
          <w:p w14:paraId="61CEC7A1"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4CD640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684042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1A096F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8CDA96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4E7A1B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533BB2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C9FA08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2DF5C2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DDFF61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3F10F6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1E99A1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29CA62B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5439DD0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439F8FC9"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4F60412"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Lolium </w:t>
            </w:r>
            <w:r w:rsidRPr="00C80F8D">
              <w:rPr>
                <w:rFonts w:eastAsia="Times New Roman" w:cs="Times New Roman"/>
                <w:color w:val="000000"/>
                <w:sz w:val="16"/>
                <w:szCs w:val="16"/>
                <w:lang w:eastAsia="en-AU"/>
              </w:rPr>
              <w:t>sp.1</w:t>
            </w:r>
          </w:p>
        </w:tc>
        <w:tc>
          <w:tcPr>
            <w:tcW w:w="260" w:type="pct"/>
            <w:tcBorders>
              <w:top w:val="nil"/>
              <w:left w:val="nil"/>
              <w:bottom w:val="nil"/>
              <w:right w:val="nil"/>
            </w:tcBorders>
            <w:shd w:val="clear" w:color="auto" w:fill="auto"/>
            <w:noWrap/>
            <w:vAlign w:val="bottom"/>
            <w:hideMark/>
          </w:tcPr>
          <w:p w14:paraId="5D06E447"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C706B6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FD5590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6C5899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38</w:t>
            </w:r>
          </w:p>
        </w:tc>
        <w:tc>
          <w:tcPr>
            <w:tcW w:w="260" w:type="pct"/>
            <w:tcBorders>
              <w:top w:val="nil"/>
              <w:left w:val="nil"/>
              <w:bottom w:val="nil"/>
              <w:right w:val="nil"/>
            </w:tcBorders>
            <w:shd w:val="clear" w:color="auto" w:fill="auto"/>
            <w:noWrap/>
            <w:vAlign w:val="bottom"/>
            <w:hideMark/>
          </w:tcPr>
          <w:p w14:paraId="033CE94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2CD5CA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B69083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76C9BF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CA7395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650129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8E58C4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943A22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2B0F056"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900ED6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38</w:t>
            </w:r>
          </w:p>
        </w:tc>
      </w:tr>
      <w:tr w:rsidR="00BE78EE" w:rsidRPr="00CB64DE" w14:paraId="7BC3BB2B"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B5BDAEC"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Lolium </w:t>
            </w:r>
            <w:r w:rsidRPr="00C80F8D">
              <w:rPr>
                <w:rFonts w:eastAsia="Times New Roman" w:cs="Times New Roman"/>
                <w:color w:val="000000"/>
                <w:sz w:val="16"/>
                <w:szCs w:val="16"/>
                <w:lang w:eastAsia="en-AU"/>
              </w:rPr>
              <w:t>spp</w:t>
            </w:r>
            <w:r w:rsidRPr="00C80F8D">
              <w:rPr>
                <w:rFonts w:eastAsia="Times New Roman" w:cs="Times New Roman"/>
                <w:i/>
                <w:iCs/>
                <w:color w:val="000000"/>
                <w:sz w:val="16"/>
                <w:szCs w:val="16"/>
                <w:lang w:eastAsia="en-AU"/>
              </w:rPr>
              <w:t>.</w:t>
            </w:r>
          </w:p>
        </w:tc>
        <w:tc>
          <w:tcPr>
            <w:tcW w:w="260" w:type="pct"/>
            <w:tcBorders>
              <w:top w:val="nil"/>
              <w:left w:val="nil"/>
              <w:bottom w:val="nil"/>
              <w:right w:val="nil"/>
            </w:tcBorders>
            <w:shd w:val="clear" w:color="auto" w:fill="auto"/>
            <w:noWrap/>
            <w:vAlign w:val="bottom"/>
            <w:hideMark/>
          </w:tcPr>
          <w:p w14:paraId="6DEA85D2"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91CAD5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C31E92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1CA1FC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23238B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BB67E0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30D993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BBB1E7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48C3BA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2DA5F8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E8E6A7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896730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EC8B030"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41BDB9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0FC8AD6A"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EF04ADF"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Ludwigia</w:t>
            </w:r>
            <w:proofErr w:type="spellEnd"/>
            <w:r w:rsidRPr="00C80F8D">
              <w:rPr>
                <w:rFonts w:eastAsia="Times New Roman" w:cs="Times New Roman"/>
                <w:i/>
                <w:iCs/>
                <w:color w:val="000000"/>
                <w:sz w:val="16"/>
                <w:szCs w:val="16"/>
                <w:lang w:eastAsia="en-AU"/>
              </w:rPr>
              <w:t xml:space="preserve"> palustris</w:t>
            </w:r>
          </w:p>
        </w:tc>
        <w:tc>
          <w:tcPr>
            <w:tcW w:w="260" w:type="pct"/>
            <w:tcBorders>
              <w:top w:val="nil"/>
              <w:left w:val="nil"/>
              <w:bottom w:val="nil"/>
              <w:right w:val="nil"/>
            </w:tcBorders>
            <w:shd w:val="clear" w:color="auto" w:fill="auto"/>
            <w:noWrap/>
            <w:vAlign w:val="bottom"/>
            <w:hideMark/>
          </w:tcPr>
          <w:p w14:paraId="0375165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DE7E75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77</w:t>
            </w:r>
          </w:p>
        </w:tc>
        <w:tc>
          <w:tcPr>
            <w:tcW w:w="260" w:type="pct"/>
            <w:tcBorders>
              <w:top w:val="nil"/>
              <w:left w:val="nil"/>
              <w:bottom w:val="nil"/>
              <w:right w:val="nil"/>
            </w:tcBorders>
            <w:shd w:val="clear" w:color="auto" w:fill="auto"/>
            <w:noWrap/>
            <w:vAlign w:val="bottom"/>
            <w:hideMark/>
          </w:tcPr>
          <w:p w14:paraId="04A2001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w:t>
            </w:r>
          </w:p>
        </w:tc>
        <w:tc>
          <w:tcPr>
            <w:tcW w:w="260" w:type="pct"/>
            <w:tcBorders>
              <w:top w:val="nil"/>
              <w:left w:val="nil"/>
              <w:bottom w:val="nil"/>
              <w:right w:val="nil"/>
            </w:tcBorders>
            <w:shd w:val="clear" w:color="auto" w:fill="auto"/>
            <w:noWrap/>
            <w:vAlign w:val="bottom"/>
            <w:hideMark/>
          </w:tcPr>
          <w:p w14:paraId="55EA614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BA1A77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23A3856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341D18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F11083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B74A80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55E048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2E0AB0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00EDCE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53C5E56"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77FBBE8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89</w:t>
            </w:r>
          </w:p>
        </w:tc>
      </w:tr>
      <w:tr w:rsidR="00BE78EE" w:rsidRPr="00CB64DE" w14:paraId="6E0DEC8A"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0B17EDF"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Lythrum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hyssopifolia</w:t>
            </w:r>
            <w:proofErr w:type="spellEnd"/>
          </w:p>
        </w:tc>
        <w:tc>
          <w:tcPr>
            <w:tcW w:w="260" w:type="pct"/>
            <w:tcBorders>
              <w:top w:val="nil"/>
              <w:left w:val="nil"/>
              <w:bottom w:val="nil"/>
              <w:right w:val="nil"/>
            </w:tcBorders>
            <w:shd w:val="clear" w:color="auto" w:fill="auto"/>
            <w:noWrap/>
            <w:vAlign w:val="bottom"/>
            <w:hideMark/>
          </w:tcPr>
          <w:p w14:paraId="545CEFCD"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C686D8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D3FB18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F89A8A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F182C7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D6EBF9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CB93FC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9D07E0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E807A8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1E8B9A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826E8C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7BCDB1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32E793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365" w:type="pct"/>
            <w:tcBorders>
              <w:top w:val="nil"/>
              <w:left w:val="nil"/>
              <w:bottom w:val="nil"/>
              <w:right w:val="nil"/>
            </w:tcBorders>
            <w:shd w:val="clear" w:color="auto" w:fill="auto"/>
            <w:noWrap/>
            <w:vAlign w:val="bottom"/>
            <w:hideMark/>
          </w:tcPr>
          <w:p w14:paraId="68ED2E1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5DF14A02"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7384F37"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Lythrum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salicaria</w:t>
            </w:r>
            <w:proofErr w:type="spellEnd"/>
          </w:p>
        </w:tc>
        <w:tc>
          <w:tcPr>
            <w:tcW w:w="260" w:type="pct"/>
            <w:tcBorders>
              <w:top w:val="nil"/>
              <w:left w:val="nil"/>
              <w:bottom w:val="nil"/>
              <w:right w:val="nil"/>
            </w:tcBorders>
            <w:shd w:val="clear" w:color="auto" w:fill="auto"/>
            <w:noWrap/>
            <w:vAlign w:val="bottom"/>
            <w:hideMark/>
          </w:tcPr>
          <w:p w14:paraId="3643A5CE"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C3CABD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260" w:type="pct"/>
            <w:tcBorders>
              <w:top w:val="nil"/>
              <w:left w:val="nil"/>
              <w:bottom w:val="nil"/>
              <w:right w:val="nil"/>
            </w:tcBorders>
            <w:shd w:val="clear" w:color="auto" w:fill="auto"/>
            <w:noWrap/>
            <w:vAlign w:val="bottom"/>
            <w:hideMark/>
          </w:tcPr>
          <w:p w14:paraId="1E997FC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1C77D8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D27C9D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A77D5A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24BC17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F4966E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6DFE0EC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68AA89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073564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3C24B1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FC8AFDC"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510F95C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w:t>
            </w:r>
          </w:p>
        </w:tc>
      </w:tr>
      <w:tr w:rsidR="00BE78EE" w:rsidRPr="00CB64DE" w14:paraId="0CB2AD56"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CB10559"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Mollugo</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verticillata</w:t>
            </w:r>
            <w:proofErr w:type="spellEnd"/>
          </w:p>
        </w:tc>
        <w:tc>
          <w:tcPr>
            <w:tcW w:w="260" w:type="pct"/>
            <w:tcBorders>
              <w:top w:val="nil"/>
              <w:left w:val="nil"/>
              <w:bottom w:val="nil"/>
              <w:right w:val="nil"/>
            </w:tcBorders>
            <w:shd w:val="clear" w:color="auto" w:fill="auto"/>
            <w:noWrap/>
            <w:vAlign w:val="bottom"/>
            <w:hideMark/>
          </w:tcPr>
          <w:p w14:paraId="7E26D9E8"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3828A6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320535D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CF036F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678F60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1984082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93A435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B366C1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1DEC37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9FE97A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170BFA0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418460D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E83368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5AD0860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16</w:t>
            </w:r>
          </w:p>
        </w:tc>
      </w:tr>
      <w:tr w:rsidR="00BE78EE" w:rsidRPr="00CB64DE" w14:paraId="058472AA"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DB07A3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Oxalis </w:t>
            </w:r>
            <w:proofErr w:type="spellStart"/>
            <w:r w:rsidRPr="00C80F8D">
              <w:rPr>
                <w:rFonts w:eastAsia="Times New Roman" w:cs="Times New Roman"/>
                <w:i/>
                <w:iCs/>
                <w:color w:val="000000"/>
                <w:sz w:val="16"/>
                <w:szCs w:val="16"/>
                <w:lang w:eastAsia="en-AU"/>
              </w:rPr>
              <w:t>perennans</w:t>
            </w:r>
            <w:proofErr w:type="spellEnd"/>
          </w:p>
        </w:tc>
        <w:tc>
          <w:tcPr>
            <w:tcW w:w="260" w:type="pct"/>
            <w:tcBorders>
              <w:top w:val="nil"/>
              <w:left w:val="nil"/>
              <w:bottom w:val="nil"/>
              <w:right w:val="nil"/>
            </w:tcBorders>
            <w:shd w:val="clear" w:color="auto" w:fill="auto"/>
            <w:noWrap/>
            <w:vAlign w:val="bottom"/>
            <w:hideMark/>
          </w:tcPr>
          <w:p w14:paraId="364D2569"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8A1050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44B069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D48539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ABB194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06C486D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C75B0B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A09F2D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3AB5F41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161722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265995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EB9520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68D0786"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5B667AD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w:t>
            </w:r>
          </w:p>
        </w:tc>
      </w:tr>
      <w:tr w:rsidR="00BE78EE" w:rsidRPr="00CB64DE" w14:paraId="3799D3B6"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452F995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Panicum </w:t>
            </w:r>
            <w:proofErr w:type="spellStart"/>
            <w:r w:rsidRPr="00C80F8D">
              <w:rPr>
                <w:rFonts w:eastAsia="Times New Roman" w:cs="Times New Roman"/>
                <w:i/>
                <w:iCs/>
                <w:color w:val="000000"/>
                <w:sz w:val="16"/>
                <w:szCs w:val="16"/>
                <w:lang w:eastAsia="en-AU"/>
              </w:rPr>
              <w:t>coloratum</w:t>
            </w:r>
            <w:proofErr w:type="spellEnd"/>
          </w:p>
        </w:tc>
        <w:tc>
          <w:tcPr>
            <w:tcW w:w="260" w:type="pct"/>
            <w:tcBorders>
              <w:top w:val="nil"/>
              <w:left w:val="nil"/>
              <w:bottom w:val="nil"/>
              <w:right w:val="nil"/>
            </w:tcBorders>
            <w:shd w:val="clear" w:color="auto" w:fill="auto"/>
            <w:noWrap/>
            <w:vAlign w:val="bottom"/>
            <w:hideMark/>
          </w:tcPr>
          <w:p w14:paraId="4E1A26D9"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C512BE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10ED57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11F790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F7258E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70CA916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263A032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c>
          <w:tcPr>
            <w:tcW w:w="260" w:type="pct"/>
            <w:tcBorders>
              <w:top w:val="nil"/>
              <w:left w:val="nil"/>
              <w:bottom w:val="nil"/>
              <w:right w:val="nil"/>
            </w:tcBorders>
            <w:shd w:val="clear" w:color="auto" w:fill="auto"/>
            <w:noWrap/>
            <w:vAlign w:val="bottom"/>
            <w:hideMark/>
          </w:tcPr>
          <w:p w14:paraId="1A98A38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w:t>
            </w:r>
          </w:p>
        </w:tc>
        <w:tc>
          <w:tcPr>
            <w:tcW w:w="260" w:type="pct"/>
            <w:tcBorders>
              <w:top w:val="nil"/>
              <w:left w:val="nil"/>
              <w:bottom w:val="nil"/>
              <w:right w:val="nil"/>
            </w:tcBorders>
            <w:shd w:val="clear" w:color="auto" w:fill="auto"/>
            <w:noWrap/>
            <w:vAlign w:val="bottom"/>
            <w:hideMark/>
          </w:tcPr>
          <w:p w14:paraId="6CC52A4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2F4029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61547F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3977473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2FF308E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19AA5C0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29</w:t>
            </w:r>
          </w:p>
        </w:tc>
      </w:tr>
      <w:tr w:rsidR="00BE78EE" w:rsidRPr="00CB64DE" w14:paraId="5BA2CFE4"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35BAC0F"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Paspalidium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jubiflorum</w:t>
            </w:r>
            <w:proofErr w:type="spellEnd"/>
          </w:p>
        </w:tc>
        <w:tc>
          <w:tcPr>
            <w:tcW w:w="260" w:type="pct"/>
            <w:tcBorders>
              <w:top w:val="nil"/>
              <w:left w:val="nil"/>
              <w:bottom w:val="nil"/>
              <w:right w:val="nil"/>
            </w:tcBorders>
            <w:shd w:val="clear" w:color="auto" w:fill="auto"/>
            <w:noWrap/>
            <w:vAlign w:val="bottom"/>
            <w:hideMark/>
          </w:tcPr>
          <w:p w14:paraId="0EE4851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45</w:t>
            </w:r>
          </w:p>
        </w:tc>
        <w:tc>
          <w:tcPr>
            <w:tcW w:w="260" w:type="pct"/>
            <w:tcBorders>
              <w:top w:val="nil"/>
              <w:left w:val="nil"/>
              <w:bottom w:val="nil"/>
              <w:right w:val="nil"/>
            </w:tcBorders>
            <w:shd w:val="clear" w:color="auto" w:fill="auto"/>
            <w:noWrap/>
            <w:vAlign w:val="bottom"/>
            <w:hideMark/>
          </w:tcPr>
          <w:p w14:paraId="6FD3257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2520D9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0E04A5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67901E4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EE6789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AADEB5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D29327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081768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1AD634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3C657C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B228E5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7BA7A2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365" w:type="pct"/>
            <w:tcBorders>
              <w:top w:val="nil"/>
              <w:left w:val="nil"/>
              <w:bottom w:val="nil"/>
              <w:right w:val="nil"/>
            </w:tcBorders>
            <w:shd w:val="clear" w:color="auto" w:fill="auto"/>
            <w:noWrap/>
            <w:vAlign w:val="bottom"/>
            <w:hideMark/>
          </w:tcPr>
          <w:p w14:paraId="27ED74B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53</w:t>
            </w:r>
          </w:p>
        </w:tc>
      </w:tr>
      <w:tr w:rsidR="00BE78EE" w:rsidRPr="00CB64DE" w14:paraId="0C3D2AB1"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00E4801"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Persicaria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decipiens</w:t>
            </w:r>
            <w:proofErr w:type="spellEnd"/>
          </w:p>
        </w:tc>
        <w:tc>
          <w:tcPr>
            <w:tcW w:w="260" w:type="pct"/>
            <w:tcBorders>
              <w:top w:val="nil"/>
              <w:left w:val="nil"/>
              <w:bottom w:val="nil"/>
              <w:right w:val="nil"/>
            </w:tcBorders>
            <w:shd w:val="clear" w:color="auto" w:fill="auto"/>
            <w:noWrap/>
            <w:vAlign w:val="bottom"/>
            <w:hideMark/>
          </w:tcPr>
          <w:p w14:paraId="0EED109A"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7A2AD4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6DF362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C2CF4B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3B60BF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9F6E99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06B0E6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61578F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0CF526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C98569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B3EA24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CE4DD0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2FF4D54"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67463A7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1B182903"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19B84C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Persicaria</w:t>
            </w:r>
            <w:proofErr w:type="spellEnd"/>
            <w:r w:rsidRPr="00C80F8D">
              <w:rPr>
                <w:rFonts w:eastAsia="Times New Roman" w:cs="Times New Roman"/>
                <w:i/>
                <w:iCs/>
                <w:color w:val="000000"/>
                <w:sz w:val="16"/>
                <w:szCs w:val="16"/>
                <w:lang w:eastAsia="en-AU"/>
              </w:rPr>
              <w:t xml:space="preserve"> hydropiper</w:t>
            </w:r>
          </w:p>
        </w:tc>
        <w:tc>
          <w:tcPr>
            <w:tcW w:w="260" w:type="pct"/>
            <w:tcBorders>
              <w:top w:val="nil"/>
              <w:left w:val="nil"/>
              <w:bottom w:val="nil"/>
              <w:right w:val="nil"/>
            </w:tcBorders>
            <w:shd w:val="clear" w:color="auto" w:fill="auto"/>
            <w:noWrap/>
            <w:vAlign w:val="bottom"/>
            <w:hideMark/>
          </w:tcPr>
          <w:p w14:paraId="6641437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37</w:t>
            </w:r>
          </w:p>
        </w:tc>
        <w:tc>
          <w:tcPr>
            <w:tcW w:w="260" w:type="pct"/>
            <w:tcBorders>
              <w:top w:val="nil"/>
              <w:left w:val="nil"/>
              <w:bottom w:val="nil"/>
              <w:right w:val="nil"/>
            </w:tcBorders>
            <w:shd w:val="clear" w:color="auto" w:fill="auto"/>
            <w:noWrap/>
            <w:vAlign w:val="bottom"/>
            <w:hideMark/>
          </w:tcPr>
          <w:p w14:paraId="70C549F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BB4B6D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32</w:t>
            </w:r>
          </w:p>
        </w:tc>
        <w:tc>
          <w:tcPr>
            <w:tcW w:w="260" w:type="pct"/>
            <w:tcBorders>
              <w:top w:val="nil"/>
              <w:left w:val="nil"/>
              <w:bottom w:val="nil"/>
              <w:right w:val="nil"/>
            </w:tcBorders>
            <w:shd w:val="clear" w:color="auto" w:fill="auto"/>
            <w:noWrap/>
            <w:vAlign w:val="bottom"/>
            <w:hideMark/>
          </w:tcPr>
          <w:p w14:paraId="3ED6617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1650D0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CB0E13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8BCCC8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DFE3C5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D5CC5E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B20AD3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FA12A3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4DC30C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49</w:t>
            </w:r>
          </w:p>
        </w:tc>
        <w:tc>
          <w:tcPr>
            <w:tcW w:w="260" w:type="pct"/>
            <w:tcBorders>
              <w:top w:val="nil"/>
              <w:left w:val="nil"/>
              <w:bottom w:val="nil"/>
              <w:right w:val="nil"/>
            </w:tcBorders>
            <w:shd w:val="clear" w:color="auto" w:fill="auto"/>
            <w:noWrap/>
            <w:vAlign w:val="bottom"/>
            <w:hideMark/>
          </w:tcPr>
          <w:p w14:paraId="7E491F9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365" w:type="pct"/>
            <w:tcBorders>
              <w:top w:val="nil"/>
              <w:left w:val="nil"/>
              <w:bottom w:val="nil"/>
              <w:right w:val="nil"/>
            </w:tcBorders>
            <w:shd w:val="clear" w:color="auto" w:fill="auto"/>
            <w:noWrap/>
            <w:vAlign w:val="bottom"/>
            <w:hideMark/>
          </w:tcPr>
          <w:p w14:paraId="564E762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119</w:t>
            </w:r>
          </w:p>
        </w:tc>
      </w:tr>
      <w:tr w:rsidR="00BE78EE" w:rsidRPr="00CB64DE" w14:paraId="7EEC3B54"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8EA2652"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Persicaria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lapathifolia</w:t>
            </w:r>
            <w:proofErr w:type="spellEnd"/>
          </w:p>
        </w:tc>
        <w:tc>
          <w:tcPr>
            <w:tcW w:w="260" w:type="pct"/>
            <w:tcBorders>
              <w:top w:val="nil"/>
              <w:left w:val="nil"/>
              <w:bottom w:val="nil"/>
              <w:right w:val="nil"/>
            </w:tcBorders>
            <w:shd w:val="clear" w:color="auto" w:fill="auto"/>
            <w:noWrap/>
            <w:vAlign w:val="bottom"/>
            <w:hideMark/>
          </w:tcPr>
          <w:p w14:paraId="19CCBD2E"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E8259B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185</w:t>
            </w:r>
          </w:p>
        </w:tc>
        <w:tc>
          <w:tcPr>
            <w:tcW w:w="260" w:type="pct"/>
            <w:tcBorders>
              <w:top w:val="nil"/>
              <w:left w:val="nil"/>
              <w:bottom w:val="nil"/>
              <w:right w:val="nil"/>
            </w:tcBorders>
            <w:shd w:val="clear" w:color="auto" w:fill="auto"/>
            <w:noWrap/>
            <w:vAlign w:val="bottom"/>
            <w:hideMark/>
          </w:tcPr>
          <w:p w14:paraId="49B795D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2FB6DC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2B073D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658F08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D1104D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0F3D87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5C3383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D4FCB8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93ED8B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B0D084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E0341D2"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7E00C75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185</w:t>
            </w:r>
          </w:p>
        </w:tc>
      </w:tr>
      <w:tr w:rsidR="00BE78EE" w:rsidRPr="00CB64DE" w14:paraId="6526D469"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47AD06EB"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Persicaria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prostrata</w:t>
            </w:r>
            <w:proofErr w:type="spellEnd"/>
          </w:p>
        </w:tc>
        <w:tc>
          <w:tcPr>
            <w:tcW w:w="260" w:type="pct"/>
            <w:tcBorders>
              <w:top w:val="nil"/>
              <w:left w:val="nil"/>
              <w:bottom w:val="nil"/>
              <w:right w:val="nil"/>
            </w:tcBorders>
            <w:shd w:val="clear" w:color="auto" w:fill="auto"/>
            <w:noWrap/>
            <w:vAlign w:val="bottom"/>
            <w:hideMark/>
          </w:tcPr>
          <w:p w14:paraId="53EF3385"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A98607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2B9855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23CC80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25</w:t>
            </w:r>
          </w:p>
        </w:tc>
        <w:tc>
          <w:tcPr>
            <w:tcW w:w="260" w:type="pct"/>
            <w:tcBorders>
              <w:top w:val="nil"/>
              <w:left w:val="nil"/>
              <w:bottom w:val="nil"/>
              <w:right w:val="nil"/>
            </w:tcBorders>
            <w:shd w:val="clear" w:color="auto" w:fill="auto"/>
            <w:noWrap/>
            <w:vAlign w:val="bottom"/>
            <w:hideMark/>
          </w:tcPr>
          <w:p w14:paraId="70D2663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52A85C9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FF5138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260" w:type="pct"/>
            <w:tcBorders>
              <w:top w:val="nil"/>
              <w:left w:val="nil"/>
              <w:bottom w:val="nil"/>
              <w:right w:val="nil"/>
            </w:tcBorders>
            <w:shd w:val="clear" w:color="auto" w:fill="auto"/>
            <w:noWrap/>
            <w:vAlign w:val="bottom"/>
            <w:hideMark/>
          </w:tcPr>
          <w:p w14:paraId="17F9FF0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CB8733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B2A265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B0D5AD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w:t>
            </w:r>
          </w:p>
        </w:tc>
        <w:tc>
          <w:tcPr>
            <w:tcW w:w="260" w:type="pct"/>
            <w:tcBorders>
              <w:top w:val="nil"/>
              <w:left w:val="nil"/>
              <w:bottom w:val="nil"/>
              <w:right w:val="nil"/>
            </w:tcBorders>
            <w:shd w:val="clear" w:color="auto" w:fill="auto"/>
            <w:noWrap/>
            <w:vAlign w:val="bottom"/>
            <w:hideMark/>
          </w:tcPr>
          <w:p w14:paraId="6A6249A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7B0BFA5"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32B5025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50</w:t>
            </w:r>
          </w:p>
        </w:tc>
      </w:tr>
      <w:tr w:rsidR="00BE78EE" w:rsidRPr="00CB64DE" w14:paraId="4F62877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DAFAB12"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Poa </w:t>
            </w:r>
            <w:proofErr w:type="spellStart"/>
            <w:r w:rsidRPr="00C80F8D">
              <w:rPr>
                <w:rFonts w:eastAsia="Times New Roman" w:cs="Times New Roman"/>
                <w:i/>
                <w:iCs/>
                <w:color w:val="000000"/>
                <w:sz w:val="16"/>
                <w:szCs w:val="16"/>
                <w:lang w:eastAsia="en-AU"/>
              </w:rPr>
              <w:t>labillardierei</w:t>
            </w:r>
            <w:proofErr w:type="spellEnd"/>
          </w:p>
        </w:tc>
        <w:tc>
          <w:tcPr>
            <w:tcW w:w="260" w:type="pct"/>
            <w:tcBorders>
              <w:top w:val="nil"/>
              <w:left w:val="nil"/>
              <w:bottom w:val="nil"/>
              <w:right w:val="nil"/>
            </w:tcBorders>
            <w:shd w:val="clear" w:color="auto" w:fill="auto"/>
            <w:noWrap/>
            <w:vAlign w:val="bottom"/>
            <w:hideMark/>
          </w:tcPr>
          <w:p w14:paraId="77428CBB"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F1DCEC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5938BD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868196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CA493D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0C9454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4736CE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B2628B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1F5014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F3E998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F945AE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9705D2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6B2B06F"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1027513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7772C0E0"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1F49337"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Polygonum </w:t>
            </w:r>
            <w:proofErr w:type="spellStart"/>
            <w:r w:rsidRPr="00C80F8D">
              <w:rPr>
                <w:rFonts w:eastAsia="Times New Roman" w:cs="Times New Roman"/>
                <w:i/>
                <w:iCs/>
                <w:color w:val="000000"/>
                <w:sz w:val="16"/>
                <w:szCs w:val="16"/>
                <w:lang w:eastAsia="en-AU"/>
              </w:rPr>
              <w:t>aviculare</w:t>
            </w:r>
            <w:proofErr w:type="spellEnd"/>
          </w:p>
        </w:tc>
        <w:tc>
          <w:tcPr>
            <w:tcW w:w="260" w:type="pct"/>
            <w:tcBorders>
              <w:top w:val="nil"/>
              <w:left w:val="nil"/>
              <w:bottom w:val="nil"/>
              <w:right w:val="nil"/>
            </w:tcBorders>
            <w:shd w:val="clear" w:color="auto" w:fill="auto"/>
            <w:noWrap/>
            <w:vAlign w:val="bottom"/>
            <w:hideMark/>
          </w:tcPr>
          <w:p w14:paraId="6EC05F6C"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519A62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407D9A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C35609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6C8406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B5C63D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26E616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F9B9EC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026595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A3EF2F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BFADD3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204925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46E0E6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365" w:type="pct"/>
            <w:tcBorders>
              <w:top w:val="nil"/>
              <w:left w:val="nil"/>
              <w:bottom w:val="nil"/>
              <w:right w:val="nil"/>
            </w:tcBorders>
            <w:shd w:val="clear" w:color="auto" w:fill="auto"/>
            <w:noWrap/>
            <w:vAlign w:val="bottom"/>
            <w:hideMark/>
          </w:tcPr>
          <w:p w14:paraId="4D2AA11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r>
      <w:tr w:rsidR="00BE78EE" w:rsidRPr="00CB64DE" w14:paraId="7AD85FF2"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85E4332"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lastRenderedPageBreak/>
              <w:t>Rorippa</w:t>
            </w:r>
            <w:proofErr w:type="spellEnd"/>
            <w:r w:rsidRPr="00C80F8D">
              <w:rPr>
                <w:rFonts w:eastAsia="Times New Roman" w:cs="Times New Roman"/>
                <w:i/>
                <w:iCs/>
                <w:color w:val="000000"/>
                <w:sz w:val="16"/>
                <w:szCs w:val="16"/>
                <w:lang w:eastAsia="en-AU"/>
              </w:rPr>
              <w:t xml:space="preserve"> gigantea</w:t>
            </w:r>
          </w:p>
        </w:tc>
        <w:tc>
          <w:tcPr>
            <w:tcW w:w="260" w:type="pct"/>
            <w:tcBorders>
              <w:top w:val="nil"/>
              <w:left w:val="nil"/>
              <w:bottom w:val="nil"/>
              <w:right w:val="nil"/>
            </w:tcBorders>
            <w:shd w:val="clear" w:color="auto" w:fill="auto"/>
            <w:noWrap/>
            <w:vAlign w:val="bottom"/>
            <w:hideMark/>
          </w:tcPr>
          <w:p w14:paraId="23448558"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6BC52F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1C6B67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F523DE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11CD45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A0B64F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22C997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408463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C7B947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BFB47D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1FFB5D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9EF851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4D1C5F6"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7EA4297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0C964AC9"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9E5C850"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Rorippa</w:t>
            </w:r>
            <w:proofErr w:type="spellEnd"/>
            <w:r w:rsidRPr="00C80F8D">
              <w:rPr>
                <w:rFonts w:eastAsia="Times New Roman" w:cs="Times New Roman"/>
                <w:i/>
                <w:iCs/>
                <w:color w:val="000000"/>
                <w:sz w:val="16"/>
                <w:szCs w:val="16"/>
                <w:lang w:eastAsia="en-AU"/>
              </w:rPr>
              <w:t xml:space="preserve"> palustris</w:t>
            </w:r>
          </w:p>
        </w:tc>
        <w:tc>
          <w:tcPr>
            <w:tcW w:w="260" w:type="pct"/>
            <w:tcBorders>
              <w:top w:val="nil"/>
              <w:left w:val="nil"/>
              <w:bottom w:val="nil"/>
              <w:right w:val="nil"/>
            </w:tcBorders>
            <w:shd w:val="clear" w:color="auto" w:fill="auto"/>
            <w:noWrap/>
            <w:vAlign w:val="bottom"/>
            <w:hideMark/>
          </w:tcPr>
          <w:p w14:paraId="5F42999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190A878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43FEFC5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2822B64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6B859A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9541F8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2B4B53C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3DA580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6A70EB9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90B369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E3AB2F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CF0CC0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CD10782"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3A19D89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13</w:t>
            </w:r>
          </w:p>
        </w:tc>
      </w:tr>
      <w:tr w:rsidR="00BE78EE" w:rsidRPr="00CB64DE" w14:paraId="10C85354"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CBFAA27"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Symphyotrichum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subulatum</w:t>
            </w:r>
            <w:proofErr w:type="spellEnd"/>
          </w:p>
        </w:tc>
        <w:tc>
          <w:tcPr>
            <w:tcW w:w="260" w:type="pct"/>
            <w:tcBorders>
              <w:top w:val="nil"/>
              <w:left w:val="nil"/>
              <w:bottom w:val="nil"/>
              <w:right w:val="nil"/>
            </w:tcBorders>
            <w:shd w:val="clear" w:color="auto" w:fill="auto"/>
            <w:noWrap/>
            <w:vAlign w:val="bottom"/>
            <w:hideMark/>
          </w:tcPr>
          <w:p w14:paraId="5FEF8FA7"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466F2A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w:t>
            </w:r>
          </w:p>
        </w:tc>
        <w:tc>
          <w:tcPr>
            <w:tcW w:w="260" w:type="pct"/>
            <w:tcBorders>
              <w:top w:val="nil"/>
              <w:left w:val="nil"/>
              <w:bottom w:val="nil"/>
              <w:right w:val="nil"/>
            </w:tcBorders>
            <w:shd w:val="clear" w:color="auto" w:fill="auto"/>
            <w:noWrap/>
            <w:vAlign w:val="bottom"/>
            <w:hideMark/>
          </w:tcPr>
          <w:p w14:paraId="7C78BE1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F21AA7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0995419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E01233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CB05F5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545E06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4BE7C7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AB927F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C3FD11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4744C0A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39EF4EC"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7426D50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w:t>
            </w:r>
          </w:p>
        </w:tc>
      </w:tr>
      <w:tr w:rsidR="00BE78EE" w:rsidRPr="00CB64DE" w14:paraId="080525E9"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0317DE0"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Wahlenbergia</w:t>
            </w:r>
            <w:proofErr w:type="spellEnd"/>
            <w:r w:rsidRPr="00C80F8D">
              <w:rPr>
                <w:rFonts w:eastAsia="Times New Roman" w:cs="Times New Roman"/>
                <w:i/>
                <w:iCs/>
                <w:color w:val="000000"/>
                <w:sz w:val="16"/>
                <w:szCs w:val="16"/>
                <w:lang w:eastAsia="en-AU"/>
              </w:rPr>
              <w:t xml:space="preserve"> </w:t>
            </w:r>
            <w:r w:rsidRPr="00C80F8D">
              <w:rPr>
                <w:rFonts w:eastAsia="Times New Roman" w:cs="Times New Roman"/>
                <w:color w:val="000000"/>
                <w:sz w:val="16"/>
                <w:szCs w:val="16"/>
                <w:lang w:eastAsia="en-AU"/>
              </w:rPr>
              <w:t>spp</w:t>
            </w:r>
            <w:r w:rsidRPr="00C80F8D">
              <w:rPr>
                <w:rFonts w:eastAsia="Times New Roman" w:cs="Times New Roman"/>
                <w:i/>
                <w:iCs/>
                <w:color w:val="000000"/>
                <w:sz w:val="16"/>
                <w:szCs w:val="16"/>
                <w:lang w:eastAsia="en-AU"/>
              </w:rPr>
              <w:t>.</w:t>
            </w:r>
          </w:p>
        </w:tc>
        <w:tc>
          <w:tcPr>
            <w:tcW w:w="260" w:type="pct"/>
            <w:tcBorders>
              <w:top w:val="nil"/>
              <w:left w:val="nil"/>
              <w:bottom w:val="nil"/>
              <w:right w:val="nil"/>
            </w:tcBorders>
            <w:shd w:val="clear" w:color="auto" w:fill="auto"/>
            <w:noWrap/>
            <w:vAlign w:val="bottom"/>
            <w:hideMark/>
          </w:tcPr>
          <w:p w14:paraId="35B6FBB4"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7E2EFA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810832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C85475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00DAC7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79E3A5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C3188D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135B175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289B34D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5477DA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2ABCC6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13CC69E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406788B"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74B1F8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13</w:t>
            </w:r>
          </w:p>
        </w:tc>
      </w:tr>
      <w:tr w:rsidR="00BE78EE" w:rsidRPr="00CB64DE" w14:paraId="36B86978" w14:textId="77777777" w:rsidTr="00F768CB">
        <w:trPr>
          <w:trHeight w:val="300"/>
          <w:jc w:val="center"/>
        </w:trPr>
        <w:tc>
          <w:tcPr>
            <w:tcW w:w="1255" w:type="pct"/>
            <w:tcBorders>
              <w:top w:val="nil"/>
              <w:left w:val="nil"/>
              <w:right w:val="nil"/>
            </w:tcBorders>
            <w:shd w:val="clear" w:color="auto" w:fill="auto"/>
            <w:noWrap/>
            <w:vAlign w:val="bottom"/>
            <w:hideMark/>
          </w:tcPr>
          <w:p w14:paraId="488C0109" w14:textId="77777777" w:rsidR="00BE78EE" w:rsidRPr="00CB64DE" w:rsidRDefault="00BE78EE" w:rsidP="00E26D3C">
            <w:pPr>
              <w:spacing w:after="0" w:line="240" w:lineRule="auto"/>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R6</w:t>
            </w:r>
          </w:p>
        </w:tc>
        <w:tc>
          <w:tcPr>
            <w:tcW w:w="260" w:type="pct"/>
            <w:tcBorders>
              <w:top w:val="nil"/>
              <w:left w:val="nil"/>
              <w:right w:val="nil"/>
            </w:tcBorders>
            <w:shd w:val="clear" w:color="auto" w:fill="auto"/>
            <w:noWrap/>
            <w:vAlign w:val="bottom"/>
          </w:tcPr>
          <w:p w14:paraId="3E10823F"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1A618BC6"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2B3BD916"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3203F6A3"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5D19964B"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39A7953C"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6D14FE67"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5970ACED"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52A6F582"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6A256E44"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39041213"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6C3647E7"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7971636C"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365" w:type="pct"/>
            <w:tcBorders>
              <w:top w:val="nil"/>
              <w:left w:val="nil"/>
              <w:right w:val="nil"/>
            </w:tcBorders>
            <w:shd w:val="clear" w:color="auto" w:fill="auto"/>
            <w:noWrap/>
            <w:vAlign w:val="bottom"/>
          </w:tcPr>
          <w:p w14:paraId="0E0025D7"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r>
      <w:tr w:rsidR="00BE78EE" w:rsidRPr="00CB64DE" w14:paraId="012CF5AF"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BB2FB8E"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Acacia dealbata</w:t>
            </w:r>
          </w:p>
        </w:tc>
        <w:tc>
          <w:tcPr>
            <w:tcW w:w="260" w:type="pct"/>
            <w:tcBorders>
              <w:top w:val="nil"/>
              <w:left w:val="nil"/>
              <w:bottom w:val="nil"/>
              <w:right w:val="nil"/>
            </w:tcBorders>
            <w:shd w:val="clear" w:color="auto" w:fill="auto"/>
            <w:noWrap/>
            <w:vAlign w:val="bottom"/>
            <w:hideMark/>
          </w:tcPr>
          <w:p w14:paraId="7C69640E"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230556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3488AC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1020AE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66A1D3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FF0594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29E6B9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2913A9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880C2E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EC26D9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3F3FB5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1FF557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B7E63B6"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6AC420D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5286C41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4D9EDC0"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Alternanthera </w:t>
            </w:r>
            <w:proofErr w:type="spellStart"/>
            <w:r w:rsidRPr="00C80F8D">
              <w:rPr>
                <w:rFonts w:eastAsia="Times New Roman" w:cs="Times New Roman"/>
                <w:i/>
                <w:iCs/>
                <w:color w:val="000000"/>
                <w:sz w:val="16"/>
                <w:szCs w:val="16"/>
                <w:lang w:eastAsia="en-AU"/>
              </w:rPr>
              <w:t>denticulata</w:t>
            </w:r>
            <w:proofErr w:type="spellEnd"/>
          </w:p>
        </w:tc>
        <w:tc>
          <w:tcPr>
            <w:tcW w:w="260" w:type="pct"/>
            <w:tcBorders>
              <w:top w:val="nil"/>
              <w:left w:val="nil"/>
              <w:bottom w:val="nil"/>
              <w:right w:val="nil"/>
            </w:tcBorders>
            <w:shd w:val="clear" w:color="auto" w:fill="auto"/>
            <w:noWrap/>
            <w:vAlign w:val="bottom"/>
            <w:hideMark/>
          </w:tcPr>
          <w:p w14:paraId="2782BAEA"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D49720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35</w:t>
            </w:r>
          </w:p>
        </w:tc>
        <w:tc>
          <w:tcPr>
            <w:tcW w:w="260" w:type="pct"/>
            <w:tcBorders>
              <w:top w:val="nil"/>
              <w:left w:val="nil"/>
              <w:bottom w:val="nil"/>
              <w:right w:val="nil"/>
            </w:tcBorders>
            <w:shd w:val="clear" w:color="auto" w:fill="auto"/>
            <w:noWrap/>
            <w:vAlign w:val="bottom"/>
            <w:hideMark/>
          </w:tcPr>
          <w:p w14:paraId="65A8053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9DC030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26</w:t>
            </w:r>
          </w:p>
        </w:tc>
        <w:tc>
          <w:tcPr>
            <w:tcW w:w="260" w:type="pct"/>
            <w:tcBorders>
              <w:top w:val="nil"/>
              <w:left w:val="nil"/>
              <w:bottom w:val="nil"/>
              <w:right w:val="nil"/>
            </w:tcBorders>
            <w:shd w:val="clear" w:color="auto" w:fill="auto"/>
            <w:noWrap/>
            <w:vAlign w:val="bottom"/>
            <w:hideMark/>
          </w:tcPr>
          <w:p w14:paraId="086C7E9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14</w:t>
            </w:r>
          </w:p>
        </w:tc>
        <w:tc>
          <w:tcPr>
            <w:tcW w:w="260" w:type="pct"/>
            <w:tcBorders>
              <w:top w:val="nil"/>
              <w:left w:val="nil"/>
              <w:bottom w:val="nil"/>
              <w:right w:val="nil"/>
            </w:tcBorders>
            <w:shd w:val="clear" w:color="auto" w:fill="auto"/>
            <w:noWrap/>
            <w:vAlign w:val="bottom"/>
            <w:hideMark/>
          </w:tcPr>
          <w:p w14:paraId="4541C52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w:t>
            </w:r>
          </w:p>
        </w:tc>
        <w:tc>
          <w:tcPr>
            <w:tcW w:w="260" w:type="pct"/>
            <w:tcBorders>
              <w:top w:val="nil"/>
              <w:left w:val="nil"/>
              <w:bottom w:val="nil"/>
              <w:right w:val="nil"/>
            </w:tcBorders>
            <w:shd w:val="clear" w:color="auto" w:fill="auto"/>
            <w:noWrap/>
            <w:vAlign w:val="bottom"/>
            <w:hideMark/>
          </w:tcPr>
          <w:p w14:paraId="0735D9B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w:t>
            </w:r>
          </w:p>
        </w:tc>
        <w:tc>
          <w:tcPr>
            <w:tcW w:w="260" w:type="pct"/>
            <w:tcBorders>
              <w:top w:val="nil"/>
              <w:left w:val="nil"/>
              <w:bottom w:val="nil"/>
              <w:right w:val="nil"/>
            </w:tcBorders>
            <w:shd w:val="clear" w:color="auto" w:fill="auto"/>
            <w:noWrap/>
            <w:vAlign w:val="bottom"/>
            <w:hideMark/>
          </w:tcPr>
          <w:p w14:paraId="37ED115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w:t>
            </w:r>
          </w:p>
        </w:tc>
        <w:tc>
          <w:tcPr>
            <w:tcW w:w="260" w:type="pct"/>
            <w:tcBorders>
              <w:top w:val="nil"/>
              <w:left w:val="nil"/>
              <w:bottom w:val="nil"/>
              <w:right w:val="nil"/>
            </w:tcBorders>
            <w:shd w:val="clear" w:color="auto" w:fill="auto"/>
            <w:noWrap/>
            <w:vAlign w:val="bottom"/>
            <w:hideMark/>
          </w:tcPr>
          <w:p w14:paraId="1CBE759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1B1226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82</w:t>
            </w:r>
          </w:p>
        </w:tc>
        <w:tc>
          <w:tcPr>
            <w:tcW w:w="260" w:type="pct"/>
            <w:tcBorders>
              <w:top w:val="nil"/>
              <w:left w:val="nil"/>
              <w:bottom w:val="nil"/>
              <w:right w:val="nil"/>
            </w:tcBorders>
            <w:shd w:val="clear" w:color="auto" w:fill="auto"/>
            <w:noWrap/>
            <w:vAlign w:val="bottom"/>
            <w:hideMark/>
          </w:tcPr>
          <w:p w14:paraId="1381A46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96</w:t>
            </w:r>
          </w:p>
        </w:tc>
        <w:tc>
          <w:tcPr>
            <w:tcW w:w="260" w:type="pct"/>
            <w:tcBorders>
              <w:top w:val="nil"/>
              <w:left w:val="nil"/>
              <w:bottom w:val="nil"/>
              <w:right w:val="nil"/>
            </w:tcBorders>
            <w:shd w:val="clear" w:color="auto" w:fill="auto"/>
            <w:noWrap/>
            <w:vAlign w:val="bottom"/>
            <w:hideMark/>
          </w:tcPr>
          <w:p w14:paraId="6F8C0AB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w:t>
            </w:r>
          </w:p>
        </w:tc>
        <w:tc>
          <w:tcPr>
            <w:tcW w:w="260" w:type="pct"/>
            <w:tcBorders>
              <w:top w:val="nil"/>
              <w:left w:val="nil"/>
              <w:bottom w:val="nil"/>
              <w:right w:val="nil"/>
            </w:tcBorders>
            <w:shd w:val="clear" w:color="auto" w:fill="auto"/>
            <w:noWrap/>
            <w:vAlign w:val="bottom"/>
            <w:hideMark/>
          </w:tcPr>
          <w:p w14:paraId="6A83AA0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365" w:type="pct"/>
            <w:tcBorders>
              <w:top w:val="nil"/>
              <w:left w:val="nil"/>
              <w:bottom w:val="nil"/>
              <w:right w:val="nil"/>
            </w:tcBorders>
            <w:shd w:val="clear" w:color="auto" w:fill="auto"/>
            <w:noWrap/>
            <w:vAlign w:val="bottom"/>
            <w:hideMark/>
          </w:tcPr>
          <w:p w14:paraId="581FAEE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309</w:t>
            </w:r>
          </w:p>
        </w:tc>
      </w:tr>
      <w:tr w:rsidR="00BE78EE" w:rsidRPr="00CB64DE" w14:paraId="4D1C0813"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71E7CB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Bromus </w:t>
            </w:r>
            <w:proofErr w:type="spellStart"/>
            <w:r w:rsidRPr="00C80F8D">
              <w:rPr>
                <w:rFonts w:eastAsia="Times New Roman" w:cs="Times New Roman"/>
                <w:i/>
                <w:iCs/>
                <w:color w:val="000000"/>
                <w:sz w:val="16"/>
                <w:szCs w:val="16"/>
                <w:lang w:eastAsia="en-AU"/>
              </w:rPr>
              <w:t>diandrus</w:t>
            </w:r>
            <w:proofErr w:type="spellEnd"/>
          </w:p>
        </w:tc>
        <w:tc>
          <w:tcPr>
            <w:tcW w:w="260" w:type="pct"/>
            <w:tcBorders>
              <w:top w:val="nil"/>
              <w:left w:val="nil"/>
              <w:bottom w:val="nil"/>
              <w:right w:val="nil"/>
            </w:tcBorders>
            <w:shd w:val="clear" w:color="auto" w:fill="auto"/>
            <w:noWrap/>
            <w:vAlign w:val="bottom"/>
            <w:hideMark/>
          </w:tcPr>
          <w:p w14:paraId="07A2DC03"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DDF11A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1B597E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E91370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53F91E0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700B5A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1457E5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20DA68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0BB573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E0E040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ABDE7C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2715F3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25F657F"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50C5BE2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277CCEDF"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476EA60E"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Callistemon spp.</w:t>
            </w:r>
          </w:p>
        </w:tc>
        <w:tc>
          <w:tcPr>
            <w:tcW w:w="260" w:type="pct"/>
            <w:tcBorders>
              <w:top w:val="nil"/>
              <w:left w:val="nil"/>
              <w:bottom w:val="nil"/>
              <w:right w:val="nil"/>
            </w:tcBorders>
            <w:shd w:val="clear" w:color="auto" w:fill="auto"/>
            <w:noWrap/>
            <w:vAlign w:val="bottom"/>
            <w:hideMark/>
          </w:tcPr>
          <w:p w14:paraId="7AE5492A"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934C78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8D7FFE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1821E8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7DA35C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94DDC1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B02806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A03F16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4504F6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8025C6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DA0F58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2F70DF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AE05843"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5BA6C26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17858DA5"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A19189A"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Centipeda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cunninghamii</w:t>
            </w:r>
            <w:proofErr w:type="spellEnd"/>
          </w:p>
        </w:tc>
        <w:tc>
          <w:tcPr>
            <w:tcW w:w="260" w:type="pct"/>
            <w:tcBorders>
              <w:top w:val="nil"/>
              <w:left w:val="nil"/>
              <w:bottom w:val="nil"/>
              <w:right w:val="nil"/>
            </w:tcBorders>
            <w:shd w:val="clear" w:color="auto" w:fill="auto"/>
            <w:noWrap/>
            <w:vAlign w:val="bottom"/>
            <w:hideMark/>
          </w:tcPr>
          <w:p w14:paraId="2FD1B2C0"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AC32B5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w:t>
            </w:r>
          </w:p>
        </w:tc>
        <w:tc>
          <w:tcPr>
            <w:tcW w:w="260" w:type="pct"/>
            <w:tcBorders>
              <w:top w:val="nil"/>
              <w:left w:val="nil"/>
              <w:bottom w:val="nil"/>
              <w:right w:val="nil"/>
            </w:tcBorders>
            <w:shd w:val="clear" w:color="auto" w:fill="auto"/>
            <w:noWrap/>
            <w:vAlign w:val="bottom"/>
            <w:hideMark/>
          </w:tcPr>
          <w:p w14:paraId="4C61ABC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A07B39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48211A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CEB42E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87263A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87</w:t>
            </w:r>
          </w:p>
        </w:tc>
        <w:tc>
          <w:tcPr>
            <w:tcW w:w="260" w:type="pct"/>
            <w:tcBorders>
              <w:top w:val="nil"/>
              <w:left w:val="nil"/>
              <w:bottom w:val="nil"/>
              <w:right w:val="nil"/>
            </w:tcBorders>
            <w:shd w:val="clear" w:color="auto" w:fill="auto"/>
            <w:noWrap/>
            <w:vAlign w:val="bottom"/>
            <w:hideMark/>
          </w:tcPr>
          <w:p w14:paraId="4766897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w:t>
            </w:r>
          </w:p>
        </w:tc>
        <w:tc>
          <w:tcPr>
            <w:tcW w:w="260" w:type="pct"/>
            <w:tcBorders>
              <w:top w:val="nil"/>
              <w:left w:val="nil"/>
              <w:bottom w:val="nil"/>
              <w:right w:val="nil"/>
            </w:tcBorders>
            <w:shd w:val="clear" w:color="auto" w:fill="auto"/>
            <w:noWrap/>
            <w:vAlign w:val="bottom"/>
            <w:hideMark/>
          </w:tcPr>
          <w:p w14:paraId="43B454C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8241E4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260" w:type="pct"/>
            <w:tcBorders>
              <w:top w:val="nil"/>
              <w:left w:val="nil"/>
              <w:bottom w:val="nil"/>
              <w:right w:val="nil"/>
            </w:tcBorders>
            <w:shd w:val="clear" w:color="auto" w:fill="auto"/>
            <w:noWrap/>
            <w:vAlign w:val="bottom"/>
            <w:hideMark/>
          </w:tcPr>
          <w:p w14:paraId="1CAA12B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439C9B4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9FD8705"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3E31CCA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130</w:t>
            </w:r>
          </w:p>
        </w:tc>
      </w:tr>
      <w:tr w:rsidR="00BE78EE" w:rsidRPr="00CB64DE" w14:paraId="0734345F"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997BE64"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Centipeda</w:t>
            </w:r>
            <w:proofErr w:type="spellEnd"/>
            <w:r w:rsidRPr="00C80F8D">
              <w:rPr>
                <w:rFonts w:eastAsia="Times New Roman" w:cs="Times New Roman"/>
                <w:i/>
                <w:iCs/>
                <w:color w:val="000000"/>
                <w:sz w:val="16"/>
                <w:szCs w:val="16"/>
                <w:lang w:eastAsia="en-AU"/>
              </w:rPr>
              <w:t xml:space="preserve"> minima</w:t>
            </w:r>
          </w:p>
        </w:tc>
        <w:tc>
          <w:tcPr>
            <w:tcW w:w="260" w:type="pct"/>
            <w:tcBorders>
              <w:top w:val="nil"/>
              <w:left w:val="nil"/>
              <w:bottom w:val="nil"/>
              <w:right w:val="nil"/>
            </w:tcBorders>
            <w:shd w:val="clear" w:color="auto" w:fill="auto"/>
            <w:noWrap/>
            <w:vAlign w:val="bottom"/>
            <w:hideMark/>
          </w:tcPr>
          <w:p w14:paraId="4D6FFF28"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C9C930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163</w:t>
            </w:r>
          </w:p>
        </w:tc>
        <w:tc>
          <w:tcPr>
            <w:tcW w:w="260" w:type="pct"/>
            <w:tcBorders>
              <w:top w:val="nil"/>
              <w:left w:val="nil"/>
              <w:bottom w:val="nil"/>
              <w:right w:val="nil"/>
            </w:tcBorders>
            <w:shd w:val="clear" w:color="auto" w:fill="auto"/>
            <w:noWrap/>
            <w:vAlign w:val="bottom"/>
            <w:hideMark/>
          </w:tcPr>
          <w:p w14:paraId="7DC2145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99242E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1B1DDC9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63A4F8B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w:t>
            </w:r>
          </w:p>
        </w:tc>
        <w:tc>
          <w:tcPr>
            <w:tcW w:w="260" w:type="pct"/>
            <w:tcBorders>
              <w:top w:val="nil"/>
              <w:left w:val="nil"/>
              <w:bottom w:val="nil"/>
              <w:right w:val="nil"/>
            </w:tcBorders>
            <w:shd w:val="clear" w:color="auto" w:fill="auto"/>
            <w:noWrap/>
            <w:vAlign w:val="bottom"/>
            <w:hideMark/>
          </w:tcPr>
          <w:p w14:paraId="4AE6F04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94</w:t>
            </w:r>
          </w:p>
        </w:tc>
        <w:tc>
          <w:tcPr>
            <w:tcW w:w="260" w:type="pct"/>
            <w:tcBorders>
              <w:top w:val="nil"/>
              <w:left w:val="nil"/>
              <w:bottom w:val="nil"/>
              <w:right w:val="nil"/>
            </w:tcBorders>
            <w:shd w:val="clear" w:color="auto" w:fill="auto"/>
            <w:noWrap/>
            <w:vAlign w:val="bottom"/>
            <w:hideMark/>
          </w:tcPr>
          <w:p w14:paraId="189CC58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28</w:t>
            </w:r>
          </w:p>
        </w:tc>
        <w:tc>
          <w:tcPr>
            <w:tcW w:w="260" w:type="pct"/>
            <w:tcBorders>
              <w:top w:val="nil"/>
              <w:left w:val="nil"/>
              <w:bottom w:val="nil"/>
              <w:right w:val="nil"/>
            </w:tcBorders>
            <w:shd w:val="clear" w:color="auto" w:fill="auto"/>
            <w:noWrap/>
            <w:vAlign w:val="bottom"/>
            <w:hideMark/>
          </w:tcPr>
          <w:p w14:paraId="5152E84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4A56E3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0981207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30</w:t>
            </w:r>
          </w:p>
        </w:tc>
        <w:tc>
          <w:tcPr>
            <w:tcW w:w="260" w:type="pct"/>
            <w:tcBorders>
              <w:top w:val="nil"/>
              <w:left w:val="nil"/>
              <w:bottom w:val="nil"/>
              <w:right w:val="nil"/>
            </w:tcBorders>
            <w:shd w:val="clear" w:color="auto" w:fill="auto"/>
            <w:noWrap/>
            <w:vAlign w:val="bottom"/>
            <w:hideMark/>
          </w:tcPr>
          <w:p w14:paraId="39C69CB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1377EB0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365" w:type="pct"/>
            <w:tcBorders>
              <w:top w:val="nil"/>
              <w:left w:val="nil"/>
              <w:bottom w:val="nil"/>
              <w:right w:val="nil"/>
            </w:tcBorders>
            <w:shd w:val="clear" w:color="auto" w:fill="auto"/>
            <w:noWrap/>
            <w:vAlign w:val="bottom"/>
            <w:hideMark/>
          </w:tcPr>
          <w:p w14:paraId="7A7F783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341</w:t>
            </w:r>
          </w:p>
        </w:tc>
      </w:tr>
      <w:tr w:rsidR="00BE78EE" w:rsidRPr="00CB64DE" w14:paraId="23EA1EB0"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8C9D82E"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Cyperus </w:t>
            </w:r>
            <w:proofErr w:type="spellStart"/>
            <w:r w:rsidRPr="00C80F8D">
              <w:rPr>
                <w:rFonts w:eastAsia="Times New Roman" w:cs="Times New Roman"/>
                <w:i/>
                <w:iCs/>
                <w:color w:val="000000"/>
                <w:sz w:val="16"/>
                <w:szCs w:val="16"/>
                <w:lang w:eastAsia="en-AU"/>
              </w:rPr>
              <w:t>difformis</w:t>
            </w:r>
            <w:proofErr w:type="spellEnd"/>
          </w:p>
        </w:tc>
        <w:tc>
          <w:tcPr>
            <w:tcW w:w="260" w:type="pct"/>
            <w:tcBorders>
              <w:top w:val="nil"/>
              <w:left w:val="nil"/>
              <w:bottom w:val="nil"/>
              <w:right w:val="nil"/>
            </w:tcBorders>
            <w:shd w:val="clear" w:color="auto" w:fill="auto"/>
            <w:noWrap/>
            <w:vAlign w:val="bottom"/>
            <w:hideMark/>
          </w:tcPr>
          <w:p w14:paraId="72775B56"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7F7F18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16</w:t>
            </w:r>
          </w:p>
        </w:tc>
        <w:tc>
          <w:tcPr>
            <w:tcW w:w="260" w:type="pct"/>
            <w:tcBorders>
              <w:top w:val="nil"/>
              <w:left w:val="nil"/>
              <w:bottom w:val="nil"/>
              <w:right w:val="nil"/>
            </w:tcBorders>
            <w:shd w:val="clear" w:color="auto" w:fill="auto"/>
            <w:noWrap/>
            <w:vAlign w:val="bottom"/>
            <w:hideMark/>
          </w:tcPr>
          <w:p w14:paraId="2DFA52B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743FB9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616AF4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F4F539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147B4E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6F4005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9BD340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A822CD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EFEF95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16B0522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54C6A0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5F8C496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w:t>
            </w:r>
          </w:p>
        </w:tc>
      </w:tr>
      <w:tr w:rsidR="00BE78EE" w:rsidRPr="00CB64DE" w14:paraId="4A6F4729"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7A806F9"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Cyperus </w:t>
            </w:r>
            <w:proofErr w:type="spellStart"/>
            <w:r w:rsidRPr="00C80F8D">
              <w:rPr>
                <w:rFonts w:eastAsia="Times New Roman" w:cs="Times New Roman"/>
                <w:i/>
                <w:iCs/>
                <w:color w:val="000000"/>
                <w:sz w:val="16"/>
                <w:szCs w:val="16"/>
                <w:lang w:eastAsia="en-AU"/>
              </w:rPr>
              <w:t>eragrostis</w:t>
            </w:r>
            <w:proofErr w:type="spellEnd"/>
          </w:p>
        </w:tc>
        <w:tc>
          <w:tcPr>
            <w:tcW w:w="260" w:type="pct"/>
            <w:tcBorders>
              <w:top w:val="nil"/>
              <w:left w:val="nil"/>
              <w:bottom w:val="nil"/>
              <w:right w:val="nil"/>
            </w:tcBorders>
            <w:shd w:val="clear" w:color="auto" w:fill="auto"/>
            <w:noWrap/>
            <w:vAlign w:val="bottom"/>
            <w:hideMark/>
          </w:tcPr>
          <w:p w14:paraId="342071C6"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BB9814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293</w:t>
            </w:r>
          </w:p>
        </w:tc>
        <w:tc>
          <w:tcPr>
            <w:tcW w:w="260" w:type="pct"/>
            <w:tcBorders>
              <w:top w:val="nil"/>
              <w:left w:val="nil"/>
              <w:bottom w:val="nil"/>
              <w:right w:val="nil"/>
            </w:tcBorders>
            <w:shd w:val="clear" w:color="auto" w:fill="auto"/>
            <w:noWrap/>
            <w:vAlign w:val="bottom"/>
            <w:hideMark/>
          </w:tcPr>
          <w:p w14:paraId="76A29F5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7C8DA0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1692</w:t>
            </w:r>
          </w:p>
        </w:tc>
        <w:tc>
          <w:tcPr>
            <w:tcW w:w="260" w:type="pct"/>
            <w:tcBorders>
              <w:top w:val="nil"/>
              <w:left w:val="nil"/>
              <w:bottom w:val="nil"/>
              <w:right w:val="nil"/>
            </w:tcBorders>
            <w:shd w:val="clear" w:color="auto" w:fill="auto"/>
            <w:noWrap/>
            <w:vAlign w:val="bottom"/>
            <w:hideMark/>
          </w:tcPr>
          <w:p w14:paraId="4F61023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w:t>
            </w:r>
          </w:p>
        </w:tc>
        <w:tc>
          <w:tcPr>
            <w:tcW w:w="260" w:type="pct"/>
            <w:tcBorders>
              <w:top w:val="nil"/>
              <w:left w:val="nil"/>
              <w:bottom w:val="nil"/>
              <w:right w:val="nil"/>
            </w:tcBorders>
            <w:shd w:val="clear" w:color="auto" w:fill="auto"/>
            <w:noWrap/>
            <w:vAlign w:val="bottom"/>
            <w:hideMark/>
          </w:tcPr>
          <w:p w14:paraId="579E5F8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20</w:t>
            </w:r>
          </w:p>
        </w:tc>
        <w:tc>
          <w:tcPr>
            <w:tcW w:w="260" w:type="pct"/>
            <w:tcBorders>
              <w:top w:val="nil"/>
              <w:left w:val="nil"/>
              <w:bottom w:val="nil"/>
              <w:right w:val="nil"/>
            </w:tcBorders>
            <w:shd w:val="clear" w:color="auto" w:fill="auto"/>
            <w:noWrap/>
            <w:vAlign w:val="bottom"/>
            <w:hideMark/>
          </w:tcPr>
          <w:p w14:paraId="71C49C2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306</w:t>
            </w:r>
          </w:p>
        </w:tc>
        <w:tc>
          <w:tcPr>
            <w:tcW w:w="260" w:type="pct"/>
            <w:tcBorders>
              <w:top w:val="nil"/>
              <w:left w:val="nil"/>
              <w:bottom w:val="nil"/>
              <w:right w:val="nil"/>
            </w:tcBorders>
            <w:shd w:val="clear" w:color="auto" w:fill="auto"/>
            <w:noWrap/>
            <w:vAlign w:val="bottom"/>
            <w:hideMark/>
          </w:tcPr>
          <w:p w14:paraId="1EA8897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181</w:t>
            </w:r>
          </w:p>
        </w:tc>
        <w:tc>
          <w:tcPr>
            <w:tcW w:w="260" w:type="pct"/>
            <w:tcBorders>
              <w:top w:val="nil"/>
              <w:left w:val="nil"/>
              <w:bottom w:val="nil"/>
              <w:right w:val="nil"/>
            </w:tcBorders>
            <w:shd w:val="clear" w:color="auto" w:fill="auto"/>
            <w:noWrap/>
            <w:vAlign w:val="bottom"/>
            <w:hideMark/>
          </w:tcPr>
          <w:p w14:paraId="42AF9F7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6686236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48</w:t>
            </w:r>
          </w:p>
        </w:tc>
        <w:tc>
          <w:tcPr>
            <w:tcW w:w="260" w:type="pct"/>
            <w:tcBorders>
              <w:top w:val="nil"/>
              <w:left w:val="nil"/>
              <w:bottom w:val="nil"/>
              <w:right w:val="nil"/>
            </w:tcBorders>
            <w:shd w:val="clear" w:color="auto" w:fill="auto"/>
            <w:noWrap/>
            <w:vAlign w:val="bottom"/>
            <w:hideMark/>
          </w:tcPr>
          <w:p w14:paraId="4309DC1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107</w:t>
            </w:r>
          </w:p>
        </w:tc>
        <w:tc>
          <w:tcPr>
            <w:tcW w:w="260" w:type="pct"/>
            <w:tcBorders>
              <w:top w:val="nil"/>
              <w:left w:val="nil"/>
              <w:bottom w:val="nil"/>
              <w:right w:val="nil"/>
            </w:tcBorders>
            <w:shd w:val="clear" w:color="auto" w:fill="auto"/>
            <w:noWrap/>
            <w:vAlign w:val="bottom"/>
            <w:hideMark/>
          </w:tcPr>
          <w:p w14:paraId="6C4D7A3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59</w:t>
            </w:r>
          </w:p>
        </w:tc>
        <w:tc>
          <w:tcPr>
            <w:tcW w:w="260" w:type="pct"/>
            <w:tcBorders>
              <w:top w:val="nil"/>
              <w:left w:val="nil"/>
              <w:bottom w:val="nil"/>
              <w:right w:val="nil"/>
            </w:tcBorders>
            <w:shd w:val="clear" w:color="auto" w:fill="auto"/>
            <w:noWrap/>
            <w:vAlign w:val="bottom"/>
            <w:hideMark/>
          </w:tcPr>
          <w:p w14:paraId="735615E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365" w:type="pct"/>
            <w:tcBorders>
              <w:top w:val="nil"/>
              <w:left w:val="nil"/>
              <w:bottom w:val="nil"/>
              <w:right w:val="nil"/>
            </w:tcBorders>
            <w:shd w:val="clear" w:color="auto" w:fill="auto"/>
            <w:noWrap/>
            <w:vAlign w:val="bottom"/>
            <w:hideMark/>
          </w:tcPr>
          <w:p w14:paraId="4892FFE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2731</w:t>
            </w:r>
          </w:p>
        </w:tc>
      </w:tr>
      <w:tr w:rsidR="00BE78EE" w:rsidRPr="00CB64DE" w14:paraId="527FB575"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A09C35E"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Cyperus </w:t>
            </w:r>
            <w:proofErr w:type="spellStart"/>
            <w:r w:rsidRPr="00C80F8D">
              <w:rPr>
                <w:rFonts w:eastAsia="Times New Roman" w:cs="Times New Roman"/>
                <w:i/>
                <w:iCs/>
                <w:color w:val="000000"/>
                <w:sz w:val="16"/>
                <w:szCs w:val="16"/>
                <w:lang w:eastAsia="en-AU"/>
              </w:rPr>
              <w:t>exaltatus</w:t>
            </w:r>
            <w:proofErr w:type="spellEnd"/>
          </w:p>
        </w:tc>
        <w:tc>
          <w:tcPr>
            <w:tcW w:w="260" w:type="pct"/>
            <w:tcBorders>
              <w:top w:val="nil"/>
              <w:left w:val="nil"/>
              <w:bottom w:val="nil"/>
              <w:right w:val="nil"/>
            </w:tcBorders>
            <w:shd w:val="clear" w:color="auto" w:fill="auto"/>
            <w:noWrap/>
            <w:vAlign w:val="bottom"/>
            <w:hideMark/>
          </w:tcPr>
          <w:p w14:paraId="5398ADF6"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35694C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446</w:t>
            </w:r>
          </w:p>
        </w:tc>
        <w:tc>
          <w:tcPr>
            <w:tcW w:w="260" w:type="pct"/>
            <w:tcBorders>
              <w:top w:val="nil"/>
              <w:left w:val="nil"/>
              <w:bottom w:val="nil"/>
              <w:right w:val="nil"/>
            </w:tcBorders>
            <w:shd w:val="clear" w:color="auto" w:fill="auto"/>
            <w:noWrap/>
            <w:vAlign w:val="bottom"/>
            <w:hideMark/>
          </w:tcPr>
          <w:p w14:paraId="4B966B0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49522D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865910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25</w:t>
            </w:r>
          </w:p>
        </w:tc>
        <w:tc>
          <w:tcPr>
            <w:tcW w:w="260" w:type="pct"/>
            <w:tcBorders>
              <w:top w:val="nil"/>
              <w:left w:val="nil"/>
              <w:bottom w:val="nil"/>
              <w:right w:val="nil"/>
            </w:tcBorders>
            <w:shd w:val="clear" w:color="auto" w:fill="auto"/>
            <w:noWrap/>
            <w:vAlign w:val="bottom"/>
            <w:hideMark/>
          </w:tcPr>
          <w:p w14:paraId="7B78AE7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25</w:t>
            </w:r>
          </w:p>
        </w:tc>
        <w:tc>
          <w:tcPr>
            <w:tcW w:w="260" w:type="pct"/>
            <w:tcBorders>
              <w:top w:val="nil"/>
              <w:left w:val="nil"/>
              <w:bottom w:val="nil"/>
              <w:right w:val="nil"/>
            </w:tcBorders>
            <w:shd w:val="clear" w:color="auto" w:fill="auto"/>
            <w:noWrap/>
            <w:vAlign w:val="bottom"/>
            <w:hideMark/>
          </w:tcPr>
          <w:p w14:paraId="5FCA535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FECF6E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70C970E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7AFE597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151</w:t>
            </w:r>
          </w:p>
        </w:tc>
        <w:tc>
          <w:tcPr>
            <w:tcW w:w="260" w:type="pct"/>
            <w:tcBorders>
              <w:top w:val="nil"/>
              <w:left w:val="nil"/>
              <w:bottom w:val="nil"/>
              <w:right w:val="nil"/>
            </w:tcBorders>
            <w:shd w:val="clear" w:color="auto" w:fill="auto"/>
            <w:noWrap/>
            <w:vAlign w:val="bottom"/>
            <w:hideMark/>
          </w:tcPr>
          <w:p w14:paraId="0ABAFF9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428</w:t>
            </w:r>
          </w:p>
        </w:tc>
        <w:tc>
          <w:tcPr>
            <w:tcW w:w="260" w:type="pct"/>
            <w:tcBorders>
              <w:top w:val="nil"/>
              <w:left w:val="nil"/>
              <w:bottom w:val="nil"/>
              <w:right w:val="nil"/>
            </w:tcBorders>
            <w:shd w:val="clear" w:color="auto" w:fill="auto"/>
            <w:noWrap/>
            <w:vAlign w:val="bottom"/>
            <w:hideMark/>
          </w:tcPr>
          <w:p w14:paraId="42EB800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120</w:t>
            </w:r>
          </w:p>
        </w:tc>
        <w:tc>
          <w:tcPr>
            <w:tcW w:w="260" w:type="pct"/>
            <w:tcBorders>
              <w:top w:val="nil"/>
              <w:left w:val="nil"/>
              <w:bottom w:val="nil"/>
              <w:right w:val="nil"/>
            </w:tcBorders>
            <w:shd w:val="clear" w:color="auto" w:fill="auto"/>
            <w:noWrap/>
            <w:vAlign w:val="bottom"/>
            <w:hideMark/>
          </w:tcPr>
          <w:p w14:paraId="5F9C177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365" w:type="pct"/>
            <w:tcBorders>
              <w:top w:val="nil"/>
              <w:left w:val="nil"/>
              <w:bottom w:val="nil"/>
              <w:right w:val="nil"/>
            </w:tcBorders>
            <w:shd w:val="clear" w:color="auto" w:fill="auto"/>
            <w:noWrap/>
            <w:vAlign w:val="bottom"/>
            <w:hideMark/>
          </w:tcPr>
          <w:p w14:paraId="023BFDA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1204</w:t>
            </w:r>
          </w:p>
        </w:tc>
      </w:tr>
      <w:tr w:rsidR="00BE78EE" w:rsidRPr="00CB64DE" w14:paraId="25B148A7"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8611AA8"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Dysphania</w:t>
            </w:r>
            <w:proofErr w:type="spellEnd"/>
            <w:r w:rsidRPr="00C80F8D">
              <w:rPr>
                <w:rFonts w:eastAsia="Times New Roman" w:cs="Times New Roman"/>
                <w:i/>
                <w:iCs/>
                <w:color w:val="000000"/>
                <w:sz w:val="16"/>
                <w:szCs w:val="16"/>
                <w:lang w:eastAsia="en-AU"/>
              </w:rPr>
              <w:t xml:space="preserve"> ambrosioides</w:t>
            </w:r>
          </w:p>
        </w:tc>
        <w:tc>
          <w:tcPr>
            <w:tcW w:w="260" w:type="pct"/>
            <w:tcBorders>
              <w:top w:val="nil"/>
              <w:left w:val="nil"/>
              <w:bottom w:val="nil"/>
              <w:right w:val="nil"/>
            </w:tcBorders>
            <w:shd w:val="clear" w:color="auto" w:fill="auto"/>
            <w:noWrap/>
            <w:vAlign w:val="bottom"/>
            <w:hideMark/>
          </w:tcPr>
          <w:p w14:paraId="10485EA6"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363C1F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514513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77D28F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79A429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3FA263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E984FF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4407DB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922A34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0DF9D1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D992B5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282112E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7DF27D3"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67077F7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68272153"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D3CFB66"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Dysphania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glomulifera</w:t>
            </w:r>
            <w:proofErr w:type="spellEnd"/>
          </w:p>
        </w:tc>
        <w:tc>
          <w:tcPr>
            <w:tcW w:w="260" w:type="pct"/>
            <w:tcBorders>
              <w:top w:val="nil"/>
              <w:left w:val="nil"/>
              <w:bottom w:val="nil"/>
              <w:right w:val="nil"/>
            </w:tcBorders>
            <w:shd w:val="clear" w:color="auto" w:fill="auto"/>
            <w:noWrap/>
            <w:vAlign w:val="bottom"/>
            <w:hideMark/>
          </w:tcPr>
          <w:p w14:paraId="47852B88"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AE3D21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70FF22A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6E1554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D9090B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7E0D21E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58DAC88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5C4BB7A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FD0C4D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71BBFF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EA08DD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06D8D6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5D57EC7"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A6D8F8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w:t>
            </w:r>
          </w:p>
        </w:tc>
      </w:tr>
      <w:tr w:rsidR="00BE78EE" w:rsidRPr="00CB64DE" w14:paraId="69915072"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403668B6"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Dysphania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pumilo</w:t>
            </w:r>
            <w:proofErr w:type="spellEnd"/>
          </w:p>
        </w:tc>
        <w:tc>
          <w:tcPr>
            <w:tcW w:w="260" w:type="pct"/>
            <w:tcBorders>
              <w:top w:val="nil"/>
              <w:left w:val="nil"/>
              <w:bottom w:val="nil"/>
              <w:right w:val="nil"/>
            </w:tcBorders>
            <w:shd w:val="clear" w:color="auto" w:fill="auto"/>
            <w:noWrap/>
            <w:vAlign w:val="bottom"/>
            <w:hideMark/>
          </w:tcPr>
          <w:p w14:paraId="025BD5C1"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823F31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63209C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8AF211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1964A5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DAF18F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15E87E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28FF18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773258D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187B0F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2D9C9A5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29</w:t>
            </w:r>
          </w:p>
        </w:tc>
        <w:tc>
          <w:tcPr>
            <w:tcW w:w="260" w:type="pct"/>
            <w:tcBorders>
              <w:top w:val="nil"/>
              <w:left w:val="nil"/>
              <w:bottom w:val="nil"/>
              <w:right w:val="nil"/>
            </w:tcBorders>
            <w:shd w:val="clear" w:color="auto" w:fill="auto"/>
            <w:noWrap/>
            <w:vAlign w:val="bottom"/>
            <w:hideMark/>
          </w:tcPr>
          <w:p w14:paraId="6BD9042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F81D14A"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324704D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34</w:t>
            </w:r>
          </w:p>
        </w:tc>
      </w:tr>
      <w:tr w:rsidR="00BE78EE" w:rsidRPr="00CB64DE" w14:paraId="5239144F"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6C802EE"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Ehrharta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longiflora</w:t>
            </w:r>
            <w:proofErr w:type="spellEnd"/>
          </w:p>
        </w:tc>
        <w:tc>
          <w:tcPr>
            <w:tcW w:w="260" w:type="pct"/>
            <w:tcBorders>
              <w:top w:val="nil"/>
              <w:left w:val="nil"/>
              <w:bottom w:val="nil"/>
              <w:right w:val="nil"/>
            </w:tcBorders>
            <w:shd w:val="clear" w:color="auto" w:fill="auto"/>
            <w:noWrap/>
            <w:vAlign w:val="bottom"/>
            <w:hideMark/>
          </w:tcPr>
          <w:p w14:paraId="42250BF3"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248388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7AE59C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6B812D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EB7CE9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C7D8D2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79D45F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792206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BF1B2B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88</w:t>
            </w:r>
          </w:p>
        </w:tc>
        <w:tc>
          <w:tcPr>
            <w:tcW w:w="260" w:type="pct"/>
            <w:tcBorders>
              <w:top w:val="nil"/>
              <w:left w:val="nil"/>
              <w:bottom w:val="nil"/>
              <w:right w:val="nil"/>
            </w:tcBorders>
            <w:shd w:val="clear" w:color="auto" w:fill="auto"/>
            <w:noWrap/>
            <w:vAlign w:val="bottom"/>
            <w:hideMark/>
          </w:tcPr>
          <w:p w14:paraId="0261B8C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9FB4B7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88A060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215C1D0"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37B913C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88</w:t>
            </w:r>
          </w:p>
        </w:tc>
      </w:tr>
      <w:tr w:rsidR="00BE78EE" w:rsidRPr="00CB64DE" w14:paraId="5844BD3E"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2CCF210"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Elatine</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gratioloides</w:t>
            </w:r>
            <w:proofErr w:type="spellEnd"/>
          </w:p>
        </w:tc>
        <w:tc>
          <w:tcPr>
            <w:tcW w:w="260" w:type="pct"/>
            <w:tcBorders>
              <w:top w:val="nil"/>
              <w:left w:val="nil"/>
              <w:bottom w:val="nil"/>
              <w:right w:val="nil"/>
            </w:tcBorders>
            <w:shd w:val="clear" w:color="auto" w:fill="auto"/>
            <w:noWrap/>
            <w:vAlign w:val="bottom"/>
            <w:hideMark/>
          </w:tcPr>
          <w:p w14:paraId="3B6F4813"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72CC8E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C245B7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9D6201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699610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52D1BF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E97CB2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05A200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C8BFD5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183E1E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B7E443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560AED8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C4668AB"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342A5D2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r>
      <w:tr w:rsidR="00BE78EE" w:rsidRPr="00CB64DE" w14:paraId="4895B6AC"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01CDB13"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Epilobium </w:t>
            </w:r>
            <w:r w:rsidRPr="00C80F8D">
              <w:rPr>
                <w:rFonts w:eastAsia="Times New Roman" w:cs="Times New Roman"/>
                <w:color w:val="000000"/>
                <w:sz w:val="16"/>
                <w:szCs w:val="16"/>
                <w:lang w:eastAsia="en-AU"/>
              </w:rPr>
              <w:t>spp</w:t>
            </w:r>
            <w:r w:rsidRPr="00C80F8D">
              <w:rPr>
                <w:rFonts w:eastAsia="Times New Roman" w:cs="Times New Roman"/>
                <w:i/>
                <w:iCs/>
                <w:color w:val="000000"/>
                <w:sz w:val="16"/>
                <w:szCs w:val="16"/>
                <w:lang w:eastAsia="en-AU"/>
              </w:rPr>
              <w:t>.</w:t>
            </w:r>
          </w:p>
        </w:tc>
        <w:tc>
          <w:tcPr>
            <w:tcW w:w="260" w:type="pct"/>
            <w:tcBorders>
              <w:top w:val="nil"/>
              <w:left w:val="nil"/>
              <w:bottom w:val="nil"/>
              <w:right w:val="nil"/>
            </w:tcBorders>
            <w:shd w:val="clear" w:color="auto" w:fill="auto"/>
            <w:noWrap/>
            <w:vAlign w:val="bottom"/>
            <w:hideMark/>
          </w:tcPr>
          <w:p w14:paraId="4E0D42CA"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DC825E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2623B8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D92573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22913D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CEB6CA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EB365F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235C33F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3414B4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AF22C3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79683F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451294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8A8F8AE"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0559296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11D80C22"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28DBA0E"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Eragrostis</w:t>
            </w:r>
            <w:proofErr w:type="spellEnd"/>
            <w:r w:rsidRPr="00C80F8D">
              <w:rPr>
                <w:rFonts w:eastAsia="Times New Roman" w:cs="Times New Roman"/>
                <w:i/>
                <w:iCs/>
                <w:color w:val="000000"/>
                <w:sz w:val="16"/>
                <w:szCs w:val="16"/>
                <w:lang w:eastAsia="en-AU"/>
              </w:rPr>
              <w:t xml:space="preserve"> parviflora</w:t>
            </w:r>
          </w:p>
        </w:tc>
        <w:tc>
          <w:tcPr>
            <w:tcW w:w="260" w:type="pct"/>
            <w:tcBorders>
              <w:top w:val="nil"/>
              <w:left w:val="nil"/>
              <w:bottom w:val="nil"/>
              <w:right w:val="nil"/>
            </w:tcBorders>
            <w:shd w:val="clear" w:color="auto" w:fill="auto"/>
            <w:noWrap/>
            <w:vAlign w:val="bottom"/>
            <w:hideMark/>
          </w:tcPr>
          <w:p w14:paraId="02276F33"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DE1AF4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17</w:t>
            </w:r>
          </w:p>
        </w:tc>
        <w:tc>
          <w:tcPr>
            <w:tcW w:w="260" w:type="pct"/>
            <w:tcBorders>
              <w:top w:val="nil"/>
              <w:left w:val="nil"/>
              <w:bottom w:val="nil"/>
              <w:right w:val="nil"/>
            </w:tcBorders>
            <w:shd w:val="clear" w:color="auto" w:fill="auto"/>
            <w:noWrap/>
            <w:vAlign w:val="bottom"/>
            <w:hideMark/>
          </w:tcPr>
          <w:p w14:paraId="160DEFA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FB0386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c>
          <w:tcPr>
            <w:tcW w:w="260" w:type="pct"/>
            <w:tcBorders>
              <w:top w:val="nil"/>
              <w:left w:val="nil"/>
              <w:bottom w:val="nil"/>
              <w:right w:val="nil"/>
            </w:tcBorders>
            <w:shd w:val="clear" w:color="auto" w:fill="auto"/>
            <w:noWrap/>
            <w:vAlign w:val="bottom"/>
            <w:hideMark/>
          </w:tcPr>
          <w:p w14:paraId="1671AE7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223F41F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6FD314D8" w14:textId="77777777" w:rsidR="00BE78EE" w:rsidRPr="00C80F8D" w:rsidRDefault="00BE78EE" w:rsidP="00E26D3C">
            <w:pPr>
              <w:spacing w:after="0" w:line="240" w:lineRule="auto"/>
              <w:jc w:val="right"/>
              <w:rPr>
                <w:rFonts w:eastAsia="Times New Roman" w:cs="Times New Roman"/>
                <w:color w:val="000000"/>
                <w:sz w:val="12"/>
                <w:szCs w:val="12"/>
                <w:lang w:eastAsia="en-AU"/>
              </w:rPr>
            </w:pPr>
            <w:r w:rsidRPr="00C80F8D">
              <w:rPr>
                <w:rFonts w:eastAsia="Times New Roman" w:cs="Times New Roman"/>
                <w:color w:val="000000"/>
                <w:sz w:val="12"/>
                <w:szCs w:val="12"/>
                <w:lang w:eastAsia="en-AU"/>
              </w:rPr>
              <w:t>2278</w:t>
            </w:r>
          </w:p>
        </w:tc>
        <w:tc>
          <w:tcPr>
            <w:tcW w:w="260" w:type="pct"/>
            <w:tcBorders>
              <w:top w:val="nil"/>
              <w:left w:val="nil"/>
              <w:bottom w:val="nil"/>
              <w:right w:val="nil"/>
            </w:tcBorders>
            <w:shd w:val="clear" w:color="auto" w:fill="auto"/>
            <w:noWrap/>
            <w:vAlign w:val="bottom"/>
            <w:hideMark/>
          </w:tcPr>
          <w:p w14:paraId="0FD39A6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708</w:t>
            </w:r>
          </w:p>
        </w:tc>
        <w:tc>
          <w:tcPr>
            <w:tcW w:w="260" w:type="pct"/>
            <w:tcBorders>
              <w:top w:val="nil"/>
              <w:left w:val="nil"/>
              <w:bottom w:val="nil"/>
              <w:right w:val="nil"/>
            </w:tcBorders>
            <w:shd w:val="clear" w:color="auto" w:fill="auto"/>
            <w:noWrap/>
            <w:vAlign w:val="bottom"/>
            <w:hideMark/>
          </w:tcPr>
          <w:p w14:paraId="43D8407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A2DA1D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23A5BC8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w:t>
            </w:r>
          </w:p>
        </w:tc>
        <w:tc>
          <w:tcPr>
            <w:tcW w:w="260" w:type="pct"/>
            <w:tcBorders>
              <w:top w:val="nil"/>
              <w:left w:val="nil"/>
              <w:bottom w:val="nil"/>
              <w:right w:val="nil"/>
            </w:tcBorders>
            <w:shd w:val="clear" w:color="auto" w:fill="auto"/>
            <w:noWrap/>
            <w:vAlign w:val="bottom"/>
            <w:hideMark/>
          </w:tcPr>
          <w:p w14:paraId="283F16B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1757F5E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24815CF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3041</w:t>
            </w:r>
          </w:p>
        </w:tc>
      </w:tr>
      <w:tr w:rsidR="00BE78EE" w:rsidRPr="00CB64DE" w14:paraId="20654A4E"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85621C3"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Eucalyptus camaldulensis</w:t>
            </w:r>
          </w:p>
        </w:tc>
        <w:tc>
          <w:tcPr>
            <w:tcW w:w="260" w:type="pct"/>
            <w:tcBorders>
              <w:top w:val="nil"/>
              <w:left w:val="nil"/>
              <w:bottom w:val="nil"/>
              <w:right w:val="nil"/>
            </w:tcBorders>
            <w:shd w:val="clear" w:color="auto" w:fill="auto"/>
            <w:noWrap/>
            <w:vAlign w:val="bottom"/>
            <w:hideMark/>
          </w:tcPr>
          <w:p w14:paraId="0B59EC2B"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3C5D53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790425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44CF9E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781B58D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C2C5F7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D56270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D23FB2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7865F4A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7A68B34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32</w:t>
            </w:r>
          </w:p>
        </w:tc>
        <w:tc>
          <w:tcPr>
            <w:tcW w:w="260" w:type="pct"/>
            <w:tcBorders>
              <w:top w:val="nil"/>
              <w:left w:val="nil"/>
              <w:bottom w:val="nil"/>
              <w:right w:val="nil"/>
            </w:tcBorders>
            <w:shd w:val="clear" w:color="auto" w:fill="auto"/>
            <w:noWrap/>
            <w:vAlign w:val="bottom"/>
            <w:hideMark/>
          </w:tcPr>
          <w:p w14:paraId="1DB3164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30</w:t>
            </w:r>
          </w:p>
        </w:tc>
        <w:tc>
          <w:tcPr>
            <w:tcW w:w="260" w:type="pct"/>
            <w:tcBorders>
              <w:top w:val="nil"/>
              <w:left w:val="nil"/>
              <w:bottom w:val="nil"/>
              <w:right w:val="nil"/>
            </w:tcBorders>
            <w:shd w:val="clear" w:color="auto" w:fill="auto"/>
            <w:noWrap/>
            <w:vAlign w:val="bottom"/>
            <w:hideMark/>
          </w:tcPr>
          <w:p w14:paraId="7A6B113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87F456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365" w:type="pct"/>
            <w:tcBorders>
              <w:top w:val="nil"/>
              <w:left w:val="nil"/>
              <w:bottom w:val="nil"/>
              <w:right w:val="nil"/>
            </w:tcBorders>
            <w:shd w:val="clear" w:color="auto" w:fill="auto"/>
            <w:noWrap/>
            <w:vAlign w:val="bottom"/>
            <w:hideMark/>
          </w:tcPr>
          <w:p w14:paraId="4595D6F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80</w:t>
            </w:r>
          </w:p>
        </w:tc>
      </w:tr>
      <w:tr w:rsidR="00BE78EE" w:rsidRPr="00CB64DE" w14:paraId="49B698E4"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8E0541F"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Euchiton</w:t>
            </w:r>
            <w:proofErr w:type="spellEnd"/>
            <w:r w:rsidRPr="00C80F8D">
              <w:rPr>
                <w:rFonts w:eastAsia="Times New Roman" w:cs="Times New Roman"/>
                <w:i/>
                <w:iCs/>
                <w:color w:val="000000"/>
                <w:sz w:val="16"/>
                <w:szCs w:val="16"/>
                <w:lang w:eastAsia="en-AU"/>
              </w:rPr>
              <w:t xml:space="preserve"> japonicus</w:t>
            </w:r>
          </w:p>
        </w:tc>
        <w:tc>
          <w:tcPr>
            <w:tcW w:w="260" w:type="pct"/>
            <w:tcBorders>
              <w:top w:val="nil"/>
              <w:left w:val="nil"/>
              <w:bottom w:val="nil"/>
              <w:right w:val="nil"/>
            </w:tcBorders>
            <w:shd w:val="clear" w:color="auto" w:fill="auto"/>
            <w:noWrap/>
            <w:vAlign w:val="bottom"/>
            <w:hideMark/>
          </w:tcPr>
          <w:p w14:paraId="0108158A"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E2EEE4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978EF6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F84B87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1A67DC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B35455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5B1FE0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786B7A8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E48966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1BE2BD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7A54CE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B82D87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5B6EB5B"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56FB66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r>
      <w:tr w:rsidR="00BE78EE" w:rsidRPr="00CB64DE" w14:paraId="24D3CAEC"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D143120"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Gnaphalium </w:t>
            </w:r>
            <w:proofErr w:type="spellStart"/>
            <w:r w:rsidRPr="00C80F8D">
              <w:rPr>
                <w:rFonts w:eastAsia="Times New Roman" w:cs="Times New Roman"/>
                <w:i/>
                <w:iCs/>
                <w:color w:val="000000"/>
                <w:sz w:val="16"/>
                <w:szCs w:val="16"/>
                <w:lang w:eastAsia="en-AU"/>
              </w:rPr>
              <w:t>polycaulon</w:t>
            </w:r>
            <w:proofErr w:type="spellEnd"/>
          </w:p>
        </w:tc>
        <w:tc>
          <w:tcPr>
            <w:tcW w:w="260" w:type="pct"/>
            <w:tcBorders>
              <w:top w:val="nil"/>
              <w:left w:val="nil"/>
              <w:bottom w:val="nil"/>
              <w:right w:val="nil"/>
            </w:tcBorders>
            <w:shd w:val="clear" w:color="auto" w:fill="auto"/>
            <w:noWrap/>
            <w:vAlign w:val="bottom"/>
            <w:hideMark/>
          </w:tcPr>
          <w:p w14:paraId="0AAD91B6"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FBBBAF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000C3B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861147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F5B73B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12734D2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25</w:t>
            </w:r>
          </w:p>
        </w:tc>
        <w:tc>
          <w:tcPr>
            <w:tcW w:w="260" w:type="pct"/>
            <w:tcBorders>
              <w:top w:val="nil"/>
              <w:left w:val="nil"/>
              <w:bottom w:val="nil"/>
              <w:right w:val="nil"/>
            </w:tcBorders>
            <w:shd w:val="clear" w:color="auto" w:fill="auto"/>
            <w:noWrap/>
            <w:vAlign w:val="bottom"/>
            <w:hideMark/>
          </w:tcPr>
          <w:p w14:paraId="6C63E64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15</w:t>
            </w:r>
          </w:p>
        </w:tc>
        <w:tc>
          <w:tcPr>
            <w:tcW w:w="260" w:type="pct"/>
            <w:tcBorders>
              <w:top w:val="nil"/>
              <w:left w:val="nil"/>
              <w:bottom w:val="nil"/>
              <w:right w:val="nil"/>
            </w:tcBorders>
            <w:shd w:val="clear" w:color="auto" w:fill="auto"/>
            <w:noWrap/>
            <w:vAlign w:val="bottom"/>
            <w:hideMark/>
          </w:tcPr>
          <w:p w14:paraId="4F85F71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61657B0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D2DD2E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3200981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57</w:t>
            </w:r>
          </w:p>
        </w:tc>
        <w:tc>
          <w:tcPr>
            <w:tcW w:w="260" w:type="pct"/>
            <w:tcBorders>
              <w:top w:val="nil"/>
              <w:left w:val="nil"/>
              <w:bottom w:val="nil"/>
              <w:right w:val="nil"/>
            </w:tcBorders>
            <w:shd w:val="clear" w:color="auto" w:fill="auto"/>
            <w:noWrap/>
            <w:vAlign w:val="bottom"/>
            <w:hideMark/>
          </w:tcPr>
          <w:p w14:paraId="5BD7C90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048ECF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08B863A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113</w:t>
            </w:r>
          </w:p>
        </w:tc>
      </w:tr>
      <w:tr w:rsidR="00BE78EE" w:rsidRPr="00CB64DE" w14:paraId="290C335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C1C8C00"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Hypochaeris</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radicata</w:t>
            </w:r>
            <w:proofErr w:type="spellEnd"/>
          </w:p>
        </w:tc>
        <w:tc>
          <w:tcPr>
            <w:tcW w:w="260" w:type="pct"/>
            <w:tcBorders>
              <w:top w:val="nil"/>
              <w:left w:val="nil"/>
              <w:bottom w:val="nil"/>
              <w:right w:val="nil"/>
            </w:tcBorders>
            <w:shd w:val="clear" w:color="auto" w:fill="auto"/>
            <w:noWrap/>
            <w:vAlign w:val="bottom"/>
            <w:hideMark/>
          </w:tcPr>
          <w:p w14:paraId="1E33C983"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3C658D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B4C11E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05832F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2A842A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C1337A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84BA45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8EB814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DCC6AE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62EB48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8D176B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6C5119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141B5E3"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0EB96F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68714771"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41B4D40"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Juncus amabilis</w:t>
            </w:r>
          </w:p>
        </w:tc>
        <w:tc>
          <w:tcPr>
            <w:tcW w:w="260" w:type="pct"/>
            <w:tcBorders>
              <w:top w:val="nil"/>
              <w:left w:val="nil"/>
              <w:bottom w:val="nil"/>
              <w:right w:val="nil"/>
            </w:tcBorders>
            <w:shd w:val="clear" w:color="auto" w:fill="auto"/>
            <w:noWrap/>
            <w:vAlign w:val="bottom"/>
            <w:hideMark/>
          </w:tcPr>
          <w:p w14:paraId="366F819E"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ECC5D6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155</w:t>
            </w:r>
          </w:p>
        </w:tc>
        <w:tc>
          <w:tcPr>
            <w:tcW w:w="260" w:type="pct"/>
            <w:tcBorders>
              <w:top w:val="nil"/>
              <w:left w:val="nil"/>
              <w:bottom w:val="nil"/>
              <w:right w:val="nil"/>
            </w:tcBorders>
            <w:shd w:val="clear" w:color="auto" w:fill="auto"/>
            <w:noWrap/>
            <w:vAlign w:val="bottom"/>
            <w:hideMark/>
          </w:tcPr>
          <w:p w14:paraId="3128B59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1CBA5C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54</w:t>
            </w:r>
          </w:p>
        </w:tc>
        <w:tc>
          <w:tcPr>
            <w:tcW w:w="260" w:type="pct"/>
            <w:tcBorders>
              <w:top w:val="nil"/>
              <w:left w:val="nil"/>
              <w:bottom w:val="nil"/>
              <w:right w:val="nil"/>
            </w:tcBorders>
            <w:shd w:val="clear" w:color="auto" w:fill="auto"/>
            <w:noWrap/>
            <w:vAlign w:val="bottom"/>
            <w:hideMark/>
          </w:tcPr>
          <w:p w14:paraId="7CA4363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25</w:t>
            </w:r>
          </w:p>
        </w:tc>
        <w:tc>
          <w:tcPr>
            <w:tcW w:w="260" w:type="pct"/>
            <w:tcBorders>
              <w:top w:val="nil"/>
              <w:left w:val="nil"/>
              <w:bottom w:val="nil"/>
              <w:right w:val="nil"/>
            </w:tcBorders>
            <w:shd w:val="clear" w:color="auto" w:fill="auto"/>
            <w:noWrap/>
            <w:vAlign w:val="bottom"/>
            <w:hideMark/>
          </w:tcPr>
          <w:p w14:paraId="42C08AD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23</w:t>
            </w:r>
          </w:p>
        </w:tc>
        <w:tc>
          <w:tcPr>
            <w:tcW w:w="260" w:type="pct"/>
            <w:tcBorders>
              <w:top w:val="nil"/>
              <w:left w:val="nil"/>
              <w:bottom w:val="nil"/>
              <w:right w:val="nil"/>
            </w:tcBorders>
            <w:shd w:val="clear" w:color="auto" w:fill="auto"/>
            <w:noWrap/>
            <w:vAlign w:val="bottom"/>
            <w:hideMark/>
          </w:tcPr>
          <w:p w14:paraId="6F9A2C3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790</w:t>
            </w:r>
          </w:p>
        </w:tc>
        <w:tc>
          <w:tcPr>
            <w:tcW w:w="260" w:type="pct"/>
            <w:tcBorders>
              <w:top w:val="nil"/>
              <w:left w:val="nil"/>
              <w:bottom w:val="nil"/>
              <w:right w:val="nil"/>
            </w:tcBorders>
            <w:shd w:val="clear" w:color="auto" w:fill="auto"/>
            <w:noWrap/>
            <w:vAlign w:val="bottom"/>
            <w:hideMark/>
          </w:tcPr>
          <w:p w14:paraId="089E63D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103</w:t>
            </w:r>
          </w:p>
        </w:tc>
        <w:tc>
          <w:tcPr>
            <w:tcW w:w="260" w:type="pct"/>
            <w:tcBorders>
              <w:top w:val="nil"/>
              <w:left w:val="nil"/>
              <w:bottom w:val="nil"/>
              <w:right w:val="nil"/>
            </w:tcBorders>
            <w:shd w:val="clear" w:color="auto" w:fill="auto"/>
            <w:noWrap/>
            <w:vAlign w:val="bottom"/>
            <w:hideMark/>
          </w:tcPr>
          <w:p w14:paraId="3F6800E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3F7455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41</w:t>
            </w:r>
          </w:p>
        </w:tc>
        <w:tc>
          <w:tcPr>
            <w:tcW w:w="260" w:type="pct"/>
            <w:tcBorders>
              <w:top w:val="nil"/>
              <w:left w:val="nil"/>
              <w:bottom w:val="nil"/>
              <w:right w:val="nil"/>
            </w:tcBorders>
            <w:shd w:val="clear" w:color="auto" w:fill="auto"/>
            <w:noWrap/>
            <w:vAlign w:val="bottom"/>
            <w:hideMark/>
          </w:tcPr>
          <w:p w14:paraId="102B963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113</w:t>
            </w:r>
          </w:p>
        </w:tc>
        <w:tc>
          <w:tcPr>
            <w:tcW w:w="260" w:type="pct"/>
            <w:tcBorders>
              <w:top w:val="nil"/>
              <w:left w:val="nil"/>
              <w:bottom w:val="nil"/>
              <w:right w:val="nil"/>
            </w:tcBorders>
            <w:shd w:val="clear" w:color="auto" w:fill="auto"/>
            <w:noWrap/>
            <w:vAlign w:val="bottom"/>
            <w:hideMark/>
          </w:tcPr>
          <w:p w14:paraId="732D6DC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36</w:t>
            </w:r>
          </w:p>
        </w:tc>
        <w:tc>
          <w:tcPr>
            <w:tcW w:w="260" w:type="pct"/>
            <w:tcBorders>
              <w:top w:val="nil"/>
              <w:left w:val="nil"/>
              <w:bottom w:val="nil"/>
              <w:right w:val="nil"/>
            </w:tcBorders>
            <w:shd w:val="clear" w:color="auto" w:fill="auto"/>
            <w:noWrap/>
            <w:vAlign w:val="bottom"/>
            <w:hideMark/>
          </w:tcPr>
          <w:p w14:paraId="30D949E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14</w:t>
            </w:r>
          </w:p>
        </w:tc>
        <w:tc>
          <w:tcPr>
            <w:tcW w:w="365" w:type="pct"/>
            <w:tcBorders>
              <w:top w:val="nil"/>
              <w:left w:val="nil"/>
              <w:bottom w:val="nil"/>
              <w:right w:val="nil"/>
            </w:tcBorders>
            <w:shd w:val="clear" w:color="auto" w:fill="auto"/>
            <w:noWrap/>
            <w:vAlign w:val="bottom"/>
            <w:hideMark/>
          </w:tcPr>
          <w:p w14:paraId="1AF5F2D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1354</w:t>
            </w:r>
          </w:p>
        </w:tc>
      </w:tr>
      <w:tr w:rsidR="00BE78EE" w:rsidRPr="00CB64DE" w14:paraId="56FE265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CCE9C21"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Juncus </w:t>
            </w:r>
            <w:proofErr w:type="spellStart"/>
            <w:r w:rsidRPr="00C80F8D">
              <w:rPr>
                <w:rFonts w:eastAsia="Times New Roman" w:cs="Times New Roman"/>
                <w:i/>
                <w:iCs/>
                <w:color w:val="000000"/>
                <w:sz w:val="16"/>
                <w:szCs w:val="16"/>
                <w:lang w:eastAsia="en-AU"/>
              </w:rPr>
              <w:t>articulatus</w:t>
            </w:r>
            <w:proofErr w:type="spellEnd"/>
          </w:p>
        </w:tc>
        <w:tc>
          <w:tcPr>
            <w:tcW w:w="260" w:type="pct"/>
            <w:tcBorders>
              <w:top w:val="nil"/>
              <w:left w:val="nil"/>
              <w:bottom w:val="nil"/>
              <w:right w:val="nil"/>
            </w:tcBorders>
            <w:shd w:val="clear" w:color="auto" w:fill="auto"/>
            <w:noWrap/>
            <w:vAlign w:val="bottom"/>
            <w:hideMark/>
          </w:tcPr>
          <w:p w14:paraId="7D489545"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4937ED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0976B57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A1B324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06578A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7FD39AB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3E2D00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F53278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421676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08894B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2BDF01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BB0AAB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3926B86"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6333D84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r>
      <w:tr w:rsidR="00BE78EE" w:rsidRPr="00CB64DE" w14:paraId="23273AD7"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F12AB8D"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Juncus </w:t>
            </w:r>
            <w:proofErr w:type="spellStart"/>
            <w:r w:rsidRPr="00C80F8D">
              <w:rPr>
                <w:rFonts w:eastAsia="Times New Roman" w:cs="Times New Roman"/>
                <w:i/>
                <w:iCs/>
                <w:color w:val="000000"/>
                <w:sz w:val="16"/>
                <w:szCs w:val="16"/>
                <w:lang w:eastAsia="en-AU"/>
              </w:rPr>
              <w:t>prismatocarpus</w:t>
            </w:r>
            <w:proofErr w:type="spellEnd"/>
          </w:p>
        </w:tc>
        <w:tc>
          <w:tcPr>
            <w:tcW w:w="260" w:type="pct"/>
            <w:tcBorders>
              <w:top w:val="nil"/>
              <w:left w:val="nil"/>
              <w:bottom w:val="nil"/>
              <w:right w:val="nil"/>
            </w:tcBorders>
            <w:shd w:val="clear" w:color="auto" w:fill="auto"/>
            <w:noWrap/>
            <w:vAlign w:val="bottom"/>
            <w:hideMark/>
          </w:tcPr>
          <w:p w14:paraId="3A4C4466"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AE8C06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22</w:t>
            </w:r>
          </w:p>
        </w:tc>
        <w:tc>
          <w:tcPr>
            <w:tcW w:w="260" w:type="pct"/>
            <w:tcBorders>
              <w:top w:val="nil"/>
              <w:left w:val="nil"/>
              <w:bottom w:val="nil"/>
              <w:right w:val="nil"/>
            </w:tcBorders>
            <w:shd w:val="clear" w:color="auto" w:fill="auto"/>
            <w:noWrap/>
            <w:vAlign w:val="bottom"/>
            <w:hideMark/>
          </w:tcPr>
          <w:p w14:paraId="6E2A87A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0A3407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1ED595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9885FE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FD3F4D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164A05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C68FBD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291F16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3E59EE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B0EED0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6A6EFFE"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5D51B8B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22</w:t>
            </w:r>
          </w:p>
        </w:tc>
      </w:tr>
      <w:tr w:rsidR="00BE78EE" w:rsidRPr="00CB64DE" w14:paraId="2D7DFEC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3090A18"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Juncus </w:t>
            </w:r>
            <w:proofErr w:type="spellStart"/>
            <w:r w:rsidRPr="00C80F8D">
              <w:rPr>
                <w:rFonts w:eastAsia="Times New Roman" w:cs="Times New Roman"/>
                <w:i/>
                <w:iCs/>
                <w:color w:val="000000"/>
                <w:sz w:val="16"/>
                <w:szCs w:val="16"/>
                <w:lang w:eastAsia="en-AU"/>
              </w:rPr>
              <w:t>usitatus</w:t>
            </w:r>
            <w:proofErr w:type="spellEnd"/>
          </w:p>
        </w:tc>
        <w:tc>
          <w:tcPr>
            <w:tcW w:w="260" w:type="pct"/>
            <w:tcBorders>
              <w:top w:val="nil"/>
              <w:left w:val="nil"/>
              <w:bottom w:val="nil"/>
              <w:right w:val="nil"/>
            </w:tcBorders>
            <w:shd w:val="clear" w:color="auto" w:fill="auto"/>
            <w:noWrap/>
            <w:vAlign w:val="bottom"/>
            <w:hideMark/>
          </w:tcPr>
          <w:p w14:paraId="7CD51933"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634BB9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137</w:t>
            </w:r>
          </w:p>
        </w:tc>
        <w:tc>
          <w:tcPr>
            <w:tcW w:w="260" w:type="pct"/>
            <w:tcBorders>
              <w:top w:val="nil"/>
              <w:left w:val="nil"/>
              <w:bottom w:val="nil"/>
              <w:right w:val="nil"/>
            </w:tcBorders>
            <w:shd w:val="clear" w:color="auto" w:fill="auto"/>
            <w:noWrap/>
            <w:vAlign w:val="bottom"/>
            <w:hideMark/>
          </w:tcPr>
          <w:p w14:paraId="000DE96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0BEC6F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61</w:t>
            </w:r>
          </w:p>
        </w:tc>
        <w:tc>
          <w:tcPr>
            <w:tcW w:w="260" w:type="pct"/>
            <w:tcBorders>
              <w:top w:val="nil"/>
              <w:left w:val="nil"/>
              <w:bottom w:val="nil"/>
              <w:right w:val="nil"/>
            </w:tcBorders>
            <w:shd w:val="clear" w:color="auto" w:fill="auto"/>
            <w:noWrap/>
            <w:vAlign w:val="bottom"/>
            <w:hideMark/>
          </w:tcPr>
          <w:p w14:paraId="21E3C95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w:t>
            </w:r>
          </w:p>
        </w:tc>
        <w:tc>
          <w:tcPr>
            <w:tcW w:w="260" w:type="pct"/>
            <w:tcBorders>
              <w:top w:val="nil"/>
              <w:left w:val="nil"/>
              <w:bottom w:val="nil"/>
              <w:right w:val="nil"/>
            </w:tcBorders>
            <w:shd w:val="clear" w:color="auto" w:fill="auto"/>
            <w:noWrap/>
            <w:vAlign w:val="bottom"/>
            <w:hideMark/>
          </w:tcPr>
          <w:p w14:paraId="3AAF433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42</w:t>
            </w:r>
          </w:p>
        </w:tc>
        <w:tc>
          <w:tcPr>
            <w:tcW w:w="260" w:type="pct"/>
            <w:tcBorders>
              <w:top w:val="nil"/>
              <w:left w:val="nil"/>
              <w:bottom w:val="nil"/>
              <w:right w:val="nil"/>
            </w:tcBorders>
            <w:shd w:val="clear" w:color="auto" w:fill="auto"/>
            <w:noWrap/>
            <w:vAlign w:val="bottom"/>
            <w:hideMark/>
          </w:tcPr>
          <w:p w14:paraId="70B2EC3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85</w:t>
            </w:r>
          </w:p>
        </w:tc>
        <w:tc>
          <w:tcPr>
            <w:tcW w:w="260" w:type="pct"/>
            <w:tcBorders>
              <w:top w:val="nil"/>
              <w:left w:val="nil"/>
              <w:bottom w:val="nil"/>
              <w:right w:val="nil"/>
            </w:tcBorders>
            <w:shd w:val="clear" w:color="auto" w:fill="auto"/>
            <w:noWrap/>
            <w:vAlign w:val="bottom"/>
            <w:hideMark/>
          </w:tcPr>
          <w:p w14:paraId="1B1E277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24</w:t>
            </w:r>
          </w:p>
        </w:tc>
        <w:tc>
          <w:tcPr>
            <w:tcW w:w="260" w:type="pct"/>
            <w:tcBorders>
              <w:top w:val="nil"/>
              <w:left w:val="nil"/>
              <w:bottom w:val="nil"/>
              <w:right w:val="nil"/>
            </w:tcBorders>
            <w:shd w:val="clear" w:color="auto" w:fill="auto"/>
            <w:noWrap/>
            <w:vAlign w:val="bottom"/>
            <w:hideMark/>
          </w:tcPr>
          <w:p w14:paraId="6EDD06B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3057E92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88</w:t>
            </w:r>
          </w:p>
        </w:tc>
        <w:tc>
          <w:tcPr>
            <w:tcW w:w="260" w:type="pct"/>
            <w:tcBorders>
              <w:top w:val="nil"/>
              <w:left w:val="nil"/>
              <w:bottom w:val="nil"/>
              <w:right w:val="nil"/>
            </w:tcBorders>
            <w:shd w:val="clear" w:color="auto" w:fill="auto"/>
            <w:noWrap/>
            <w:vAlign w:val="bottom"/>
            <w:hideMark/>
          </w:tcPr>
          <w:p w14:paraId="379795F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188</w:t>
            </w:r>
          </w:p>
        </w:tc>
        <w:tc>
          <w:tcPr>
            <w:tcW w:w="260" w:type="pct"/>
            <w:tcBorders>
              <w:top w:val="nil"/>
              <w:left w:val="nil"/>
              <w:bottom w:val="nil"/>
              <w:right w:val="nil"/>
            </w:tcBorders>
            <w:shd w:val="clear" w:color="auto" w:fill="auto"/>
            <w:noWrap/>
            <w:vAlign w:val="bottom"/>
            <w:hideMark/>
          </w:tcPr>
          <w:p w14:paraId="4D62068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122</w:t>
            </w:r>
          </w:p>
        </w:tc>
        <w:tc>
          <w:tcPr>
            <w:tcW w:w="260" w:type="pct"/>
            <w:tcBorders>
              <w:top w:val="nil"/>
              <w:left w:val="nil"/>
              <w:bottom w:val="nil"/>
              <w:right w:val="nil"/>
            </w:tcBorders>
            <w:shd w:val="clear" w:color="auto" w:fill="auto"/>
            <w:noWrap/>
            <w:vAlign w:val="bottom"/>
            <w:hideMark/>
          </w:tcPr>
          <w:p w14:paraId="44A1D11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14</w:t>
            </w:r>
          </w:p>
        </w:tc>
        <w:tc>
          <w:tcPr>
            <w:tcW w:w="365" w:type="pct"/>
            <w:tcBorders>
              <w:top w:val="nil"/>
              <w:left w:val="nil"/>
              <w:bottom w:val="nil"/>
              <w:right w:val="nil"/>
            </w:tcBorders>
            <w:shd w:val="clear" w:color="auto" w:fill="auto"/>
            <w:noWrap/>
            <w:vAlign w:val="bottom"/>
            <w:hideMark/>
          </w:tcPr>
          <w:p w14:paraId="0EDF745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781</w:t>
            </w:r>
          </w:p>
        </w:tc>
      </w:tr>
      <w:tr w:rsidR="00BE78EE" w:rsidRPr="00CB64DE" w14:paraId="68B5AF36"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5A4BADD"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Lachnagrostis</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filiformis</w:t>
            </w:r>
            <w:proofErr w:type="spellEnd"/>
          </w:p>
        </w:tc>
        <w:tc>
          <w:tcPr>
            <w:tcW w:w="260" w:type="pct"/>
            <w:tcBorders>
              <w:top w:val="nil"/>
              <w:left w:val="nil"/>
              <w:bottom w:val="nil"/>
              <w:right w:val="nil"/>
            </w:tcBorders>
            <w:shd w:val="clear" w:color="auto" w:fill="auto"/>
            <w:noWrap/>
            <w:vAlign w:val="bottom"/>
            <w:hideMark/>
          </w:tcPr>
          <w:p w14:paraId="2BA19990"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18CE4A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52CD57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406781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73920B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5A8954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F72756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650E5F8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374CFE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357F04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FA9083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2AC0F1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DCB2C7D"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6676700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r>
      <w:tr w:rsidR="00BE78EE" w:rsidRPr="00CB64DE" w14:paraId="39287B60"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D0F9A90"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Laphangium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luteoalbum</w:t>
            </w:r>
            <w:proofErr w:type="spellEnd"/>
          </w:p>
        </w:tc>
        <w:tc>
          <w:tcPr>
            <w:tcW w:w="260" w:type="pct"/>
            <w:tcBorders>
              <w:top w:val="nil"/>
              <w:left w:val="nil"/>
              <w:bottom w:val="nil"/>
              <w:right w:val="nil"/>
            </w:tcBorders>
            <w:shd w:val="clear" w:color="auto" w:fill="auto"/>
            <w:noWrap/>
            <w:vAlign w:val="bottom"/>
            <w:hideMark/>
          </w:tcPr>
          <w:p w14:paraId="7AA94805"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B3CF37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C55A5B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CC2B31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45C9AD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FAE350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59361DF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31</w:t>
            </w:r>
          </w:p>
        </w:tc>
        <w:tc>
          <w:tcPr>
            <w:tcW w:w="260" w:type="pct"/>
            <w:tcBorders>
              <w:top w:val="nil"/>
              <w:left w:val="nil"/>
              <w:bottom w:val="nil"/>
              <w:right w:val="nil"/>
            </w:tcBorders>
            <w:shd w:val="clear" w:color="auto" w:fill="auto"/>
            <w:noWrap/>
            <w:vAlign w:val="bottom"/>
            <w:hideMark/>
          </w:tcPr>
          <w:p w14:paraId="0C28A2D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DFAD8B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B596F9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11B2F7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6AF92E9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47C42F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365" w:type="pct"/>
            <w:tcBorders>
              <w:top w:val="nil"/>
              <w:left w:val="nil"/>
              <w:bottom w:val="nil"/>
              <w:right w:val="nil"/>
            </w:tcBorders>
            <w:shd w:val="clear" w:color="auto" w:fill="auto"/>
            <w:noWrap/>
            <w:vAlign w:val="bottom"/>
            <w:hideMark/>
          </w:tcPr>
          <w:p w14:paraId="5E2128D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41</w:t>
            </w:r>
          </w:p>
        </w:tc>
      </w:tr>
      <w:tr w:rsidR="00BE78EE" w:rsidRPr="00CB64DE" w14:paraId="7D477EC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111DF59"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Lipocarpha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microcephala</w:t>
            </w:r>
            <w:proofErr w:type="spellEnd"/>
          </w:p>
        </w:tc>
        <w:tc>
          <w:tcPr>
            <w:tcW w:w="260" w:type="pct"/>
            <w:tcBorders>
              <w:top w:val="nil"/>
              <w:left w:val="nil"/>
              <w:bottom w:val="nil"/>
              <w:right w:val="nil"/>
            </w:tcBorders>
            <w:shd w:val="clear" w:color="auto" w:fill="auto"/>
            <w:noWrap/>
            <w:vAlign w:val="bottom"/>
            <w:hideMark/>
          </w:tcPr>
          <w:p w14:paraId="05B2527F"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5137A9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7531CB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A81903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786720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BD0A36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E185BE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789EE4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186F95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217D5B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76DE0C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D545D2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88753FF"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AAE56D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770C71FC"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AD87DDA"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Lotus </w:t>
            </w:r>
            <w:proofErr w:type="spellStart"/>
            <w:r w:rsidRPr="00C80F8D">
              <w:rPr>
                <w:rFonts w:eastAsia="Times New Roman" w:cs="Times New Roman"/>
                <w:i/>
                <w:iCs/>
                <w:color w:val="000000"/>
                <w:sz w:val="16"/>
                <w:szCs w:val="16"/>
                <w:lang w:eastAsia="en-AU"/>
              </w:rPr>
              <w:t>uliginosus</w:t>
            </w:r>
            <w:proofErr w:type="spellEnd"/>
          </w:p>
        </w:tc>
        <w:tc>
          <w:tcPr>
            <w:tcW w:w="260" w:type="pct"/>
            <w:tcBorders>
              <w:top w:val="nil"/>
              <w:left w:val="nil"/>
              <w:bottom w:val="nil"/>
              <w:right w:val="nil"/>
            </w:tcBorders>
            <w:shd w:val="clear" w:color="auto" w:fill="auto"/>
            <w:noWrap/>
            <w:vAlign w:val="bottom"/>
            <w:hideMark/>
          </w:tcPr>
          <w:p w14:paraId="1E60E5F2"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6622EE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FAE6AB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14213E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F01673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3E0B57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E9D867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C3B877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2C81DE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230A3B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F05EAD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110076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EF83869"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6398C6B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3A16E607"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37DB507"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Ludwigia</w:t>
            </w:r>
            <w:proofErr w:type="spellEnd"/>
            <w:r w:rsidRPr="00C80F8D">
              <w:rPr>
                <w:rFonts w:eastAsia="Times New Roman" w:cs="Times New Roman"/>
                <w:i/>
                <w:iCs/>
                <w:color w:val="000000"/>
                <w:sz w:val="16"/>
                <w:szCs w:val="16"/>
                <w:lang w:eastAsia="en-AU"/>
              </w:rPr>
              <w:t xml:space="preserve"> palustris</w:t>
            </w:r>
          </w:p>
        </w:tc>
        <w:tc>
          <w:tcPr>
            <w:tcW w:w="260" w:type="pct"/>
            <w:tcBorders>
              <w:top w:val="nil"/>
              <w:left w:val="nil"/>
              <w:bottom w:val="nil"/>
              <w:right w:val="nil"/>
            </w:tcBorders>
            <w:shd w:val="clear" w:color="auto" w:fill="auto"/>
            <w:noWrap/>
            <w:vAlign w:val="bottom"/>
            <w:hideMark/>
          </w:tcPr>
          <w:p w14:paraId="78969758"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43907F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88</w:t>
            </w:r>
          </w:p>
        </w:tc>
        <w:tc>
          <w:tcPr>
            <w:tcW w:w="260" w:type="pct"/>
            <w:tcBorders>
              <w:top w:val="nil"/>
              <w:left w:val="nil"/>
              <w:bottom w:val="nil"/>
              <w:right w:val="nil"/>
            </w:tcBorders>
            <w:shd w:val="clear" w:color="auto" w:fill="auto"/>
            <w:noWrap/>
            <w:vAlign w:val="bottom"/>
            <w:hideMark/>
          </w:tcPr>
          <w:p w14:paraId="5AF2CE3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FDE052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3775AB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4E0F4C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51A5FC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FD898E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36EA05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60951C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E9390B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E23B09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A3B8C38"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197F0CB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90</w:t>
            </w:r>
          </w:p>
        </w:tc>
      </w:tr>
      <w:tr w:rsidR="00BE78EE" w:rsidRPr="00CB64DE" w14:paraId="5E601713"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B835A76"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Lythrum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hyssopifolia</w:t>
            </w:r>
            <w:proofErr w:type="spellEnd"/>
          </w:p>
        </w:tc>
        <w:tc>
          <w:tcPr>
            <w:tcW w:w="260" w:type="pct"/>
            <w:tcBorders>
              <w:top w:val="nil"/>
              <w:left w:val="nil"/>
              <w:bottom w:val="nil"/>
              <w:right w:val="nil"/>
            </w:tcBorders>
            <w:shd w:val="clear" w:color="auto" w:fill="auto"/>
            <w:noWrap/>
            <w:vAlign w:val="bottom"/>
            <w:hideMark/>
          </w:tcPr>
          <w:p w14:paraId="19321206"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0EA29A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24CAB5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256AB0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1EC3E1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F17505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C73400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0C6D270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27E745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841BD5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D0991F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332798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26C984A"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7B1B38D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r>
      <w:tr w:rsidR="00BE78EE" w:rsidRPr="00CB64DE" w14:paraId="09F6B0BF"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76209B2"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Lythrum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salicaria</w:t>
            </w:r>
            <w:proofErr w:type="spellEnd"/>
          </w:p>
        </w:tc>
        <w:tc>
          <w:tcPr>
            <w:tcW w:w="260" w:type="pct"/>
            <w:tcBorders>
              <w:top w:val="nil"/>
              <w:left w:val="nil"/>
              <w:bottom w:val="nil"/>
              <w:right w:val="nil"/>
            </w:tcBorders>
            <w:shd w:val="clear" w:color="auto" w:fill="auto"/>
            <w:noWrap/>
            <w:vAlign w:val="bottom"/>
            <w:hideMark/>
          </w:tcPr>
          <w:p w14:paraId="771ACAAD"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9DE46F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3F55057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BBE6AC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31282D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83287A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58B4D8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C2982B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F8978E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7F12E5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A8C487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2C54DF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64D71F9"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541A247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r>
      <w:tr w:rsidR="00BE78EE" w:rsidRPr="00CB64DE" w14:paraId="7DB3D174"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7E740FD"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Modiola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caroliniana</w:t>
            </w:r>
            <w:proofErr w:type="spellEnd"/>
          </w:p>
        </w:tc>
        <w:tc>
          <w:tcPr>
            <w:tcW w:w="260" w:type="pct"/>
            <w:tcBorders>
              <w:top w:val="nil"/>
              <w:left w:val="nil"/>
              <w:bottom w:val="nil"/>
              <w:right w:val="nil"/>
            </w:tcBorders>
            <w:shd w:val="clear" w:color="auto" w:fill="auto"/>
            <w:noWrap/>
            <w:vAlign w:val="bottom"/>
            <w:hideMark/>
          </w:tcPr>
          <w:p w14:paraId="5DB50D30"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5C7DE2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FA15CD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C73C7E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0C89EF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B865BF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C82F97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7A8D88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3881AA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773172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554C7D5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270B58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8F1478C"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0B52AC9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r>
      <w:tr w:rsidR="00BE78EE" w:rsidRPr="00CB64DE" w14:paraId="65C03B8C"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6773C9C"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Mollugo</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verticillata</w:t>
            </w:r>
            <w:proofErr w:type="spellEnd"/>
          </w:p>
        </w:tc>
        <w:tc>
          <w:tcPr>
            <w:tcW w:w="260" w:type="pct"/>
            <w:tcBorders>
              <w:top w:val="nil"/>
              <w:left w:val="nil"/>
              <w:bottom w:val="nil"/>
              <w:right w:val="nil"/>
            </w:tcBorders>
            <w:shd w:val="clear" w:color="auto" w:fill="auto"/>
            <w:noWrap/>
            <w:vAlign w:val="bottom"/>
            <w:hideMark/>
          </w:tcPr>
          <w:p w14:paraId="575D150C"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8FD484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7C97F6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828E56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3F4DA6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236CBB8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D61FBE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5309EE6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F0B368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C3724A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A868F3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7731C5D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B7FA92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7B89850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w:t>
            </w:r>
          </w:p>
        </w:tc>
      </w:tr>
      <w:tr w:rsidR="00BE78EE" w:rsidRPr="00CB64DE" w14:paraId="6AA7AA6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AB94F17"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Oxalis </w:t>
            </w:r>
            <w:proofErr w:type="spellStart"/>
            <w:r w:rsidRPr="00C80F8D">
              <w:rPr>
                <w:rFonts w:eastAsia="Times New Roman" w:cs="Times New Roman"/>
                <w:i/>
                <w:iCs/>
                <w:color w:val="000000"/>
                <w:sz w:val="16"/>
                <w:szCs w:val="16"/>
                <w:lang w:eastAsia="en-AU"/>
              </w:rPr>
              <w:t>perennans</w:t>
            </w:r>
            <w:proofErr w:type="spellEnd"/>
          </w:p>
        </w:tc>
        <w:tc>
          <w:tcPr>
            <w:tcW w:w="260" w:type="pct"/>
            <w:tcBorders>
              <w:top w:val="nil"/>
              <w:left w:val="nil"/>
              <w:bottom w:val="nil"/>
              <w:right w:val="nil"/>
            </w:tcBorders>
            <w:shd w:val="clear" w:color="auto" w:fill="auto"/>
            <w:noWrap/>
            <w:vAlign w:val="bottom"/>
            <w:hideMark/>
          </w:tcPr>
          <w:p w14:paraId="521BE80A"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3A1BAC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E8804E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33178E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BF8CF8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333D2C3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CD5BB6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E83499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DAA0FC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02BFF7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2F343B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97A20D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D49E17E"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65CA16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r>
      <w:tr w:rsidR="00BE78EE" w:rsidRPr="00CB64DE" w14:paraId="38CBEB59"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D420D89"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Panicum </w:t>
            </w:r>
            <w:proofErr w:type="spellStart"/>
            <w:r w:rsidRPr="00C80F8D">
              <w:rPr>
                <w:rFonts w:eastAsia="Times New Roman" w:cs="Times New Roman"/>
                <w:i/>
                <w:iCs/>
                <w:color w:val="000000"/>
                <w:sz w:val="16"/>
                <w:szCs w:val="16"/>
                <w:lang w:eastAsia="en-AU"/>
              </w:rPr>
              <w:t>coloratum</w:t>
            </w:r>
            <w:proofErr w:type="spellEnd"/>
          </w:p>
        </w:tc>
        <w:tc>
          <w:tcPr>
            <w:tcW w:w="260" w:type="pct"/>
            <w:tcBorders>
              <w:top w:val="nil"/>
              <w:left w:val="nil"/>
              <w:bottom w:val="nil"/>
              <w:right w:val="nil"/>
            </w:tcBorders>
            <w:shd w:val="clear" w:color="auto" w:fill="auto"/>
            <w:noWrap/>
            <w:vAlign w:val="bottom"/>
            <w:hideMark/>
          </w:tcPr>
          <w:p w14:paraId="2A0E16DD"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98FEAC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12FEED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6E9F69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8A59B7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244A7FF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91D29F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w:t>
            </w:r>
          </w:p>
        </w:tc>
        <w:tc>
          <w:tcPr>
            <w:tcW w:w="260" w:type="pct"/>
            <w:tcBorders>
              <w:top w:val="nil"/>
              <w:left w:val="nil"/>
              <w:bottom w:val="nil"/>
              <w:right w:val="nil"/>
            </w:tcBorders>
            <w:shd w:val="clear" w:color="auto" w:fill="auto"/>
            <w:noWrap/>
            <w:vAlign w:val="bottom"/>
            <w:hideMark/>
          </w:tcPr>
          <w:p w14:paraId="4EDF916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c>
          <w:tcPr>
            <w:tcW w:w="260" w:type="pct"/>
            <w:tcBorders>
              <w:top w:val="nil"/>
              <w:left w:val="nil"/>
              <w:bottom w:val="nil"/>
              <w:right w:val="nil"/>
            </w:tcBorders>
            <w:shd w:val="clear" w:color="auto" w:fill="auto"/>
            <w:noWrap/>
            <w:vAlign w:val="bottom"/>
            <w:hideMark/>
          </w:tcPr>
          <w:p w14:paraId="71DA818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6A8C33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356938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B65E3B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EDD456F"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39BD936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w:t>
            </w:r>
          </w:p>
        </w:tc>
      </w:tr>
      <w:tr w:rsidR="00BE78EE" w:rsidRPr="00CB64DE" w14:paraId="0DA32708"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210798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Paspalidium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jubiflorum</w:t>
            </w:r>
            <w:proofErr w:type="spellEnd"/>
          </w:p>
        </w:tc>
        <w:tc>
          <w:tcPr>
            <w:tcW w:w="260" w:type="pct"/>
            <w:tcBorders>
              <w:top w:val="nil"/>
              <w:left w:val="nil"/>
              <w:bottom w:val="nil"/>
              <w:right w:val="nil"/>
            </w:tcBorders>
            <w:shd w:val="clear" w:color="auto" w:fill="auto"/>
            <w:noWrap/>
            <w:vAlign w:val="bottom"/>
            <w:hideMark/>
          </w:tcPr>
          <w:p w14:paraId="4D12A208"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EDEE80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877F3D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CD33C4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27</w:t>
            </w:r>
          </w:p>
        </w:tc>
        <w:tc>
          <w:tcPr>
            <w:tcW w:w="260" w:type="pct"/>
            <w:tcBorders>
              <w:top w:val="nil"/>
              <w:left w:val="nil"/>
              <w:bottom w:val="nil"/>
              <w:right w:val="nil"/>
            </w:tcBorders>
            <w:shd w:val="clear" w:color="auto" w:fill="auto"/>
            <w:noWrap/>
            <w:vAlign w:val="bottom"/>
            <w:hideMark/>
          </w:tcPr>
          <w:p w14:paraId="6EBC453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7B8052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9AA8F9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F539FA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621613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99BBC7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6993B1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F7D3E8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2D53C21"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19708B7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27</w:t>
            </w:r>
          </w:p>
        </w:tc>
      </w:tr>
      <w:tr w:rsidR="00BE78EE" w:rsidRPr="00CB64DE" w14:paraId="5DBE01E8"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471D065E"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Persicaria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prostrata</w:t>
            </w:r>
            <w:proofErr w:type="spellEnd"/>
          </w:p>
        </w:tc>
        <w:tc>
          <w:tcPr>
            <w:tcW w:w="260" w:type="pct"/>
            <w:tcBorders>
              <w:top w:val="nil"/>
              <w:left w:val="nil"/>
              <w:bottom w:val="nil"/>
              <w:right w:val="nil"/>
            </w:tcBorders>
            <w:shd w:val="clear" w:color="auto" w:fill="auto"/>
            <w:noWrap/>
            <w:vAlign w:val="bottom"/>
            <w:hideMark/>
          </w:tcPr>
          <w:p w14:paraId="3F8A2149"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12BBEE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64714B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FF2427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w:t>
            </w:r>
          </w:p>
        </w:tc>
        <w:tc>
          <w:tcPr>
            <w:tcW w:w="260" w:type="pct"/>
            <w:tcBorders>
              <w:top w:val="nil"/>
              <w:left w:val="nil"/>
              <w:bottom w:val="nil"/>
              <w:right w:val="nil"/>
            </w:tcBorders>
            <w:shd w:val="clear" w:color="auto" w:fill="auto"/>
            <w:noWrap/>
            <w:vAlign w:val="bottom"/>
            <w:hideMark/>
          </w:tcPr>
          <w:p w14:paraId="2BEC997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2EC9041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0AF8CB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19B76EC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D2197A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CC3562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6CCC0AE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6ACA19F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65272BD"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0408B96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25</w:t>
            </w:r>
          </w:p>
        </w:tc>
      </w:tr>
      <w:tr w:rsidR="00BE78EE" w:rsidRPr="00CB64DE" w14:paraId="5792DB48"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D5BF86C"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Poa </w:t>
            </w:r>
            <w:proofErr w:type="spellStart"/>
            <w:r w:rsidRPr="00C80F8D">
              <w:rPr>
                <w:rFonts w:eastAsia="Times New Roman" w:cs="Times New Roman"/>
                <w:i/>
                <w:iCs/>
                <w:color w:val="000000"/>
                <w:sz w:val="16"/>
                <w:szCs w:val="16"/>
                <w:lang w:eastAsia="en-AU"/>
              </w:rPr>
              <w:t>labillardierei</w:t>
            </w:r>
            <w:proofErr w:type="spellEnd"/>
          </w:p>
        </w:tc>
        <w:tc>
          <w:tcPr>
            <w:tcW w:w="260" w:type="pct"/>
            <w:tcBorders>
              <w:top w:val="nil"/>
              <w:left w:val="nil"/>
              <w:bottom w:val="nil"/>
              <w:right w:val="nil"/>
            </w:tcBorders>
            <w:shd w:val="clear" w:color="auto" w:fill="auto"/>
            <w:noWrap/>
            <w:vAlign w:val="bottom"/>
            <w:hideMark/>
          </w:tcPr>
          <w:p w14:paraId="2C562A97"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0ACB72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CFB13E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73782B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79ED7B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260" w:type="pct"/>
            <w:tcBorders>
              <w:top w:val="nil"/>
              <w:left w:val="nil"/>
              <w:bottom w:val="nil"/>
              <w:right w:val="nil"/>
            </w:tcBorders>
            <w:shd w:val="clear" w:color="auto" w:fill="auto"/>
            <w:noWrap/>
            <w:vAlign w:val="bottom"/>
            <w:hideMark/>
          </w:tcPr>
          <w:p w14:paraId="63C544A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1E823C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1B119A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230FFE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CD5B5D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DAD645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FEF9E7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69F506A"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8DCBED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w:t>
            </w:r>
          </w:p>
        </w:tc>
      </w:tr>
      <w:tr w:rsidR="00BE78EE" w:rsidRPr="00CB64DE" w14:paraId="73E1958C"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7F33F6F"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Polygonum </w:t>
            </w:r>
            <w:proofErr w:type="spellStart"/>
            <w:r w:rsidRPr="00C80F8D">
              <w:rPr>
                <w:rFonts w:eastAsia="Times New Roman" w:cs="Times New Roman"/>
                <w:i/>
                <w:iCs/>
                <w:color w:val="000000"/>
                <w:sz w:val="16"/>
                <w:szCs w:val="16"/>
                <w:lang w:eastAsia="en-AU"/>
              </w:rPr>
              <w:t>aviculare</w:t>
            </w:r>
            <w:proofErr w:type="spellEnd"/>
          </w:p>
        </w:tc>
        <w:tc>
          <w:tcPr>
            <w:tcW w:w="260" w:type="pct"/>
            <w:tcBorders>
              <w:top w:val="nil"/>
              <w:left w:val="nil"/>
              <w:bottom w:val="nil"/>
              <w:right w:val="nil"/>
            </w:tcBorders>
            <w:shd w:val="clear" w:color="auto" w:fill="auto"/>
            <w:noWrap/>
            <w:vAlign w:val="bottom"/>
            <w:hideMark/>
          </w:tcPr>
          <w:p w14:paraId="09D55CD8"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95783F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D6D743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B11312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D96D18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DF1CCC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04A2E9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8E9013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DE13A1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47F07D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85C510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89DE49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C576DA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365" w:type="pct"/>
            <w:tcBorders>
              <w:top w:val="nil"/>
              <w:left w:val="nil"/>
              <w:bottom w:val="nil"/>
              <w:right w:val="nil"/>
            </w:tcBorders>
            <w:shd w:val="clear" w:color="auto" w:fill="auto"/>
            <w:noWrap/>
            <w:vAlign w:val="bottom"/>
            <w:hideMark/>
          </w:tcPr>
          <w:p w14:paraId="7115FEE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301B53D6"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03318C4"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Ranunculus </w:t>
            </w:r>
            <w:proofErr w:type="spellStart"/>
            <w:r w:rsidRPr="00C80F8D">
              <w:rPr>
                <w:rFonts w:eastAsia="Times New Roman" w:cs="Times New Roman"/>
                <w:i/>
                <w:iCs/>
                <w:color w:val="000000"/>
                <w:sz w:val="16"/>
                <w:szCs w:val="16"/>
                <w:lang w:eastAsia="en-AU"/>
              </w:rPr>
              <w:t>sceleratus</w:t>
            </w:r>
            <w:proofErr w:type="spellEnd"/>
          </w:p>
        </w:tc>
        <w:tc>
          <w:tcPr>
            <w:tcW w:w="260" w:type="pct"/>
            <w:tcBorders>
              <w:top w:val="nil"/>
              <w:left w:val="nil"/>
              <w:bottom w:val="nil"/>
              <w:right w:val="nil"/>
            </w:tcBorders>
            <w:shd w:val="clear" w:color="auto" w:fill="auto"/>
            <w:noWrap/>
            <w:vAlign w:val="bottom"/>
            <w:hideMark/>
          </w:tcPr>
          <w:p w14:paraId="3349E940"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586121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371E8E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3FFF3B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D36074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CC301F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030522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8CB823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24E999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C6654F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CD6B39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3B5821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54CE0DB"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515B215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5D65C3B1"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36BFFED"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Rorippa</w:t>
            </w:r>
            <w:proofErr w:type="spellEnd"/>
            <w:r w:rsidRPr="00C80F8D">
              <w:rPr>
                <w:rFonts w:eastAsia="Times New Roman" w:cs="Times New Roman"/>
                <w:i/>
                <w:iCs/>
                <w:color w:val="000000"/>
                <w:sz w:val="16"/>
                <w:szCs w:val="16"/>
                <w:lang w:eastAsia="en-AU"/>
              </w:rPr>
              <w:t xml:space="preserve"> palustris</w:t>
            </w:r>
          </w:p>
        </w:tc>
        <w:tc>
          <w:tcPr>
            <w:tcW w:w="260" w:type="pct"/>
            <w:tcBorders>
              <w:top w:val="nil"/>
              <w:left w:val="nil"/>
              <w:bottom w:val="nil"/>
              <w:right w:val="nil"/>
            </w:tcBorders>
            <w:shd w:val="clear" w:color="auto" w:fill="auto"/>
            <w:noWrap/>
            <w:vAlign w:val="bottom"/>
            <w:hideMark/>
          </w:tcPr>
          <w:p w14:paraId="0145F002"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315261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D62FE0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9B7FE1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29B0D3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1561F6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FFF0C3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6840EA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3337F8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9B11E5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AE69CF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C20B60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DF30B05"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FFAA3A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r>
      <w:tr w:rsidR="00BE78EE" w:rsidRPr="00CB64DE" w14:paraId="21009049"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4113EB6"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Rumex </w:t>
            </w:r>
            <w:proofErr w:type="spellStart"/>
            <w:r w:rsidRPr="00C80F8D">
              <w:rPr>
                <w:rFonts w:eastAsia="Times New Roman" w:cs="Times New Roman"/>
                <w:i/>
                <w:iCs/>
                <w:color w:val="000000"/>
                <w:sz w:val="16"/>
                <w:szCs w:val="16"/>
                <w:lang w:eastAsia="en-AU"/>
              </w:rPr>
              <w:t>brownii</w:t>
            </w:r>
            <w:proofErr w:type="spellEnd"/>
          </w:p>
        </w:tc>
        <w:tc>
          <w:tcPr>
            <w:tcW w:w="260" w:type="pct"/>
            <w:tcBorders>
              <w:top w:val="nil"/>
              <w:left w:val="nil"/>
              <w:bottom w:val="nil"/>
              <w:right w:val="nil"/>
            </w:tcBorders>
            <w:shd w:val="clear" w:color="auto" w:fill="auto"/>
            <w:noWrap/>
            <w:vAlign w:val="bottom"/>
            <w:hideMark/>
          </w:tcPr>
          <w:p w14:paraId="449F84B0"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6B2331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D5F13C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386C75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49AD6E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3327A7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28FE87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5D5E58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9D39D7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64D099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475CF8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6A6663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8AB804E"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5665F8A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7B1A8B35"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DABF8CB"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Solanum nigrum</w:t>
            </w:r>
          </w:p>
        </w:tc>
        <w:tc>
          <w:tcPr>
            <w:tcW w:w="260" w:type="pct"/>
            <w:tcBorders>
              <w:top w:val="nil"/>
              <w:left w:val="nil"/>
              <w:bottom w:val="nil"/>
              <w:right w:val="nil"/>
            </w:tcBorders>
            <w:shd w:val="clear" w:color="auto" w:fill="auto"/>
            <w:noWrap/>
            <w:vAlign w:val="bottom"/>
            <w:hideMark/>
          </w:tcPr>
          <w:p w14:paraId="39744708"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CD5DC1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369448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877F28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C9ED62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148AF5E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208874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C3B231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3BCD5F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E69EEB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0F828A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B3CEC7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B481129"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66C6FE6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522F44AA"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445B6FA2"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lastRenderedPageBreak/>
              <w:t>Symphyotrichum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subulatum</w:t>
            </w:r>
            <w:proofErr w:type="spellEnd"/>
          </w:p>
        </w:tc>
        <w:tc>
          <w:tcPr>
            <w:tcW w:w="260" w:type="pct"/>
            <w:tcBorders>
              <w:top w:val="nil"/>
              <w:left w:val="nil"/>
              <w:bottom w:val="nil"/>
              <w:right w:val="nil"/>
            </w:tcBorders>
            <w:shd w:val="clear" w:color="auto" w:fill="auto"/>
            <w:noWrap/>
            <w:vAlign w:val="bottom"/>
            <w:hideMark/>
          </w:tcPr>
          <w:p w14:paraId="02D66B9A"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6EAACF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16</w:t>
            </w:r>
          </w:p>
        </w:tc>
        <w:tc>
          <w:tcPr>
            <w:tcW w:w="260" w:type="pct"/>
            <w:tcBorders>
              <w:top w:val="nil"/>
              <w:left w:val="nil"/>
              <w:bottom w:val="nil"/>
              <w:right w:val="nil"/>
            </w:tcBorders>
            <w:shd w:val="clear" w:color="auto" w:fill="auto"/>
            <w:noWrap/>
            <w:vAlign w:val="bottom"/>
            <w:hideMark/>
          </w:tcPr>
          <w:p w14:paraId="23F963A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171072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41</w:t>
            </w:r>
          </w:p>
        </w:tc>
        <w:tc>
          <w:tcPr>
            <w:tcW w:w="260" w:type="pct"/>
            <w:tcBorders>
              <w:top w:val="nil"/>
              <w:left w:val="nil"/>
              <w:bottom w:val="nil"/>
              <w:right w:val="nil"/>
            </w:tcBorders>
            <w:shd w:val="clear" w:color="auto" w:fill="auto"/>
            <w:noWrap/>
            <w:vAlign w:val="bottom"/>
            <w:hideMark/>
          </w:tcPr>
          <w:p w14:paraId="582C95A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175CE6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F7C421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D009C8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B8128D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509162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8A4942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CD4E49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E52BD84"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073D353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59</w:t>
            </w:r>
          </w:p>
        </w:tc>
      </w:tr>
      <w:tr w:rsidR="00BE78EE" w:rsidRPr="00CB64DE" w14:paraId="0F6D14CF"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A6A04BF"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Typha </w:t>
            </w:r>
            <w:r w:rsidRPr="00C80F8D">
              <w:rPr>
                <w:rFonts w:eastAsia="Times New Roman" w:cs="Times New Roman"/>
                <w:color w:val="000000"/>
                <w:sz w:val="16"/>
                <w:szCs w:val="16"/>
                <w:lang w:eastAsia="en-AU"/>
              </w:rPr>
              <w:t>spp</w:t>
            </w:r>
            <w:r w:rsidRPr="00C80F8D">
              <w:rPr>
                <w:rFonts w:eastAsia="Times New Roman" w:cs="Times New Roman"/>
                <w:i/>
                <w:iCs/>
                <w:color w:val="000000"/>
                <w:sz w:val="16"/>
                <w:szCs w:val="16"/>
                <w:lang w:eastAsia="en-AU"/>
              </w:rPr>
              <w:t>.</w:t>
            </w:r>
          </w:p>
        </w:tc>
        <w:tc>
          <w:tcPr>
            <w:tcW w:w="260" w:type="pct"/>
            <w:tcBorders>
              <w:top w:val="nil"/>
              <w:left w:val="nil"/>
              <w:bottom w:val="nil"/>
              <w:right w:val="nil"/>
            </w:tcBorders>
            <w:shd w:val="clear" w:color="auto" w:fill="auto"/>
            <w:noWrap/>
            <w:vAlign w:val="bottom"/>
            <w:hideMark/>
          </w:tcPr>
          <w:p w14:paraId="50450F2B"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463C12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1F601E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5B3199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2E96B3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FC2A75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999D12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CFA83C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19DB69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A71B3A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70561B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4815ED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2218B3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365" w:type="pct"/>
            <w:tcBorders>
              <w:top w:val="nil"/>
              <w:left w:val="nil"/>
              <w:bottom w:val="nil"/>
              <w:right w:val="nil"/>
            </w:tcBorders>
            <w:shd w:val="clear" w:color="auto" w:fill="auto"/>
            <w:noWrap/>
            <w:vAlign w:val="bottom"/>
            <w:hideMark/>
          </w:tcPr>
          <w:p w14:paraId="6BE6C6F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r>
      <w:tr w:rsidR="00BE78EE" w:rsidRPr="00CB64DE" w14:paraId="4BDABBC3"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6C3F987"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Verbena officinalis</w:t>
            </w:r>
          </w:p>
        </w:tc>
        <w:tc>
          <w:tcPr>
            <w:tcW w:w="260" w:type="pct"/>
            <w:tcBorders>
              <w:top w:val="nil"/>
              <w:left w:val="nil"/>
              <w:bottom w:val="nil"/>
              <w:right w:val="nil"/>
            </w:tcBorders>
            <w:shd w:val="clear" w:color="auto" w:fill="auto"/>
            <w:noWrap/>
            <w:vAlign w:val="bottom"/>
            <w:hideMark/>
          </w:tcPr>
          <w:p w14:paraId="07488FF4"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5C74A4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97A2A7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EBBDD7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82AF31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2BCBEA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DEAEBD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865F1B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9F6E14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F2C6A6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5FAF1E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71FB1E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5F94D6D"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581C2C4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77C31B18"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162153D"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Wahlenbergia</w:t>
            </w:r>
            <w:proofErr w:type="spellEnd"/>
            <w:r w:rsidRPr="00C80F8D">
              <w:rPr>
                <w:rFonts w:eastAsia="Times New Roman" w:cs="Times New Roman"/>
                <w:i/>
                <w:iCs/>
                <w:color w:val="000000"/>
                <w:sz w:val="16"/>
                <w:szCs w:val="16"/>
                <w:lang w:eastAsia="en-AU"/>
              </w:rPr>
              <w:t xml:space="preserve"> </w:t>
            </w:r>
            <w:r w:rsidRPr="00C80F8D">
              <w:rPr>
                <w:rFonts w:eastAsia="Times New Roman" w:cs="Times New Roman"/>
                <w:color w:val="000000"/>
                <w:sz w:val="16"/>
                <w:szCs w:val="16"/>
                <w:lang w:eastAsia="en-AU"/>
              </w:rPr>
              <w:t>spp</w:t>
            </w:r>
            <w:r w:rsidRPr="00C80F8D">
              <w:rPr>
                <w:rFonts w:eastAsia="Times New Roman" w:cs="Times New Roman"/>
                <w:i/>
                <w:iCs/>
                <w:color w:val="000000"/>
                <w:sz w:val="16"/>
                <w:szCs w:val="16"/>
                <w:lang w:eastAsia="en-AU"/>
              </w:rPr>
              <w:t>.</w:t>
            </w:r>
          </w:p>
        </w:tc>
        <w:tc>
          <w:tcPr>
            <w:tcW w:w="260" w:type="pct"/>
            <w:tcBorders>
              <w:top w:val="nil"/>
              <w:left w:val="nil"/>
              <w:bottom w:val="nil"/>
              <w:right w:val="nil"/>
            </w:tcBorders>
            <w:shd w:val="clear" w:color="auto" w:fill="auto"/>
            <w:noWrap/>
            <w:vAlign w:val="bottom"/>
            <w:hideMark/>
          </w:tcPr>
          <w:p w14:paraId="4AD58021"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BA149F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59EF8E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EC0432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60DC619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199C46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30FE99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172</w:t>
            </w:r>
          </w:p>
        </w:tc>
        <w:tc>
          <w:tcPr>
            <w:tcW w:w="260" w:type="pct"/>
            <w:tcBorders>
              <w:top w:val="nil"/>
              <w:left w:val="nil"/>
              <w:bottom w:val="nil"/>
              <w:right w:val="nil"/>
            </w:tcBorders>
            <w:shd w:val="clear" w:color="auto" w:fill="auto"/>
            <w:noWrap/>
            <w:vAlign w:val="bottom"/>
            <w:hideMark/>
          </w:tcPr>
          <w:p w14:paraId="14807D8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17</w:t>
            </w:r>
          </w:p>
        </w:tc>
        <w:tc>
          <w:tcPr>
            <w:tcW w:w="260" w:type="pct"/>
            <w:tcBorders>
              <w:top w:val="nil"/>
              <w:left w:val="nil"/>
              <w:bottom w:val="nil"/>
              <w:right w:val="nil"/>
            </w:tcBorders>
            <w:shd w:val="clear" w:color="auto" w:fill="auto"/>
            <w:noWrap/>
            <w:vAlign w:val="bottom"/>
            <w:hideMark/>
          </w:tcPr>
          <w:p w14:paraId="205D64B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9ECE36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4FDBF93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4F45D3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DA9D815"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7D37F3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196</w:t>
            </w:r>
          </w:p>
        </w:tc>
      </w:tr>
      <w:tr w:rsidR="00BE78EE" w:rsidRPr="00CB64DE" w14:paraId="13B7F436" w14:textId="77777777" w:rsidTr="00F768CB">
        <w:trPr>
          <w:trHeight w:val="300"/>
          <w:jc w:val="center"/>
        </w:trPr>
        <w:tc>
          <w:tcPr>
            <w:tcW w:w="1255" w:type="pct"/>
            <w:tcBorders>
              <w:top w:val="nil"/>
              <w:left w:val="nil"/>
              <w:right w:val="nil"/>
            </w:tcBorders>
            <w:shd w:val="clear" w:color="auto" w:fill="auto"/>
            <w:noWrap/>
            <w:vAlign w:val="bottom"/>
            <w:hideMark/>
          </w:tcPr>
          <w:p w14:paraId="12F34C93" w14:textId="77777777" w:rsidR="00BE78EE" w:rsidRPr="00CB64DE" w:rsidRDefault="00BE78EE" w:rsidP="00E26D3C">
            <w:pPr>
              <w:spacing w:after="0" w:line="240" w:lineRule="auto"/>
              <w:rPr>
                <w:rFonts w:eastAsia="Times New Roman" w:cs="Times New Roman"/>
                <w:b/>
                <w:bCs/>
                <w:color w:val="000000"/>
                <w:sz w:val="16"/>
                <w:szCs w:val="16"/>
                <w:lang w:eastAsia="en-AU"/>
              </w:rPr>
            </w:pPr>
            <w:r w:rsidRPr="00CB64DE">
              <w:rPr>
                <w:rFonts w:eastAsia="Times New Roman" w:cs="Times New Roman"/>
                <w:b/>
                <w:bCs/>
                <w:color w:val="000000"/>
                <w:sz w:val="16"/>
                <w:szCs w:val="16"/>
                <w:lang w:eastAsia="en-AU"/>
              </w:rPr>
              <w:t>R7</w:t>
            </w:r>
          </w:p>
        </w:tc>
        <w:tc>
          <w:tcPr>
            <w:tcW w:w="260" w:type="pct"/>
            <w:tcBorders>
              <w:top w:val="nil"/>
              <w:left w:val="nil"/>
              <w:right w:val="nil"/>
            </w:tcBorders>
            <w:shd w:val="clear" w:color="auto" w:fill="auto"/>
            <w:noWrap/>
            <w:vAlign w:val="bottom"/>
          </w:tcPr>
          <w:p w14:paraId="1ACD69C3"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555F26D2"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3E611CFB"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2EA1A918"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0AE0C461"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6BDA7BBA"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37C97B24"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4785F58F"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792A54D9"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68060A3B"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4AC36DF2"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465DC810"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260" w:type="pct"/>
            <w:tcBorders>
              <w:top w:val="nil"/>
              <w:left w:val="nil"/>
              <w:right w:val="nil"/>
            </w:tcBorders>
            <w:shd w:val="clear" w:color="auto" w:fill="auto"/>
            <w:noWrap/>
            <w:vAlign w:val="bottom"/>
          </w:tcPr>
          <w:p w14:paraId="16D0DDEA"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c>
          <w:tcPr>
            <w:tcW w:w="365" w:type="pct"/>
            <w:tcBorders>
              <w:top w:val="nil"/>
              <w:left w:val="nil"/>
              <w:right w:val="nil"/>
            </w:tcBorders>
            <w:shd w:val="clear" w:color="auto" w:fill="auto"/>
            <w:noWrap/>
            <w:vAlign w:val="bottom"/>
          </w:tcPr>
          <w:p w14:paraId="65DE1426" w14:textId="77777777" w:rsidR="00BE78EE" w:rsidRPr="00CB64DE" w:rsidRDefault="00BE78EE" w:rsidP="00E26D3C">
            <w:pPr>
              <w:spacing w:after="0" w:line="240" w:lineRule="auto"/>
              <w:jc w:val="right"/>
              <w:rPr>
                <w:rFonts w:eastAsia="Times New Roman" w:cs="Times New Roman"/>
                <w:b/>
                <w:bCs/>
                <w:color w:val="000000"/>
                <w:sz w:val="16"/>
                <w:szCs w:val="16"/>
                <w:lang w:eastAsia="en-AU"/>
              </w:rPr>
            </w:pPr>
          </w:p>
        </w:tc>
      </w:tr>
      <w:tr w:rsidR="00BE78EE" w:rsidRPr="00CB64DE" w14:paraId="125DA7DB"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3207F81"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Acacia dealbata</w:t>
            </w:r>
          </w:p>
        </w:tc>
        <w:tc>
          <w:tcPr>
            <w:tcW w:w="260" w:type="pct"/>
            <w:tcBorders>
              <w:top w:val="nil"/>
              <w:left w:val="nil"/>
              <w:bottom w:val="nil"/>
              <w:right w:val="nil"/>
            </w:tcBorders>
            <w:shd w:val="clear" w:color="auto" w:fill="auto"/>
            <w:noWrap/>
            <w:vAlign w:val="bottom"/>
            <w:hideMark/>
          </w:tcPr>
          <w:p w14:paraId="60C84111"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D7514C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FAAC37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519E72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DC68A9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c>
          <w:tcPr>
            <w:tcW w:w="260" w:type="pct"/>
            <w:tcBorders>
              <w:top w:val="nil"/>
              <w:left w:val="nil"/>
              <w:bottom w:val="nil"/>
              <w:right w:val="nil"/>
            </w:tcBorders>
            <w:shd w:val="clear" w:color="auto" w:fill="auto"/>
            <w:noWrap/>
            <w:vAlign w:val="bottom"/>
            <w:hideMark/>
          </w:tcPr>
          <w:p w14:paraId="74C02D4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0B96F0D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38A12F8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w:t>
            </w:r>
          </w:p>
        </w:tc>
        <w:tc>
          <w:tcPr>
            <w:tcW w:w="260" w:type="pct"/>
            <w:tcBorders>
              <w:top w:val="nil"/>
              <w:left w:val="nil"/>
              <w:bottom w:val="nil"/>
              <w:right w:val="nil"/>
            </w:tcBorders>
            <w:shd w:val="clear" w:color="auto" w:fill="auto"/>
            <w:noWrap/>
            <w:vAlign w:val="bottom"/>
            <w:hideMark/>
          </w:tcPr>
          <w:p w14:paraId="1AAA4C2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239424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9B04EC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BCBBA0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1ABA6A9"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0125634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w:t>
            </w:r>
          </w:p>
        </w:tc>
      </w:tr>
      <w:tr w:rsidR="00BE78EE" w:rsidRPr="00CB64DE" w14:paraId="49CACDB5"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DFD3DF9"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Alternanthera </w:t>
            </w:r>
            <w:proofErr w:type="spellStart"/>
            <w:r w:rsidRPr="00C80F8D">
              <w:rPr>
                <w:rFonts w:eastAsia="Times New Roman" w:cs="Times New Roman"/>
                <w:i/>
                <w:iCs/>
                <w:color w:val="000000"/>
                <w:sz w:val="16"/>
                <w:szCs w:val="16"/>
                <w:lang w:eastAsia="en-AU"/>
              </w:rPr>
              <w:t>denticulata</w:t>
            </w:r>
            <w:proofErr w:type="spellEnd"/>
          </w:p>
        </w:tc>
        <w:tc>
          <w:tcPr>
            <w:tcW w:w="260" w:type="pct"/>
            <w:tcBorders>
              <w:top w:val="nil"/>
              <w:left w:val="nil"/>
              <w:bottom w:val="nil"/>
              <w:right w:val="nil"/>
            </w:tcBorders>
            <w:shd w:val="clear" w:color="auto" w:fill="auto"/>
            <w:noWrap/>
            <w:vAlign w:val="bottom"/>
            <w:hideMark/>
          </w:tcPr>
          <w:p w14:paraId="673F4E6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02AF14C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23</w:t>
            </w:r>
          </w:p>
        </w:tc>
        <w:tc>
          <w:tcPr>
            <w:tcW w:w="260" w:type="pct"/>
            <w:tcBorders>
              <w:top w:val="nil"/>
              <w:left w:val="nil"/>
              <w:bottom w:val="nil"/>
              <w:right w:val="nil"/>
            </w:tcBorders>
            <w:shd w:val="clear" w:color="auto" w:fill="auto"/>
            <w:noWrap/>
            <w:vAlign w:val="bottom"/>
            <w:hideMark/>
          </w:tcPr>
          <w:p w14:paraId="11BBF7B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31C26B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A07150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CBE647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39</w:t>
            </w:r>
          </w:p>
        </w:tc>
        <w:tc>
          <w:tcPr>
            <w:tcW w:w="260" w:type="pct"/>
            <w:tcBorders>
              <w:top w:val="nil"/>
              <w:left w:val="nil"/>
              <w:bottom w:val="nil"/>
              <w:right w:val="nil"/>
            </w:tcBorders>
            <w:shd w:val="clear" w:color="auto" w:fill="auto"/>
            <w:noWrap/>
            <w:vAlign w:val="bottom"/>
            <w:hideMark/>
          </w:tcPr>
          <w:p w14:paraId="4F21088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c>
          <w:tcPr>
            <w:tcW w:w="260" w:type="pct"/>
            <w:tcBorders>
              <w:top w:val="nil"/>
              <w:left w:val="nil"/>
              <w:bottom w:val="nil"/>
              <w:right w:val="nil"/>
            </w:tcBorders>
            <w:shd w:val="clear" w:color="auto" w:fill="auto"/>
            <w:noWrap/>
            <w:vAlign w:val="bottom"/>
            <w:hideMark/>
          </w:tcPr>
          <w:p w14:paraId="415171C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6C86720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CD139C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29</w:t>
            </w:r>
          </w:p>
        </w:tc>
        <w:tc>
          <w:tcPr>
            <w:tcW w:w="260" w:type="pct"/>
            <w:tcBorders>
              <w:top w:val="nil"/>
              <w:left w:val="nil"/>
              <w:bottom w:val="nil"/>
              <w:right w:val="nil"/>
            </w:tcBorders>
            <w:shd w:val="clear" w:color="auto" w:fill="auto"/>
            <w:noWrap/>
            <w:vAlign w:val="bottom"/>
            <w:hideMark/>
          </w:tcPr>
          <w:p w14:paraId="01A1786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41</w:t>
            </w:r>
          </w:p>
        </w:tc>
        <w:tc>
          <w:tcPr>
            <w:tcW w:w="260" w:type="pct"/>
            <w:tcBorders>
              <w:top w:val="nil"/>
              <w:left w:val="nil"/>
              <w:bottom w:val="nil"/>
              <w:right w:val="nil"/>
            </w:tcBorders>
            <w:shd w:val="clear" w:color="auto" w:fill="auto"/>
            <w:noWrap/>
            <w:vAlign w:val="bottom"/>
            <w:hideMark/>
          </w:tcPr>
          <w:p w14:paraId="2A94F8C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30190A0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4BA310D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152</w:t>
            </w:r>
          </w:p>
        </w:tc>
      </w:tr>
      <w:tr w:rsidR="00BE78EE" w:rsidRPr="00CB64DE" w14:paraId="21753CC4"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4426BA1"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Callitriche </w:t>
            </w:r>
            <w:proofErr w:type="spellStart"/>
            <w:r w:rsidRPr="00C80F8D">
              <w:rPr>
                <w:rFonts w:eastAsia="Times New Roman" w:cs="Times New Roman"/>
                <w:i/>
                <w:iCs/>
                <w:color w:val="000000"/>
                <w:sz w:val="16"/>
                <w:szCs w:val="16"/>
                <w:lang w:eastAsia="en-AU"/>
              </w:rPr>
              <w:t>sonderi</w:t>
            </w:r>
            <w:proofErr w:type="spellEnd"/>
          </w:p>
        </w:tc>
        <w:tc>
          <w:tcPr>
            <w:tcW w:w="260" w:type="pct"/>
            <w:tcBorders>
              <w:top w:val="nil"/>
              <w:left w:val="nil"/>
              <w:bottom w:val="nil"/>
              <w:right w:val="nil"/>
            </w:tcBorders>
            <w:shd w:val="clear" w:color="auto" w:fill="auto"/>
            <w:noWrap/>
            <w:vAlign w:val="bottom"/>
            <w:hideMark/>
          </w:tcPr>
          <w:p w14:paraId="0327AEEC"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46E466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58F15B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D40DE7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CA3D5B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44AE72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892D84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47FE11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8EB7CF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D25AD0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96BC03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5B982D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8DDB79F"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0CD9FAC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15A5CE8C"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9A8FAB4"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Centipeda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cunninghamii</w:t>
            </w:r>
            <w:proofErr w:type="spellEnd"/>
          </w:p>
        </w:tc>
        <w:tc>
          <w:tcPr>
            <w:tcW w:w="260" w:type="pct"/>
            <w:tcBorders>
              <w:top w:val="nil"/>
              <w:left w:val="nil"/>
              <w:bottom w:val="nil"/>
              <w:right w:val="nil"/>
            </w:tcBorders>
            <w:shd w:val="clear" w:color="auto" w:fill="auto"/>
            <w:noWrap/>
            <w:vAlign w:val="bottom"/>
            <w:hideMark/>
          </w:tcPr>
          <w:p w14:paraId="52A69A84"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C828C9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16</w:t>
            </w:r>
          </w:p>
        </w:tc>
        <w:tc>
          <w:tcPr>
            <w:tcW w:w="260" w:type="pct"/>
            <w:tcBorders>
              <w:top w:val="nil"/>
              <w:left w:val="nil"/>
              <w:bottom w:val="nil"/>
              <w:right w:val="nil"/>
            </w:tcBorders>
            <w:shd w:val="clear" w:color="auto" w:fill="auto"/>
            <w:noWrap/>
            <w:vAlign w:val="bottom"/>
            <w:hideMark/>
          </w:tcPr>
          <w:p w14:paraId="1758B0D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084C0C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FE3A31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16</w:t>
            </w:r>
          </w:p>
        </w:tc>
        <w:tc>
          <w:tcPr>
            <w:tcW w:w="260" w:type="pct"/>
            <w:tcBorders>
              <w:top w:val="nil"/>
              <w:left w:val="nil"/>
              <w:bottom w:val="nil"/>
              <w:right w:val="nil"/>
            </w:tcBorders>
            <w:shd w:val="clear" w:color="auto" w:fill="auto"/>
            <w:noWrap/>
            <w:vAlign w:val="bottom"/>
            <w:hideMark/>
          </w:tcPr>
          <w:p w14:paraId="1AF4E10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F68C4E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3157583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7EE1197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C99D28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42D593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6AC5196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266B7C2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0485A20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46</w:t>
            </w:r>
          </w:p>
        </w:tc>
      </w:tr>
      <w:tr w:rsidR="00BE78EE" w:rsidRPr="00CB64DE" w14:paraId="6BC19288"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4F188D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Centipeda</w:t>
            </w:r>
            <w:proofErr w:type="spellEnd"/>
            <w:r w:rsidRPr="00C80F8D">
              <w:rPr>
                <w:rFonts w:eastAsia="Times New Roman" w:cs="Times New Roman"/>
                <w:i/>
                <w:iCs/>
                <w:color w:val="000000"/>
                <w:sz w:val="16"/>
                <w:szCs w:val="16"/>
                <w:lang w:eastAsia="en-AU"/>
              </w:rPr>
              <w:t xml:space="preserve"> minima</w:t>
            </w:r>
          </w:p>
        </w:tc>
        <w:tc>
          <w:tcPr>
            <w:tcW w:w="260" w:type="pct"/>
            <w:tcBorders>
              <w:top w:val="nil"/>
              <w:left w:val="nil"/>
              <w:bottom w:val="nil"/>
              <w:right w:val="nil"/>
            </w:tcBorders>
            <w:shd w:val="clear" w:color="auto" w:fill="auto"/>
            <w:noWrap/>
            <w:vAlign w:val="bottom"/>
            <w:hideMark/>
          </w:tcPr>
          <w:p w14:paraId="111B2128"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8D3C3D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55</w:t>
            </w:r>
          </w:p>
        </w:tc>
        <w:tc>
          <w:tcPr>
            <w:tcW w:w="260" w:type="pct"/>
            <w:tcBorders>
              <w:top w:val="nil"/>
              <w:left w:val="nil"/>
              <w:bottom w:val="nil"/>
              <w:right w:val="nil"/>
            </w:tcBorders>
            <w:shd w:val="clear" w:color="auto" w:fill="auto"/>
            <w:noWrap/>
            <w:vAlign w:val="bottom"/>
            <w:hideMark/>
          </w:tcPr>
          <w:p w14:paraId="4F0CCD7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9326D0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E8E4F0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13</w:t>
            </w:r>
          </w:p>
        </w:tc>
        <w:tc>
          <w:tcPr>
            <w:tcW w:w="260" w:type="pct"/>
            <w:tcBorders>
              <w:top w:val="nil"/>
              <w:left w:val="nil"/>
              <w:bottom w:val="nil"/>
              <w:right w:val="nil"/>
            </w:tcBorders>
            <w:shd w:val="clear" w:color="auto" w:fill="auto"/>
            <w:noWrap/>
            <w:vAlign w:val="bottom"/>
            <w:hideMark/>
          </w:tcPr>
          <w:p w14:paraId="1479DDE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w:t>
            </w:r>
          </w:p>
        </w:tc>
        <w:tc>
          <w:tcPr>
            <w:tcW w:w="260" w:type="pct"/>
            <w:tcBorders>
              <w:top w:val="nil"/>
              <w:left w:val="nil"/>
              <w:bottom w:val="nil"/>
              <w:right w:val="nil"/>
            </w:tcBorders>
            <w:shd w:val="clear" w:color="auto" w:fill="auto"/>
            <w:noWrap/>
            <w:vAlign w:val="bottom"/>
            <w:hideMark/>
          </w:tcPr>
          <w:p w14:paraId="224319D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13</w:t>
            </w:r>
          </w:p>
        </w:tc>
        <w:tc>
          <w:tcPr>
            <w:tcW w:w="260" w:type="pct"/>
            <w:tcBorders>
              <w:top w:val="nil"/>
              <w:left w:val="nil"/>
              <w:bottom w:val="nil"/>
              <w:right w:val="nil"/>
            </w:tcBorders>
            <w:shd w:val="clear" w:color="auto" w:fill="auto"/>
            <w:noWrap/>
            <w:vAlign w:val="bottom"/>
            <w:hideMark/>
          </w:tcPr>
          <w:p w14:paraId="03436A6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w:t>
            </w:r>
          </w:p>
        </w:tc>
        <w:tc>
          <w:tcPr>
            <w:tcW w:w="260" w:type="pct"/>
            <w:tcBorders>
              <w:top w:val="nil"/>
              <w:left w:val="nil"/>
              <w:bottom w:val="nil"/>
              <w:right w:val="nil"/>
            </w:tcBorders>
            <w:shd w:val="clear" w:color="auto" w:fill="auto"/>
            <w:noWrap/>
            <w:vAlign w:val="bottom"/>
            <w:hideMark/>
          </w:tcPr>
          <w:p w14:paraId="4C54EF3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169107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66AA1BD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26FA18B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6393CF2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387E990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122</w:t>
            </w:r>
          </w:p>
        </w:tc>
      </w:tr>
      <w:tr w:rsidR="00BE78EE" w:rsidRPr="00CB64DE" w14:paraId="71BD3AB0"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C1F684F"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Cyperus </w:t>
            </w:r>
            <w:proofErr w:type="spellStart"/>
            <w:r w:rsidRPr="00C80F8D">
              <w:rPr>
                <w:rFonts w:eastAsia="Times New Roman" w:cs="Times New Roman"/>
                <w:i/>
                <w:iCs/>
                <w:color w:val="000000"/>
                <w:sz w:val="16"/>
                <w:szCs w:val="16"/>
                <w:lang w:eastAsia="en-AU"/>
              </w:rPr>
              <w:t>difformis</w:t>
            </w:r>
            <w:proofErr w:type="spellEnd"/>
          </w:p>
        </w:tc>
        <w:tc>
          <w:tcPr>
            <w:tcW w:w="260" w:type="pct"/>
            <w:tcBorders>
              <w:top w:val="nil"/>
              <w:left w:val="nil"/>
              <w:bottom w:val="nil"/>
              <w:right w:val="nil"/>
            </w:tcBorders>
            <w:shd w:val="clear" w:color="auto" w:fill="auto"/>
            <w:noWrap/>
            <w:vAlign w:val="bottom"/>
            <w:hideMark/>
          </w:tcPr>
          <w:p w14:paraId="5BF1971C"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E3EE31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2D9BB67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9B4A2E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1DACC1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1D55DF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1826FA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401FF8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BB3EDA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0B0E7D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DBA606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211CFC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05BC6CA"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6BE600E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r>
      <w:tr w:rsidR="00BE78EE" w:rsidRPr="00CB64DE" w14:paraId="53FDABA0"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381688E"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Cyperus </w:t>
            </w:r>
            <w:proofErr w:type="spellStart"/>
            <w:r w:rsidRPr="00C80F8D">
              <w:rPr>
                <w:rFonts w:eastAsia="Times New Roman" w:cs="Times New Roman"/>
                <w:i/>
                <w:iCs/>
                <w:color w:val="000000"/>
                <w:sz w:val="16"/>
                <w:szCs w:val="16"/>
                <w:lang w:eastAsia="en-AU"/>
              </w:rPr>
              <w:t>eragrostis</w:t>
            </w:r>
            <w:proofErr w:type="spellEnd"/>
          </w:p>
        </w:tc>
        <w:tc>
          <w:tcPr>
            <w:tcW w:w="260" w:type="pct"/>
            <w:tcBorders>
              <w:top w:val="nil"/>
              <w:left w:val="nil"/>
              <w:bottom w:val="nil"/>
              <w:right w:val="nil"/>
            </w:tcBorders>
            <w:shd w:val="clear" w:color="auto" w:fill="auto"/>
            <w:noWrap/>
            <w:vAlign w:val="bottom"/>
            <w:hideMark/>
          </w:tcPr>
          <w:p w14:paraId="1694B16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88</w:t>
            </w:r>
          </w:p>
        </w:tc>
        <w:tc>
          <w:tcPr>
            <w:tcW w:w="260" w:type="pct"/>
            <w:tcBorders>
              <w:top w:val="nil"/>
              <w:left w:val="nil"/>
              <w:bottom w:val="nil"/>
              <w:right w:val="nil"/>
            </w:tcBorders>
            <w:shd w:val="clear" w:color="auto" w:fill="auto"/>
            <w:noWrap/>
            <w:vAlign w:val="bottom"/>
            <w:hideMark/>
          </w:tcPr>
          <w:p w14:paraId="6165AD0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361</w:t>
            </w:r>
          </w:p>
        </w:tc>
        <w:tc>
          <w:tcPr>
            <w:tcW w:w="260" w:type="pct"/>
            <w:tcBorders>
              <w:top w:val="nil"/>
              <w:left w:val="nil"/>
              <w:bottom w:val="nil"/>
              <w:right w:val="nil"/>
            </w:tcBorders>
            <w:shd w:val="clear" w:color="auto" w:fill="auto"/>
            <w:noWrap/>
            <w:vAlign w:val="bottom"/>
            <w:hideMark/>
          </w:tcPr>
          <w:p w14:paraId="14AAE63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B4F9B0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7FC73A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143</w:t>
            </w:r>
          </w:p>
        </w:tc>
        <w:tc>
          <w:tcPr>
            <w:tcW w:w="260" w:type="pct"/>
            <w:tcBorders>
              <w:top w:val="nil"/>
              <w:left w:val="nil"/>
              <w:bottom w:val="nil"/>
              <w:right w:val="nil"/>
            </w:tcBorders>
            <w:shd w:val="clear" w:color="auto" w:fill="auto"/>
            <w:noWrap/>
            <w:vAlign w:val="bottom"/>
            <w:hideMark/>
          </w:tcPr>
          <w:p w14:paraId="6AEE9CF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20</w:t>
            </w:r>
          </w:p>
        </w:tc>
        <w:tc>
          <w:tcPr>
            <w:tcW w:w="260" w:type="pct"/>
            <w:tcBorders>
              <w:top w:val="nil"/>
              <w:left w:val="nil"/>
              <w:bottom w:val="nil"/>
              <w:right w:val="nil"/>
            </w:tcBorders>
            <w:shd w:val="clear" w:color="auto" w:fill="auto"/>
            <w:noWrap/>
            <w:vAlign w:val="bottom"/>
            <w:hideMark/>
          </w:tcPr>
          <w:p w14:paraId="5F08D03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52</w:t>
            </w:r>
          </w:p>
        </w:tc>
        <w:tc>
          <w:tcPr>
            <w:tcW w:w="260" w:type="pct"/>
            <w:tcBorders>
              <w:top w:val="nil"/>
              <w:left w:val="nil"/>
              <w:bottom w:val="nil"/>
              <w:right w:val="nil"/>
            </w:tcBorders>
            <w:shd w:val="clear" w:color="auto" w:fill="auto"/>
            <w:noWrap/>
            <w:vAlign w:val="bottom"/>
            <w:hideMark/>
          </w:tcPr>
          <w:p w14:paraId="70291DE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239</w:t>
            </w:r>
          </w:p>
        </w:tc>
        <w:tc>
          <w:tcPr>
            <w:tcW w:w="260" w:type="pct"/>
            <w:tcBorders>
              <w:top w:val="nil"/>
              <w:left w:val="nil"/>
              <w:bottom w:val="nil"/>
              <w:right w:val="nil"/>
            </w:tcBorders>
            <w:shd w:val="clear" w:color="auto" w:fill="auto"/>
            <w:noWrap/>
            <w:vAlign w:val="bottom"/>
            <w:hideMark/>
          </w:tcPr>
          <w:p w14:paraId="746D292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1AD03E9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40</w:t>
            </w:r>
          </w:p>
        </w:tc>
        <w:tc>
          <w:tcPr>
            <w:tcW w:w="260" w:type="pct"/>
            <w:tcBorders>
              <w:top w:val="nil"/>
              <w:left w:val="nil"/>
              <w:bottom w:val="nil"/>
              <w:right w:val="nil"/>
            </w:tcBorders>
            <w:shd w:val="clear" w:color="auto" w:fill="auto"/>
            <w:noWrap/>
            <w:vAlign w:val="bottom"/>
            <w:hideMark/>
          </w:tcPr>
          <w:p w14:paraId="41FE121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151</w:t>
            </w:r>
          </w:p>
        </w:tc>
        <w:tc>
          <w:tcPr>
            <w:tcW w:w="260" w:type="pct"/>
            <w:tcBorders>
              <w:top w:val="nil"/>
              <w:left w:val="nil"/>
              <w:bottom w:val="nil"/>
              <w:right w:val="nil"/>
            </w:tcBorders>
            <w:shd w:val="clear" w:color="auto" w:fill="auto"/>
            <w:noWrap/>
            <w:vAlign w:val="bottom"/>
            <w:hideMark/>
          </w:tcPr>
          <w:p w14:paraId="4B08605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85</w:t>
            </w:r>
          </w:p>
        </w:tc>
        <w:tc>
          <w:tcPr>
            <w:tcW w:w="260" w:type="pct"/>
            <w:tcBorders>
              <w:top w:val="nil"/>
              <w:left w:val="nil"/>
              <w:bottom w:val="nil"/>
              <w:right w:val="nil"/>
            </w:tcBorders>
            <w:shd w:val="clear" w:color="auto" w:fill="auto"/>
            <w:noWrap/>
            <w:vAlign w:val="bottom"/>
            <w:hideMark/>
          </w:tcPr>
          <w:p w14:paraId="1B64794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365" w:type="pct"/>
            <w:tcBorders>
              <w:top w:val="nil"/>
              <w:left w:val="nil"/>
              <w:bottom w:val="nil"/>
              <w:right w:val="nil"/>
            </w:tcBorders>
            <w:shd w:val="clear" w:color="auto" w:fill="auto"/>
            <w:noWrap/>
            <w:vAlign w:val="bottom"/>
            <w:hideMark/>
          </w:tcPr>
          <w:p w14:paraId="788CFE1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1184</w:t>
            </w:r>
          </w:p>
        </w:tc>
      </w:tr>
      <w:tr w:rsidR="00BE78EE" w:rsidRPr="00CB64DE" w14:paraId="145C087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45ADF42A"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Cyperus </w:t>
            </w:r>
            <w:proofErr w:type="spellStart"/>
            <w:r w:rsidRPr="00C80F8D">
              <w:rPr>
                <w:rFonts w:eastAsia="Times New Roman" w:cs="Times New Roman"/>
                <w:i/>
                <w:iCs/>
                <w:color w:val="000000"/>
                <w:sz w:val="16"/>
                <w:szCs w:val="16"/>
                <w:lang w:eastAsia="en-AU"/>
              </w:rPr>
              <w:t>exaltatus</w:t>
            </w:r>
            <w:proofErr w:type="spellEnd"/>
          </w:p>
        </w:tc>
        <w:tc>
          <w:tcPr>
            <w:tcW w:w="260" w:type="pct"/>
            <w:tcBorders>
              <w:top w:val="nil"/>
              <w:left w:val="nil"/>
              <w:bottom w:val="nil"/>
              <w:right w:val="nil"/>
            </w:tcBorders>
            <w:shd w:val="clear" w:color="auto" w:fill="auto"/>
            <w:noWrap/>
            <w:vAlign w:val="bottom"/>
            <w:hideMark/>
          </w:tcPr>
          <w:p w14:paraId="3D7CBD5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75784A0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154</w:t>
            </w:r>
          </w:p>
        </w:tc>
        <w:tc>
          <w:tcPr>
            <w:tcW w:w="260" w:type="pct"/>
            <w:tcBorders>
              <w:top w:val="nil"/>
              <w:left w:val="nil"/>
              <w:bottom w:val="nil"/>
              <w:right w:val="nil"/>
            </w:tcBorders>
            <w:shd w:val="clear" w:color="auto" w:fill="auto"/>
            <w:noWrap/>
            <w:vAlign w:val="bottom"/>
            <w:hideMark/>
          </w:tcPr>
          <w:p w14:paraId="22BDF5A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C86814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F19762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ED774F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38</w:t>
            </w:r>
          </w:p>
        </w:tc>
        <w:tc>
          <w:tcPr>
            <w:tcW w:w="260" w:type="pct"/>
            <w:tcBorders>
              <w:top w:val="nil"/>
              <w:left w:val="nil"/>
              <w:bottom w:val="nil"/>
              <w:right w:val="nil"/>
            </w:tcBorders>
            <w:shd w:val="clear" w:color="auto" w:fill="auto"/>
            <w:noWrap/>
            <w:vAlign w:val="bottom"/>
            <w:hideMark/>
          </w:tcPr>
          <w:p w14:paraId="7AAFE34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36</w:t>
            </w:r>
          </w:p>
        </w:tc>
        <w:tc>
          <w:tcPr>
            <w:tcW w:w="260" w:type="pct"/>
            <w:tcBorders>
              <w:top w:val="nil"/>
              <w:left w:val="nil"/>
              <w:bottom w:val="nil"/>
              <w:right w:val="nil"/>
            </w:tcBorders>
            <w:shd w:val="clear" w:color="auto" w:fill="auto"/>
            <w:noWrap/>
            <w:vAlign w:val="bottom"/>
            <w:hideMark/>
          </w:tcPr>
          <w:p w14:paraId="48AE0A2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57C9715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60DB5E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113</w:t>
            </w:r>
          </w:p>
        </w:tc>
        <w:tc>
          <w:tcPr>
            <w:tcW w:w="260" w:type="pct"/>
            <w:tcBorders>
              <w:top w:val="nil"/>
              <w:left w:val="nil"/>
              <w:bottom w:val="nil"/>
              <w:right w:val="nil"/>
            </w:tcBorders>
            <w:shd w:val="clear" w:color="auto" w:fill="auto"/>
            <w:noWrap/>
            <w:vAlign w:val="bottom"/>
            <w:hideMark/>
          </w:tcPr>
          <w:p w14:paraId="37091C1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153</w:t>
            </w:r>
          </w:p>
        </w:tc>
        <w:tc>
          <w:tcPr>
            <w:tcW w:w="260" w:type="pct"/>
            <w:tcBorders>
              <w:top w:val="nil"/>
              <w:left w:val="nil"/>
              <w:bottom w:val="nil"/>
              <w:right w:val="nil"/>
            </w:tcBorders>
            <w:shd w:val="clear" w:color="auto" w:fill="auto"/>
            <w:noWrap/>
            <w:vAlign w:val="bottom"/>
            <w:hideMark/>
          </w:tcPr>
          <w:p w14:paraId="738773C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72</w:t>
            </w:r>
          </w:p>
        </w:tc>
        <w:tc>
          <w:tcPr>
            <w:tcW w:w="260" w:type="pct"/>
            <w:tcBorders>
              <w:top w:val="nil"/>
              <w:left w:val="nil"/>
              <w:bottom w:val="nil"/>
              <w:right w:val="nil"/>
            </w:tcBorders>
            <w:shd w:val="clear" w:color="auto" w:fill="auto"/>
            <w:noWrap/>
            <w:vAlign w:val="bottom"/>
            <w:hideMark/>
          </w:tcPr>
          <w:p w14:paraId="2E714F7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365" w:type="pct"/>
            <w:tcBorders>
              <w:top w:val="nil"/>
              <w:left w:val="nil"/>
              <w:bottom w:val="nil"/>
              <w:right w:val="nil"/>
            </w:tcBorders>
            <w:shd w:val="clear" w:color="auto" w:fill="auto"/>
            <w:noWrap/>
            <w:vAlign w:val="bottom"/>
            <w:hideMark/>
          </w:tcPr>
          <w:p w14:paraId="4C026EA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574</w:t>
            </w:r>
          </w:p>
        </w:tc>
      </w:tr>
      <w:tr w:rsidR="00BE78EE" w:rsidRPr="00CB64DE" w14:paraId="3DD5E217"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9BE54A4"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Dysphania</w:t>
            </w:r>
            <w:proofErr w:type="spellEnd"/>
            <w:r w:rsidRPr="00C80F8D">
              <w:rPr>
                <w:rFonts w:eastAsia="Times New Roman" w:cs="Times New Roman"/>
                <w:i/>
                <w:iCs/>
                <w:color w:val="000000"/>
                <w:sz w:val="16"/>
                <w:szCs w:val="16"/>
                <w:lang w:eastAsia="en-AU"/>
              </w:rPr>
              <w:t xml:space="preserve"> ambrosioides</w:t>
            </w:r>
          </w:p>
        </w:tc>
        <w:tc>
          <w:tcPr>
            <w:tcW w:w="260" w:type="pct"/>
            <w:tcBorders>
              <w:top w:val="nil"/>
              <w:left w:val="nil"/>
              <w:bottom w:val="nil"/>
              <w:right w:val="nil"/>
            </w:tcBorders>
            <w:shd w:val="clear" w:color="auto" w:fill="auto"/>
            <w:noWrap/>
            <w:vAlign w:val="bottom"/>
            <w:hideMark/>
          </w:tcPr>
          <w:p w14:paraId="05C1D805"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888F36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8EDDFF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8B5561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FB501B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E0F438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A9FB7D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C5B91D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4FF782F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567C94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9A134D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87598C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2725D8F"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87C264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6E0E2253"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14F53D6"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Dysphania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glomulifera</w:t>
            </w:r>
            <w:proofErr w:type="spellEnd"/>
          </w:p>
        </w:tc>
        <w:tc>
          <w:tcPr>
            <w:tcW w:w="260" w:type="pct"/>
            <w:tcBorders>
              <w:top w:val="nil"/>
              <w:left w:val="nil"/>
              <w:bottom w:val="nil"/>
              <w:right w:val="nil"/>
            </w:tcBorders>
            <w:shd w:val="clear" w:color="auto" w:fill="auto"/>
            <w:noWrap/>
            <w:vAlign w:val="bottom"/>
            <w:hideMark/>
          </w:tcPr>
          <w:p w14:paraId="6B501D85"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B895CE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FBE88E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B96BE3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10B211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301272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4E48CF8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A4F24C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9427D8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6D63CF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3EEC8C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A99080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BD4F16B"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633E74A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7AF8C6C9"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F47CD6E"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Dysphania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pumilo</w:t>
            </w:r>
            <w:proofErr w:type="spellEnd"/>
          </w:p>
        </w:tc>
        <w:tc>
          <w:tcPr>
            <w:tcW w:w="260" w:type="pct"/>
            <w:tcBorders>
              <w:top w:val="nil"/>
              <w:left w:val="nil"/>
              <w:bottom w:val="nil"/>
              <w:right w:val="nil"/>
            </w:tcBorders>
            <w:shd w:val="clear" w:color="auto" w:fill="auto"/>
            <w:noWrap/>
            <w:vAlign w:val="bottom"/>
            <w:hideMark/>
          </w:tcPr>
          <w:p w14:paraId="70A0B16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FC392D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CE51FD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D035DD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534AA5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077E19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217106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19DC835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3BA6F8E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FA8A8A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459E25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174CB96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571C583"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8B320A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15</w:t>
            </w:r>
          </w:p>
        </w:tc>
      </w:tr>
      <w:tr w:rsidR="00BE78EE" w:rsidRPr="00CB64DE" w14:paraId="3F95D87F"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4EF1397"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Elatine</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gratioloides</w:t>
            </w:r>
            <w:proofErr w:type="spellEnd"/>
          </w:p>
        </w:tc>
        <w:tc>
          <w:tcPr>
            <w:tcW w:w="260" w:type="pct"/>
            <w:tcBorders>
              <w:top w:val="nil"/>
              <w:left w:val="nil"/>
              <w:bottom w:val="nil"/>
              <w:right w:val="nil"/>
            </w:tcBorders>
            <w:shd w:val="clear" w:color="auto" w:fill="auto"/>
            <w:noWrap/>
            <w:vAlign w:val="bottom"/>
            <w:hideMark/>
          </w:tcPr>
          <w:p w14:paraId="52CF6A63"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A312C5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B7EA6F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4D78BA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C1625B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8B0D9D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3A194D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8D7315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28C32B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782701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2132BD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3486099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52A8C99"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1C60908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r>
      <w:tr w:rsidR="00BE78EE" w:rsidRPr="00CB64DE" w14:paraId="3A6D52E9"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29F5C39"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Epilobium </w:t>
            </w:r>
            <w:r w:rsidRPr="00C80F8D">
              <w:rPr>
                <w:rFonts w:eastAsia="Times New Roman" w:cs="Times New Roman"/>
                <w:color w:val="000000"/>
                <w:sz w:val="16"/>
                <w:szCs w:val="16"/>
                <w:lang w:eastAsia="en-AU"/>
              </w:rPr>
              <w:t>spp</w:t>
            </w:r>
            <w:r w:rsidRPr="00C80F8D">
              <w:rPr>
                <w:rFonts w:eastAsia="Times New Roman" w:cs="Times New Roman"/>
                <w:i/>
                <w:iCs/>
                <w:color w:val="000000"/>
                <w:sz w:val="16"/>
                <w:szCs w:val="16"/>
                <w:lang w:eastAsia="en-AU"/>
              </w:rPr>
              <w:t>.</w:t>
            </w:r>
          </w:p>
        </w:tc>
        <w:tc>
          <w:tcPr>
            <w:tcW w:w="260" w:type="pct"/>
            <w:tcBorders>
              <w:top w:val="nil"/>
              <w:left w:val="nil"/>
              <w:bottom w:val="nil"/>
              <w:right w:val="nil"/>
            </w:tcBorders>
            <w:shd w:val="clear" w:color="auto" w:fill="auto"/>
            <w:noWrap/>
            <w:vAlign w:val="bottom"/>
            <w:hideMark/>
          </w:tcPr>
          <w:p w14:paraId="66A1D99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A262CE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594B39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4B996D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EDDB0A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9CE764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09CF89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w:t>
            </w:r>
          </w:p>
        </w:tc>
        <w:tc>
          <w:tcPr>
            <w:tcW w:w="260" w:type="pct"/>
            <w:tcBorders>
              <w:top w:val="nil"/>
              <w:left w:val="nil"/>
              <w:bottom w:val="nil"/>
              <w:right w:val="nil"/>
            </w:tcBorders>
            <w:shd w:val="clear" w:color="auto" w:fill="auto"/>
            <w:noWrap/>
            <w:vAlign w:val="bottom"/>
            <w:hideMark/>
          </w:tcPr>
          <w:p w14:paraId="60FA389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A59AA0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CDBEE8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C5BCA1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8642AD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5CC88B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72A4E18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w:t>
            </w:r>
          </w:p>
        </w:tc>
      </w:tr>
      <w:tr w:rsidR="00BE78EE" w:rsidRPr="00CB64DE" w14:paraId="741D2C87"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F127E27"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Eragrostis</w:t>
            </w:r>
            <w:proofErr w:type="spellEnd"/>
            <w:r w:rsidRPr="00C80F8D">
              <w:rPr>
                <w:rFonts w:eastAsia="Times New Roman" w:cs="Times New Roman"/>
                <w:i/>
                <w:iCs/>
                <w:color w:val="000000"/>
                <w:sz w:val="16"/>
                <w:szCs w:val="16"/>
                <w:lang w:eastAsia="en-AU"/>
              </w:rPr>
              <w:t xml:space="preserve"> parviflora</w:t>
            </w:r>
          </w:p>
        </w:tc>
        <w:tc>
          <w:tcPr>
            <w:tcW w:w="260" w:type="pct"/>
            <w:tcBorders>
              <w:top w:val="nil"/>
              <w:left w:val="nil"/>
              <w:bottom w:val="nil"/>
              <w:right w:val="nil"/>
            </w:tcBorders>
            <w:shd w:val="clear" w:color="auto" w:fill="auto"/>
            <w:noWrap/>
            <w:vAlign w:val="bottom"/>
            <w:hideMark/>
          </w:tcPr>
          <w:p w14:paraId="537E58E9"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125CC1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17</w:t>
            </w:r>
          </w:p>
        </w:tc>
        <w:tc>
          <w:tcPr>
            <w:tcW w:w="260" w:type="pct"/>
            <w:tcBorders>
              <w:top w:val="nil"/>
              <w:left w:val="nil"/>
              <w:bottom w:val="nil"/>
              <w:right w:val="nil"/>
            </w:tcBorders>
            <w:shd w:val="clear" w:color="auto" w:fill="auto"/>
            <w:noWrap/>
            <w:vAlign w:val="bottom"/>
            <w:hideMark/>
          </w:tcPr>
          <w:p w14:paraId="121297D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E571F7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F5FF43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126</w:t>
            </w:r>
          </w:p>
        </w:tc>
        <w:tc>
          <w:tcPr>
            <w:tcW w:w="260" w:type="pct"/>
            <w:tcBorders>
              <w:top w:val="nil"/>
              <w:left w:val="nil"/>
              <w:bottom w:val="nil"/>
              <w:right w:val="nil"/>
            </w:tcBorders>
            <w:shd w:val="clear" w:color="auto" w:fill="auto"/>
            <w:noWrap/>
            <w:vAlign w:val="bottom"/>
            <w:hideMark/>
          </w:tcPr>
          <w:p w14:paraId="3F2810A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7F14E05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5EEF507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215</w:t>
            </w:r>
          </w:p>
        </w:tc>
        <w:tc>
          <w:tcPr>
            <w:tcW w:w="260" w:type="pct"/>
            <w:tcBorders>
              <w:top w:val="nil"/>
              <w:left w:val="nil"/>
              <w:bottom w:val="nil"/>
              <w:right w:val="nil"/>
            </w:tcBorders>
            <w:shd w:val="clear" w:color="auto" w:fill="auto"/>
            <w:noWrap/>
            <w:vAlign w:val="bottom"/>
            <w:hideMark/>
          </w:tcPr>
          <w:p w14:paraId="1DEF67A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468843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38A58A0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13</w:t>
            </w:r>
          </w:p>
        </w:tc>
        <w:tc>
          <w:tcPr>
            <w:tcW w:w="260" w:type="pct"/>
            <w:tcBorders>
              <w:top w:val="nil"/>
              <w:left w:val="nil"/>
              <w:bottom w:val="nil"/>
              <w:right w:val="nil"/>
            </w:tcBorders>
            <w:shd w:val="clear" w:color="auto" w:fill="auto"/>
            <w:noWrap/>
            <w:vAlign w:val="bottom"/>
            <w:hideMark/>
          </w:tcPr>
          <w:p w14:paraId="41ABEF2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C036EA1"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AB81C2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378</w:t>
            </w:r>
          </w:p>
        </w:tc>
      </w:tr>
      <w:tr w:rsidR="00BE78EE" w:rsidRPr="00CB64DE" w14:paraId="28CCD32A"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E423CDE"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Erigeron </w:t>
            </w:r>
            <w:proofErr w:type="spellStart"/>
            <w:r w:rsidRPr="00C80F8D">
              <w:rPr>
                <w:rFonts w:eastAsia="Times New Roman" w:cs="Times New Roman"/>
                <w:i/>
                <w:iCs/>
                <w:color w:val="000000"/>
                <w:sz w:val="16"/>
                <w:szCs w:val="16"/>
                <w:lang w:eastAsia="en-AU"/>
              </w:rPr>
              <w:t>bonariensis</w:t>
            </w:r>
            <w:proofErr w:type="spellEnd"/>
          </w:p>
        </w:tc>
        <w:tc>
          <w:tcPr>
            <w:tcW w:w="260" w:type="pct"/>
            <w:tcBorders>
              <w:top w:val="nil"/>
              <w:left w:val="nil"/>
              <w:bottom w:val="nil"/>
              <w:right w:val="nil"/>
            </w:tcBorders>
            <w:shd w:val="clear" w:color="auto" w:fill="auto"/>
            <w:noWrap/>
            <w:vAlign w:val="bottom"/>
            <w:hideMark/>
          </w:tcPr>
          <w:p w14:paraId="6E25D402"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C4335E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976DAF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FBB3AF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CD17AF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B67CEF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87AD2A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AEF7E0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0C2789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F99B6A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7006D5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670AD6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BB924BA"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38C2EB6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217DCF79"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4CDAD73"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Eucalyptus camaldulensis</w:t>
            </w:r>
          </w:p>
        </w:tc>
        <w:tc>
          <w:tcPr>
            <w:tcW w:w="260" w:type="pct"/>
            <w:tcBorders>
              <w:top w:val="nil"/>
              <w:left w:val="nil"/>
              <w:bottom w:val="nil"/>
              <w:right w:val="nil"/>
            </w:tcBorders>
            <w:shd w:val="clear" w:color="auto" w:fill="auto"/>
            <w:noWrap/>
            <w:vAlign w:val="bottom"/>
            <w:hideMark/>
          </w:tcPr>
          <w:p w14:paraId="718401A5"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040143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5549D2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A1DE84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8643F4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8DCB18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5946CD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A20BFF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57209D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2EFD75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6250FD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6DD0F2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99B54F5"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07173CA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r>
      <w:tr w:rsidR="00BE78EE" w:rsidRPr="00CB64DE" w14:paraId="008FA59A"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28D0668"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Euchiton</w:t>
            </w:r>
            <w:proofErr w:type="spellEnd"/>
            <w:r w:rsidRPr="00C80F8D">
              <w:rPr>
                <w:rFonts w:eastAsia="Times New Roman" w:cs="Times New Roman"/>
                <w:i/>
                <w:iCs/>
                <w:color w:val="000000"/>
                <w:sz w:val="16"/>
                <w:szCs w:val="16"/>
                <w:lang w:eastAsia="en-AU"/>
              </w:rPr>
              <w:t xml:space="preserve"> japonicus</w:t>
            </w:r>
          </w:p>
        </w:tc>
        <w:tc>
          <w:tcPr>
            <w:tcW w:w="260" w:type="pct"/>
            <w:tcBorders>
              <w:top w:val="nil"/>
              <w:left w:val="nil"/>
              <w:bottom w:val="nil"/>
              <w:right w:val="nil"/>
            </w:tcBorders>
            <w:shd w:val="clear" w:color="auto" w:fill="auto"/>
            <w:noWrap/>
            <w:vAlign w:val="bottom"/>
            <w:hideMark/>
          </w:tcPr>
          <w:p w14:paraId="273BBF7D"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A2DF40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FF8882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C8C8D3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713897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38E9E4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215B257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0BA3DD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3E376F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857A00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4A1D14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EE764B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E10AAD6"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076971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25305526"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1D0C0AA"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Gamochaeta</w:t>
            </w:r>
            <w:proofErr w:type="spellEnd"/>
            <w:r w:rsidRPr="00C80F8D">
              <w:rPr>
                <w:rFonts w:eastAsia="Times New Roman" w:cs="Times New Roman"/>
                <w:i/>
                <w:iCs/>
                <w:color w:val="000000"/>
                <w:sz w:val="16"/>
                <w:szCs w:val="16"/>
                <w:lang w:eastAsia="en-AU"/>
              </w:rPr>
              <w:t xml:space="preserve"> purpurea</w:t>
            </w:r>
          </w:p>
        </w:tc>
        <w:tc>
          <w:tcPr>
            <w:tcW w:w="260" w:type="pct"/>
            <w:tcBorders>
              <w:top w:val="nil"/>
              <w:left w:val="nil"/>
              <w:bottom w:val="nil"/>
              <w:right w:val="nil"/>
            </w:tcBorders>
            <w:shd w:val="clear" w:color="auto" w:fill="auto"/>
            <w:noWrap/>
            <w:vAlign w:val="bottom"/>
            <w:hideMark/>
          </w:tcPr>
          <w:p w14:paraId="607C0AAE"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1B2A12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CDCE83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1C4CB9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5C40CC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0D2AA70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85679A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884F74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00EED7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7B9523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B94BDB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43FAB6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99EE9DB"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07E37D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r>
      <w:tr w:rsidR="00BE78EE" w:rsidRPr="00CB64DE" w14:paraId="1AF24E4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4A3F4ED2"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Glossostigma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cleistanthum</w:t>
            </w:r>
            <w:proofErr w:type="spellEnd"/>
          </w:p>
        </w:tc>
        <w:tc>
          <w:tcPr>
            <w:tcW w:w="260" w:type="pct"/>
            <w:tcBorders>
              <w:top w:val="nil"/>
              <w:left w:val="nil"/>
              <w:bottom w:val="nil"/>
              <w:right w:val="nil"/>
            </w:tcBorders>
            <w:shd w:val="clear" w:color="auto" w:fill="auto"/>
            <w:noWrap/>
            <w:vAlign w:val="bottom"/>
            <w:hideMark/>
          </w:tcPr>
          <w:p w14:paraId="79BFBB15"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B790AF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DA5923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3E66F6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A4D1B0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B1306D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3F9D5B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287EFF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40DE2E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3C74BC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FB3F00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50C46B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23018BD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0D5F454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22E10493"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CB2A3B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Gnaphalium </w:t>
            </w:r>
            <w:proofErr w:type="spellStart"/>
            <w:r w:rsidRPr="00C80F8D">
              <w:rPr>
                <w:rFonts w:eastAsia="Times New Roman" w:cs="Times New Roman"/>
                <w:i/>
                <w:iCs/>
                <w:color w:val="000000"/>
                <w:sz w:val="16"/>
                <w:szCs w:val="16"/>
                <w:lang w:eastAsia="en-AU"/>
              </w:rPr>
              <w:t>polycaulon</w:t>
            </w:r>
            <w:proofErr w:type="spellEnd"/>
          </w:p>
        </w:tc>
        <w:tc>
          <w:tcPr>
            <w:tcW w:w="260" w:type="pct"/>
            <w:tcBorders>
              <w:top w:val="nil"/>
              <w:left w:val="nil"/>
              <w:bottom w:val="nil"/>
              <w:right w:val="nil"/>
            </w:tcBorders>
            <w:shd w:val="clear" w:color="auto" w:fill="auto"/>
            <w:noWrap/>
            <w:vAlign w:val="bottom"/>
            <w:hideMark/>
          </w:tcPr>
          <w:p w14:paraId="4C3F3863"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062FB7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6054F0D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5A883A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CCFA12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6466BFF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22</w:t>
            </w:r>
          </w:p>
        </w:tc>
        <w:tc>
          <w:tcPr>
            <w:tcW w:w="260" w:type="pct"/>
            <w:tcBorders>
              <w:top w:val="nil"/>
              <w:left w:val="nil"/>
              <w:bottom w:val="nil"/>
              <w:right w:val="nil"/>
            </w:tcBorders>
            <w:shd w:val="clear" w:color="auto" w:fill="auto"/>
            <w:noWrap/>
            <w:vAlign w:val="bottom"/>
            <w:hideMark/>
          </w:tcPr>
          <w:p w14:paraId="54E0572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30</w:t>
            </w:r>
          </w:p>
        </w:tc>
        <w:tc>
          <w:tcPr>
            <w:tcW w:w="260" w:type="pct"/>
            <w:tcBorders>
              <w:top w:val="nil"/>
              <w:left w:val="nil"/>
              <w:bottom w:val="nil"/>
              <w:right w:val="nil"/>
            </w:tcBorders>
            <w:shd w:val="clear" w:color="auto" w:fill="auto"/>
            <w:noWrap/>
            <w:vAlign w:val="bottom"/>
            <w:hideMark/>
          </w:tcPr>
          <w:p w14:paraId="3D7C51E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655DEEF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FA6605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w:t>
            </w:r>
          </w:p>
        </w:tc>
        <w:tc>
          <w:tcPr>
            <w:tcW w:w="260" w:type="pct"/>
            <w:tcBorders>
              <w:top w:val="nil"/>
              <w:left w:val="nil"/>
              <w:bottom w:val="nil"/>
              <w:right w:val="nil"/>
            </w:tcBorders>
            <w:shd w:val="clear" w:color="auto" w:fill="auto"/>
            <w:noWrap/>
            <w:vAlign w:val="bottom"/>
            <w:hideMark/>
          </w:tcPr>
          <w:p w14:paraId="0CCAA9D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w:t>
            </w:r>
          </w:p>
        </w:tc>
        <w:tc>
          <w:tcPr>
            <w:tcW w:w="260" w:type="pct"/>
            <w:tcBorders>
              <w:top w:val="nil"/>
              <w:left w:val="nil"/>
              <w:bottom w:val="nil"/>
              <w:right w:val="nil"/>
            </w:tcBorders>
            <w:shd w:val="clear" w:color="auto" w:fill="auto"/>
            <w:noWrap/>
            <w:vAlign w:val="bottom"/>
            <w:hideMark/>
          </w:tcPr>
          <w:p w14:paraId="55E1AA5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4D4FB4C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05D6F77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99</w:t>
            </w:r>
          </w:p>
        </w:tc>
      </w:tr>
      <w:tr w:rsidR="00BE78EE" w:rsidRPr="00CB64DE" w14:paraId="77AC81F5"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D793B8B"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Hypochaeris</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radicata</w:t>
            </w:r>
            <w:proofErr w:type="spellEnd"/>
          </w:p>
        </w:tc>
        <w:tc>
          <w:tcPr>
            <w:tcW w:w="260" w:type="pct"/>
            <w:tcBorders>
              <w:top w:val="nil"/>
              <w:left w:val="nil"/>
              <w:bottom w:val="nil"/>
              <w:right w:val="nil"/>
            </w:tcBorders>
            <w:shd w:val="clear" w:color="auto" w:fill="auto"/>
            <w:noWrap/>
            <w:vAlign w:val="bottom"/>
            <w:hideMark/>
          </w:tcPr>
          <w:p w14:paraId="1EEE098E"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CF1600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2FEE04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6EE48C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E69C27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7A57465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1319CD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75BCBD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7A7ACC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69B4F8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F4647E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64157A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3CCDA11"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4D698B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r>
      <w:tr w:rsidR="00BE78EE" w:rsidRPr="00CB64DE" w14:paraId="21F7A8F1"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0029508"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Isolepis</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inundata</w:t>
            </w:r>
            <w:proofErr w:type="spellEnd"/>
          </w:p>
        </w:tc>
        <w:tc>
          <w:tcPr>
            <w:tcW w:w="260" w:type="pct"/>
            <w:tcBorders>
              <w:top w:val="nil"/>
              <w:left w:val="nil"/>
              <w:bottom w:val="nil"/>
              <w:right w:val="nil"/>
            </w:tcBorders>
            <w:shd w:val="clear" w:color="auto" w:fill="auto"/>
            <w:noWrap/>
            <w:vAlign w:val="bottom"/>
            <w:hideMark/>
          </w:tcPr>
          <w:p w14:paraId="6E1C25A7"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8DD580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E86CEC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4B8422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BCF78B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156B91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70721E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7ABD15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58AC23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7494FB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284A90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655413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FB2D1DD"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A29D5B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2AF09011"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518DD86"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Juncus amabilis</w:t>
            </w:r>
          </w:p>
        </w:tc>
        <w:tc>
          <w:tcPr>
            <w:tcW w:w="260" w:type="pct"/>
            <w:tcBorders>
              <w:top w:val="nil"/>
              <w:left w:val="nil"/>
              <w:bottom w:val="nil"/>
              <w:right w:val="nil"/>
            </w:tcBorders>
            <w:shd w:val="clear" w:color="auto" w:fill="auto"/>
            <w:noWrap/>
            <w:vAlign w:val="bottom"/>
            <w:hideMark/>
          </w:tcPr>
          <w:p w14:paraId="15F72B7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72</w:t>
            </w:r>
          </w:p>
        </w:tc>
        <w:tc>
          <w:tcPr>
            <w:tcW w:w="260" w:type="pct"/>
            <w:tcBorders>
              <w:top w:val="nil"/>
              <w:left w:val="nil"/>
              <w:bottom w:val="nil"/>
              <w:right w:val="nil"/>
            </w:tcBorders>
            <w:shd w:val="clear" w:color="auto" w:fill="auto"/>
            <w:noWrap/>
            <w:vAlign w:val="bottom"/>
            <w:hideMark/>
          </w:tcPr>
          <w:p w14:paraId="464AEFC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50</w:t>
            </w:r>
          </w:p>
        </w:tc>
        <w:tc>
          <w:tcPr>
            <w:tcW w:w="260" w:type="pct"/>
            <w:tcBorders>
              <w:top w:val="nil"/>
              <w:left w:val="nil"/>
              <w:bottom w:val="nil"/>
              <w:right w:val="nil"/>
            </w:tcBorders>
            <w:shd w:val="clear" w:color="auto" w:fill="auto"/>
            <w:noWrap/>
            <w:vAlign w:val="bottom"/>
            <w:hideMark/>
          </w:tcPr>
          <w:p w14:paraId="43DEBCE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301C88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677B2E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74</w:t>
            </w:r>
          </w:p>
        </w:tc>
        <w:tc>
          <w:tcPr>
            <w:tcW w:w="260" w:type="pct"/>
            <w:tcBorders>
              <w:top w:val="nil"/>
              <w:left w:val="nil"/>
              <w:bottom w:val="nil"/>
              <w:right w:val="nil"/>
            </w:tcBorders>
            <w:shd w:val="clear" w:color="auto" w:fill="auto"/>
            <w:noWrap/>
            <w:vAlign w:val="bottom"/>
            <w:hideMark/>
          </w:tcPr>
          <w:p w14:paraId="3915F33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19</w:t>
            </w:r>
          </w:p>
        </w:tc>
        <w:tc>
          <w:tcPr>
            <w:tcW w:w="260" w:type="pct"/>
            <w:tcBorders>
              <w:top w:val="nil"/>
              <w:left w:val="nil"/>
              <w:bottom w:val="nil"/>
              <w:right w:val="nil"/>
            </w:tcBorders>
            <w:shd w:val="clear" w:color="auto" w:fill="auto"/>
            <w:noWrap/>
            <w:vAlign w:val="bottom"/>
            <w:hideMark/>
          </w:tcPr>
          <w:p w14:paraId="1A1FAB5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29</w:t>
            </w:r>
          </w:p>
        </w:tc>
        <w:tc>
          <w:tcPr>
            <w:tcW w:w="260" w:type="pct"/>
            <w:tcBorders>
              <w:top w:val="nil"/>
              <w:left w:val="nil"/>
              <w:bottom w:val="nil"/>
              <w:right w:val="nil"/>
            </w:tcBorders>
            <w:shd w:val="clear" w:color="auto" w:fill="auto"/>
            <w:noWrap/>
            <w:vAlign w:val="bottom"/>
            <w:hideMark/>
          </w:tcPr>
          <w:p w14:paraId="4BFE05B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40</w:t>
            </w:r>
          </w:p>
        </w:tc>
        <w:tc>
          <w:tcPr>
            <w:tcW w:w="260" w:type="pct"/>
            <w:tcBorders>
              <w:top w:val="nil"/>
              <w:left w:val="nil"/>
              <w:bottom w:val="nil"/>
              <w:right w:val="nil"/>
            </w:tcBorders>
            <w:shd w:val="clear" w:color="auto" w:fill="auto"/>
            <w:noWrap/>
            <w:vAlign w:val="bottom"/>
            <w:hideMark/>
          </w:tcPr>
          <w:p w14:paraId="6B2D619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706D01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46</w:t>
            </w:r>
          </w:p>
        </w:tc>
        <w:tc>
          <w:tcPr>
            <w:tcW w:w="260" w:type="pct"/>
            <w:tcBorders>
              <w:top w:val="nil"/>
              <w:left w:val="nil"/>
              <w:bottom w:val="nil"/>
              <w:right w:val="nil"/>
            </w:tcBorders>
            <w:shd w:val="clear" w:color="auto" w:fill="auto"/>
            <w:noWrap/>
            <w:vAlign w:val="bottom"/>
            <w:hideMark/>
          </w:tcPr>
          <w:p w14:paraId="6B69557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51</w:t>
            </w:r>
          </w:p>
        </w:tc>
        <w:tc>
          <w:tcPr>
            <w:tcW w:w="260" w:type="pct"/>
            <w:tcBorders>
              <w:top w:val="nil"/>
              <w:left w:val="nil"/>
              <w:bottom w:val="nil"/>
              <w:right w:val="nil"/>
            </w:tcBorders>
            <w:shd w:val="clear" w:color="auto" w:fill="auto"/>
            <w:noWrap/>
            <w:vAlign w:val="bottom"/>
            <w:hideMark/>
          </w:tcPr>
          <w:p w14:paraId="4300E45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103</w:t>
            </w:r>
          </w:p>
        </w:tc>
        <w:tc>
          <w:tcPr>
            <w:tcW w:w="260" w:type="pct"/>
            <w:tcBorders>
              <w:top w:val="nil"/>
              <w:left w:val="nil"/>
              <w:bottom w:val="nil"/>
              <w:right w:val="nil"/>
            </w:tcBorders>
            <w:shd w:val="clear" w:color="auto" w:fill="auto"/>
            <w:noWrap/>
            <w:vAlign w:val="bottom"/>
            <w:hideMark/>
          </w:tcPr>
          <w:p w14:paraId="1445A2B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4E804C0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484</w:t>
            </w:r>
          </w:p>
        </w:tc>
      </w:tr>
      <w:tr w:rsidR="00BE78EE" w:rsidRPr="00CB64DE" w14:paraId="7DB52F92"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9D39D83"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Juncus </w:t>
            </w:r>
            <w:proofErr w:type="spellStart"/>
            <w:r w:rsidRPr="00C80F8D">
              <w:rPr>
                <w:rFonts w:eastAsia="Times New Roman" w:cs="Times New Roman"/>
                <w:i/>
                <w:iCs/>
                <w:color w:val="000000"/>
                <w:sz w:val="16"/>
                <w:szCs w:val="16"/>
                <w:lang w:eastAsia="en-AU"/>
              </w:rPr>
              <w:t>articulatus</w:t>
            </w:r>
            <w:proofErr w:type="spellEnd"/>
          </w:p>
        </w:tc>
        <w:tc>
          <w:tcPr>
            <w:tcW w:w="260" w:type="pct"/>
            <w:tcBorders>
              <w:top w:val="nil"/>
              <w:left w:val="nil"/>
              <w:bottom w:val="nil"/>
              <w:right w:val="nil"/>
            </w:tcBorders>
            <w:shd w:val="clear" w:color="auto" w:fill="auto"/>
            <w:noWrap/>
            <w:vAlign w:val="bottom"/>
            <w:hideMark/>
          </w:tcPr>
          <w:p w14:paraId="764E936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F7A27C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C54778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F7A2A0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CABC41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48E3C8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FB5249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34A9AD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023E57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C27675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EB35AC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1AE61A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9E52A18"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78CC02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r>
      <w:tr w:rsidR="00BE78EE" w:rsidRPr="00CB64DE" w14:paraId="2B336E3B"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AEF013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Juncus </w:t>
            </w:r>
            <w:proofErr w:type="spellStart"/>
            <w:r w:rsidRPr="00C80F8D">
              <w:rPr>
                <w:rFonts w:eastAsia="Times New Roman" w:cs="Times New Roman"/>
                <w:i/>
                <w:iCs/>
                <w:color w:val="000000"/>
                <w:sz w:val="16"/>
                <w:szCs w:val="16"/>
                <w:lang w:eastAsia="en-AU"/>
              </w:rPr>
              <w:t>prismatocarpus</w:t>
            </w:r>
            <w:proofErr w:type="spellEnd"/>
          </w:p>
        </w:tc>
        <w:tc>
          <w:tcPr>
            <w:tcW w:w="260" w:type="pct"/>
            <w:tcBorders>
              <w:top w:val="nil"/>
              <w:left w:val="nil"/>
              <w:bottom w:val="nil"/>
              <w:right w:val="nil"/>
            </w:tcBorders>
            <w:shd w:val="clear" w:color="auto" w:fill="auto"/>
            <w:noWrap/>
            <w:vAlign w:val="bottom"/>
            <w:hideMark/>
          </w:tcPr>
          <w:p w14:paraId="2E0E09D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B9BA6A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D54A3E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320323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533B11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B1D86E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6CD846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55CD1F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4EF97D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6A10C6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B661B4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730FB1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D1E413A"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3CB9490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18B90D45"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F189B5B"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Juncus </w:t>
            </w:r>
            <w:proofErr w:type="spellStart"/>
            <w:r w:rsidRPr="00C80F8D">
              <w:rPr>
                <w:rFonts w:eastAsia="Times New Roman" w:cs="Times New Roman"/>
                <w:i/>
                <w:iCs/>
                <w:color w:val="000000"/>
                <w:sz w:val="16"/>
                <w:szCs w:val="16"/>
                <w:lang w:eastAsia="en-AU"/>
              </w:rPr>
              <w:t>usitatus</w:t>
            </w:r>
            <w:proofErr w:type="spellEnd"/>
          </w:p>
        </w:tc>
        <w:tc>
          <w:tcPr>
            <w:tcW w:w="260" w:type="pct"/>
            <w:tcBorders>
              <w:top w:val="nil"/>
              <w:left w:val="nil"/>
              <w:bottom w:val="nil"/>
              <w:right w:val="nil"/>
            </w:tcBorders>
            <w:shd w:val="clear" w:color="auto" w:fill="auto"/>
            <w:noWrap/>
            <w:vAlign w:val="bottom"/>
            <w:hideMark/>
          </w:tcPr>
          <w:p w14:paraId="1E0CEEA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423</w:t>
            </w:r>
          </w:p>
        </w:tc>
        <w:tc>
          <w:tcPr>
            <w:tcW w:w="260" w:type="pct"/>
            <w:tcBorders>
              <w:top w:val="nil"/>
              <w:left w:val="nil"/>
              <w:bottom w:val="nil"/>
              <w:right w:val="nil"/>
            </w:tcBorders>
            <w:shd w:val="clear" w:color="auto" w:fill="auto"/>
            <w:noWrap/>
            <w:vAlign w:val="bottom"/>
            <w:hideMark/>
          </w:tcPr>
          <w:p w14:paraId="712CCC4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140</w:t>
            </w:r>
          </w:p>
        </w:tc>
        <w:tc>
          <w:tcPr>
            <w:tcW w:w="260" w:type="pct"/>
            <w:tcBorders>
              <w:top w:val="nil"/>
              <w:left w:val="nil"/>
              <w:bottom w:val="nil"/>
              <w:right w:val="nil"/>
            </w:tcBorders>
            <w:shd w:val="clear" w:color="auto" w:fill="auto"/>
            <w:noWrap/>
            <w:vAlign w:val="bottom"/>
            <w:hideMark/>
          </w:tcPr>
          <w:p w14:paraId="5EA63F9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AE2AF3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568BAA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111</w:t>
            </w:r>
          </w:p>
        </w:tc>
        <w:tc>
          <w:tcPr>
            <w:tcW w:w="260" w:type="pct"/>
            <w:tcBorders>
              <w:top w:val="nil"/>
              <w:left w:val="nil"/>
              <w:bottom w:val="nil"/>
              <w:right w:val="nil"/>
            </w:tcBorders>
            <w:shd w:val="clear" w:color="auto" w:fill="auto"/>
            <w:noWrap/>
            <w:vAlign w:val="bottom"/>
            <w:hideMark/>
          </w:tcPr>
          <w:p w14:paraId="2DCC90A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26</w:t>
            </w:r>
          </w:p>
        </w:tc>
        <w:tc>
          <w:tcPr>
            <w:tcW w:w="260" w:type="pct"/>
            <w:tcBorders>
              <w:top w:val="nil"/>
              <w:left w:val="nil"/>
              <w:bottom w:val="nil"/>
              <w:right w:val="nil"/>
            </w:tcBorders>
            <w:shd w:val="clear" w:color="auto" w:fill="auto"/>
            <w:noWrap/>
            <w:vAlign w:val="bottom"/>
            <w:hideMark/>
          </w:tcPr>
          <w:p w14:paraId="1BD6FCB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30</w:t>
            </w:r>
          </w:p>
        </w:tc>
        <w:tc>
          <w:tcPr>
            <w:tcW w:w="260" w:type="pct"/>
            <w:tcBorders>
              <w:top w:val="nil"/>
              <w:left w:val="nil"/>
              <w:bottom w:val="nil"/>
              <w:right w:val="nil"/>
            </w:tcBorders>
            <w:shd w:val="clear" w:color="auto" w:fill="auto"/>
            <w:noWrap/>
            <w:vAlign w:val="bottom"/>
            <w:hideMark/>
          </w:tcPr>
          <w:p w14:paraId="21A8BC7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23</w:t>
            </w:r>
          </w:p>
        </w:tc>
        <w:tc>
          <w:tcPr>
            <w:tcW w:w="260" w:type="pct"/>
            <w:tcBorders>
              <w:top w:val="nil"/>
              <w:left w:val="nil"/>
              <w:bottom w:val="nil"/>
              <w:right w:val="nil"/>
            </w:tcBorders>
            <w:shd w:val="clear" w:color="auto" w:fill="auto"/>
            <w:noWrap/>
            <w:vAlign w:val="bottom"/>
            <w:hideMark/>
          </w:tcPr>
          <w:p w14:paraId="6153C50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5B976A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145</w:t>
            </w:r>
          </w:p>
        </w:tc>
        <w:tc>
          <w:tcPr>
            <w:tcW w:w="260" w:type="pct"/>
            <w:tcBorders>
              <w:top w:val="nil"/>
              <w:left w:val="nil"/>
              <w:bottom w:val="nil"/>
              <w:right w:val="nil"/>
            </w:tcBorders>
            <w:shd w:val="clear" w:color="auto" w:fill="auto"/>
            <w:noWrap/>
            <w:vAlign w:val="bottom"/>
            <w:hideMark/>
          </w:tcPr>
          <w:p w14:paraId="170AB75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126</w:t>
            </w:r>
          </w:p>
        </w:tc>
        <w:tc>
          <w:tcPr>
            <w:tcW w:w="260" w:type="pct"/>
            <w:tcBorders>
              <w:top w:val="nil"/>
              <w:left w:val="nil"/>
              <w:bottom w:val="nil"/>
              <w:right w:val="nil"/>
            </w:tcBorders>
            <w:shd w:val="clear" w:color="auto" w:fill="auto"/>
            <w:noWrap/>
            <w:vAlign w:val="bottom"/>
            <w:hideMark/>
          </w:tcPr>
          <w:p w14:paraId="1128856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245</w:t>
            </w:r>
          </w:p>
        </w:tc>
        <w:tc>
          <w:tcPr>
            <w:tcW w:w="260" w:type="pct"/>
            <w:tcBorders>
              <w:top w:val="nil"/>
              <w:left w:val="nil"/>
              <w:bottom w:val="nil"/>
              <w:right w:val="nil"/>
            </w:tcBorders>
            <w:shd w:val="clear" w:color="auto" w:fill="auto"/>
            <w:noWrap/>
            <w:vAlign w:val="bottom"/>
            <w:hideMark/>
          </w:tcPr>
          <w:p w14:paraId="5A92C9D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17</w:t>
            </w:r>
          </w:p>
        </w:tc>
        <w:tc>
          <w:tcPr>
            <w:tcW w:w="365" w:type="pct"/>
            <w:tcBorders>
              <w:top w:val="nil"/>
              <w:left w:val="nil"/>
              <w:bottom w:val="nil"/>
              <w:right w:val="nil"/>
            </w:tcBorders>
            <w:shd w:val="clear" w:color="auto" w:fill="auto"/>
            <w:noWrap/>
            <w:vAlign w:val="bottom"/>
            <w:hideMark/>
          </w:tcPr>
          <w:p w14:paraId="4C55F58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1287</w:t>
            </w:r>
          </w:p>
        </w:tc>
      </w:tr>
      <w:tr w:rsidR="00BE78EE" w:rsidRPr="00CB64DE" w14:paraId="6FA6A15F"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E3EBFA6"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Lachnagrostis</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filiformis</w:t>
            </w:r>
            <w:proofErr w:type="spellEnd"/>
          </w:p>
        </w:tc>
        <w:tc>
          <w:tcPr>
            <w:tcW w:w="260" w:type="pct"/>
            <w:tcBorders>
              <w:top w:val="nil"/>
              <w:left w:val="nil"/>
              <w:bottom w:val="nil"/>
              <w:right w:val="nil"/>
            </w:tcBorders>
            <w:shd w:val="clear" w:color="auto" w:fill="auto"/>
            <w:noWrap/>
            <w:vAlign w:val="bottom"/>
            <w:hideMark/>
          </w:tcPr>
          <w:p w14:paraId="184B03E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0E131B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2A3C5AC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87320F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3C5798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9D508C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2CBEFCC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5F5595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2071CED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9185B8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67C32F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5BB2CC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8B1B75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365" w:type="pct"/>
            <w:tcBorders>
              <w:top w:val="nil"/>
              <w:left w:val="nil"/>
              <w:bottom w:val="nil"/>
              <w:right w:val="nil"/>
            </w:tcBorders>
            <w:shd w:val="clear" w:color="auto" w:fill="auto"/>
            <w:noWrap/>
            <w:vAlign w:val="bottom"/>
            <w:hideMark/>
          </w:tcPr>
          <w:p w14:paraId="74D377C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w:t>
            </w:r>
          </w:p>
        </w:tc>
      </w:tr>
      <w:tr w:rsidR="00BE78EE" w:rsidRPr="00CB64DE" w14:paraId="2863F010"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689AD6C"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Laphangium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luteoalbum</w:t>
            </w:r>
            <w:proofErr w:type="spellEnd"/>
          </w:p>
        </w:tc>
        <w:tc>
          <w:tcPr>
            <w:tcW w:w="260" w:type="pct"/>
            <w:tcBorders>
              <w:top w:val="nil"/>
              <w:left w:val="nil"/>
              <w:bottom w:val="nil"/>
              <w:right w:val="nil"/>
            </w:tcBorders>
            <w:shd w:val="clear" w:color="auto" w:fill="auto"/>
            <w:noWrap/>
            <w:vAlign w:val="bottom"/>
            <w:hideMark/>
          </w:tcPr>
          <w:p w14:paraId="4ACF0870"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383825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672CDCC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F1FE5C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5BF422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555904B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9</w:t>
            </w:r>
          </w:p>
        </w:tc>
        <w:tc>
          <w:tcPr>
            <w:tcW w:w="260" w:type="pct"/>
            <w:tcBorders>
              <w:top w:val="nil"/>
              <w:left w:val="nil"/>
              <w:bottom w:val="nil"/>
              <w:right w:val="nil"/>
            </w:tcBorders>
            <w:shd w:val="clear" w:color="auto" w:fill="auto"/>
            <w:noWrap/>
            <w:vAlign w:val="bottom"/>
            <w:hideMark/>
          </w:tcPr>
          <w:p w14:paraId="5315DB2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w:t>
            </w:r>
          </w:p>
        </w:tc>
        <w:tc>
          <w:tcPr>
            <w:tcW w:w="260" w:type="pct"/>
            <w:tcBorders>
              <w:top w:val="nil"/>
              <w:left w:val="nil"/>
              <w:bottom w:val="nil"/>
              <w:right w:val="nil"/>
            </w:tcBorders>
            <w:shd w:val="clear" w:color="auto" w:fill="auto"/>
            <w:noWrap/>
            <w:vAlign w:val="bottom"/>
            <w:hideMark/>
          </w:tcPr>
          <w:p w14:paraId="08866E9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284D92D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307F35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31010C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A605B8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DA48E48"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CF32F2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30</w:t>
            </w:r>
          </w:p>
        </w:tc>
      </w:tr>
      <w:tr w:rsidR="00BE78EE" w:rsidRPr="00CB64DE" w14:paraId="0E1F2D8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CFD5EF2"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Lipocarpha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microcephala</w:t>
            </w:r>
            <w:proofErr w:type="spellEnd"/>
          </w:p>
        </w:tc>
        <w:tc>
          <w:tcPr>
            <w:tcW w:w="260" w:type="pct"/>
            <w:tcBorders>
              <w:top w:val="nil"/>
              <w:left w:val="nil"/>
              <w:bottom w:val="nil"/>
              <w:right w:val="nil"/>
            </w:tcBorders>
            <w:shd w:val="clear" w:color="auto" w:fill="auto"/>
            <w:noWrap/>
            <w:vAlign w:val="bottom"/>
            <w:hideMark/>
          </w:tcPr>
          <w:p w14:paraId="3F30282E"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582446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18604A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D6D0BC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B68AE7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9FA3D2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00A1D2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F0C216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F6B336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E9FEA5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7ED98A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105BCA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422E374"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097CA6F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6DD6E72E"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5D233471"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Lolium </w:t>
            </w:r>
            <w:r w:rsidRPr="00C80F8D">
              <w:rPr>
                <w:rFonts w:eastAsia="Times New Roman" w:cs="Times New Roman"/>
                <w:color w:val="000000"/>
                <w:sz w:val="16"/>
                <w:szCs w:val="16"/>
                <w:lang w:eastAsia="en-AU"/>
              </w:rPr>
              <w:t>spp</w:t>
            </w:r>
            <w:r w:rsidRPr="00C80F8D">
              <w:rPr>
                <w:rFonts w:eastAsia="Times New Roman" w:cs="Times New Roman"/>
                <w:i/>
                <w:iCs/>
                <w:color w:val="000000"/>
                <w:sz w:val="16"/>
                <w:szCs w:val="16"/>
                <w:lang w:eastAsia="en-AU"/>
              </w:rPr>
              <w:t>.</w:t>
            </w:r>
          </w:p>
        </w:tc>
        <w:tc>
          <w:tcPr>
            <w:tcW w:w="260" w:type="pct"/>
            <w:tcBorders>
              <w:top w:val="nil"/>
              <w:left w:val="nil"/>
              <w:bottom w:val="nil"/>
              <w:right w:val="nil"/>
            </w:tcBorders>
            <w:shd w:val="clear" w:color="auto" w:fill="auto"/>
            <w:noWrap/>
            <w:vAlign w:val="bottom"/>
            <w:hideMark/>
          </w:tcPr>
          <w:p w14:paraId="2A9FB21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B7ECF9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AEE2A5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DDB5A0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31A3D4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0AE7CA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0EFF52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09D53C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EA4DB5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57F090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589E70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671963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E9CBA8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w:t>
            </w:r>
          </w:p>
        </w:tc>
        <w:tc>
          <w:tcPr>
            <w:tcW w:w="365" w:type="pct"/>
            <w:tcBorders>
              <w:top w:val="nil"/>
              <w:left w:val="nil"/>
              <w:bottom w:val="nil"/>
              <w:right w:val="nil"/>
            </w:tcBorders>
            <w:shd w:val="clear" w:color="auto" w:fill="auto"/>
            <w:noWrap/>
            <w:vAlign w:val="bottom"/>
            <w:hideMark/>
          </w:tcPr>
          <w:p w14:paraId="7DACEB9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w:t>
            </w:r>
          </w:p>
        </w:tc>
      </w:tr>
      <w:tr w:rsidR="00BE78EE" w:rsidRPr="00CB64DE" w14:paraId="0B07491A"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86FBC21"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Ludwigia</w:t>
            </w:r>
            <w:proofErr w:type="spellEnd"/>
            <w:r w:rsidRPr="00C80F8D">
              <w:rPr>
                <w:rFonts w:eastAsia="Times New Roman" w:cs="Times New Roman"/>
                <w:i/>
                <w:iCs/>
                <w:color w:val="000000"/>
                <w:sz w:val="16"/>
                <w:szCs w:val="16"/>
                <w:lang w:eastAsia="en-AU"/>
              </w:rPr>
              <w:t xml:space="preserve"> palustris</w:t>
            </w:r>
          </w:p>
        </w:tc>
        <w:tc>
          <w:tcPr>
            <w:tcW w:w="260" w:type="pct"/>
            <w:tcBorders>
              <w:top w:val="nil"/>
              <w:left w:val="nil"/>
              <w:bottom w:val="nil"/>
              <w:right w:val="nil"/>
            </w:tcBorders>
            <w:shd w:val="clear" w:color="auto" w:fill="auto"/>
            <w:noWrap/>
            <w:vAlign w:val="bottom"/>
            <w:hideMark/>
          </w:tcPr>
          <w:p w14:paraId="219137E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B1A3A5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27</w:t>
            </w:r>
          </w:p>
        </w:tc>
        <w:tc>
          <w:tcPr>
            <w:tcW w:w="260" w:type="pct"/>
            <w:tcBorders>
              <w:top w:val="nil"/>
              <w:left w:val="nil"/>
              <w:bottom w:val="nil"/>
              <w:right w:val="nil"/>
            </w:tcBorders>
            <w:shd w:val="clear" w:color="auto" w:fill="auto"/>
            <w:noWrap/>
            <w:vAlign w:val="bottom"/>
            <w:hideMark/>
          </w:tcPr>
          <w:p w14:paraId="183CCF8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FF2698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1C720B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F3E904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E32BDE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BAD12C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9B6228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B5669E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D29C83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6F2C52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A81C3C8"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1F4090F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30</w:t>
            </w:r>
          </w:p>
        </w:tc>
      </w:tr>
      <w:tr w:rsidR="00BE78EE" w:rsidRPr="00CB64DE" w14:paraId="2B54FEF0"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18C2258"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Lythrum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hyssopifolia</w:t>
            </w:r>
            <w:proofErr w:type="spellEnd"/>
          </w:p>
        </w:tc>
        <w:tc>
          <w:tcPr>
            <w:tcW w:w="260" w:type="pct"/>
            <w:tcBorders>
              <w:top w:val="nil"/>
              <w:left w:val="nil"/>
              <w:bottom w:val="nil"/>
              <w:right w:val="nil"/>
            </w:tcBorders>
            <w:shd w:val="clear" w:color="auto" w:fill="auto"/>
            <w:noWrap/>
            <w:vAlign w:val="bottom"/>
            <w:hideMark/>
          </w:tcPr>
          <w:p w14:paraId="680E50C6"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83DAEB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164AD2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E54532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40663F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435FD6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647503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8DDABE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B1930F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07817F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A3D682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0D27EA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652CE79"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1C7DC2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4CCDC796"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6C4F6F4"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Lythrum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salicaria</w:t>
            </w:r>
            <w:proofErr w:type="spellEnd"/>
          </w:p>
        </w:tc>
        <w:tc>
          <w:tcPr>
            <w:tcW w:w="260" w:type="pct"/>
            <w:tcBorders>
              <w:top w:val="nil"/>
              <w:left w:val="nil"/>
              <w:bottom w:val="nil"/>
              <w:right w:val="nil"/>
            </w:tcBorders>
            <w:shd w:val="clear" w:color="auto" w:fill="auto"/>
            <w:noWrap/>
            <w:vAlign w:val="bottom"/>
            <w:hideMark/>
          </w:tcPr>
          <w:p w14:paraId="7D42F090"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C13C35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6D38CFC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7878E2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66498F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C4D748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027B4FD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FB359F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E8FA85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83AA86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D5BBFE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3DEC3A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4040434"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19221D6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r>
      <w:tr w:rsidR="00BE78EE" w:rsidRPr="00CB64DE" w14:paraId="0D0EA534"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D6EABEC"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Mollugo</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verticillata</w:t>
            </w:r>
            <w:proofErr w:type="spellEnd"/>
          </w:p>
        </w:tc>
        <w:tc>
          <w:tcPr>
            <w:tcW w:w="260" w:type="pct"/>
            <w:tcBorders>
              <w:top w:val="nil"/>
              <w:left w:val="nil"/>
              <w:bottom w:val="nil"/>
              <w:right w:val="nil"/>
            </w:tcBorders>
            <w:shd w:val="clear" w:color="auto" w:fill="auto"/>
            <w:noWrap/>
            <w:vAlign w:val="bottom"/>
            <w:hideMark/>
          </w:tcPr>
          <w:p w14:paraId="69C63BD2"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4F1E53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EF4625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06CEC1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DA9CB0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5DFA15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0F3E6AE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68977B3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65E539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BB93ED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CAD85E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7F755D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6A538A1"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B7A475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r>
      <w:tr w:rsidR="00BE78EE" w:rsidRPr="00CB64DE" w14:paraId="11F7F0D6"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5E466E7"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Oxalis </w:t>
            </w:r>
            <w:proofErr w:type="spellStart"/>
            <w:r w:rsidRPr="00C80F8D">
              <w:rPr>
                <w:rFonts w:eastAsia="Times New Roman" w:cs="Times New Roman"/>
                <w:i/>
                <w:iCs/>
                <w:color w:val="000000"/>
                <w:sz w:val="16"/>
                <w:szCs w:val="16"/>
                <w:lang w:eastAsia="en-AU"/>
              </w:rPr>
              <w:t>perennans</w:t>
            </w:r>
            <w:proofErr w:type="spellEnd"/>
          </w:p>
        </w:tc>
        <w:tc>
          <w:tcPr>
            <w:tcW w:w="260" w:type="pct"/>
            <w:tcBorders>
              <w:top w:val="nil"/>
              <w:left w:val="nil"/>
              <w:bottom w:val="nil"/>
              <w:right w:val="nil"/>
            </w:tcBorders>
            <w:shd w:val="clear" w:color="auto" w:fill="auto"/>
            <w:noWrap/>
            <w:vAlign w:val="bottom"/>
            <w:hideMark/>
          </w:tcPr>
          <w:p w14:paraId="264C697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C75A60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86F718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662FBB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E608E9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94B76F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6F1FFDC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w:t>
            </w:r>
          </w:p>
        </w:tc>
        <w:tc>
          <w:tcPr>
            <w:tcW w:w="260" w:type="pct"/>
            <w:tcBorders>
              <w:top w:val="nil"/>
              <w:left w:val="nil"/>
              <w:bottom w:val="nil"/>
              <w:right w:val="nil"/>
            </w:tcBorders>
            <w:shd w:val="clear" w:color="auto" w:fill="auto"/>
            <w:noWrap/>
            <w:vAlign w:val="bottom"/>
            <w:hideMark/>
          </w:tcPr>
          <w:p w14:paraId="3958AF6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nil"/>
              <w:right w:val="nil"/>
            </w:tcBorders>
            <w:shd w:val="clear" w:color="auto" w:fill="auto"/>
            <w:noWrap/>
            <w:vAlign w:val="bottom"/>
            <w:hideMark/>
          </w:tcPr>
          <w:p w14:paraId="1A4D440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136A87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8E8B4D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26F7CD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A1630C8"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305A443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w:t>
            </w:r>
          </w:p>
        </w:tc>
      </w:tr>
      <w:tr w:rsidR="00BE78EE" w:rsidRPr="00CB64DE" w14:paraId="1EFCBEDB"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FDF0912"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Panicum </w:t>
            </w:r>
            <w:proofErr w:type="spellStart"/>
            <w:r w:rsidRPr="00C80F8D">
              <w:rPr>
                <w:rFonts w:eastAsia="Times New Roman" w:cs="Times New Roman"/>
                <w:i/>
                <w:iCs/>
                <w:color w:val="000000"/>
                <w:sz w:val="16"/>
                <w:szCs w:val="16"/>
                <w:lang w:eastAsia="en-AU"/>
              </w:rPr>
              <w:t>coloratum</w:t>
            </w:r>
            <w:proofErr w:type="spellEnd"/>
          </w:p>
        </w:tc>
        <w:tc>
          <w:tcPr>
            <w:tcW w:w="260" w:type="pct"/>
            <w:tcBorders>
              <w:top w:val="nil"/>
              <w:left w:val="nil"/>
              <w:bottom w:val="nil"/>
              <w:right w:val="nil"/>
            </w:tcBorders>
            <w:shd w:val="clear" w:color="auto" w:fill="auto"/>
            <w:noWrap/>
            <w:vAlign w:val="bottom"/>
            <w:hideMark/>
          </w:tcPr>
          <w:p w14:paraId="5A6BF4BE"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A990AF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C45AB4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7C9643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4176C0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11970EF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B2536A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0DAF5FB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6</w:t>
            </w:r>
          </w:p>
        </w:tc>
        <w:tc>
          <w:tcPr>
            <w:tcW w:w="260" w:type="pct"/>
            <w:tcBorders>
              <w:top w:val="nil"/>
              <w:left w:val="nil"/>
              <w:bottom w:val="nil"/>
              <w:right w:val="nil"/>
            </w:tcBorders>
            <w:shd w:val="clear" w:color="auto" w:fill="auto"/>
            <w:noWrap/>
            <w:vAlign w:val="bottom"/>
            <w:hideMark/>
          </w:tcPr>
          <w:p w14:paraId="1BF8CE3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30C1E2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2ED6F8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9DD1C3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29103A3"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04555E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w:t>
            </w:r>
          </w:p>
        </w:tc>
      </w:tr>
      <w:tr w:rsidR="00BE78EE" w:rsidRPr="00CB64DE" w14:paraId="4C1B526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6132A5C8"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Paspalidium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jubiflorum</w:t>
            </w:r>
            <w:proofErr w:type="spellEnd"/>
          </w:p>
        </w:tc>
        <w:tc>
          <w:tcPr>
            <w:tcW w:w="260" w:type="pct"/>
            <w:tcBorders>
              <w:top w:val="nil"/>
              <w:left w:val="nil"/>
              <w:bottom w:val="nil"/>
              <w:right w:val="nil"/>
            </w:tcBorders>
            <w:shd w:val="clear" w:color="auto" w:fill="auto"/>
            <w:noWrap/>
            <w:vAlign w:val="bottom"/>
            <w:hideMark/>
          </w:tcPr>
          <w:p w14:paraId="6F0EDBC5"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81206E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69FD35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C7A868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38769B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CEF83A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B9B306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B9DC8B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F2A361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32</w:t>
            </w:r>
          </w:p>
        </w:tc>
        <w:tc>
          <w:tcPr>
            <w:tcW w:w="260" w:type="pct"/>
            <w:tcBorders>
              <w:top w:val="nil"/>
              <w:left w:val="nil"/>
              <w:bottom w:val="nil"/>
              <w:right w:val="nil"/>
            </w:tcBorders>
            <w:shd w:val="clear" w:color="auto" w:fill="auto"/>
            <w:noWrap/>
            <w:vAlign w:val="bottom"/>
            <w:hideMark/>
          </w:tcPr>
          <w:p w14:paraId="716A559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761788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159158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19BB104"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6CE2992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33</w:t>
            </w:r>
          </w:p>
        </w:tc>
      </w:tr>
      <w:tr w:rsidR="00BE78EE" w:rsidRPr="00CB64DE" w14:paraId="18D56559"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4F35FBD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Persicaria</w:t>
            </w:r>
            <w:proofErr w:type="spellEnd"/>
            <w:r w:rsidRPr="00C80F8D">
              <w:rPr>
                <w:rFonts w:eastAsia="Times New Roman" w:cs="Times New Roman"/>
                <w:i/>
                <w:iCs/>
                <w:color w:val="000000"/>
                <w:sz w:val="16"/>
                <w:szCs w:val="16"/>
                <w:lang w:eastAsia="en-AU"/>
              </w:rPr>
              <w:t xml:space="preserve"> hydropiper</w:t>
            </w:r>
          </w:p>
        </w:tc>
        <w:tc>
          <w:tcPr>
            <w:tcW w:w="260" w:type="pct"/>
            <w:tcBorders>
              <w:top w:val="nil"/>
              <w:left w:val="nil"/>
              <w:bottom w:val="nil"/>
              <w:right w:val="nil"/>
            </w:tcBorders>
            <w:shd w:val="clear" w:color="auto" w:fill="auto"/>
            <w:noWrap/>
            <w:vAlign w:val="bottom"/>
            <w:hideMark/>
          </w:tcPr>
          <w:p w14:paraId="650B0B3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3BA524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14</w:t>
            </w:r>
          </w:p>
        </w:tc>
        <w:tc>
          <w:tcPr>
            <w:tcW w:w="260" w:type="pct"/>
            <w:tcBorders>
              <w:top w:val="nil"/>
              <w:left w:val="nil"/>
              <w:bottom w:val="nil"/>
              <w:right w:val="nil"/>
            </w:tcBorders>
            <w:shd w:val="clear" w:color="auto" w:fill="auto"/>
            <w:noWrap/>
            <w:vAlign w:val="bottom"/>
            <w:hideMark/>
          </w:tcPr>
          <w:p w14:paraId="4DF4A14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CDBEEF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C6A7EB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C8B691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B4CD12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CFFDD6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EDD2F9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67709F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FC65AB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37920BD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78DD4B9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5CAAA053"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21</w:t>
            </w:r>
          </w:p>
        </w:tc>
      </w:tr>
      <w:tr w:rsidR="00BE78EE" w:rsidRPr="00CB64DE" w14:paraId="609FEC62"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4D9DCEF7"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Persicaria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lapathifolia</w:t>
            </w:r>
            <w:proofErr w:type="spellEnd"/>
          </w:p>
        </w:tc>
        <w:tc>
          <w:tcPr>
            <w:tcW w:w="260" w:type="pct"/>
            <w:tcBorders>
              <w:top w:val="nil"/>
              <w:left w:val="nil"/>
              <w:bottom w:val="nil"/>
              <w:right w:val="nil"/>
            </w:tcBorders>
            <w:shd w:val="clear" w:color="auto" w:fill="auto"/>
            <w:noWrap/>
            <w:vAlign w:val="bottom"/>
            <w:hideMark/>
          </w:tcPr>
          <w:p w14:paraId="3A19A615"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50550F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3800E03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4A568F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8B8387A"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E5B600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27F15B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070603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2284FA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F83ED7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339D27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C4CBA6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6972B8E"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706EAAE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r>
      <w:tr w:rsidR="00BE78EE" w:rsidRPr="00CB64DE" w14:paraId="60FA773D"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23C64E8"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Persicaria</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prostrata</w:t>
            </w:r>
            <w:proofErr w:type="spellEnd"/>
          </w:p>
        </w:tc>
        <w:tc>
          <w:tcPr>
            <w:tcW w:w="260" w:type="pct"/>
            <w:tcBorders>
              <w:top w:val="nil"/>
              <w:left w:val="nil"/>
              <w:bottom w:val="nil"/>
              <w:right w:val="nil"/>
            </w:tcBorders>
            <w:shd w:val="clear" w:color="auto" w:fill="auto"/>
            <w:noWrap/>
            <w:vAlign w:val="bottom"/>
            <w:hideMark/>
          </w:tcPr>
          <w:p w14:paraId="11F81B69"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64039D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8F733B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E87A1D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4595F7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260" w:type="pct"/>
            <w:tcBorders>
              <w:top w:val="nil"/>
              <w:left w:val="nil"/>
              <w:bottom w:val="nil"/>
              <w:right w:val="nil"/>
            </w:tcBorders>
            <w:shd w:val="clear" w:color="auto" w:fill="auto"/>
            <w:noWrap/>
            <w:vAlign w:val="bottom"/>
            <w:hideMark/>
          </w:tcPr>
          <w:p w14:paraId="43B063A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nil"/>
              <w:right w:val="nil"/>
            </w:tcBorders>
            <w:shd w:val="clear" w:color="auto" w:fill="auto"/>
            <w:noWrap/>
            <w:vAlign w:val="bottom"/>
            <w:hideMark/>
          </w:tcPr>
          <w:p w14:paraId="60EC989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6FA6FAA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3E9AC2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67F5BD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3EF24B8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704925E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1400C4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365" w:type="pct"/>
            <w:tcBorders>
              <w:top w:val="nil"/>
              <w:left w:val="nil"/>
              <w:bottom w:val="nil"/>
              <w:right w:val="nil"/>
            </w:tcBorders>
            <w:shd w:val="clear" w:color="auto" w:fill="auto"/>
            <w:noWrap/>
            <w:vAlign w:val="bottom"/>
            <w:hideMark/>
          </w:tcPr>
          <w:p w14:paraId="5123AEE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20</w:t>
            </w:r>
          </w:p>
        </w:tc>
      </w:tr>
      <w:tr w:rsidR="00BE78EE" w:rsidRPr="00CB64DE" w14:paraId="1EC8AF08"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3BD416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Poa </w:t>
            </w:r>
            <w:proofErr w:type="spellStart"/>
            <w:r w:rsidRPr="00C80F8D">
              <w:rPr>
                <w:rFonts w:eastAsia="Times New Roman" w:cs="Times New Roman"/>
                <w:i/>
                <w:iCs/>
                <w:color w:val="000000"/>
                <w:sz w:val="16"/>
                <w:szCs w:val="16"/>
                <w:lang w:eastAsia="en-AU"/>
              </w:rPr>
              <w:t>labillardierei</w:t>
            </w:r>
            <w:proofErr w:type="spellEnd"/>
          </w:p>
        </w:tc>
        <w:tc>
          <w:tcPr>
            <w:tcW w:w="260" w:type="pct"/>
            <w:tcBorders>
              <w:top w:val="nil"/>
              <w:left w:val="nil"/>
              <w:bottom w:val="nil"/>
              <w:right w:val="nil"/>
            </w:tcBorders>
            <w:shd w:val="clear" w:color="auto" w:fill="auto"/>
            <w:noWrap/>
            <w:vAlign w:val="bottom"/>
            <w:hideMark/>
          </w:tcPr>
          <w:p w14:paraId="0E827831"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E49A1A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9CA6F50"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61D110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422FF8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DB1AA8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3E881C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260" w:type="pct"/>
            <w:tcBorders>
              <w:top w:val="nil"/>
              <w:left w:val="nil"/>
              <w:bottom w:val="nil"/>
              <w:right w:val="nil"/>
            </w:tcBorders>
            <w:shd w:val="clear" w:color="auto" w:fill="auto"/>
            <w:noWrap/>
            <w:vAlign w:val="bottom"/>
            <w:hideMark/>
          </w:tcPr>
          <w:p w14:paraId="69C826C7"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E849EE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0D19C8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46EA3E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39201D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35CD021"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0AA95FB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w:t>
            </w:r>
          </w:p>
        </w:tc>
      </w:tr>
      <w:tr w:rsidR="00BE78EE" w:rsidRPr="00CB64DE" w14:paraId="4D4BD289"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13EF77B3"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Ranunculus </w:t>
            </w:r>
            <w:proofErr w:type="spellStart"/>
            <w:r w:rsidRPr="00C80F8D">
              <w:rPr>
                <w:rFonts w:eastAsia="Times New Roman" w:cs="Times New Roman"/>
                <w:i/>
                <w:iCs/>
                <w:color w:val="000000"/>
                <w:sz w:val="16"/>
                <w:szCs w:val="16"/>
                <w:lang w:eastAsia="en-AU"/>
              </w:rPr>
              <w:t>sceleratus</w:t>
            </w:r>
            <w:proofErr w:type="spellEnd"/>
          </w:p>
        </w:tc>
        <w:tc>
          <w:tcPr>
            <w:tcW w:w="260" w:type="pct"/>
            <w:tcBorders>
              <w:top w:val="nil"/>
              <w:left w:val="nil"/>
              <w:bottom w:val="nil"/>
              <w:right w:val="nil"/>
            </w:tcBorders>
            <w:shd w:val="clear" w:color="auto" w:fill="auto"/>
            <w:noWrap/>
            <w:vAlign w:val="bottom"/>
            <w:hideMark/>
          </w:tcPr>
          <w:p w14:paraId="64CFC92E"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265E64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A401DF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8CB57D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BF5A04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912C77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07A196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72E99E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1D41AC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114EE0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AFD894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7B88E5F9"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DEB7898"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5D7E31D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0730F773"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0D8B72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Rorippa</w:t>
            </w:r>
            <w:proofErr w:type="spellEnd"/>
            <w:r w:rsidRPr="00C80F8D">
              <w:rPr>
                <w:rFonts w:eastAsia="Times New Roman" w:cs="Times New Roman"/>
                <w:i/>
                <w:iCs/>
                <w:color w:val="000000"/>
                <w:sz w:val="16"/>
                <w:szCs w:val="16"/>
                <w:lang w:eastAsia="en-AU"/>
              </w:rPr>
              <w:t xml:space="preserve"> palustris</w:t>
            </w:r>
          </w:p>
        </w:tc>
        <w:tc>
          <w:tcPr>
            <w:tcW w:w="260" w:type="pct"/>
            <w:tcBorders>
              <w:top w:val="nil"/>
              <w:left w:val="nil"/>
              <w:bottom w:val="nil"/>
              <w:right w:val="nil"/>
            </w:tcBorders>
            <w:shd w:val="clear" w:color="auto" w:fill="auto"/>
            <w:noWrap/>
            <w:vAlign w:val="bottom"/>
            <w:hideMark/>
          </w:tcPr>
          <w:p w14:paraId="44F6FD6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265298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0DF6B4E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C85BBE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185A40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3EF2224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A196B5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C388E6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0BBC10F"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DEA4CC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308FDFC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8</w:t>
            </w:r>
          </w:p>
        </w:tc>
        <w:tc>
          <w:tcPr>
            <w:tcW w:w="260" w:type="pct"/>
            <w:tcBorders>
              <w:top w:val="nil"/>
              <w:left w:val="nil"/>
              <w:bottom w:val="nil"/>
              <w:right w:val="nil"/>
            </w:tcBorders>
            <w:shd w:val="clear" w:color="auto" w:fill="auto"/>
            <w:noWrap/>
            <w:vAlign w:val="bottom"/>
            <w:hideMark/>
          </w:tcPr>
          <w:p w14:paraId="1A87E62D"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A9617E0"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1B1EC9D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16</w:t>
            </w:r>
          </w:p>
        </w:tc>
      </w:tr>
      <w:tr w:rsidR="00BE78EE" w:rsidRPr="00CB64DE" w14:paraId="2CCBC9A7"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7C91A3CE"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lastRenderedPageBreak/>
              <w:t xml:space="preserve">Rumex </w:t>
            </w:r>
            <w:proofErr w:type="spellStart"/>
            <w:r w:rsidRPr="00C80F8D">
              <w:rPr>
                <w:rFonts w:eastAsia="Times New Roman" w:cs="Times New Roman"/>
                <w:i/>
                <w:iCs/>
                <w:color w:val="000000"/>
                <w:sz w:val="16"/>
                <w:szCs w:val="16"/>
                <w:lang w:eastAsia="en-AU"/>
              </w:rPr>
              <w:t>brownii</w:t>
            </w:r>
            <w:proofErr w:type="spellEnd"/>
          </w:p>
        </w:tc>
        <w:tc>
          <w:tcPr>
            <w:tcW w:w="260" w:type="pct"/>
            <w:tcBorders>
              <w:top w:val="nil"/>
              <w:left w:val="nil"/>
              <w:bottom w:val="nil"/>
              <w:right w:val="nil"/>
            </w:tcBorders>
            <w:shd w:val="clear" w:color="auto" w:fill="auto"/>
            <w:noWrap/>
            <w:vAlign w:val="bottom"/>
            <w:hideMark/>
          </w:tcPr>
          <w:p w14:paraId="7A461C67"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EBCA44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5F8658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55AFAF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E5B1EF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8C0A56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19643F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nil"/>
              <w:right w:val="nil"/>
            </w:tcBorders>
            <w:shd w:val="clear" w:color="auto" w:fill="auto"/>
            <w:noWrap/>
            <w:vAlign w:val="bottom"/>
            <w:hideMark/>
          </w:tcPr>
          <w:p w14:paraId="5CBB76D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1ECACA7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64C6A93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457CA8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70255F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FA7ECC6"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083322D4"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184F5937"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103CCB5"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Solanum nigrum</w:t>
            </w:r>
          </w:p>
        </w:tc>
        <w:tc>
          <w:tcPr>
            <w:tcW w:w="260" w:type="pct"/>
            <w:tcBorders>
              <w:top w:val="nil"/>
              <w:left w:val="nil"/>
              <w:bottom w:val="nil"/>
              <w:right w:val="nil"/>
            </w:tcBorders>
            <w:shd w:val="clear" w:color="auto" w:fill="auto"/>
            <w:noWrap/>
            <w:vAlign w:val="bottom"/>
            <w:hideMark/>
          </w:tcPr>
          <w:p w14:paraId="29D108B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w:t>
            </w:r>
          </w:p>
        </w:tc>
        <w:tc>
          <w:tcPr>
            <w:tcW w:w="260" w:type="pct"/>
            <w:tcBorders>
              <w:top w:val="nil"/>
              <w:left w:val="nil"/>
              <w:bottom w:val="nil"/>
              <w:right w:val="nil"/>
            </w:tcBorders>
            <w:shd w:val="clear" w:color="auto" w:fill="auto"/>
            <w:noWrap/>
            <w:vAlign w:val="bottom"/>
            <w:hideMark/>
          </w:tcPr>
          <w:p w14:paraId="5347D022"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5089407"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52384B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EA66453"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0639ED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8D0898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338AC1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02F33C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DE2BE2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EA4B82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038900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4FAEFD5"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9CF7F3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11</w:t>
            </w:r>
          </w:p>
        </w:tc>
      </w:tr>
      <w:tr w:rsidR="00BE78EE" w:rsidRPr="00CB64DE" w14:paraId="5521991A"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371E415D"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Sonchus oleraceus</w:t>
            </w:r>
          </w:p>
        </w:tc>
        <w:tc>
          <w:tcPr>
            <w:tcW w:w="260" w:type="pct"/>
            <w:tcBorders>
              <w:top w:val="nil"/>
              <w:left w:val="nil"/>
              <w:bottom w:val="nil"/>
              <w:right w:val="nil"/>
            </w:tcBorders>
            <w:shd w:val="clear" w:color="auto" w:fill="auto"/>
            <w:noWrap/>
            <w:vAlign w:val="bottom"/>
            <w:hideMark/>
          </w:tcPr>
          <w:p w14:paraId="1EBE50F9"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6351F2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EF9B61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CCBB22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D7D55A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4C4CEF2B"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E80214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48AA1A0"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65674D5E"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70FEB9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8CE9F0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9B8BEB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F7867A3"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92CC22A"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r>
      <w:tr w:rsidR="00BE78EE" w:rsidRPr="00CB64DE" w14:paraId="31CFCF4F"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4FB5E1B"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Symphyotrichum</w:t>
            </w:r>
            <w:proofErr w:type="spellEnd"/>
            <w:r w:rsidRPr="00C80F8D">
              <w:rPr>
                <w:rFonts w:eastAsia="Times New Roman" w:cs="Times New Roman"/>
                <w:i/>
                <w:iCs/>
                <w:color w:val="000000"/>
                <w:sz w:val="16"/>
                <w:szCs w:val="16"/>
                <w:lang w:eastAsia="en-AU"/>
              </w:rPr>
              <w:t xml:space="preserve"> </w:t>
            </w:r>
            <w:proofErr w:type="spellStart"/>
            <w:r w:rsidRPr="00C80F8D">
              <w:rPr>
                <w:rFonts w:eastAsia="Times New Roman" w:cs="Times New Roman"/>
                <w:i/>
                <w:iCs/>
                <w:color w:val="000000"/>
                <w:sz w:val="16"/>
                <w:szCs w:val="16"/>
                <w:lang w:eastAsia="en-AU"/>
              </w:rPr>
              <w:t>subulatum</w:t>
            </w:r>
            <w:proofErr w:type="spellEnd"/>
          </w:p>
        </w:tc>
        <w:tc>
          <w:tcPr>
            <w:tcW w:w="260" w:type="pct"/>
            <w:tcBorders>
              <w:top w:val="nil"/>
              <w:left w:val="nil"/>
              <w:bottom w:val="nil"/>
              <w:right w:val="nil"/>
            </w:tcBorders>
            <w:shd w:val="clear" w:color="auto" w:fill="auto"/>
            <w:noWrap/>
            <w:vAlign w:val="bottom"/>
            <w:hideMark/>
          </w:tcPr>
          <w:p w14:paraId="3A55D540"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9E2CEDF"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18</w:t>
            </w:r>
          </w:p>
        </w:tc>
        <w:tc>
          <w:tcPr>
            <w:tcW w:w="260" w:type="pct"/>
            <w:tcBorders>
              <w:top w:val="nil"/>
              <w:left w:val="nil"/>
              <w:bottom w:val="nil"/>
              <w:right w:val="nil"/>
            </w:tcBorders>
            <w:shd w:val="clear" w:color="auto" w:fill="auto"/>
            <w:noWrap/>
            <w:vAlign w:val="bottom"/>
            <w:hideMark/>
          </w:tcPr>
          <w:p w14:paraId="5D26F39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3A5BB2A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AE0D554"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4E64E79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0161B5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B22F5DA"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73E7699"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258B39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5FEE3976"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511F5801"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nil"/>
              <w:right w:val="nil"/>
            </w:tcBorders>
            <w:shd w:val="clear" w:color="auto" w:fill="auto"/>
            <w:noWrap/>
            <w:vAlign w:val="bottom"/>
            <w:hideMark/>
          </w:tcPr>
          <w:p w14:paraId="3A800D08"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nil"/>
              <w:right w:val="nil"/>
            </w:tcBorders>
            <w:shd w:val="clear" w:color="auto" w:fill="auto"/>
            <w:noWrap/>
            <w:vAlign w:val="bottom"/>
            <w:hideMark/>
          </w:tcPr>
          <w:p w14:paraId="5D80D09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25</w:t>
            </w:r>
          </w:p>
        </w:tc>
      </w:tr>
      <w:tr w:rsidR="00BE78EE" w:rsidRPr="00CB64DE" w14:paraId="7D61AA23"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0C50CCFD"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Trifolium </w:t>
            </w:r>
            <w:r w:rsidRPr="00C80F8D">
              <w:rPr>
                <w:rFonts w:eastAsia="Times New Roman" w:cs="Times New Roman"/>
                <w:color w:val="000000"/>
                <w:sz w:val="16"/>
                <w:szCs w:val="16"/>
                <w:lang w:eastAsia="en-AU"/>
              </w:rPr>
              <w:t>spp</w:t>
            </w:r>
            <w:r w:rsidRPr="00C80F8D">
              <w:rPr>
                <w:rFonts w:eastAsia="Times New Roman" w:cs="Times New Roman"/>
                <w:i/>
                <w:iCs/>
                <w:color w:val="000000"/>
                <w:sz w:val="16"/>
                <w:szCs w:val="16"/>
                <w:lang w:eastAsia="en-AU"/>
              </w:rPr>
              <w:t>.</w:t>
            </w:r>
          </w:p>
        </w:tc>
        <w:tc>
          <w:tcPr>
            <w:tcW w:w="260" w:type="pct"/>
            <w:tcBorders>
              <w:top w:val="nil"/>
              <w:left w:val="nil"/>
              <w:bottom w:val="nil"/>
              <w:right w:val="nil"/>
            </w:tcBorders>
            <w:shd w:val="clear" w:color="auto" w:fill="auto"/>
            <w:noWrap/>
            <w:vAlign w:val="bottom"/>
            <w:hideMark/>
          </w:tcPr>
          <w:p w14:paraId="12D4BDBC"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067F952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6789304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50D5E4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CE748E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0FE5723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05C1BDF"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8A61D12"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37B5F41C"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A62B55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7D34B9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0075478"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440420E"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4032F159"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771F7644" w14:textId="77777777" w:rsidTr="00F768CB">
        <w:trPr>
          <w:trHeight w:val="300"/>
          <w:jc w:val="center"/>
        </w:trPr>
        <w:tc>
          <w:tcPr>
            <w:tcW w:w="1255" w:type="pct"/>
            <w:tcBorders>
              <w:top w:val="nil"/>
              <w:left w:val="nil"/>
              <w:bottom w:val="nil"/>
              <w:right w:val="nil"/>
            </w:tcBorders>
            <w:shd w:val="clear" w:color="auto" w:fill="auto"/>
            <w:noWrap/>
            <w:vAlign w:val="bottom"/>
            <w:hideMark/>
          </w:tcPr>
          <w:p w14:paraId="26C8F382"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r w:rsidRPr="00C80F8D">
              <w:rPr>
                <w:rFonts w:eastAsia="Times New Roman" w:cs="Times New Roman"/>
                <w:i/>
                <w:iCs/>
                <w:color w:val="000000"/>
                <w:sz w:val="16"/>
                <w:szCs w:val="16"/>
                <w:lang w:eastAsia="en-AU"/>
              </w:rPr>
              <w:t xml:space="preserve">Typha </w:t>
            </w:r>
            <w:r w:rsidRPr="00C80F8D">
              <w:rPr>
                <w:rFonts w:eastAsia="Times New Roman" w:cs="Times New Roman"/>
                <w:color w:val="000000"/>
                <w:sz w:val="16"/>
                <w:szCs w:val="16"/>
                <w:lang w:eastAsia="en-AU"/>
              </w:rPr>
              <w:t>spp</w:t>
            </w:r>
            <w:r w:rsidRPr="00C80F8D">
              <w:rPr>
                <w:rFonts w:eastAsia="Times New Roman" w:cs="Times New Roman"/>
                <w:i/>
                <w:iCs/>
                <w:color w:val="000000"/>
                <w:sz w:val="16"/>
                <w:szCs w:val="16"/>
                <w:lang w:eastAsia="en-AU"/>
              </w:rPr>
              <w:t>.</w:t>
            </w:r>
          </w:p>
        </w:tc>
        <w:tc>
          <w:tcPr>
            <w:tcW w:w="260" w:type="pct"/>
            <w:tcBorders>
              <w:top w:val="nil"/>
              <w:left w:val="nil"/>
              <w:bottom w:val="nil"/>
              <w:right w:val="nil"/>
            </w:tcBorders>
            <w:shd w:val="clear" w:color="auto" w:fill="auto"/>
            <w:noWrap/>
            <w:vAlign w:val="bottom"/>
            <w:hideMark/>
          </w:tcPr>
          <w:p w14:paraId="06328032"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5A6CB9F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c>
          <w:tcPr>
            <w:tcW w:w="260" w:type="pct"/>
            <w:tcBorders>
              <w:top w:val="nil"/>
              <w:left w:val="nil"/>
              <w:bottom w:val="nil"/>
              <w:right w:val="nil"/>
            </w:tcBorders>
            <w:shd w:val="clear" w:color="auto" w:fill="auto"/>
            <w:noWrap/>
            <w:vAlign w:val="bottom"/>
            <w:hideMark/>
          </w:tcPr>
          <w:p w14:paraId="1826C3E6"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2236048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0D579A50"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nil"/>
              <w:right w:val="nil"/>
            </w:tcBorders>
            <w:shd w:val="clear" w:color="auto" w:fill="auto"/>
            <w:noWrap/>
            <w:vAlign w:val="bottom"/>
            <w:hideMark/>
          </w:tcPr>
          <w:p w14:paraId="74C7B38B"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C3FDC73"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8F8F27C"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717B363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1EDAEA04"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4F506ACD"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5B1E2206"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nil"/>
              <w:right w:val="nil"/>
            </w:tcBorders>
            <w:shd w:val="clear" w:color="auto" w:fill="auto"/>
            <w:noWrap/>
            <w:vAlign w:val="bottom"/>
            <w:hideMark/>
          </w:tcPr>
          <w:p w14:paraId="2E0C1B12" w14:textId="77777777" w:rsidR="00BE78EE" w:rsidRPr="00CB64DE" w:rsidRDefault="00BE78EE" w:rsidP="00E26D3C">
            <w:pPr>
              <w:spacing w:after="0" w:line="240" w:lineRule="auto"/>
              <w:rPr>
                <w:rFonts w:eastAsia="Times New Roman" w:cs="Times New Roman"/>
                <w:sz w:val="16"/>
                <w:szCs w:val="16"/>
                <w:lang w:eastAsia="en-AU"/>
              </w:rPr>
            </w:pPr>
          </w:p>
        </w:tc>
        <w:tc>
          <w:tcPr>
            <w:tcW w:w="365" w:type="pct"/>
            <w:tcBorders>
              <w:top w:val="nil"/>
              <w:left w:val="nil"/>
              <w:bottom w:val="nil"/>
              <w:right w:val="nil"/>
            </w:tcBorders>
            <w:shd w:val="clear" w:color="auto" w:fill="auto"/>
            <w:noWrap/>
            <w:vAlign w:val="bottom"/>
            <w:hideMark/>
          </w:tcPr>
          <w:p w14:paraId="217741AE"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w:t>
            </w:r>
          </w:p>
        </w:tc>
      </w:tr>
      <w:tr w:rsidR="00BE78EE" w:rsidRPr="00CB64DE" w14:paraId="7BED55DC" w14:textId="77777777" w:rsidTr="00F768CB">
        <w:trPr>
          <w:trHeight w:val="300"/>
          <w:jc w:val="center"/>
        </w:trPr>
        <w:tc>
          <w:tcPr>
            <w:tcW w:w="1255" w:type="pct"/>
            <w:tcBorders>
              <w:top w:val="nil"/>
              <w:left w:val="nil"/>
              <w:bottom w:val="single" w:sz="4" w:space="0" w:color="auto"/>
              <w:right w:val="nil"/>
            </w:tcBorders>
            <w:shd w:val="clear" w:color="auto" w:fill="auto"/>
            <w:noWrap/>
            <w:vAlign w:val="bottom"/>
            <w:hideMark/>
          </w:tcPr>
          <w:p w14:paraId="0D09088A" w14:textId="77777777" w:rsidR="00BE78EE" w:rsidRPr="00C80F8D" w:rsidRDefault="00BE78EE" w:rsidP="00E26D3C">
            <w:pPr>
              <w:spacing w:after="0" w:line="240" w:lineRule="auto"/>
              <w:ind w:firstLineChars="100" w:firstLine="160"/>
              <w:rPr>
                <w:rFonts w:eastAsia="Times New Roman" w:cs="Times New Roman"/>
                <w:i/>
                <w:iCs/>
                <w:color w:val="000000"/>
                <w:sz w:val="16"/>
                <w:szCs w:val="16"/>
                <w:lang w:eastAsia="en-AU"/>
              </w:rPr>
            </w:pPr>
            <w:proofErr w:type="spellStart"/>
            <w:r w:rsidRPr="00C80F8D">
              <w:rPr>
                <w:rFonts w:eastAsia="Times New Roman" w:cs="Times New Roman"/>
                <w:i/>
                <w:iCs/>
                <w:color w:val="000000"/>
                <w:sz w:val="16"/>
                <w:szCs w:val="16"/>
                <w:lang w:eastAsia="en-AU"/>
              </w:rPr>
              <w:t>Wahlenbergia</w:t>
            </w:r>
            <w:proofErr w:type="spellEnd"/>
            <w:r w:rsidRPr="00C80F8D">
              <w:rPr>
                <w:rFonts w:eastAsia="Times New Roman" w:cs="Times New Roman"/>
                <w:i/>
                <w:iCs/>
                <w:color w:val="000000"/>
                <w:sz w:val="16"/>
                <w:szCs w:val="16"/>
                <w:lang w:eastAsia="en-AU"/>
              </w:rPr>
              <w:t xml:space="preserve"> </w:t>
            </w:r>
            <w:r w:rsidRPr="00C80F8D">
              <w:rPr>
                <w:rFonts w:eastAsia="Times New Roman" w:cs="Times New Roman"/>
                <w:color w:val="000000"/>
                <w:sz w:val="16"/>
                <w:szCs w:val="16"/>
                <w:lang w:eastAsia="en-AU"/>
              </w:rPr>
              <w:t>spp</w:t>
            </w:r>
            <w:r w:rsidRPr="00C80F8D">
              <w:rPr>
                <w:rFonts w:eastAsia="Times New Roman" w:cs="Times New Roman"/>
                <w:i/>
                <w:iCs/>
                <w:color w:val="000000"/>
                <w:sz w:val="16"/>
                <w:szCs w:val="16"/>
                <w:lang w:eastAsia="en-AU"/>
              </w:rPr>
              <w:t>.</w:t>
            </w:r>
          </w:p>
        </w:tc>
        <w:tc>
          <w:tcPr>
            <w:tcW w:w="260" w:type="pct"/>
            <w:tcBorders>
              <w:top w:val="nil"/>
              <w:left w:val="nil"/>
              <w:bottom w:val="single" w:sz="4" w:space="0" w:color="auto"/>
              <w:right w:val="nil"/>
            </w:tcBorders>
            <w:shd w:val="clear" w:color="auto" w:fill="auto"/>
            <w:noWrap/>
            <w:vAlign w:val="bottom"/>
            <w:hideMark/>
          </w:tcPr>
          <w:p w14:paraId="2E995719" w14:textId="77777777" w:rsidR="00BE78EE" w:rsidRPr="00CB64DE" w:rsidRDefault="00BE78EE" w:rsidP="00E26D3C">
            <w:pPr>
              <w:spacing w:after="0" w:line="240" w:lineRule="auto"/>
              <w:ind w:firstLineChars="100" w:firstLine="160"/>
              <w:rPr>
                <w:rFonts w:eastAsia="Times New Roman" w:cs="Times New Roman"/>
                <w:color w:val="000000"/>
                <w:sz w:val="16"/>
                <w:szCs w:val="16"/>
                <w:lang w:eastAsia="en-AU"/>
              </w:rPr>
            </w:pPr>
          </w:p>
        </w:tc>
        <w:tc>
          <w:tcPr>
            <w:tcW w:w="260" w:type="pct"/>
            <w:tcBorders>
              <w:top w:val="nil"/>
              <w:left w:val="nil"/>
              <w:bottom w:val="single" w:sz="4" w:space="0" w:color="auto"/>
              <w:right w:val="nil"/>
            </w:tcBorders>
            <w:shd w:val="clear" w:color="auto" w:fill="auto"/>
            <w:noWrap/>
            <w:vAlign w:val="bottom"/>
            <w:hideMark/>
          </w:tcPr>
          <w:p w14:paraId="4BAF2011"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single" w:sz="4" w:space="0" w:color="auto"/>
              <w:right w:val="nil"/>
            </w:tcBorders>
            <w:shd w:val="clear" w:color="auto" w:fill="auto"/>
            <w:noWrap/>
            <w:vAlign w:val="bottom"/>
            <w:hideMark/>
          </w:tcPr>
          <w:p w14:paraId="186DF8AE"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single" w:sz="4" w:space="0" w:color="auto"/>
              <w:right w:val="nil"/>
            </w:tcBorders>
            <w:shd w:val="clear" w:color="auto" w:fill="auto"/>
            <w:noWrap/>
            <w:vAlign w:val="bottom"/>
            <w:hideMark/>
          </w:tcPr>
          <w:p w14:paraId="4DE9F025" w14:textId="77777777" w:rsidR="00BE78EE" w:rsidRPr="00CB64DE" w:rsidRDefault="00BE78EE" w:rsidP="00E26D3C">
            <w:pPr>
              <w:spacing w:after="0" w:line="240" w:lineRule="auto"/>
              <w:rPr>
                <w:rFonts w:eastAsia="Times New Roman" w:cs="Times New Roman"/>
                <w:sz w:val="16"/>
                <w:szCs w:val="16"/>
                <w:lang w:eastAsia="en-AU"/>
              </w:rPr>
            </w:pPr>
          </w:p>
        </w:tc>
        <w:tc>
          <w:tcPr>
            <w:tcW w:w="260" w:type="pct"/>
            <w:tcBorders>
              <w:top w:val="nil"/>
              <w:left w:val="nil"/>
              <w:bottom w:val="single" w:sz="4" w:space="0" w:color="auto"/>
              <w:right w:val="nil"/>
            </w:tcBorders>
            <w:shd w:val="clear" w:color="auto" w:fill="auto"/>
            <w:noWrap/>
            <w:vAlign w:val="bottom"/>
            <w:hideMark/>
          </w:tcPr>
          <w:p w14:paraId="22AE997B"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54</w:t>
            </w:r>
          </w:p>
        </w:tc>
        <w:tc>
          <w:tcPr>
            <w:tcW w:w="260" w:type="pct"/>
            <w:tcBorders>
              <w:top w:val="nil"/>
              <w:left w:val="nil"/>
              <w:bottom w:val="single" w:sz="4" w:space="0" w:color="auto"/>
              <w:right w:val="nil"/>
            </w:tcBorders>
            <w:shd w:val="clear" w:color="auto" w:fill="auto"/>
            <w:noWrap/>
            <w:vAlign w:val="bottom"/>
            <w:hideMark/>
          </w:tcPr>
          <w:p w14:paraId="1F42B597"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single" w:sz="4" w:space="0" w:color="auto"/>
              <w:right w:val="nil"/>
            </w:tcBorders>
            <w:shd w:val="clear" w:color="auto" w:fill="auto"/>
            <w:noWrap/>
            <w:vAlign w:val="bottom"/>
            <w:hideMark/>
          </w:tcPr>
          <w:p w14:paraId="5D3D1448"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5</w:t>
            </w:r>
          </w:p>
        </w:tc>
        <w:tc>
          <w:tcPr>
            <w:tcW w:w="260" w:type="pct"/>
            <w:tcBorders>
              <w:top w:val="nil"/>
              <w:left w:val="nil"/>
              <w:bottom w:val="single" w:sz="4" w:space="0" w:color="auto"/>
              <w:right w:val="nil"/>
            </w:tcBorders>
            <w:shd w:val="clear" w:color="auto" w:fill="auto"/>
            <w:noWrap/>
            <w:vAlign w:val="bottom"/>
            <w:hideMark/>
          </w:tcPr>
          <w:p w14:paraId="0B3FF15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37</w:t>
            </w:r>
          </w:p>
        </w:tc>
        <w:tc>
          <w:tcPr>
            <w:tcW w:w="260" w:type="pct"/>
            <w:tcBorders>
              <w:top w:val="nil"/>
              <w:left w:val="nil"/>
              <w:bottom w:val="single" w:sz="4" w:space="0" w:color="auto"/>
              <w:right w:val="nil"/>
            </w:tcBorders>
            <w:shd w:val="clear" w:color="auto" w:fill="auto"/>
            <w:noWrap/>
            <w:vAlign w:val="bottom"/>
            <w:hideMark/>
          </w:tcPr>
          <w:p w14:paraId="2F1B4325"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260" w:type="pct"/>
            <w:tcBorders>
              <w:top w:val="nil"/>
              <w:left w:val="nil"/>
              <w:bottom w:val="single" w:sz="4" w:space="0" w:color="auto"/>
              <w:right w:val="nil"/>
            </w:tcBorders>
            <w:shd w:val="clear" w:color="auto" w:fill="auto"/>
            <w:noWrap/>
            <w:vAlign w:val="bottom"/>
            <w:hideMark/>
          </w:tcPr>
          <w:p w14:paraId="43EBAB6C"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4</w:t>
            </w:r>
          </w:p>
        </w:tc>
        <w:tc>
          <w:tcPr>
            <w:tcW w:w="260" w:type="pct"/>
            <w:tcBorders>
              <w:top w:val="nil"/>
              <w:left w:val="nil"/>
              <w:bottom w:val="single" w:sz="4" w:space="0" w:color="auto"/>
              <w:right w:val="nil"/>
            </w:tcBorders>
            <w:shd w:val="clear" w:color="auto" w:fill="auto"/>
            <w:noWrap/>
            <w:vAlign w:val="bottom"/>
            <w:hideMark/>
          </w:tcPr>
          <w:p w14:paraId="431C24ED"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2</w:t>
            </w:r>
          </w:p>
        </w:tc>
        <w:tc>
          <w:tcPr>
            <w:tcW w:w="260" w:type="pct"/>
            <w:tcBorders>
              <w:top w:val="nil"/>
              <w:left w:val="nil"/>
              <w:bottom w:val="single" w:sz="4" w:space="0" w:color="auto"/>
              <w:right w:val="nil"/>
            </w:tcBorders>
            <w:shd w:val="clear" w:color="auto" w:fill="auto"/>
            <w:noWrap/>
            <w:vAlign w:val="bottom"/>
            <w:hideMark/>
          </w:tcPr>
          <w:p w14:paraId="29C17802"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3</w:t>
            </w:r>
          </w:p>
        </w:tc>
        <w:tc>
          <w:tcPr>
            <w:tcW w:w="260" w:type="pct"/>
            <w:tcBorders>
              <w:top w:val="nil"/>
              <w:left w:val="nil"/>
              <w:bottom w:val="single" w:sz="4" w:space="0" w:color="auto"/>
              <w:right w:val="nil"/>
            </w:tcBorders>
            <w:shd w:val="clear" w:color="auto" w:fill="auto"/>
            <w:noWrap/>
            <w:vAlign w:val="bottom"/>
            <w:hideMark/>
          </w:tcPr>
          <w:p w14:paraId="7E25AB61" w14:textId="77777777" w:rsidR="00BE78EE" w:rsidRPr="00CB64DE" w:rsidRDefault="00BE78EE" w:rsidP="00E26D3C">
            <w:pPr>
              <w:spacing w:after="0" w:line="240" w:lineRule="auto"/>
              <w:jc w:val="right"/>
              <w:rPr>
                <w:rFonts w:eastAsia="Times New Roman" w:cs="Times New Roman"/>
                <w:color w:val="000000"/>
                <w:sz w:val="16"/>
                <w:szCs w:val="16"/>
                <w:lang w:eastAsia="en-AU"/>
              </w:rPr>
            </w:pPr>
          </w:p>
        </w:tc>
        <w:tc>
          <w:tcPr>
            <w:tcW w:w="365" w:type="pct"/>
            <w:tcBorders>
              <w:top w:val="nil"/>
              <w:left w:val="nil"/>
              <w:bottom w:val="single" w:sz="4" w:space="0" w:color="auto"/>
              <w:right w:val="nil"/>
            </w:tcBorders>
            <w:shd w:val="clear" w:color="auto" w:fill="auto"/>
            <w:noWrap/>
            <w:vAlign w:val="bottom"/>
            <w:hideMark/>
          </w:tcPr>
          <w:p w14:paraId="062CB375" w14:textId="77777777" w:rsidR="00BE78EE" w:rsidRPr="00CB64DE" w:rsidRDefault="00BE78EE" w:rsidP="00E26D3C">
            <w:pPr>
              <w:spacing w:after="0" w:line="240" w:lineRule="auto"/>
              <w:jc w:val="right"/>
              <w:rPr>
                <w:rFonts w:eastAsia="Times New Roman" w:cs="Times New Roman"/>
                <w:color w:val="000000"/>
                <w:sz w:val="16"/>
                <w:szCs w:val="16"/>
                <w:lang w:eastAsia="en-AU"/>
              </w:rPr>
            </w:pPr>
            <w:r w:rsidRPr="00CB64DE">
              <w:rPr>
                <w:rFonts w:eastAsia="Times New Roman" w:cs="Times New Roman"/>
                <w:color w:val="000000"/>
                <w:sz w:val="16"/>
                <w:szCs w:val="16"/>
                <w:lang w:eastAsia="en-AU"/>
              </w:rPr>
              <w:t>109</w:t>
            </w:r>
          </w:p>
        </w:tc>
      </w:tr>
    </w:tbl>
    <w:p w14:paraId="4EC4E0EC" w14:textId="77777777" w:rsidR="00C539CE" w:rsidRDefault="00C539CE" w:rsidP="00BE78EE"/>
    <w:p w14:paraId="73CACAD5" w14:textId="77777777" w:rsidR="00C539CE" w:rsidRDefault="00C539CE">
      <w:r>
        <w:br w:type="page"/>
      </w:r>
    </w:p>
    <w:p w14:paraId="45D449AF" w14:textId="4D43DCAC" w:rsidR="00C539CE" w:rsidRPr="00BA2632" w:rsidRDefault="00C539CE" w:rsidP="00C87E21">
      <w:pPr>
        <w:pStyle w:val="Heading6"/>
        <w:jc w:val="left"/>
      </w:pPr>
      <w:bookmarkStart w:id="808" w:name="_Toc84416149"/>
      <w:bookmarkStart w:id="809" w:name="_Toc84417459"/>
      <w:r w:rsidRPr="00B20E6B">
        <w:lastRenderedPageBreak/>
        <w:t xml:space="preserve">Pelagic </w:t>
      </w:r>
      <w:r w:rsidR="00FA3951">
        <w:t>m</w:t>
      </w:r>
      <w:r w:rsidRPr="00B20E6B">
        <w:t xml:space="preserve">etabolism </w:t>
      </w:r>
      <w:r w:rsidR="00C16230">
        <w:t xml:space="preserve">final </w:t>
      </w:r>
      <w:r w:rsidR="00454A84">
        <w:t xml:space="preserve">report from </w:t>
      </w:r>
      <w:r w:rsidR="00437555">
        <w:t xml:space="preserve">UoM </w:t>
      </w:r>
      <w:proofErr w:type="gramStart"/>
      <w:r w:rsidR="00454A84">
        <w:t>m</w:t>
      </w:r>
      <w:r w:rsidR="00437555">
        <w:t>aster</w:t>
      </w:r>
      <w:r w:rsidR="00C87E21">
        <w:t>s</w:t>
      </w:r>
      <w:proofErr w:type="gramEnd"/>
      <w:r w:rsidR="00437555">
        <w:t xml:space="preserve"> </w:t>
      </w:r>
      <w:r w:rsidR="00454A84">
        <w:t>s</w:t>
      </w:r>
      <w:r w:rsidRPr="00B20E6B">
        <w:t>tudents</w:t>
      </w:r>
      <w:bookmarkEnd w:id="808"/>
      <w:bookmarkEnd w:id="809"/>
    </w:p>
    <w:p w14:paraId="7B491313" w14:textId="77777777" w:rsidR="00F54CAE" w:rsidRDefault="00F54CAE" w:rsidP="006E62DE">
      <w:pPr>
        <w:pStyle w:val="Para0"/>
      </w:pPr>
      <w:bookmarkStart w:id="810" w:name="_Toc84416150"/>
      <w:bookmarkEnd w:id="810"/>
    </w:p>
    <w:p w14:paraId="45D48F8D" w14:textId="7F8DBAED" w:rsidR="00A936C8" w:rsidRPr="0078134A" w:rsidRDefault="003E32F7" w:rsidP="0078134A">
      <w:pPr>
        <w:pStyle w:val="Para0"/>
        <w:jc w:val="center"/>
        <w:rPr>
          <w:b/>
          <w:bCs/>
          <w:color w:val="094183" w:themeColor="text2"/>
          <w:sz w:val="24"/>
          <w:szCs w:val="24"/>
        </w:rPr>
      </w:pPr>
      <w:bookmarkStart w:id="811" w:name="_Toc84417460"/>
      <w:r w:rsidRPr="0078134A">
        <w:rPr>
          <w:b/>
          <w:bCs/>
          <w:color w:val="094183" w:themeColor="text2"/>
          <w:sz w:val="24"/>
          <w:szCs w:val="24"/>
        </w:rPr>
        <w:t>Eat in or take away? Separating benthic and water column primary production in the Goulburn River</w:t>
      </w:r>
      <w:bookmarkEnd w:id="811"/>
    </w:p>
    <w:p w14:paraId="394690E0" w14:textId="77777777" w:rsidR="00EF1811" w:rsidRPr="007E2F7C" w:rsidRDefault="00EF1811" w:rsidP="00EF1811">
      <w:pPr>
        <w:pStyle w:val="Author"/>
        <w:rPr>
          <w:rFonts w:asciiTheme="majorBidi" w:hAnsiTheme="majorBidi" w:cstheme="majorBidi"/>
          <w:lang w:val="de-DE"/>
        </w:rPr>
      </w:pPr>
      <w:r w:rsidRPr="007E2F7C">
        <w:rPr>
          <w:rFonts w:asciiTheme="majorBidi" w:hAnsiTheme="majorBidi" w:cstheme="majorBidi"/>
          <w:lang w:val="de-DE"/>
        </w:rPr>
        <w:t>Luke Russell</w:t>
      </w:r>
    </w:p>
    <w:p w14:paraId="6330A69B" w14:textId="77777777" w:rsidR="00EF1811" w:rsidRPr="007E2F7C" w:rsidRDefault="00EF1811" w:rsidP="00EF1811">
      <w:pPr>
        <w:pStyle w:val="Affiliation"/>
        <w:rPr>
          <w:rFonts w:asciiTheme="majorBidi" w:hAnsiTheme="majorBidi" w:cstheme="majorBidi"/>
          <w:lang w:val="de-DE"/>
        </w:rPr>
      </w:pPr>
      <w:r w:rsidRPr="007E2F7C">
        <w:rPr>
          <w:rFonts w:asciiTheme="majorBidi" w:hAnsiTheme="majorBidi" w:cstheme="majorBidi"/>
          <w:lang w:val="de-DE"/>
        </w:rPr>
        <w:t>834431, lrussell2@student.unimelb.edu.au</w:t>
      </w:r>
    </w:p>
    <w:p w14:paraId="5C748237" w14:textId="77777777" w:rsidR="00EF1811" w:rsidRPr="007E2F7C" w:rsidRDefault="00EF1811" w:rsidP="00EF1811">
      <w:pPr>
        <w:pStyle w:val="Affiliation"/>
        <w:rPr>
          <w:rFonts w:asciiTheme="majorBidi" w:hAnsiTheme="majorBidi" w:cstheme="majorBidi"/>
          <w:lang w:val="de-DE"/>
        </w:rPr>
      </w:pPr>
    </w:p>
    <w:p w14:paraId="7CB4661F" w14:textId="77777777" w:rsidR="00EF1811" w:rsidRPr="007E2F7C" w:rsidRDefault="00EF1811" w:rsidP="00EF1811">
      <w:pPr>
        <w:pStyle w:val="Author"/>
        <w:rPr>
          <w:rFonts w:asciiTheme="majorBidi" w:hAnsiTheme="majorBidi" w:cstheme="majorBidi"/>
        </w:rPr>
      </w:pPr>
      <w:r w:rsidRPr="007E2F7C">
        <w:rPr>
          <w:rFonts w:asciiTheme="majorBidi" w:hAnsiTheme="majorBidi" w:cstheme="majorBidi"/>
        </w:rPr>
        <w:t>Nikita Christopher</w:t>
      </w:r>
    </w:p>
    <w:p w14:paraId="2FBEB3EA" w14:textId="77777777" w:rsidR="00EF1811" w:rsidRPr="007E2F7C" w:rsidRDefault="00EF1811" w:rsidP="00EF1811">
      <w:pPr>
        <w:pStyle w:val="Affiliation"/>
        <w:rPr>
          <w:rFonts w:asciiTheme="majorBidi" w:hAnsiTheme="majorBidi" w:cstheme="majorBidi"/>
        </w:rPr>
      </w:pPr>
      <w:r w:rsidRPr="007E2F7C">
        <w:rPr>
          <w:rFonts w:asciiTheme="majorBidi" w:hAnsiTheme="majorBidi" w:cstheme="majorBidi"/>
        </w:rPr>
        <w:t>1097601, nchristopher@student.unimelb.edu.au</w:t>
      </w:r>
    </w:p>
    <w:p w14:paraId="4208ED34" w14:textId="77777777" w:rsidR="00EF1811" w:rsidRPr="007E2F7C" w:rsidRDefault="00EF1811" w:rsidP="00EF1811">
      <w:pPr>
        <w:pStyle w:val="Affiliation"/>
        <w:rPr>
          <w:rFonts w:asciiTheme="majorBidi" w:hAnsiTheme="majorBidi" w:cstheme="majorBidi"/>
        </w:rPr>
      </w:pPr>
    </w:p>
    <w:p w14:paraId="6B80AB85" w14:textId="77777777" w:rsidR="00EF1811" w:rsidRPr="007E2F7C" w:rsidRDefault="00EF1811" w:rsidP="00EF1811">
      <w:pPr>
        <w:pStyle w:val="Author"/>
        <w:rPr>
          <w:rFonts w:asciiTheme="majorBidi" w:hAnsiTheme="majorBidi" w:cstheme="majorBidi"/>
        </w:rPr>
      </w:pPr>
      <w:proofErr w:type="spellStart"/>
      <w:r w:rsidRPr="007E2F7C">
        <w:rPr>
          <w:rFonts w:asciiTheme="majorBidi" w:hAnsiTheme="majorBidi" w:cstheme="majorBidi"/>
        </w:rPr>
        <w:t>Parya</w:t>
      </w:r>
      <w:proofErr w:type="spellEnd"/>
      <w:r w:rsidRPr="007E2F7C">
        <w:rPr>
          <w:rFonts w:asciiTheme="majorBidi" w:hAnsiTheme="majorBidi" w:cstheme="majorBidi"/>
        </w:rPr>
        <w:t xml:space="preserve"> </w:t>
      </w:r>
      <w:proofErr w:type="spellStart"/>
      <w:r w:rsidRPr="007E2F7C">
        <w:rPr>
          <w:rFonts w:asciiTheme="majorBidi" w:hAnsiTheme="majorBidi" w:cstheme="majorBidi"/>
        </w:rPr>
        <w:t>Baghbanorandi</w:t>
      </w:r>
      <w:proofErr w:type="spellEnd"/>
    </w:p>
    <w:p w14:paraId="42410008" w14:textId="77777777" w:rsidR="00EF1811" w:rsidRPr="007E2F7C" w:rsidRDefault="00EF1811" w:rsidP="00EF1811">
      <w:pPr>
        <w:pStyle w:val="Affiliation"/>
        <w:rPr>
          <w:rFonts w:asciiTheme="majorBidi" w:hAnsiTheme="majorBidi" w:cstheme="majorBidi"/>
        </w:rPr>
      </w:pPr>
      <w:r w:rsidRPr="007E2F7C">
        <w:rPr>
          <w:rFonts w:asciiTheme="majorBidi" w:hAnsiTheme="majorBidi" w:cstheme="majorBidi"/>
        </w:rPr>
        <w:t>1037983, pbaghbanoran@student.unimelb.edu.au</w:t>
      </w:r>
    </w:p>
    <w:p w14:paraId="52AB1057" w14:textId="77777777" w:rsidR="00EF1811" w:rsidRPr="007E2F7C" w:rsidRDefault="00EF1811" w:rsidP="00EF1811">
      <w:pPr>
        <w:pStyle w:val="Affiliation"/>
        <w:rPr>
          <w:rFonts w:asciiTheme="majorBidi" w:hAnsiTheme="majorBidi" w:cstheme="majorBidi"/>
        </w:rPr>
      </w:pPr>
    </w:p>
    <w:p w14:paraId="079EC6DB" w14:textId="77777777" w:rsidR="00EF1811" w:rsidRPr="007E2F7C" w:rsidRDefault="00EF1811" w:rsidP="00EF1811">
      <w:pPr>
        <w:ind w:left="567" w:right="567"/>
        <w:rPr>
          <w:rFonts w:asciiTheme="majorBidi" w:hAnsiTheme="majorBidi" w:cstheme="majorBidi"/>
          <w:i/>
        </w:rPr>
      </w:pPr>
      <w:r w:rsidRPr="007E2F7C">
        <w:rPr>
          <w:rFonts w:asciiTheme="majorBidi" w:hAnsiTheme="majorBidi" w:cstheme="majorBidi"/>
          <w:b/>
          <w:i/>
        </w:rPr>
        <w:t>Executive Summary:</w:t>
      </w:r>
      <w:r w:rsidRPr="007E2F7C">
        <w:rPr>
          <w:rFonts w:asciiTheme="majorBidi" w:hAnsiTheme="majorBidi" w:cstheme="majorBidi"/>
          <w:i/>
        </w:rPr>
        <w:t xml:space="preserve"> The Monitoring Evaluation and Research (MER) Program is a 3-year monitoring project being undertaken by the Commonwealth Environmental Water Office to assess ecological responses to environmental water being delivered under the Murray-Darling Basin Plan.</w:t>
      </w:r>
      <w:r w:rsidRPr="007E2F7C">
        <w:rPr>
          <w:rFonts w:asciiTheme="majorBidi" w:hAnsiTheme="majorBidi" w:cstheme="majorBidi"/>
          <w:i/>
          <w:color w:val="000000" w:themeColor="text1"/>
        </w:rPr>
        <w:t xml:space="preserve"> </w:t>
      </w:r>
      <w:r w:rsidRPr="007E2F7C">
        <w:rPr>
          <w:rFonts w:asciiTheme="majorBidi" w:hAnsiTheme="majorBidi" w:cstheme="majorBidi"/>
          <w:i/>
        </w:rPr>
        <w:t>Excessive use of the waterways for agricultural purposes and natural droughts over the years have resulted in ecological degradation, hence the Murray-Darling Basin Plan was introduced to bring the river to a healthier level.</w:t>
      </w:r>
      <w:r w:rsidRPr="007E2F7C">
        <w:rPr>
          <w:rFonts w:asciiTheme="majorBidi" w:hAnsiTheme="majorBidi" w:cstheme="majorBidi"/>
        </w:rPr>
        <w:t xml:space="preserve"> </w:t>
      </w:r>
      <w:r w:rsidRPr="007E2F7C">
        <w:rPr>
          <w:rFonts w:asciiTheme="majorBidi" w:hAnsiTheme="majorBidi" w:cstheme="majorBidi"/>
          <w:i/>
        </w:rPr>
        <w:t>Ecosystem metabolism, the combination of primary production and ecosystem respiration, is a key process being monitored in the MER program. The focus of this project, as a part of the MER program, is to separate pelagic (in the water column) and benthic (on the riverbed) metabolism in the Goulburn River, the largest Victorian tributary of the Murray-Darling Basin. Local organisms primarily consume organic matter produced benthically, and as a result</w:t>
      </w:r>
      <w:r>
        <w:rPr>
          <w:rFonts w:asciiTheme="majorBidi" w:hAnsiTheme="majorBidi" w:cstheme="majorBidi"/>
          <w:i/>
        </w:rPr>
        <w:t>,</w:t>
      </w:r>
      <w:r w:rsidRPr="007E2F7C">
        <w:rPr>
          <w:rFonts w:asciiTheme="majorBidi" w:hAnsiTheme="majorBidi" w:cstheme="majorBidi"/>
          <w:i/>
        </w:rPr>
        <w:t xml:space="preserve"> benthic metabolism is responsible for higher-order consumers, including fish in the river. Across seven field</w:t>
      </w:r>
      <w:r>
        <w:rPr>
          <w:rFonts w:asciiTheme="majorBidi" w:hAnsiTheme="majorBidi" w:cstheme="majorBidi"/>
          <w:i/>
        </w:rPr>
        <w:t xml:space="preserve"> </w:t>
      </w:r>
      <w:r w:rsidRPr="007E2F7C">
        <w:rPr>
          <w:rFonts w:asciiTheme="majorBidi" w:hAnsiTheme="majorBidi" w:cstheme="majorBidi"/>
          <w:i/>
        </w:rPr>
        <w:t>trips between the summer-autumn season in Australia, sites McCoy’s Bridge, Loch Garry, and Darcy’s Track were monitored for ecosystem metabolism. The light and dark bottle method was used to determine pelagic Gross Primary Production (GPP) and Ecosystem Respiration (ER). The difference between pelagic and benthic metabolism was determined by comparing pelagic metabolism to whole-stream metabolism being monitored in the MER Program. As the Goulburn is characterized by high turbidity and low nutrient content, analysis shows that pelagic metabolism is driven primarily by sunlight rather than temperature and nutrient levels. Our results conclude that the majority of metabolism is occurring benthically</w:t>
      </w:r>
      <w:r>
        <w:rPr>
          <w:rFonts w:asciiTheme="majorBidi" w:hAnsiTheme="majorBidi" w:cstheme="majorBidi"/>
          <w:i/>
        </w:rPr>
        <w:t>,</w:t>
      </w:r>
      <w:r w:rsidRPr="007E2F7C">
        <w:rPr>
          <w:rFonts w:asciiTheme="majorBidi" w:hAnsiTheme="majorBidi" w:cstheme="majorBidi"/>
          <w:i/>
        </w:rPr>
        <w:t xml:space="preserve"> indicating that any increase to whole stream </w:t>
      </w:r>
      <w:r>
        <w:rPr>
          <w:rFonts w:asciiTheme="majorBidi" w:hAnsiTheme="majorBidi" w:cstheme="majorBidi"/>
          <w:i/>
        </w:rPr>
        <w:t>metabolism</w:t>
      </w:r>
      <w:r w:rsidRPr="007E2F7C">
        <w:rPr>
          <w:rFonts w:asciiTheme="majorBidi" w:hAnsiTheme="majorBidi" w:cstheme="majorBidi"/>
          <w:i/>
        </w:rPr>
        <w:t xml:space="preserve"> should see benefits for local organisms. Increasing benthic hard surfaces and keeping a lower flow in summer are the suggested management actions </w:t>
      </w:r>
      <w:r>
        <w:rPr>
          <w:rFonts w:asciiTheme="majorBidi" w:hAnsiTheme="majorBidi" w:cstheme="majorBidi"/>
          <w:i/>
        </w:rPr>
        <w:t>that could result in the increase</w:t>
      </w:r>
      <w:r w:rsidRPr="007E2F7C">
        <w:rPr>
          <w:rFonts w:asciiTheme="majorBidi" w:hAnsiTheme="majorBidi" w:cstheme="majorBidi"/>
          <w:i/>
        </w:rPr>
        <w:t xml:space="preserve"> of </w:t>
      </w:r>
      <w:r>
        <w:rPr>
          <w:rFonts w:asciiTheme="majorBidi" w:hAnsiTheme="majorBidi" w:cstheme="majorBidi"/>
          <w:i/>
        </w:rPr>
        <w:t>benthic metabolism if implemented.</w:t>
      </w:r>
    </w:p>
    <w:p w14:paraId="76F24406" w14:textId="483E0D05" w:rsidR="00EF1811" w:rsidRDefault="00EF1811">
      <w:r>
        <w:br w:type="page"/>
      </w:r>
    </w:p>
    <w:p w14:paraId="0F588D1C" w14:textId="77777777" w:rsidR="004E5F8E" w:rsidRPr="005002EC" w:rsidRDefault="004E5F8E" w:rsidP="00DE6E94">
      <w:pPr>
        <w:pStyle w:val="ListParagraph"/>
        <w:numPr>
          <w:ilvl w:val="0"/>
          <w:numId w:val="93"/>
        </w:numPr>
        <w:spacing w:before="120" w:after="20" w:line="240" w:lineRule="atLeast"/>
        <w:ind w:left="357" w:hanging="357"/>
        <w:contextualSpacing/>
        <w:jc w:val="left"/>
        <w:rPr>
          <w:rFonts w:cstheme="minorHAnsi"/>
          <w:b/>
          <w:sz w:val="28"/>
          <w:szCs w:val="28"/>
        </w:rPr>
      </w:pPr>
      <w:bookmarkStart w:id="812" w:name="_Ref73118216"/>
      <w:r w:rsidRPr="005002EC">
        <w:rPr>
          <w:rFonts w:cstheme="minorHAnsi"/>
          <w:b/>
          <w:sz w:val="28"/>
          <w:szCs w:val="28"/>
        </w:rPr>
        <w:lastRenderedPageBreak/>
        <w:t>Introduction</w:t>
      </w:r>
      <w:bookmarkEnd w:id="812"/>
      <w:r w:rsidRPr="005002EC">
        <w:rPr>
          <w:rFonts w:cstheme="minorHAnsi"/>
          <w:b/>
          <w:sz w:val="28"/>
          <w:szCs w:val="28"/>
        </w:rPr>
        <w:t xml:space="preserve"> </w:t>
      </w:r>
    </w:p>
    <w:p w14:paraId="532A3773" w14:textId="77777777" w:rsidR="004E5F8E" w:rsidRPr="005002EC" w:rsidRDefault="004E5F8E" w:rsidP="004E5F8E">
      <w:pPr>
        <w:ind w:left="578" w:hanging="578"/>
        <w:rPr>
          <w:rFonts w:cstheme="minorHAnsi"/>
          <w:b/>
          <w:sz w:val="24"/>
          <w:szCs w:val="24"/>
        </w:rPr>
      </w:pPr>
      <w:bookmarkStart w:id="813" w:name="_Ref72759615"/>
      <w:r w:rsidRPr="005002EC">
        <w:rPr>
          <w:rFonts w:cstheme="minorHAnsi"/>
          <w:b/>
          <w:sz w:val="24"/>
          <w:szCs w:val="24"/>
        </w:rPr>
        <w:t>1.1 Background</w:t>
      </w:r>
      <w:bookmarkEnd w:id="813"/>
    </w:p>
    <w:p w14:paraId="159E0D2C" w14:textId="5EBDF300" w:rsidR="004E5F8E" w:rsidRPr="005002EC" w:rsidRDefault="004E5F8E" w:rsidP="004E5F8E">
      <w:pPr>
        <w:spacing w:line="257" w:lineRule="auto"/>
        <w:rPr>
          <w:rFonts w:cstheme="minorHAnsi"/>
        </w:rPr>
      </w:pPr>
      <w:r w:rsidRPr="005002EC">
        <w:rPr>
          <w:rFonts w:eastAsia="Helvetica" w:cstheme="minorHAnsi"/>
          <w:color w:val="000000" w:themeColor="text1"/>
        </w:rPr>
        <w:t>The Murray-Darling Basin (Figure 1) is one of the most productive agricultural regions in Australia encompassing the drainage basin of the tributaries of the Murray and Darling rivers. The Murray-Darling River system is the largest and the most complex river system of Australia but</w:t>
      </w:r>
      <w:r w:rsidRPr="005002EC">
        <w:rPr>
          <w:rFonts w:cstheme="minorHAnsi"/>
          <w:color w:val="000000" w:themeColor="text1"/>
        </w:rPr>
        <w:t>,</w:t>
      </w:r>
      <w:r w:rsidRPr="005002EC">
        <w:rPr>
          <w:rFonts w:eastAsia="Helvetica" w:cstheme="minorHAnsi"/>
          <w:color w:val="000000" w:themeColor="text1"/>
        </w:rPr>
        <w:t xml:space="preserve"> natural droughts over the years along with over-extraction of water by upstream users has resulted in severe ecological degradation </w:t>
      </w:r>
      <w:r w:rsidRPr="005002EC">
        <w:rPr>
          <w:rFonts w:eastAsia="Helvetica" w:cstheme="minorHAnsi"/>
        </w:rPr>
        <w:t xml:space="preserve">(Hart, 2016; MDBA, 2021). According to the MDBA (2009), the inflows into the Murray River in the ten years to 2009 were reduced to almost half the recorded historic average. </w:t>
      </w:r>
      <w:proofErr w:type="gramStart"/>
      <w:r w:rsidRPr="005002EC">
        <w:rPr>
          <w:rFonts w:eastAsia="Helvetica" w:cstheme="minorHAnsi"/>
        </w:rPr>
        <w:t>In order to</w:t>
      </w:r>
      <w:proofErr w:type="gramEnd"/>
      <w:r w:rsidRPr="005002EC">
        <w:rPr>
          <w:rFonts w:eastAsia="Helvetica" w:cstheme="minorHAnsi"/>
        </w:rPr>
        <w:t xml:space="preserve"> bring the basin back to a healthier level and save the water for future generations, </w:t>
      </w:r>
      <w:r w:rsidRPr="005002EC">
        <w:rPr>
          <w:rFonts w:eastAsia="Calibri" w:cstheme="minorHAnsi"/>
        </w:rPr>
        <w:t>the Murray–Darling Basin Authority (MDBA) plan was introduced in November 2012 (Australian Government, 2012). The</w:t>
      </w:r>
      <w:r w:rsidRPr="005002EC" w:rsidDel="00CF46CF">
        <w:rPr>
          <w:rFonts w:eastAsia="Calibri" w:cstheme="minorHAnsi"/>
        </w:rPr>
        <w:t xml:space="preserve"> </w:t>
      </w:r>
      <w:r w:rsidRPr="005002EC">
        <w:rPr>
          <w:rFonts w:eastAsia="Calibri" w:cstheme="minorHAnsi"/>
        </w:rPr>
        <w:t>Basin Plan included water management strategies to improve the sustainability of the basin, by setting limits on using surface water and groundwater along with a monitoring and evaluation program (MDBA, 2021).</w:t>
      </w:r>
    </w:p>
    <w:p w14:paraId="6B6C1504" w14:textId="1F421F19" w:rsidR="004E5F8E" w:rsidRPr="007E2F7C" w:rsidRDefault="004E5F8E" w:rsidP="004E5F8E">
      <w:pPr>
        <w:jc w:val="center"/>
        <w:rPr>
          <w:rFonts w:asciiTheme="majorBidi" w:hAnsiTheme="majorBidi" w:cstheme="majorBidi"/>
        </w:rPr>
      </w:pPr>
      <w:r w:rsidRPr="007E2F7C">
        <w:rPr>
          <w:rFonts w:asciiTheme="majorBidi" w:hAnsiTheme="majorBidi" w:cstheme="majorBidi"/>
          <w:noProof/>
          <w:lang w:val="en-GB"/>
        </w:rPr>
        <mc:AlternateContent>
          <mc:Choice Requires="wps">
            <w:drawing>
              <wp:anchor distT="0" distB="0" distL="114300" distR="114300" simplePos="0" relativeHeight="251658244" behindDoc="0" locked="0" layoutInCell="1" allowOverlap="1" wp14:anchorId="7A557564" wp14:editId="3B856D92">
                <wp:simplePos x="0" y="0"/>
                <wp:positionH relativeFrom="column">
                  <wp:posOffset>1959420</wp:posOffset>
                </wp:positionH>
                <wp:positionV relativeFrom="paragraph">
                  <wp:posOffset>4876709</wp:posOffset>
                </wp:positionV>
                <wp:extent cx="1055244" cy="452866"/>
                <wp:effectExtent l="0" t="0" r="0" b="4445"/>
                <wp:wrapNone/>
                <wp:docPr id="44" name="Text Box 44"/>
                <wp:cNvGraphicFramePr/>
                <a:graphic xmlns:a="http://schemas.openxmlformats.org/drawingml/2006/main">
                  <a:graphicData uri="http://schemas.microsoft.com/office/word/2010/wordprocessingShape">
                    <wps:wsp>
                      <wps:cNvSpPr txBox="1"/>
                      <wps:spPr>
                        <a:xfrm>
                          <a:off x="0" y="0"/>
                          <a:ext cx="1055244" cy="452866"/>
                        </a:xfrm>
                        <a:prstGeom prst="rect">
                          <a:avLst/>
                        </a:prstGeom>
                        <a:noFill/>
                        <a:ln w="6350">
                          <a:noFill/>
                        </a:ln>
                      </wps:spPr>
                      <wps:txbx>
                        <w:txbxContent>
                          <w:p w14:paraId="15E9B466" w14:textId="77777777" w:rsidR="000A0587" w:rsidRPr="009D7B8F" w:rsidRDefault="000A0587" w:rsidP="004E5F8E">
                            <w:pPr>
                              <w:rPr>
                                <w:rFonts w:cstheme="minorHAnsi"/>
                                <w:sz w:val="13"/>
                                <w:szCs w:val="13"/>
                                <w:lang w:val="en-US"/>
                              </w:rPr>
                            </w:pPr>
                            <w:r w:rsidRPr="009D7B8F">
                              <w:rPr>
                                <w:rFonts w:cstheme="minorHAnsi"/>
                                <w:sz w:val="13"/>
                                <w:szCs w:val="13"/>
                                <w:lang w:val="en-US"/>
                              </w:rPr>
                              <w:t>Goulburn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557564" id="_x0000_t202" coordsize="21600,21600" o:spt="202" path="m,l,21600r21600,l21600,xe">
                <v:stroke joinstyle="miter"/>
                <v:path gradientshapeok="t" o:connecttype="rect"/>
              </v:shapetype>
              <v:shape id="Text Box 44" o:spid="_x0000_s1026" type="#_x0000_t202" style="position:absolute;left:0;text-align:left;margin-left:154.3pt;margin-top:384pt;width:83.1pt;height:35.6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" filled="f" stroked="f" strokeweight=".5pt">
                <v:textbox>
                  <w:txbxContent>
                    <w:p w14:paraId="15E9B466" w14:textId="77777777" w:rsidR="000A0587" w:rsidRPr="009D7B8F" w:rsidRDefault="000A0587" w:rsidP="004E5F8E">
                      <w:pPr>
                        <w:rPr>
                          <w:rFonts w:cstheme="minorHAnsi"/>
                          <w:sz w:val="13"/>
                          <w:szCs w:val="13"/>
                          <w:lang w:val="en-US"/>
                        </w:rPr>
                      </w:pPr>
                      <w:r w:rsidRPr="009D7B8F">
                        <w:rPr>
                          <w:rFonts w:cstheme="minorHAnsi"/>
                          <w:sz w:val="13"/>
                          <w:szCs w:val="13"/>
                          <w:lang w:val="en-US"/>
                        </w:rPr>
                        <w:t>Goulburn River</w:t>
                      </w:r>
                    </w:p>
                  </w:txbxContent>
                </v:textbox>
              </v:shape>
            </w:pict>
          </mc:Fallback>
        </mc:AlternateContent>
      </w:r>
      <w:r w:rsidRPr="007E2F7C">
        <w:rPr>
          <w:rFonts w:asciiTheme="majorBidi" w:hAnsiTheme="majorBidi" w:cstheme="majorBidi"/>
          <w:noProof/>
          <w:lang w:val="en-GB"/>
        </w:rPr>
        <mc:AlternateContent>
          <mc:Choice Requires="wps">
            <w:drawing>
              <wp:anchor distT="0" distB="0" distL="114300" distR="114300" simplePos="0" relativeHeight="251658243" behindDoc="0" locked="0" layoutInCell="1" allowOverlap="1" wp14:anchorId="08C957C7" wp14:editId="2F3929B0">
                <wp:simplePos x="0" y="0"/>
                <wp:positionH relativeFrom="column">
                  <wp:posOffset>1795114</wp:posOffset>
                </wp:positionH>
                <wp:positionV relativeFrom="paragraph">
                  <wp:posOffset>5055975</wp:posOffset>
                </wp:positionV>
                <wp:extent cx="205517" cy="0"/>
                <wp:effectExtent l="0" t="0" r="0" b="0"/>
                <wp:wrapNone/>
                <wp:docPr id="43" name="Straight Connector 43"/>
                <wp:cNvGraphicFramePr/>
                <a:graphic xmlns:a="http://schemas.openxmlformats.org/drawingml/2006/main">
                  <a:graphicData uri="http://schemas.microsoft.com/office/word/2010/wordprocessingShape">
                    <wps:wsp>
                      <wps:cNvCnPr/>
                      <wps:spPr>
                        <a:xfrm flipV="1">
                          <a:off x="0" y="0"/>
                          <a:ext cx="205517" cy="0"/>
                        </a:xfrm>
                        <a:prstGeom prst="line">
                          <a:avLst/>
                        </a:prstGeom>
                        <a:ln w="3175">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69A2FD" id="Straight Connector 43" o:spid="_x0000_s1026" style="position:absolute;flip: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35pt,398.1pt" to="157.55pt,39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" strokecolor="red" strokeweight=".25pt">
                <v:stroke joinstyle="miter"/>
              </v:line>
            </w:pict>
          </mc:Fallback>
        </mc:AlternateContent>
      </w:r>
      <w:r w:rsidRPr="007E2F7C">
        <w:rPr>
          <w:rFonts w:asciiTheme="majorBidi" w:hAnsiTheme="majorBidi" w:cstheme="majorBidi"/>
          <w:noProof/>
          <w:lang w:val="en-GB"/>
        </w:rPr>
        <mc:AlternateContent>
          <mc:Choice Requires="wpi">
            <w:drawing>
              <wp:anchor distT="0" distB="0" distL="114300" distR="114300" simplePos="0" relativeHeight="251658246" behindDoc="0" locked="0" layoutInCell="1" allowOverlap="1" wp14:anchorId="3F0107D9" wp14:editId="2596F18A">
                <wp:simplePos x="0" y="0"/>
                <wp:positionH relativeFrom="column">
                  <wp:posOffset>2603413</wp:posOffset>
                </wp:positionH>
                <wp:positionV relativeFrom="paragraph">
                  <wp:posOffset>3877613</wp:posOffset>
                </wp:positionV>
                <wp:extent cx="137880" cy="64080"/>
                <wp:effectExtent l="38100" t="38100" r="33655" b="31750"/>
                <wp:wrapNone/>
                <wp:docPr id="67" name="Ink 67"/>
                <wp:cNvGraphicFramePr/>
                <a:graphic xmlns:a="http://schemas.openxmlformats.org/drawingml/2006/main">
                  <a:graphicData uri="http://schemas.microsoft.com/office/word/2010/wordprocessingInk">
                    <w14:contentPart bwMode="auto" r:id="rId150">
                      <w14:nvContentPartPr>
                        <w14:cNvContentPartPr/>
                      </w14:nvContentPartPr>
                      <w14:xfrm>
                        <a:off x="0" y="0"/>
                        <a:ext cx="137880" cy="64080"/>
                      </w14:xfrm>
                    </w14:contentPart>
                  </a:graphicData>
                </a:graphic>
              </wp:anchor>
            </w:drawing>
          </mc:Choice>
          <mc:Fallback>
            <w:pict>
              <v:shape w14:anchorId="56D44F6E" id="Ink 67" o:spid="_x0000_s1026" type="#_x0000_t75" style="position:absolute;margin-left:204.65pt;margin-top:304.95pt;width:11.55pt;height:5.8pt;z-index:25165824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">
                <v:imagedata r:id="rId165" o:title=""/>
              </v:shape>
            </w:pict>
          </mc:Fallback>
        </mc:AlternateContent>
      </w:r>
      <w:r w:rsidRPr="007E2F7C">
        <w:rPr>
          <w:rFonts w:asciiTheme="majorBidi" w:hAnsiTheme="majorBidi" w:cstheme="majorBidi"/>
          <w:noProof/>
          <w:lang w:val="en-GB"/>
        </w:rPr>
        <mc:AlternateContent>
          <mc:Choice Requires="wpi">
            <w:drawing>
              <wp:anchor distT="0" distB="0" distL="114300" distR="114300" simplePos="0" relativeHeight="251658245" behindDoc="0" locked="0" layoutInCell="1" allowOverlap="1" wp14:anchorId="2ABD0F94" wp14:editId="320B6F71">
                <wp:simplePos x="0" y="0"/>
                <wp:positionH relativeFrom="column">
                  <wp:posOffset>2664973</wp:posOffset>
                </wp:positionH>
                <wp:positionV relativeFrom="paragraph">
                  <wp:posOffset>3967613</wp:posOffset>
                </wp:positionV>
                <wp:extent cx="78120" cy="140400"/>
                <wp:effectExtent l="38100" t="38100" r="36195" b="31115"/>
                <wp:wrapNone/>
                <wp:docPr id="66" name="Ink 66"/>
                <wp:cNvGraphicFramePr/>
                <a:graphic xmlns:a="http://schemas.openxmlformats.org/drawingml/2006/main">
                  <a:graphicData uri="http://schemas.microsoft.com/office/word/2010/wordprocessingInk">
                    <w14:contentPart bwMode="auto" r:id="rId166">
                      <w14:nvContentPartPr>
                        <w14:cNvContentPartPr/>
                      </w14:nvContentPartPr>
                      <w14:xfrm>
                        <a:off x="0" y="0"/>
                        <a:ext cx="78120" cy="140400"/>
                      </w14:xfrm>
                    </w14:contentPart>
                  </a:graphicData>
                </a:graphic>
              </wp:anchor>
            </w:drawing>
          </mc:Choice>
          <mc:Fallback>
            <w:pict>
              <v:shape w14:anchorId="44CD1D14" id="Ink 66" o:spid="_x0000_s1026" type="#_x0000_t75" style="position:absolute;margin-left:209.5pt;margin-top:312.05pt;width:6.85pt;height:11.75pt;z-index:251658245;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">
                <v:imagedata r:id="rId167" o:title=""/>
              </v:shape>
            </w:pict>
          </mc:Fallback>
        </mc:AlternateContent>
      </w:r>
      <w:r w:rsidRPr="007E2F7C">
        <w:rPr>
          <w:rFonts w:asciiTheme="majorBidi" w:hAnsiTheme="majorBidi" w:cstheme="majorBidi"/>
          <w:noProof/>
          <w:lang w:val="en-GB"/>
        </w:rPr>
        <mc:AlternateContent>
          <mc:Choice Requires="wpi">
            <w:drawing>
              <wp:anchor distT="0" distB="0" distL="114300" distR="114300" simplePos="0" relativeHeight="251658247" behindDoc="0" locked="0" layoutInCell="1" allowOverlap="1" wp14:anchorId="7BBF113F" wp14:editId="6C059DDD">
                <wp:simplePos x="0" y="0"/>
                <wp:positionH relativeFrom="column">
                  <wp:posOffset>2683693</wp:posOffset>
                </wp:positionH>
                <wp:positionV relativeFrom="paragraph">
                  <wp:posOffset>4142213</wp:posOffset>
                </wp:positionV>
                <wp:extent cx="306000" cy="132120"/>
                <wp:effectExtent l="38100" t="38100" r="37465" b="39370"/>
                <wp:wrapNone/>
                <wp:docPr id="63" name="Ink 63"/>
                <wp:cNvGraphicFramePr/>
                <a:graphic xmlns:a="http://schemas.openxmlformats.org/drawingml/2006/main">
                  <a:graphicData uri="http://schemas.microsoft.com/office/word/2010/wordprocessingInk">
                    <w14:contentPart bwMode="auto" r:id="rId168">
                      <w14:nvContentPartPr>
                        <w14:cNvContentPartPr/>
                      </w14:nvContentPartPr>
                      <w14:xfrm>
                        <a:off x="0" y="0"/>
                        <a:ext cx="306000" cy="132120"/>
                      </w14:xfrm>
                    </w14:contentPart>
                  </a:graphicData>
                </a:graphic>
              </wp:anchor>
            </w:drawing>
          </mc:Choice>
          <mc:Fallback>
            <w:pict>
              <v:shape w14:anchorId="0D685316" id="Ink 63" o:spid="_x0000_s1026" type="#_x0000_t75" style="position:absolute;margin-left:210.95pt;margin-top:325.8pt;width:24.8pt;height:11.1pt;z-index:251658247;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">
                <v:imagedata r:id="rId169" o:title=""/>
              </v:shape>
            </w:pict>
          </mc:Fallback>
        </mc:AlternateContent>
      </w:r>
      <w:r w:rsidRPr="007E2F7C">
        <w:rPr>
          <w:rFonts w:asciiTheme="majorBidi" w:hAnsiTheme="majorBidi" w:cstheme="majorBidi"/>
          <w:noProof/>
          <w:lang w:val="en-GB"/>
        </w:rPr>
        <w:drawing>
          <wp:inline distT="0" distB="0" distL="0" distR="0" wp14:anchorId="2E860A6B" wp14:editId="3B8BE1AE">
            <wp:extent cx="4185993" cy="5915770"/>
            <wp:effectExtent l="0" t="0" r="5080" b="8890"/>
            <wp:docPr id="453" name="Picture 45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70" cstate="email">
                      <a:extLst>
                        <a:ext uri="{28A0092B-C50C-407E-A947-70E740481C1C}">
                          <a14:useLocalDpi xmlns:a14="http://schemas.microsoft.com/office/drawing/2010/main"/>
                        </a:ext>
                      </a:extLst>
                    </a:blip>
                    <a:stretch>
                      <a:fillRect/>
                    </a:stretch>
                  </pic:blipFill>
                  <pic:spPr>
                    <a:xfrm>
                      <a:off x="0" y="0"/>
                      <a:ext cx="4195866" cy="5929722"/>
                    </a:xfrm>
                    <a:prstGeom prst="rect">
                      <a:avLst/>
                    </a:prstGeom>
                  </pic:spPr>
                </pic:pic>
              </a:graphicData>
            </a:graphic>
          </wp:inline>
        </w:drawing>
      </w:r>
    </w:p>
    <w:p w14:paraId="2C6F37F6" w14:textId="54340E8E" w:rsidR="004E5F8E" w:rsidRPr="005002EC" w:rsidRDefault="004E5F8E" w:rsidP="005002EC">
      <w:pPr>
        <w:pStyle w:val="Caption"/>
        <w:keepNext/>
      </w:pPr>
      <w:bookmarkStart w:id="814" w:name="_Ref72504484"/>
      <w:r w:rsidRPr="005002EC">
        <w:t>Figure</w:t>
      </w:r>
      <w:bookmarkEnd w:id="814"/>
      <w:r w:rsidRPr="005002EC">
        <w:t xml:space="preserve"> 1 Map of the Murray-Darling Basin (MDBA, 2007)</w:t>
      </w:r>
    </w:p>
    <w:p w14:paraId="41C2956F" w14:textId="77777777" w:rsidR="004E5F8E" w:rsidRPr="005002EC" w:rsidRDefault="004E5F8E" w:rsidP="004E5F8E">
      <w:pPr>
        <w:rPr>
          <w:rFonts w:eastAsia="Calibri" w:cstheme="minorHAnsi"/>
        </w:rPr>
      </w:pPr>
      <w:r w:rsidRPr="005002EC">
        <w:rPr>
          <w:rFonts w:eastAsia="Calibri" w:cstheme="minorHAnsi"/>
        </w:rPr>
        <w:t xml:space="preserve">The Goulburn River is the largest Victorian tributary of the Murray-Darling Basin and </w:t>
      </w:r>
      <w:proofErr w:type="gramStart"/>
      <w:r w:rsidRPr="005002EC">
        <w:rPr>
          <w:rFonts w:eastAsia="Calibri" w:cstheme="minorHAnsi"/>
        </w:rPr>
        <w:t>is located in</w:t>
      </w:r>
      <w:proofErr w:type="gramEnd"/>
      <w:r w:rsidRPr="005002EC">
        <w:rPr>
          <w:rFonts w:eastAsia="Calibri" w:cstheme="minorHAnsi"/>
        </w:rPr>
        <w:t xml:space="preserve"> central/ northern Victoria. Therefore, it is a focus of environmental flow efforts within the MDBA Plan.</w:t>
      </w:r>
    </w:p>
    <w:p w14:paraId="60EB9E96" w14:textId="77777777" w:rsidR="004E5F8E" w:rsidRPr="005002EC" w:rsidRDefault="004E5F8E" w:rsidP="004E5F8E">
      <w:pPr>
        <w:rPr>
          <w:rFonts w:cstheme="minorHAnsi"/>
          <w:lang w:eastAsia="en-AU"/>
        </w:rPr>
      </w:pPr>
      <w:r w:rsidRPr="005002EC">
        <w:rPr>
          <w:rFonts w:cstheme="minorHAnsi"/>
        </w:rPr>
        <w:t>The Monitoring Evaluation and Research (MER) Program is a 3-year monitoring project, which is undertaken by the Commonwealth Environmental Water Office (CEWO)</w:t>
      </w:r>
      <w:r w:rsidRPr="005002EC" w:rsidDel="00FB76B4">
        <w:rPr>
          <w:rFonts w:cstheme="minorHAnsi"/>
        </w:rPr>
        <w:t>,</w:t>
      </w:r>
      <w:r w:rsidRPr="005002EC">
        <w:rPr>
          <w:rFonts w:cstheme="minorHAnsi"/>
        </w:rPr>
        <w:t xml:space="preserve"> to support the effective and efficient use of Commonwealth </w:t>
      </w:r>
      <w:r w:rsidRPr="005002EC">
        <w:rPr>
          <w:rFonts w:cstheme="minorHAnsi"/>
        </w:rPr>
        <w:lastRenderedPageBreak/>
        <w:t>environmental water (Webb et al., 2019). Ecosystem metabolism is a key process being monitored in the MER Program and</w:t>
      </w:r>
      <w:r w:rsidRPr="005002EC" w:rsidDel="00FB76B4">
        <w:rPr>
          <w:rFonts w:cstheme="minorHAnsi"/>
        </w:rPr>
        <w:t xml:space="preserve"> </w:t>
      </w:r>
      <w:r w:rsidRPr="005002EC">
        <w:rPr>
          <w:rFonts w:cstheme="minorHAnsi"/>
        </w:rPr>
        <w:t xml:space="preserve">quantifies the total energy processed by all the individual organisms in an ecosystem. </w:t>
      </w:r>
      <w:r w:rsidRPr="005002EC">
        <w:rPr>
          <w:rFonts w:cstheme="minorHAnsi"/>
          <w:lang w:eastAsia="en-AU"/>
        </w:rPr>
        <w:t xml:space="preserve">The increase (photosynthesis) or decrease (respiration) of the concentration of dissolved oxygen over a specific time is called “Stream Metabolism” and is often expressed as the change in the dissolved oxygen concentration in mg per Litre per day </w:t>
      </w:r>
      <w:r w:rsidRPr="005002EC">
        <w:rPr>
          <w:rFonts w:cstheme="minorHAnsi"/>
        </w:rPr>
        <w:t>(mg O</w:t>
      </w:r>
      <w:r w:rsidRPr="005002EC">
        <w:rPr>
          <w:rFonts w:cstheme="minorHAnsi"/>
          <w:vertAlign w:val="subscript"/>
        </w:rPr>
        <w:t>2</w:t>
      </w:r>
      <w:r w:rsidRPr="005002EC">
        <w:rPr>
          <w:rFonts w:cstheme="minorHAnsi"/>
        </w:rPr>
        <w:t>/L/Day)</w:t>
      </w:r>
      <w:r w:rsidRPr="005002EC">
        <w:rPr>
          <w:rFonts w:cstheme="minorHAnsi"/>
          <w:lang w:eastAsia="en-AU"/>
        </w:rPr>
        <w:t>. While most measurements fall within 0.5 and 10 mg O</w:t>
      </w:r>
      <w:r w:rsidRPr="005002EC">
        <w:rPr>
          <w:rFonts w:cstheme="minorHAnsi"/>
          <w:vertAlign w:val="subscript"/>
          <w:lang w:eastAsia="en-AU"/>
        </w:rPr>
        <w:t>2</w:t>
      </w:r>
      <w:r w:rsidRPr="005002EC">
        <w:rPr>
          <w:rFonts w:cstheme="minorHAnsi"/>
          <w:lang w:eastAsia="en-AU"/>
        </w:rPr>
        <w:t>/L/Day, this number can change between 0.2 to 20 mg O</w:t>
      </w:r>
      <w:r w:rsidRPr="005002EC">
        <w:rPr>
          <w:rFonts w:cstheme="minorHAnsi"/>
          <w:vertAlign w:val="subscript"/>
          <w:lang w:eastAsia="en-AU"/>
        </w:rPr>
        <w:t>2</w:t>
      </w:r>
      <w:r w:rsidRPr="005002EC">
        <w:rPr>
          <w:rFonts w:cstheme="minorHAnsi"/>
          <w:lang w:eastAsia="en-AU"/>
        </w:rPr>
        <w:t>/L/Day (Webb et al., 2019). A more in-depth description of stream metabolism can be found in section 2.1.</w:t>
      </w:r>
    </w:p>
    <w:p w14:paraId="4A2FC379" w14:textId="77777777" w:rsidR="004E5F8E" w:rsidRPr="005002EC" w:rsidRDefault="004E5F8E" w:rsidP="004E5F8E">
      <w:pPr>
        <w:rPr>
          <w:rFonts w:eastAsia="Calibri" w:cstheme="minorHAnsi"/>
          <w:lang w:eastAsia="en-AU"/>
        </w:rPr>
      </w:pPr>
      <w:r w:rsidRPr="005002EC">
        <w:rPr>
          <w:rFonts w:cstheme="minorHAnsi"/>
          <w:lang w:eastAsia="en-AU"/>
        </w:rPr>
        <w:t xml:space="preserve">A healthy aquatic ecosystem needs both photosynthesis </w:t>
      </w:r>
      <w:r w:rsidRPr="005002EC">
        <w:rPr>
          <w:rFonts w:cstheme="minorHAnsi"/>
        </w:rPr>
        <w:t xml:space="preserve">and </w:t>
      </w:r>
      <w:r w:rsidRPr="005002EC">
        <w:rPr>
          <w:rFonts w:cstheme="minorHAnsi"/>
          <w:lang w:eastAsia="en-AU"/>
        </w:rPr>
        <w:t>respiration to generate new biomass and break down dead organisms and animal wastes to release nutrients back into the environment (Webb et al., 2019). Too low or too high amounts of metabolic process rates are both a concern and might cause a reduction in the population of organisms, including fish. Sustainable rates of production and respiration primarily depend on the characteristics of the aquatic ecosystem, which vary on a seasonal basis and increase with warmer temperatures (Roberts &amp; Mulholland, 2007; Webb et al., 2019).</w:t>
      </w:r>
    </w:p>
    <w:p w14:paraId="256AD0C6" w14:textId="77777777" w:rsidR="004E5F8E" w:rsidRPr="005002EC" w:rsidRDefault="004E5F8E" w:rsidP="004E5F8E">
      <w:pPr>
        <w:rPr>
          <w:rFonts w:cstheme="minorHAnsi"/>
          <w:lang w:eastAsia="en-AU"/>
        </w:rPr>
      </w:pPr>
      <w:r w:rsidRPr="005002EC">
        <w:rPr>
          <w:rFonts w:cstheme="minorHAnsi"/>
          <w:lang w:eastAsia="en-AU"/>
        </w:rPr>
        <w:t>Our group aims to estimate the gross primary productivity (GPP) available to organisms in the Goulburn River, by determining the benthic metabolism that occurs in the river. This is described in more detail in section 2.1.</w:t>
      </w:r>
    </w:p>
    <w:p w14:paraId="0DD81147" w14:textId="46AFD3C1" w:rsidR="004E5F8E" w:rsidRPr="005002EC" w:rsidRDefault="004E5F8E" w:rsidP="004E5F8E">
      <w:pPr>
        <w:ind w:left="578" w:hanging="578"/>
        <w:rPr>
          <w:rFonts w:cstheme="minorHAnsi"/>
          <w:b/>
          <w:sz w:val="24"/>
          <w:lang w:eastAsia="en-US"/>
        </w:rPr>
      </w:pPr>
      <w:r w:rsidRPr="005002EC">
        <w:rPr>
          <w:rFonts w:cstheme="minorHAnsi"/>
          <w:b/>
          <w:sz w:val="24"/>
        </w:rPr>
        <w:t xml:space="preserve">1.2 </w:t>
      </w:r>
      <w:r w:rsidRPr="005002EC">
        <w:rPr>
          <w:rFonts w:cstheme="minorHAnsi"/>
          <w:b/>
          <w:sz w:val="24"/>
          <w:lang w:eastAsia="en-US"/>
        </w:rPr>
        <w:t>Monitoring sites</w:t>
      </w:r>
    </w:p>
    <w:p w14:paraId="351B8000" w14:textId="77777777" w:rsidR="004E5F8E" w:rsidRPr="005002EC" w:rsidRDefault="004E5F8E" w:rsidP="004E5F8E">
      <w:pPr>
        <w:rPr>
          <w:rFonts w:cstheme="minorHAnsi"/>
          <w:lang w:eastAsia="en-AU"/>
        </w:rPr>
      </w:pPr>
      <w:r w:rsidRPr="005002EC">
        <w:rPr>
          <w:rFonts w:cstheme="minorHAnsi"/>
          <w:lang w:eastAsia="en-AU"/>
        </w:rPr>
        <w:t>This study was conducted at three sites, Darcy’s Track, Loch Garry, and McCoy’s Bridge, in order from upstream to downstream Figure 2 and Table 1. show the location of three sites on large scale and the exact location of each site, respectively.</w:t>
      </w:r>
    </w:p>
    <w:p w14:paraId="53E3C448" w14:textId="625B6C80" w:rsidR="004E5F8E" w:rsidRPr="007E2F7C" w:rsidRDefault="004E5F8E" w:rsidP="004E5F8E">
      <w:pPr>
        <w:keepNext/>
        <w:jc w:val="center"/>
        <w:rPr>
          <w:rFonts w:asciiTheme="majorBidi" w:hAnsiTheme="majorBidi" w:cstheme="majorBidi"/>
        </w:rPr>
      </w:pPr>
      <w:r w:rsidRPr="007E2F7C">
        <w:rPr>
          <w:rFonts w:asciiTheme="majorBidi" w:hAnsiTheme="majorBidi" w:cstheme="majorBidi"/>
          <w:noProof/>
          <w:lang w:val="en-GB"/>
        </w:rPr>
        <w:drawing>
          <wp:inline distT="0" distB="0" distL="0" distR="0" wp14:anchorId="2CDE3950" wp14:editId="5CD99800">
            <wp:extent cx="5142015" cy="3397018"/>
            <wp:effectExtent l="0" t="0" r="1905"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171" cstate="email">
                      <a:extLst>
                        <a:ext uri="{28A0092B-C50C-407E-A947-70E740481C1C}">
                          <a14:useLocalDpi xmlns:a14="http://schemas.microsoft.com/office/drawing/2010/main"/>
                        </a:ext>
                      </a:extLst>
                    </a:blip>
                    <a:stretch>
                      <a:fillRect/>
                    </a:stretch>
                  </pic:blipFill>
                  <pic:spPr>
                    <a:xfrm>
                      <a:off x="0" y="0"/>
                      <a:ext cx="5146152" cy="3399751"/>
                    </a:xfrm>
                    <a:prstGeom prst="rect">
                      <a:avLst/>
                    </a:prstGeom>
                  </pic:spPr>
                </pic:pic>
              </a:graphicData>
            </a:graphic>
          </wp:inline>
        </w:drawing>
      </w:r>
    </w:p>
    <w:p w14:paraId="63EDDD63" w14:textId="6C1F40CA" w:rsidR="004E5F8E" w:rsidRPr="005002EC" w:rsidRDefault="004E5F8E" w:rsidP="005002EC">
      <w:pPr>
        <w:pStyle w:val="Caption"/>
        <w:keepNext/>
      </w:pPr>
      <w:bookmarkStart w:id="815" w:name="_Ref73130813"/>
      <w:r w:rsidRPr="005002EC">
        <w:t>Figure</w:t>
      </w:r>
      <w:bookmarkEnd w:id="815"/>
      <w:r w:rsidRPr="005002EC">
        <w:t xml:space="preserve"> 2 Map showing the location of three monitoring sites. Adapted from (Google Maps, 2021)</w:t>
      </w:r>
    </w:p>
    <w:p w14:paraId="1367F89A" w14:textId="77777777" w:rsidR="004E5F8E" w:rsidRDefault="004E5F8E" w:rsidP="004E5F8E">
      <w:pPr>
        <w:rPr>
          <w:lang w:val="en-US"/>
        </w:rPr>
      </w:pPr>
    </w:p>
    <w:p w14:paraId="16B8DF93" w14:textId="77777777" w:rsidR="004E5F8E" w:rsidRDefault="004E5F8E" w:rsidP="004E5F8E">
      <w:pPr>
        <w:spacing w:after="160" w:line="259" w:lineRule="auto"/>
        <w:rPr>
          <w:lang w:val="en-US"/>
        </w:rPr>
      </w:pPr>
      <w:r>
        <w:rPr>
          <w:lang w:val="en-US"/>
        </w:rPr>
        <w:br w:type="page"/>
      </w:r>
    </w:p>
    <w:p w14:paraId="375319FF" w14:textId="0605721C" w:rsidR="004E5F8E" w:rsidRPr="005002EC" w:rsidRDefault="004E5F8E" w:rsidP="004E5F8E">
      <w:pPr>
        <w:pStyle w:val="Caption"/>
        <w:keepNext/>
      </w:pPr>
      <w:bookmarkStart w:id="816" w:name="_Ref73138783"/>
      <w:r>
        <w:lastRenderedPageBreak/>
        <w:t>Table</w:t>
      </w:r>
      <w:bookmarkEnd w:id="816"/>
      <w:r>
        <w:t xml:space="preserve"> 1</w:t>
      </w:r>
      <w:r w:rsidRPr="005002EC">
        <w:t xml:space="preserve"> Exact location of monitoring sites</w:t>
      </w:r>
    </w:p>
    <w:tbl>
      <w:tblPr>
        <w:tblStyle w:val="TableGrid"/>
        <w:tblW w:w="9640" w:type="dxa"/>
        <w:tblInd w:w="-34" w:type="dxa"/>
        <w:tblLayout w:type="fixed"/>
        <w:tblLook w:val="04A0" w:firstRow="1" w:lastRow="0" w:firstColumn="1" w:lastColumn="0" w:noHBand="0" w:noVBand="1"/>
      </w:tblPr>
      <w:tblGrid>
        <w:gridCol w:w="673"/>
        <w:gridCol w:w="887"/>
        <w:gridCol w:w="4111"/>
        <w:gridCol w:w="3969"/>
      </w:tblGrid>
      <w:tr w:rsidR="004E5F8E" w:rsidRPr="007E2F7C" w14:paraId="32B0F9F9" w14:textId="77777777" w:rsidTr="002460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3" w:type="dxa"/>
            <w:tcBorders>
              <w:top w:val="single" w:sz="12" w:space="0" w:color="auto"/>
              <w:left w:val="single" w:sz="12" w:space="0" w:color="auto"/>
              <w:bottom w:val="single" w:sz="4" w:space="0" w:color="auto"/>
            </w:tcBorders>
            <w:shd w:val="clear" w:color="auto" w:fill="042041" w:themeFill="accent1" w:themeFillShade="80"/>
          </w:tcPr>
          <w:p w14:paraId="540F8873" w14:textId="77777777" w:rsidR="004E5F8E" w:rsidRPr="007E2F7C" w:rsidRDefault="004E5F8E" w:rsidP="002460B7">
            <w:pPr>
              <w:jc w:val="center"/>
              <w:rPr>
                <w:rFonts w:asciiTheme="majorBidi" w:hAnsiTheme="majorBidi" w:cstheme="majorBidi"/>
                <w:b w:val="0"/>
                <w:lang w:eastAsia="en-AU"/>
              </w:rPr>
            </w:pPr>
            <w:r w:rsidRPr="007E2F7C">
              <w:rPr>
                <w:rFonts w:asciiTheme="majorBidi" w:hAnsiTheme="majorBidi" w:cstheme="majorBidi"/>
                <w:lang w:eastAsia="en-AU"/>
              </w:rPr>
              <w:t>Site</w:t>
            </w:r>
          </w:p>
        </w:tc>
        <w:tc>
          <w:tcPr>
            <w:tcW w:w="887" w:type="dxa"/>
            <w:tcBorders>
              <w:top w:val="single" w:sz="12" w:space="0" w:color="auto"/>
              <w:bottom w:val="single" w:sz="4" w:space="0" w:color="auto"/>
            </w:tcBorders>
            <w:shd w:val="clear" w:color="auto" w:fill="042041" w:themeFill="accent1" w:themeFillShade="80"/>
          </w:tcPr>
          <w:p w14:paraId="72F2991D" w14:textId="77777777" w:rsidR="004E5F8E" w:rsidRPr="007E2F7C"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lang w:eastAsia="en-AU"/>
              </w:rPr>
            </w:pPr>
            <w:r w:rsidRPr="007E2F7C">
              <w:rPr>
                <w:rFonts w:asciiTheme="majorBidi" w:hAnsiTheme="majorBidi" w:cstheme="majorBidi"/>
                <w:lang w:eastAsia="en-AU"/>
              </w:rPr>
              <w:t>Coordinates</w:t>
            </w:r>
          </w:p>
        </w:tc>
        <w:tc>
          <w:tcPr>
            <w:tcW w:w="4111" w:type="dxa"/>
            <w:tcBorders>
              <w:top w:val="single" w:sz="12" w:space="0" w:color="auto"/>
              <w:bottom w:val="single" w:sz="4" w:space="0" w:color="auto"/>
            </w:tcBorders>
            <w:shd w:val="clear" w:color="auto" w:fill="042041" w:themeFill="accent1" w:themeFillShade="80"/>
          </w:tcPr>
          <w:p w14:paraId="5FE8D89B" w14:textId="77777777" w:rsidR="004E5F8E" w:rsidRPr="007E2F7C"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lang w:eastAsia="en-AU"/>
              </w:rPr>
            </w:pPr>
            <w:r w:rsidRPr="007E2F7C">
              <w:rPr>
                <w:rFonts w:asciiTheme="majorBidi" w:hAnsiTheme="majorBidi" w:cstheme="majorBidi"/>
                <w:lang w:eastAsia="en-AU"/>
              </w:rPr>
              <w:t>Location</w:t>
            </w:r>
            <w:r>
              <w:rPr>
                <w:rFonts w:asciiTheme="majorBidi" w:hAnsiTheme="majorBidi" w:cstheme="majorBidi"/>
                <w:lang w:eastAsia="en-AU"/>
              </w:rPr>
              <w:t>. Adapted from (Google Maps, 2021)</w:t>
            </w:r>
          </w:p>
        </w:tc>
        <w:tc>
          <w:tcPr>
            <w:tcW w:w="3969" w:type="dxa"/>
            <w:tcBorders>
              <w:top w:val="single" w:sz="12" w:space="0" w:color="auto"/>
              <w:bottom w:val="single" w:sz="4" w:space="0" w:color="auto"/>
              <w:right w:val="single" w:sz="12" w:space="0" w:color="auto"/>
            </w:tcBorders>
            <w:shd w:val="clear" w:color="auto" w:fill="042041" w:themeFill="accent1" w:themeFillShade="80"/>
          </w:tcPr>
          <w:p w14:paraId="02CAA1E2" w14:textId="77777777" w:rsidR="004E5F8E" w:rsidRPr="007E2F7C"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lang w:eastAsia="en-AU"/>
              </w:rPr>
            </w:pPr>
            <w:r w:rsidRPr="007E2F7C">
              <w:rPr>
                <w:rFonts w:asciiTheme="majorBidi" w:hAnsiTheme="majorBidi" w:cstheme="majorBidi"/>
                <w:lang w:eastAsia="en-AU"/>
              </w:rPr>
              <w:t>Photo</w:t>
            </w:r>
          </w:p>
        </w:tc>
      </w:tr>
      <w:tr w:rsidR="004E5F8E" w:rsidRPr="007E2F7C" w14:paraId="7D3D72FF" w14:textId="77777777" w:rsidTr="002460B7">
        <w:trPr>
          <w:cnfStyle w:val="000000100000" w:firstRow="0" w:lastRow="0" w:firstColumn="0" w:lastColumn="0" w:oddVBand="0" w:evenVBand="0" w:oddHBand="1" w:evenHBand="0" w:firstRowFirstColumn="0" w:firstRowLastColumn="0" w:lastRowFirstColumn="0" w:lastRowLastColumn="0"/>
          <w:cantSplit/>
          <w:trHeight w:val="2762"/>
        </w:trPr>
        <w:tc>
          <w:tcPr>
            <w:cnfStyle w:val="001000000000" w:firstRow="0" w:lastRow="0" w:firstColumn="1" w:lastColumn="0" w:oddVBand="0" w:evenVBand="0" w:oddHBand="0" w:evenHBand="0" w:firstRowFirstColumn="0" w:firstRowLastColumn="0" w:lastRowFirstColumn="0" w:lastRowLastColumn="0"/>
            <w:tcW w:w="673" w:type="dxa"/>
            <w:textDirection w:val="btLr"/>
          </w:tcPr>
          <w:p w14:paraId="4A729901" w14:textId="77777777" w:rsidR="004E5F8E" w:rsidRPr="007E2F7C" w:rsidRDefault="004E5F8E" w:rsidP="002460B7">
            <w:pPr>
              <w:ind w:left="113" w:right="113"/>
              <w:jc w:val="center"/>
              <w:rPr>
                <w:rFonts w:asciiTheme="majorBidi" w:hAnsiTheme="majorBidi" w:cstheme="majorBidi"/>
                <w:b w:val="0"/>
                <w:sz w:val="24"/>
                <w:lang w:eastAsia="en-AU"/>
              </w:rPr>
            </w:pPr>
            <w:r w:rsidRPr="007E2F7C">
              <w:rPr>
                <w:rFonts w:asciiTheme="majorBidi" w:hAnsiTheme="majorBidi" w:cstheme="majorBidi"/>
                <w:sz w:val="24"/>
                <w:lang w:eastAsia="en-AU"/>
              </w:rPr>
              <w:t>Darcy’s Track</w:t>
            </w:r>
          </w:p>
        </w:tc>
        <w:tc>
          <w:tcPr>
            <w:tcW w:w="887" w:type="dxa"/>
            <w:textDirection w:val="btLr"/>
          </w:tcPr>
          <w:p w14:paraId="29649A26" w14:textId="77777777" w:rsidR="004E5F8E" w:rsidRPr="007E2F7C" w:rsidRDefault="004E5F8E" w:rsidP="002460B7">
            <w:pPr>
              <w:ind w:left="113" w:right="113"/>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eastAsia="en-AU"/>
              </w:rPr>
            </w:pPr>
            <w:r w:rsidRPr="007E2F7C">
              <w:rPr>
                <w:rFonts w:asciiTheme="majorBidi" w:hAnsiTheme="majorBidi" w:cstheme="majorBidi"/>
                <w:lang w:eastAsia="en-AU"/>
              </w:rPr>
              <w:t>-36.4441207, 145.3499070</w:t>
            </w:r>
          </w:p>
        </w:tc>
        <w:tc>
          <w:tcPr>
            <w:tcW w:w="4111" w:type="dxa"/>
            <w:tcBorders>
              <w:top w:val="single" w:sz="4" w:space="0" w:color="auto"/>
              <w:left w:val="single" w:sz="4" w:space="0" w:color="auto"/>
              <w:bottom w:val="single" w:sz="4" w:space="0" w:color="auto"/>
              <w:right w:val="single" w:sz="4" w:space="0" w:color="auto"/>
            </w:tcBorders>
          </w:tcPr>
          <w:p w14:paraId="137A7508" w14:textId="77777777" w:rsidR="004E5F8E" w:rsidRPr="007E2F7C" w:rsidRDefault="004E5F8E" w:rsidP="002460B7">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E2F7C">
              <w:rPr>
                <w:rFonts w:asciiTheme="majorBidi" w:hAnsiTheme="majorBidi" w:cstheme="majorBidi"/>
                <w:noProof/>
                <w:lang w:val="en-GB"/>
              </w:rPr>
              <w:drawing>
                <wp:inline distT="0" distB="0" distL="0" distR="0" wp14:anchorId="7363BBC7" wp14:editId="0D43CFCB">
                  <wp:extent cx="2526030" cy="1798955"/>
                  <wp:effectExtent l="0" t="0" r="7620" b="0"/>
                  <wp:docPr id="455" name="Picture 45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172" cstate="email">
                            <a:extLst>
                              <a:ext uri="{28A0092B-C50C-407E-A947-70E740481C1C}">
                                <a14:useLocalDpi xmlns:a14="http://schemas.microsoft.com/office/drawing/2010/main"/>
                              </a:ext>
                            </a:extLst>
                          </a:blip>
                          <a:stretch>
                            <a:fillRect/>
                          </a:stretch>
                        </pic:blipFill>
                        <pic:spPr>
                          <a:xfrm>
                            <a:off x="0" y="0"/>
                            <a:ext cx="2526030" cy="1798955"/>
                          </a:xfrm>
                          <a:prstGeom prst="rect">
                            <a:avLst/>
                          </a:prstGeom>
                        </pic:spPr>
                      </pic:pic>
                    </a:graphicData>
                  </a:graphic>
                </wp:inline>
              </w:drawing>
            </w:r>
          </w:p>
        </w:tc>
        <w:tc>
          <w:tcPr>
            <w:tcW w:w="3969" w:type="dxa"/>
            <w:tcBorders>
              <w:top w:val="single" w:sz="4" w:space="0" w:color="auto"/>
              <w:left w:val="single" w:sz="4" w:space="0" w:color="auto"/>
              <w:bottom w:val="single" w:sz="4" w:space="0" w:color="auto"/>
              <w:right w:val="single" w:sz="4" w:space="0" w:color="auto"/>
            </w:tcBorders>
          </w:tcPr>
          <w:p w14:paraId="5BE8637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E2F7C">
              <w:rPr>
                <w:rFonts w:asciiTheme="majorBidi" w:hAnsiTheme="majorBidi" w:cstheme="majorBidi"/>
                <w:noProof/>
                <w:lang w:val="en-GB"/>
              </w:rPr>
              <w:drawing>
                <wp:inline distT="0" distB="0" distL="0" distR="0" wp14:anchorId="13E67A82" wp14:editId="77A883D9">
                  <wp:extent cx="2468351" cy="1799590"/>
                  <wp:effectExtent l="0" t="0" r="8255" b="0"/>
                  <wp:docPr id="45" name="Picture 45" descr="A body of water with trees around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body of water with trees around it&#10;&#10;Description automatically generated with low confidence"/>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2468351" cy="1799590"/>
                          </a:xfrm>
                          <a:prstGeom prst="rect">
                            <a:avLst/>
                          </a:prstGeom>
                          <a:ln>
                            <a:noFill/>
                          </a:ln>
                          <a:extLst>
                            <a:ext uri="{53640926-AAD7-44D8-BBD7-CCE9431645EC}">
                              <a14:shadowObscured xmlns:a14="http://schemas.microsoft.com/office/drawing/2010/main"/>
                            </a:ext>
                          </a:extLst>
                        </pic:spPr>
                      </pic:pic>
                    </a:graphicData>
                  </a:graphic>
                </wp:inline>
              </w:drawing>
            </w:r>
          </w:p>
        </w:tc>
      </w:tr>
      <w:tr w:rsidR="004E5F8E" w:rsidRPr="007E2F7C" w14:paraId="4A8408FD" w14:textId="77777777" w:rsidTr="002460B7">
        <w:trPr>
          <w:cnfStyle w:val="000000010000" w:firstRow="0" w:lastRow="0" w:firstColumn="0" w:lastColumn="0" w:oddVBand="0" w:evenVBand="0" w:oddHBand="0" w:evenHBand="1" w:firstRowFirstColumn="0" w:firstRowLastColumn="0" w:lastRowFirstColumn="0" w:lastRowLastColumn="0"/>
          <w:cantSplit/>
          <w:trHeight w:val="2948"/>
        </w:trPr>
        <w:tc>
          <w:tcPr>
            <w:cnfStyle w:val="001000000000" w:firstRow="0" w:lastRow="0" w:firstColumn="1" w:lastColumn="0" w:oddVBand="0" w:evenVBand="0" w:oddHBand="0" w:evenHBand="0" w:firstRowFirstColumn="0" w:firstRowLastColumn="0" w:lastRowFirstColumn="0" w:lastRowLastColumn="0"/>
            <w:tcW w:w="673" w:type="dxa"/>
            <w:shd w:val="clear" w:color="auto" w:fill="FFFFFF" w:themeFill="background1"/>
            <w:textDirection w:val="btLr"/>
          </w:tcPr>
          <w:p w14:paraId="39719081" w14:textId="77777777" w:rsidR="004E5F8E" w:rsidRPr="007E2F7C" w:rsidRDefault="004E5F8E" w:rsidP="002460B7">
            <w:pPr>
              <w:ind w:left="113" w:right="113"/>
              <w:jc w:val="center"/>
              <w:rPr>
                <w:rFonts w:asciiTheme="majorBidi" w:hAnsiTheme="majorBidi" w:cstheme="majorBidi"/>
                <w:b w:val="0"/>
                <w:sz w:val="24"/>
                <w:lang w:eastAsia="en-AU"/>
              </w:rPr>
            </w:pPr>
            <w:r w:rsidRPr="007E2F7C">
              <w:rPr>
                <w:rFonts w:asciiTheme="majorBidi" w:hAnsiTheme="majorBidi" w:cstheme="majorBidi"/>
                <w:sz w:val="24"/>
                <w:lang w:eastAsia="en-AU"/>
              </w:rPr>
              <w:t>Loch Garry</w:t>
            </w:r>
          </w:p>
        </w:tc>
        <w:tc>
          <w:tcPr>
            <w:tcW w:w="887" w:type="dxa"/>
            <w:shd w:val="clear" w:color="auto" w:fill="FFFFFF" w:themeFill="background1"/>
            <w:textDirection w:val="btLr"/>
          </w:tcPr>
          <w:p w14:paraId="54C1860B" w14:textId="77777777" w:rsidR="004E5F8E" w:rsidRPr="007E2F7C" w:rsidRDefault="004E5F8E" w:rsidP="002460B7">
            <w:pPr>
              <w:ind w:left="113" w:right="113"/>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lang w:eastAsia="en-AU"/>
              </w:rPr>
            </w:pPr>
            <w:r w:rsidRPr="007E2F7C">
              <w:rPr>
                <w:rFonts w:asciiTheme="majorBidi" w:hAnsiTheme="majorBidi" w:cstheme="majorBidi"/>
                <w:lang w:eastAsia="en-AU"/>
              </w:rPr>
              <w:t>-36.2418869, 145.28610</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14:paraId="1F404464" w14:textId="77777777" w:rsidR="004E5F8E" w:rsidRPr="007E2F7C" w:rsidRDefault="004E5F8E" w:rsidP="002460B7">
            <w:pPr>
              <w:tabs>
                <w:tab w:val="left" w:pos="1149"/>
                <w:tab w:val="center" w:pos="1947"/>
              </w:tabs>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lang w:eastAsia="en-AU"/>
              </w:rPr>
            </w:pPr>
            <w:r w:rsidRPr="007E2F7C">
              <w:rPr>
                <w:rFonts w:asciiTheme="majorBidi" w:hAnsiTheme="majorBidi" w:cstheme="majorBidi"/>
                <w:noProof/>
                <w:lang w:val="en-GB"/>
              </w:rPr>
              <w:drawing>
                <wp:inline distT="0" distB="0" distL="0" distR="0" wp14:anchorId="0BB9DF4C" wp14:editId="5FECA0AB">
                  <wp:extent cx="2515249" cy="1799590"/>
                  <wp:effectExtent l="0" t="0" r="0" b="0"/>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174" cstate="email">
                            <a:extLst>
                              <a:ext uri="{28A0092B-C50C-407E-A947-70E740481C1C}">
                                <a14:useLocalDpi xmlns:a14="http://schemas.microsoft.com/office/drawing/2010/main"/>
                              </a:ext>
                            </a:extLst>
                          </a:blip>
                          <a:stretch>
                            <a:fillRect/>
                          </a:stretch>
                        </pic:blipFill>
                        <pic:spPr>
                          <a:xfrm>
                            <a:off x="0" y="0"/>
                            <a:ext cx="2515249" cy="1799590"/>
                          </a:xfrm>
                          <a:prstGeom prst="rect">
                            <a:avLst/>
                          </a:prstGeom>
                        </pic:spPr>
                      </pic:pic>
                    </a:graphicData>
                  </a:graphic>
                </wp:inline>
              </w:drawing>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14:paraId="7F8C757C" w14:textId="77777777" w:rsidR="004E5F8E" w:rsidRPr="007E2F7C" w:rsidRDefault="004E5F8E" w:rsidP="002460B7">
            <w:pP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lang w:eastAsia="en-AU"/>
              </w:rPr>
            </w:pPr>
            <w:r w:rsidRPr="007E2F7C">
              <w:rPr>
                <w:rFonts w:asciiTheme="majorBidi" w:hAnsiTheme="majorBidi" w:cstheme="majorBidi"/>
                <w:noProof/>
                <w:lang w:val="en-GB"/>
              </w:rPr>
              <w:drawing>
                <wp:inline distT="0" distB="0" distL="0" distR="0" wp14:anchorId="5706E191" wp14:editId="4F4B472A">
                  <wp:extent cx="2455200" cy="1800000"/>
                  <wp:effectExtent l="0" t="0" r="2540" b="0"/>
                  <wp:docPr id="35" name="Picture 35" descr="A group of people in a canoe on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175" cstate="email">
                            <a:extLst>
                              <a:ext uri="{28A0092B-C50C-407E-A947-70E740481C1C}">
                                <a14:useLocalDpi xmlns:a14="http://schemas.microsoft.com/office/drawing/2010/main"/>
                              </a:ext>
                            </a:extLst>
                          </a:blip>
                          <a:stretch>
                            <a:fillRect/>
                          </a:stretch>
                        </pic:blipFill>
                        <pic:spPr>
                          <a:xfrm>
                            <a:off x="0" y="0"/>
                            <a:ext cx="2455200" cy="1800000"/>
                          </a:xfrm>
                          <a:prstGeom prst="rect">
                            <a:avLst/>
                          </a:prstGeom>
                        </pic:spPr>
                      </pic:pic>
                    </a:graphicData>
                  </a:graphic>
                </wp:inline>
              </w:drawing>
            </w:r>
          </w:p>
        </w:tc>
      </w:tr>
      <w:tr w:rsidR="004E5F8E" w:rsidRPr="007E2F7C" w14:paraId="380BDA6D" w14:textId="77777777" w:rsidTr="002460B7">
        <w:trPr>
          <w:cnfStyle w:val="000000100000" w:firstRow="0" w:lastRow="0" w:firstColumn="0" w:lastColumn="0" w:oddVBand="0" w:evenVBand="0" w:oddHBand="1" w:evenHBand="0" w:firstRowFirstColumn="0" w:firstRowLastColumn="0" w:lastRowFirstColumn="0" w:lastRowLastColumn="0"/>
          <w:cantSplit/>
          <w:trHeight w:val="3043"/>
        </w:trPr>
        <w:tc>
          <w:tcPr>
            <w:cnfStyle w:val="001000000000" w:firstRow="0" w:lastRow="0" w:firstColumn="1" w:lastColumn="0" w:oddVBand="0" w:evenVBand="0" w:oddHBand="0" w:evenHBand="0" w:firstRowFirstColumn="0" w:firstRowLastColumn="0" w:lastRowFirstColumn="0" w:lastRowLastColumn="0"/>
            <w:tcW w:w="673" w:type="dxa"/>
            <w:textDirection w:val="btLr"/>
          </w:tcPr>
          <w:p w14:paraId="46599DF6" w14:textId="77777777" w:rsidR="004E5F8E" w:rsidRPr="007E2F7C" w:rsidRDefault="004E5F8E" w:rsidP="002460B7">
            <w:pPr>
              <w:ind w:left="113" w:right="113"/>
              <w:jc w:val="center"/>
              <w:rPr>
                <w:rFonts w:asciiTheme="majorBidi" w:hAnsiTheme="majorBidi" w:cstheme="majorBidi"/>
                <w:b w:val="0"/>
                <w:sz w:val="24"/>
                <w:lang w:eastAsia="en-AU"/>
              </w:rPr>
            </w:pPr>
            <w:r w:rsidRPr="007E2F7C">
              <w:rPr>
                <w:rFonts w:asciiTheme="majorBidi" w:hAnsiTheme="majorBidi" w:cstheme="majorBidi"/>
                <w:sz w:val="24"/>
                <w:lang w:eastAsia="en-AU"/>
              </w:rPr>
              <w:t>McCoy’s Bridge</w:t>
            </w:r>
          </w:p>
        </w:tc>
        <w:tc>
          <w:tcPr>
            <w:tcW w:w="887" w:type="dxa"/>
            <w:textDirection w:val="btLr"/>
          </w:tcPr>
          <w:p w14:paraId="770DCE37" w14:textId="77777777" w:rsidR="004E5F8E" w:rsidRPr="007E2F7C" w:rsidRDefault="004E5F8E" w:rsidP="002460B7">
            <w:pPr>
              <w:ind w:left="113" w:right="113"/>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eastAsia="en-AU"/>
              </w:rPr>
            </w:pPr>
            <w:r w:rsidRPr="007E2F7C">
              <w:rPr>
                <w:rFonts w:asciiTheme="majorBidi" w:hAnsiTheme="majorBidi" w:cstheme="majorBidi"/>
                <w:lang w:eastAsia="en-AU"/>
              </w:rPr>
              <w:t>-36.1771302, 145.123695</w:t>
            </w:r>
          </w:p>
        </w:tc>
        <w:tc>
          <w:tcPr>
            <w:tcW w:w="4111" w:type="dxa"/>
            <w:tcBorders>
              <w:top w:val="single" w:sz="4" w:space="0" w:color="auto"/>
              <w:left w:val="single" w:sz="4" w:space="0" w:color="auto"/>
              <w:bottom w:val="single" w:sz="4" w:space="0" w:color="auto"/>
              <w:right w:val="single" w:sz="4" w:space="0" w:color="auto"/>
            </w:tcBorders>
          </w:tcPr>
          <w:p w14:paraId="67AD0ABD" w14:textId="77777777" w:rsidR="004E5F8E" w:rsidRPr="007E2F7C" w:rsidRDefault="004E5F8E" w:rsidP="002460B7">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E2F7C">
              <w:rPr>
                <w:rFonts w:asciiTheme="majorBidi" w:hAnsiTheme="majorBidi" w:cstheme="majorBidi"/>
                <w:noProof/>
                <w:lang w:val="en-GB"/>
              </w:rPr>
              <w:drawing>
                <wp:inline distT="0" distB="0" distL="0" distR="0" wp14:anchorId="61C9F400" wp14:editId="6EA2DBC3">
                  <wp:extent cx="2538304" cy="1799590"/>
                  <wp:effectExtent l="0" t="0" r="0" b="0"/>
                  <wp:docPr id="457" name="Picture 45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176" cstate="email">
                            <a:extLst>
                              <a:ext uri="{28A0092B-C50C-407E-A947-70E740481C1C}">
                                <a14:useLocalDpi xmlns:a14="http://schemas.microsoft.com/office/drawing/2010/main"/>
                              </a:ext>
                            </a:extLst>
                          </a:blip>
                          <a:stretch>
                            <a:fillRect/>
                          </a:stretch>
                        </pic:blipFill>
                        <pic:spPr>
                          <a:xfrm>
                            <a:off x="0" y="0"/>
                            <a:ext cx="2538304" cy="1799590"/>
                          </a:xfrm>
                          <a:prstGeom prst="rect">
                            <a:avLst/>
                          </a:prstGeom>
                        </pic:spPr>
                      </pic:pic>
                    </a:graphicData>
                  </a:graphic>
                </wp:inline>
              </w:drawing>
            </w:r>
          </w:p>
        </w:tc>
        <w:tc>
          <w:tcPr>
            <w:tcW w:w="3969" w:type="dxa"/>
            <w:tcBorders>
              <w:top w:val="single" w:sz="4" w:space="0" w:color="auto"/>
              <w:left w:val="single" w:sz="4" w:space="0" w:color="auto"/>
              <w:bottom w:val="single" w:sz="4" w:space="0" w:color="auto"/>
              <w:right w:val="single" w:sz="4" w:space="0" w:color="auto"/>
            </w:tcBorders>
          </w:tcPr>
          <w:p w14:paraId="7481F11D"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E2F7C">
              <w:rPr>
                <w:rFonts w:asciiTheme="majorBidi" w:hAnsiTheme="majorBidi" w:cstheme="majorBidi"/>
                <w:noProof/>
                <w:lang w:val="en-GB"/>
              </w:rPr>
              <w:drawing>
                <wp:inline distT="0" distB="0" distL="0" distR="0" wp14:anchorId="46BF1060" wp14:editId="4A5C10CD">
                  <wp:extent cx="2430000" cy="1800000"/>
                  <wp:effectExtent l="0" t="0" r="8890" b="0"/>
                  <wp:docPr id="27" name="Picture 27" descr="A body of water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body of water with trees in the background&#10;&#10;Description automatically generated with medium confidence"/>
                          <pic:cNvPicPr/>
                        </pic:nvPicPr>
                        <pic:blipFill>
                          <a:blip r:embed="rId177" cstate="email">
                            <a:extLst>
                              <a:ext uri="{28A0092B-C50C-407E-A947-70E740481C1C}">
                                <a14:useLocalDpi xmlns:a14="http://schemas.microsoft.com/office/drawing/2010/main"/>
                              </a:ext>
                            </a:extLst>
                          </a:blip>
                          <a:stretch>
                            <a:fillRect/>
                          </a:stretch>
                        </pic:blipFill>
                        <pic:spPr>
                          <a:xfrm>
                            <a:off x="0" y="0"/>
                            <a:ext cx="2430000" cy="1800000"/>
                          </a:xfrm>
                          <a:prstGeom prst="rect">
                            <a:avLst/>
                          </a:prstGeom>
                        </pic:spPr>
                      </pic:pic>
                    </a:graphicData>
                  </a:graphic>
                </wp:inline>
              </w:drawing>
            </w:r>
          </w:p>
        </w:tc>
      </w:tr>
    </w:tbl>
    <w:p w14:paraId="34BAB665" w14:textId="77777777" w:rsidR="004E5F8E" w:rsidRPr="007E2F7C" w:rsidRDefault="004E5F8E" w:rsidP="004E5F8E">
      <w:pPr>
        <w:pStyle w:val="Caption"/>
        <w:rPr>
          <w:rFonts w:asciiTheme="majorBidi" w:hAnsiTheme="majorBidi" w:cstheme="majorBidi"/>
          <w:b w:val="0"/>
          <w:i/>
        </w:rPr>
      </w:pPr>
    </w:p>
    <w:p w14:paraId="79F41043" w14:textId="77777777" w:rsidR="004E5F8E" w:rsidRPr="00C74803" w:rsidRDefault="004E5F8E" w:rsidP="00DE6E94">
      <w:pPr>
        <w:pStyle w:val="ListParagraph"/>
        <w:numPr>
          <w:ilvl w:val="0"/>
          <w:numId w:val="93"/>
        </w:numPr>
        <w:spacing w:before="120" w:after="20" w:line="240" w:lineRule="atLeast"/>
        <w:ind w:left="357" w:hanging="357"/>
        <w:contextualSpacing/>
        <w:jc w:val="left"/>
        <w:rPr>
          <w:rFonts w:cstheme="minorHAnsi"/>
          <w:b/>
          <w:sz w:val="28"/>
          <w:szCs w:val="28"/>
        </w:rPr>
      </w:pPr>
      <w:r w:rsidRPr="00C74803">
        <w:rPr>
          <w:rFonts w:cstheme="minorHAnsi"/>
          <w:b/>
          <w:sz w:val="28"/>
          <w:szCs w:val="28"/>
        </w:rPr>
        <w:t>Literature Review</w:t>
      </w:r>
    </w:p>
    <w:p w14:paraId="2320D6CC" w14:textId="685E5F16" w:rsidR="004E5F8E" w:rsidRPr="00C74803" w:rsidRDefault="004E5F8E" w:rsidP="004E5F8E">
      <w:pPr>
        <w:ind w:left="578" w:hanging="578"/>
        <w:rPr>
          <w:rFonts w:cstheme="minorHAnsi"/>
          <w:b/>
          <w:sz w:val="24"/>
        </w:rPr>
      </w:pPr>
      <w:bookmarkStart w:id="817" w:name="_Ref72581190"/>
      <w:r w:rsidRPr="00C74803">
        <w:rPr>
          <w:rFonts w:cstheme="minorHAnsi"/>
          <w:b/>
          <w:sz w:val="24"/>
        </w:rPr>
        <w:t>2.1 Ecosystem metabolism</w:t>
      </w:r>
      <w:bookmarkEnd w:id="817"/>
    </w:p>
    <w:p w14:paraId="3DDD1EB6" w14:textId="77777777" w:rsidR="004E5F8E" w:rsidRPr="00C74803" w:rsidRDefault="004E5F8E" w:rsidP="004E5F8E">
      <w:pPr>
        <w:rPr>
          <w:rFonts w:cstheme="minorHAnsi"/>
        </w:rPr>
      </w:pPr>
      <w:r w:rsidRPr="00C74803">
        <w:rPr>
          <w:rFonts w:cstheme="minorHAnsi"/>
        </w:rPr>
        <w:t>A major objective of river management is to maintain and rehabilitate healthy rivers (Gore, 1985). ‘River health’ does not have a clear definition, but it is interpreted as being comparable to human health by a reasonable person. The absence of disturbance as determined by measurement indicators is one approach to differentiating ‘healthy’ and ‘sick’ ecosystems (Rapport, 1989). The Goulburn River is characterized by high turbidity and low nutrient levels that reduce water quality in the river (</w:t>
      </w:r>
      <w:proofErr w:type="spellStart"/>
      <w:r w:rsidRPr="00C74803">
        <w:rPr>
          <w:rFonts w:cstheme="minorHAnsi"/>
        </w:rPr>
        <w:t>Pollino</w:t>
      </w:r>
      <w:proofErr w:type="spellEnd"/>
      <w:r w:rsidRPr="00C74803">
        <w:rPr>
          <w:rFonts w:cstheme="minorHAnsi"/>
        </w:rPr>
        <w:t xml:space="preserve">, Feehan, Grace, &amp; Hart, 2004), and in turn, limits primary productivity. The integration of a river’s physical, chemical, and biological characteristics </w:t>
      </w:r>
      <w:proofErr w:type="gramStart"/>
      <w:r w:rsidRPr="00C74803">
        <w:rPr>
          <w:rFonts w:cstheme="minorHAnsi"/>
        </w:rPr>
        <w:t>are</w:t>
      </w:r>
      <w:proofErr w:type="gramEnd"/>
      <w:r w:rsidRPr="00C74803">
        <w:rPr>
          <w:rFonts w:cstheme="minorHAnsi"/>
        </w:rPr>
        <w:t xml:space="preserve"> important for identifying indicators of river health measurement, and ecosystem metabolism has been identified as a key indicator of ecological distress (Mulholland, Houser, &amp; Maloney, 2005). </w:t>
      </w:r>
    </w:p>
    <w:p w14:paraId="66EFF459" w14:textId="77777777" w:rsidR="004E5F8E" w:rsidRPr="00C74803" w:rsidRDefault="004E5F8E" w:rsidP="004E5F8E">
      <w:pPr>
        <w:rPr>
          <w:rFonts w:cstheme="minorHAnsi"/>
        </w:rPr>
      </w:pPr>
      <w:r w:rsidRPr="00C74803">
        <w:rPr>
          <w:rFonts w:cstheme="minorHAnsi"/>
        </w:rPr>
        <w:t xml:space="preserve">Ecosystem metabolism or whole stream metabolism is the combination of the production of organic matter by photosynthesis and the oxidation of organic matter to produce energy, known as primary production and respiration, respectively (Grace &amp; </w:t>
      </w:r>
      <w:proofErr w:type="spellStart"/>
      <w:r w:rsidRPr="00C74803">
        <w:rPr>
          <w:rFonts w:cstheme="minorHAnsi"/>
        </w:rPr>
        <w:t>Imberger</w:t>
      </w:r>
      <w:proofErr w:type="spellEnd"/>
      <w:r w:rsidRPr="00C74803">
        <w:rPr>
          <w:rFonts w:cstheme="minorHAnsi"/>
        </w:rPr>
        <w:t>, 2006). As a result, oxygen is released into the water (primary production) and oxygen is absorbed from the water (ecosystem respiration) (</w:t>
      </w:r>
      <w:proofErr w:type="spellStart"/>
      <w:r w:rsidRPr="00C74803">
        <w:rPr>
          <w:rFonts w:cstheme="minorHAnsi"/>
        </w:rPr>
        <w:t>Odum</w:t>
      </w:r>
      <w:proofErr w:type="spellEnd"/>
      <w:r w:rsidRPr="00C74803">
        <w:rPr>
          <w:rFonts w:cstheme="minorHAnsi"/>
        </w:rPr>
        <w:t xml:space="preserve">, 1956). The two fundamental rates of metabolism are those of </w:t>
      </w:r>
      <w:r w:rsidRPr="00C74803">
        <w:rPr>
          <w:rFonts w:cstheme="minorHAnsi"/>
        </w:rPr>
        <w:lastRenderedPageBreak/>
        <w:t xml:space="preserve">Gross Primary Production (GPP) and Ecosystem Respiration (ER), and the balance between these two rates is defined as Net Primary Production (NPP) (Bernhardt et al., 2018). Another important process is re-aeration, which is the diffusion of oxygen across the air-water interface to restore 100% DO saturation. The process of re-aeration is abiotic and fundamentally important, but it is not relevant for the light/dark bottle method of measurement used in this project, as the bottles are sealed (Grace &amp; </w:t>
      </w:r>
      <w:proofErr w:type="spellStart"/>
      <w:r w:rsidRPr="00C74803">
        <w:rPr>
          <w:rFonts w:cstheme="minorHAnsi"/>
        </w:rPr>
        <w:t>Imberger</w:t>
      </w:r>
      <w:proofErr w:type="spellEnd"/>
      <w:r w:rsidRPr="00C74803">
        <w:rPr>
          <w:rFonts w:cstheme="minorHAnsi"/>
        </w:rPr>
        <w:t>, 2006). Primary production (photosynthesis) increases the amount of oxygen, while respiration decreases the oxygen content in the river (Webb et al., 2019). The equations governing photosynthesis and respiration are shown in equations 1 and 2, respectively (Zhang, Huang, Yan, &amp; Zhang, 2009).</w:t>
      </w:r>
    </w:p>
    <w:p w14:paraId="1E7DD812" w14:textId="23B6AF5F" w:rsidR="004E5F8E" w:rsidRPr="00C74803" w:rsidRDefault="004D2D53" w:rsidP="004E5F8E">
      <w:pPr>
        <w:pStyle w:val="Caption"/>
        <w:jc w:val="center"/>
        <w:rPr>
          <w:rFonts w:cstheme="minorHAnsi"/>
        </w:rPr>
      </w:pPr>
      <m:oMath>
        <m:sSub>
          <m:sSubPr>
            <m:ctrlPr>
              <w:rPr>
                <w:rFonts w:ascii="Cambria Math" w:hAnsi="Cambria Math" w:cstheme="minorHAnsi"/>
                <w:b w:val="0"/>
                <w:i/>
                <w:szCs w:val="24"/>
              </w:rPr>
            </m:ctrlPr>
          </m:sSubPr>
          <m:e>
            <m:r>
              <m:rPr>
                <m:sty m:val="bi"/>
              </m:rPr>
              <w:rPr>
                <w:rFonts w:ascii="Cambria Math" w:hAnsi="Cambria Math" w:cstheme="minorHAnsi"/>
              </w:rPr>
              <m:t>6</m:t>
            </m:r>
            <m:r>
              <m:rPr>
                <m:sty m:val="bi"/>
              </m:rPr>
              <w:rPr>
                <w:rFonts w:ascii="Cambria Math" w:hAnsi="Cambria Math" w:cstheme="minorHAnsi"/>
              </w:rPr>
              <m:t>CO</m:t>
            </m:r>
          </m:e>
          <m:sub>
            <m:r>
              <m:rPr>
                <m:sty m:val="bi"/>
              </m:rPr>
              <w:rPr>
                <w:rFonts w:ascii="Cambria Math" w:hAnsi="Cambria Math" w:cstheme="minorHAnsi"/>
              </w:rPr>
              <m:t>2</m:t>
            </m:r>
          </m:sub>
        </m:sSub>
        <m:r>
          <m:rPr>
            <m:sty m:val="bi"/>
          </m:rPr>
          <w:rPr>
            <w:rFonts w:ascii="Cambria Math" w:hAnsi="Cambria Math" w:cstheme="minorHAnsi"/>
          </w:rPr>
          <m:t>+6</m:t>
        </m:r>
        <m:sSub>
          <m:sSubPr>
            <m:ctrlPr>
              <w:rPr>
                <w:rFonts w:ascii="Cambria Math" w:hAnsi="Cambria Math" w:cstheme="minorHAnsi"/>
                <w:b w:val="0"/>
                <w:i/>
                <w:szCs w:val="24"/>
              </w:rPr>
            </m:ctrlPr>
          </m:sSubPr>
          <m:e>
            <m:r>
              <m:rPr>
                <m:sty m:val="bi"/>
              </m:rPr>
              <w:rPr>
                <w:rFonts w:ascii="Cambria Math" w:hAnsi="Cambria Math" w:cstheme="minorHAnsi"/>
              </w:rPr>
              <m:t>H</m:t>
            </m:r>
          </m:e>
          <m:sub>
            <m:r>
              <m:rPr>
                <m:sty m:val="bi"/>
              </m:rPr>
              <w:rPr>
                <w:rFonts w:ascii="Cambria Math" w:hAnsi="Cambria Math" w:cstheme="minorHAnsi"/>
              </w:rPr>
              <m:t>2</m:t>
            </m:r>
          </m:sub>
        </m:sSub>
        <m:r>
          <m:rPr>
            <m:sty m:val="bi"/>
          </m:rPr>
          <w:rPr>
            <w:rFonts w:ascii="Cambria Math" w:hAnsi="Cambria Math" w:cstheme="minorHAnsi"/>
          </w:rPr>
          <m:t>O+Energy</m:t>
        </m:r>
        <m:box>
          <m:boxPr>
            <m:opEmu m:val="1"/>
            <m:ctrlPr>
              <w:rPr>
                <w:rFonts w:ascii="Cambria Math" w:hAnsi="Cambria Math" w:cstheme="minorHAnsi"/>
                <w:b w:val="0"/>
                <w:i/>
                <w:szCs w:val="24"/>
              </w:rPr>
            </m:ctrlPr>
          </m:boxPr>
          <m:e>
            <m:groupChr>
              <m:groupChrPr>
                <m:chr m:val="→"/>
                <m:vertJc m:val="bot"/>
                <m:ctrlPr>
                  <w:rPr>
                    <w:rFonts w:ascii="Cambria Math" w:hAnsi="Cambria Math" w:cstheme="minorHAnsi"/>
                    <w:b w:val="0"/>
                    <w:i/>
                    <w:szCs w:val="24"/>
                  </w:rPr>
                </m:ctrlPr>
              </m:groupChrPr>
              <m:e>
                <m:r>
                  <m:rPr>
                    <m:sty m:val="bi"/>
                  </m:rPr>
                  <w:rPr>
                    <w:rFonts w:ascii="Cambria Math" w:hAnsi="Cambria Math" w:cstheme="minorHAnsi"/>
                  </w:rPr>
                  <m:t>light</m:t>
                </m:r>
              </m:e>
            </m:groupChr>
          </m:e>
        </m:box>
        <m:sSub>
          <m:sSubPr>
            <m:ctrlPr>
              <w:rPr>
                <w:rFonts w:ascii="Cambria Math" w:hAnsi="Cambria Math" w:cstheme="minorHAnsi"/>
                <w:b w:val="0"/>
                <w:i/>
                <w:szCs w:val="24"/>
              </w:rPr>
            </m:ctrlPr>
          </m:sSubPr>
          <m:e>
            <m:r>
              <m:rPr>
                <m:sty m:val="bi"/>
              </m:rPr>
              <w:rPr>
                <w:rFonts w:ascii="Cambria Math" w:hAnsi="Cambria Math" w:cstheme="minorHAnsi"/>
              </w:rPr>
              <m:t>C</m:t>
            </m:r>
          </m:e>
          <m:sub>
            <m:r>
              <m:rPr>
                <m:sty m:val="bi"/>
              </m:rPr>
              <w:rPr>
                <w:rFonts w:ascii="Cambria Math" w:hAnsi="Cambria Math" w:cstheme="minorHAnsi"/>
              </w:rPr>
              <m:t>6</m:t>
            </m:r>
          </m:sub>
        </m:sSub>
        <m:sSub>
          <m:sSubPr>
            <m:ctrlPr>
              <w:rPr>
                <w:rFonts w:ascii="Cambria Math" w:hAnsi="Cambria Math" w:cstheme="minorHAnsi"/>
                <w:b w:val="0"/>
                <w:i/>
                <w:szCs w:val="24"/>
              </w:rPr>
            </m:ctrlPr>
          </m:sSubPr>
          <m:e>
            <m:r>
              <m:rPr>
                <m:sty m:val="bi"/>
              </m:rPr>
              <w:rPr>
                <w:rFonts w:ascii="Cambria Math" w:hAnsi="Cambria Math" w:cstheme="minorHAnsi"/>
              </w:rPr>
              <m:t>H</m:t>
            </m:r>
          </m:e>
          <m:sub>
            <m:r>
              <m:rPr>
                <m:sty m:val="bi"/>
              </m:rPr>
              <w:rPr>
                <w:rFonts w:ascii="Cambria Math" w:hAnsi="Cambria Math" w:cstheme="minorHAnsi"/>
              </w:rPr>
              <m:t>12</m:t>
            </m:r>
          </m:sub>
        </m:sSub>
        <m:sSub>
          <m:sSubPr>
            <m:ctrlPr>
              <w:rPr>
                <w:rFonts w:ascii="Cambria Math" w:hAnsi="Cambria Math" w:cstheme="minorHAnsi"/>
                <w:b w:val="0"/>
                <w:i/>
                <w:szCs w:val="24"/>
              </w:rPr>
            </m:ctrlPr>
          </m:sSubPr>
          <m:e>
            <m:r>
              <m:rPr>
                <m:sty m:val="bi"/>
              </m:rPr>
              <w:rPr>
                <w:rFonts w:ascii="Cambria Math" w:hAnsi="Cambria Math" w:cstheme="minorHAnsi"/>
              </w:rPr>
              <m:t>O</m:t>
            </m:r>
          </m:e>
          <m:sub>
            <m:r>
              <m:rPr>
                <m:sty m:val="bi"/>
              </m:rPr>
              <w:rPr>
                <w:rFonts w:ascii="Cambria Math" w:hAnsi="Cambria Math" w:cstheme="minorHAnsi"/>
              </w:rPr>
              <m:t>6</m:t>
            </m:r>
          </m:sub>
        </m:sSub>
        <m:r>
          <m:rPr>
            <m:sty m:val="bi"/>
          </m:rPr>
          <w:rPr>
            <w:rFonts w:ascii="Cambria Math" w:hAnsi="Cambria Math" w:cstheme="minorHAnsi"/>
          </w:rPr>
          <m:t>+</m:t>
        </m:r>
        <m:sSub>
          <m:sSubPr>
            <m:ctrlPr>
              <w:rPr>
                <w:rFonts w:ascii="Cambria Math" w:hAnsi="Cambria Math" w:cstheme="minorHAnsi"/>
                <w:b w:val="0"/>
                <w:i/>
                <w:szCs w:val="24"/>
              </w:rPr>
            </m:ctrlPr>
          </m:sSubPr>
          <m:e>
            <m:r>
              <m:rPr>
                <m:sty m:val="bi"/>
              </m:rPr>
              <w:rPr>
                <w:rFonts w:ascii="Cambria Math" w:hAnsi="Cambria Math" w:cstheme="minorHAnsi"/>
              </w:rPr>
              <m:t>6</m:t>
            </m:r>
            <m:r>
              <m:rPr>
                <m:sty m:val="bi"/>
              </m:rPr>
              <w:rPr>
                <w:rFonts w:ascii="Cambria Math" w:hAnsi="Cambria Math" w:cstheme="minorHAnsi"/>
              </w:rPr>
              <m:t>O</m:t>
            </m:r>
          </m:e>
          <m:sub>
            <m:r>
              <m:rPr>
                <m:sty m:val="bi"/>
              </m:rPr>
              <w:rPr>
                <w:rFonts w:ascii="Cambria Math" w:hAnsi="Cambria Math" w:cstheme="minorHAnsi"/>
              </w:rPr>
              <m:t>2</m:t>
            </m:r>
          </m:sub>
        </m:sSub>
      </m:oMath>
      <w:r w:rsidR="004E5F8E" w:rsidRPr="00C74803">
        <w:rPr>
          <w:rFonts w:cstheme="minorHAnsi"/>
        </w:rPr>
        <w:tab/>
      </w:r>
      <w:r w:rsidR="004E5F8E" w:rsidRPr="00C74803">
        <w:rPr>
          <w:rFonts w:cstheme="minorHAnsi"/>
        </w:rPr>
        <w:tab/>
      </w:r>
      <w:r w:rsidR="004E5F8E" w:rsidRPr="00C74803">
        <w:rPr>
          <w:rFonts w:cstheme="minorHAnsi"/>
        </w:rPr>
        <w:tab/>
      </w:r>
      <w:r w:rsidR="004E5F8E" w:rsidRPr="00C74803">
        <w:rPr>
          <w:rFonts w:cstheme="minorHAnsi"/>
        </w:rPr>
        <w:tab/>
      </w:r>
      <w:r w:rsidR="004E5F8E" w:rsidRPr="00C74803">
        <w:rPr>
          <w:rFonts w:cstheme="minorHAnsi"/>
        </w:rPr>
        <w:tab/>
      </w:r>
      <w:r w:rsidR="0056720D" w:rsidRPr="00C74803">
        <w:rPr>
          <w:rFonts w:cstheme="minorHAnsi"/>
        </w:rPr>
        <w:t xml:space="preserve">        </w:t>
      </w:r>
      <w:r w:rsidR="004E5F8E" w:rsidRPr="00C74803">
        <w:rPr>
          <w:rFonts w:cstheme="minorHAnsi"/>
        </w:rPr>
        <w:t>Equation 1</w:t>
      </w:r>
    </w:p>
    <w:p w14:paraId="5CD6E6EE" w14:textId="3820416F" w:rsidR="004E5F8E" w:rsidRPr="00C74803" w:rsidRDefault="004D2D53" w:rsidP="004E5F8E">
      <w:pPr>
        <w:pStyle w:val="Caption"/>
        <w:jc w:val="center"/>
        <w:rPr>
          <w:rFonts w:cstheme="minorHAnsi"/>
        </w:rPr>
      </w:pPr>
      <m:oMath>
        <m:sSub>
          <m:sSubPr>
            <m:ctrlPr>
              <w:rPr>
                <w:rFonts w:ascii="Cambria Math" w:hAnsi="Cambria Math" w:cstheme="minorHAnsi"/>
                <w:b w:val="0"/>
                <w:i/>
                <w:szCs w:val="24"/>
              </w:rPr>
            </m:ctrlPr>
          </m:sSubPr>
          <m:e>
            <m:r>
              <m:rPr>
                <m:sty m:val="bi"/>
              </m:rPr>
              <w:rPr>
                <w:rFonts w:ascii="Cambria Math" w:hAnsi="Cambria Math" w:cstheme="minorHAnsi"/>
              </w:rPr>
              <m:t>C</m:t>
            </m:r>
          </m:e>
          <m:sub>
            <m:r>
              <m:rPr>
                <m:sty m:val="bi"/>
              </m:rPr>
              <w:rPr>
                <w:rFonts w:ascii="Cambria Math" w:hAnsi="Cambria Math" w:cstheme="minorHAnsi"/>
              </w:rPr>
              <m:t>6</m:t>
            </m:r>
          </m:sub>
        </m:sSub>
        <m:sSub>
          <m:sSubPr>
            <m:ctrlPr>
              <w:rPr>
                <w:rFonts w:ascii="Cambria Math" w:hAnsi="Cambria Math" w:cstheme="minorHAnsi"/>
                <w:b w:val="0"/>
                <w:i/>
                <w:szCs w:val="24"/>
              </w:rPr>
            </m:ctrlPr>
          </m:sSubPr>
          <m:e>
            <m:r>
              <m:rPr>
                <m:sty m:val="bi"/>
              </m:rPr>
              <w:rPr>
                <w:rFonts w:ascii="Cambria Math" w:hAnsi="Cambria Math" w:cstheme="minorHAnsi"/>
              </w:rPr>
              <m:t>H</m:t>
            </m:r>
          </m:e>
          <m:sub>
            <m:r>
              <m:rPr>
                <m:sty m:val="bi"/>
              </m:rPr>
              <w:rPr>
                <w:rFonts w:ascii="Cambria Math" w:hAnsi="Cambria Math" w:cstheme="minorHAnsi"/>
              </w:rPr>
              <m:t>12</m:t>
            </m:r>
          </m:sub>
        </m:sSub>
        <m:sSub>
          <m:sSubPr>
            <m:ctrlPr>
              <w:rPr>
                <w:rFonts w:ascii="Cambria Math" w:hAnsi="Cambria Math" w:cstheme="minorHAnsi"/>
                <w:b w:val="0"/>
                <w:i/>
                <w:szCs w:val="24"/>
              </w:rPr>
            </m:ctrlPr>
          </m:sSubPr>
          <m:e>
            <m:r>
              <m:rPr>
                <m:sty m:val="bi"/>
              </m:rPr>
              <w:rPr>
                <w:rFonts w:ascii="Cambria Math" w:hAnsi="Cambria Math" w:cstheme="minorHAnsi"/>
              </w:rPr>
              <m:t>O</m:t>
            </m:r>
          </m:e>
          <m:sub>
            <m:r>
              <m:rPr>
                <m:sty m:val="bi"/>
              </m:rPr>
              <w:rPr>
                <w:rFonts w:ascii="Cambria Math" w:hAnsi="Cambria Math" w:cstheme="minorHAnsi"/>
              </w:rPr>
              <m:t>6</m:t>
            </m:r>
          </m:sub>
        </m:sSub>
        <m:r>
          <m:rPr>
            <m:sty m:val="bi"/>
          </m:rPr>
          <w:rPr>
            <w:rFonts w:ascii="Cambria Math" w:hAnsi="Cambria Math" w:cstheme="minorHAnsi"/>
          </w:rPr>
          <m:t>+</m:t>
        </m:r>
        <m:sSub>
          <m:sSubPr>
            <m:ctrlPr>
              <w:rPr>
                <w:rFonts w:ascii="Cambria Math" w:hAnsi="Cambria Math" w:cstheme="minorHAnsi"/>
                <w:b w:val="0"/>
                <w:i/>
                <w:szCs w:val="24"/>
              </w:rPr>
            </m:ctrlPr>
          </m:sSubPr>
          <m:e>
            <m:r>
              <m:rPr>
                <m:sty m:val="bi"/>
              </m:rPr>
              <w:rPr>
                <w:rFonts w:ascii="Cambria Math" w:hAnsi="Cambria Math" w:cstheme="minorHAnsi"/>
              </w:rPr>
              <m:t>6</m:t>
            </m:r>
            <m:r>
              <m:rPr>
                <m:sty m:val="bi"/>
              </m:rPr>
              <w:rPr>
                <w:rFonts w:ascii="Cambria Math" w:hAnsi="Cambria Math" w:cstheme="minorHAnsi"/>
              </w:rPr>
              <m:t>O</m:t>
            </m:r>
          </m:e>
          <m:sub>
            <m:r>
              <m:rPr>
                <m:sty m:val="bi"/>
              </m:rPr>
              <w:rPr>
                <w:rFonts w:ascii="Cambria Math" w:hAnsi="Cambria Math" w:cstheme="minorHAnsi"/>
              </w:rPr>
              <m:t>2</m:t>
            </m:r>
          </m:sub>
        </m:sSub>
        <m:r>
          <m:rPr>
            <m:sty m:val="bi"/>
          </m:rPr>
          <w:rPr>
            <w:rFonts w:ascii="Cambria Math" w:hAnsi="Cambria Math" w:cstheme="minorHAnsi"/>
          </w:rPr>
          <m:t>→</m:t>
        </m:r>
        <m:sSub>
          <m:sSubPr>
            <m:ctrlPr>
              <w:rPr>
                <w:rFonts w:ascii="Cambria Math" w:hAnsi="Cambria Math" w:cstheme="minorHAnsi"/>
                <w:b w:val="0"/>
                <w:i/>
                <w:szCs w:val="24"/>
              </w:rPr>
            </m:ctrlPr>
          </m:sSubPr>
          <m:e>
            <m:r>
              <m:rPr>
                <m:sty m:val="bi"/>
              </m:rPr>
              <w:rPr>
                <w:rFonts w:ascii="Cambria Math" w:hAnsi="Cambria Math" w:cstheme="minorHAnsi"/>
              </w:rPr>
              <m:t>6</m:t>
            </m:r>
            <m:r>
              <m:rPr>
                <m:sty m:val="bi"/>
              </m:rPr>
              <w:rPr>
                <w:rFonts w:ascii="Cambria Math" w:hAnsi="Cambria Math" w:cstheme="minorHAnsi"/>
              </w:rPr>
              <m:t>CO</m:t>
            </m:r>
          </m:e>
          <m:sub>
            <m:r>
              <m:rPr>
                <m:sty m:val="bi"/>
              </m:rPr>
              <w:rPr>
                <w:rFonts w:ascii="Cambria Math" w:hAnsi="Cambria Math" w:cstheme="minorHAnsi"/>
              </w:rPr>
              <m:t>2</m:t>
            </m:r>
          </m:sub>
        </m:sSub>
        <m:r>
          <m:rPr>
            <m:sty m:val="bi"/>
          </m:rPr>
          <w:rPr>
            <w:rFonts w:ascii="Cambria Math" w:hAnsi="Cambria Math" w:cstheme="minorHAnsi"/>
          </w:rPr>
          <m:t>+6</m:t>
        </m:r>
        <m:sSub>
          <m:sSubPr>
            <m:ctrlPr>
              <w:rPr>
                <w:rFonts w:ascii="Cambria Math" w:hAnsi="Cambria Math" w:cstheme="minorHAnsi"/>
                <w:b w:val="0"/>
                <w:i/>
                <w:szCs w:val="24"/>
              </w:rPr>
            </m:ctrlPr>
          </m:sSubPr>
          <m:e>
            <m:r>
              <m:rPr>
                <m:sty m:val="bi"/>
              </m:rPr>
              <w:rPr>
                <w:rFonts w:ascii="Cambria Math" w:hAnsi="Cambria Math" w:cstheme="minorHAnsi"/>
              </w:rPr>
              <m:t>H</m:t>
            </m:r>
          </m:e>
          <m:sub>
            <m:r>
              <m:rPr>
                <m:sty m:val="bi"/>
              </m:rPr>
              <w:rPr>
                <w:rFonts w:ascii="Cambria Math" w:hAnsi="Cambria Math" w:cstheme="minorHAnsi"/>
              </w:rPr>
              <m:t>2</m:t>
            </m:r>
          </m:sub>
        </m:sSub>
        <m:r>
          <m:rPr>
            <m:sty m:val="bi"/>
          </m:rPr>
          <w:rPr>
            <w:rFonts w:ascii="Cambria Math" w:hAnsi="Cambria Math" w:cstheme="minorHAnsi"/>
          </w:rPr>
          <m:t>O+Energy</m:t>
        </m:r>
      </m:oMath>
      <w:r w:rsidR="004E5F8E" w:rsidRPr="00C74803">
        <w:rPr>
          <w:rFonts w:cstheme="minorHAnsi"/>
        </w:rPr>
        <w:tab/>
        <w:t xml:space="preserve">                                                                  Equation 2</w:t>
      </w:r>
    </w:p>
    <w:p w14:paraId="3B6621BC" w14:textId="77777777" w:rsidR="004E5F8E" w:rsidRPr="00C74803" w:rsidRDefault="004E5F8E" w:rsidP="004E5F8E">
      <w:pPr>
        <w:rPr>
          <w:rFonts w:cstheme="minorHAnsi"/>
        </w:rPr>
      </w:pPr>
      <w:r w:rsidRPr="00C74803">
        <w:rPr>
          <w:rFonts w:cstheme="minorHAnsi"/>
        </w:rPr>
        <w:t xml:space="preserve">Metabolism rates vary on a seasonal basis and are affected by temperature, amount of organic carbon content, nutrient concentration, stream substrate, and hours of direct sunlight (Grace &amp; </w:t>
      </w:r>
      <w:proofErr w:type="spellStart"/>
      <w:r w:rsidRPr="00C74803">
        <w:rPr>
          <w:rFonts w:cstheme="minorHAnsi"/>
        </w:rPr>
        <w:t>Imberger</w:t>
      </w:r>
      <w:proofErr w:type="spellEnd"/>
      <w:r w:rsidRPr="00C74803">
        <w:rPr>
          <w:rFonts w:cstheme="minorHAnsi"/>
        </w:rPr>
        <w:t>, 2006). During the day,</w:t>
      </w:r>
      <w:r w:rsidRPr="00C74803" w:rsidDel="004E5F81">
        <w:rPr>
          <w:rFonts w:cstheme="minorHAnsi"/>
        </w:rPr>
        <w:t xml:space="preserve"> </w:t>
      </w:r>
      <w:r w:rsidRPr="00C74803">
        <w:rPr>
          <w:rFonts w:cstheme="minorHAnsi"/>
        </w:rPr>
        <w:t>oxygen is greater in all rivers and lakes due to the production of photosynthetic oxygen, whereas oxygen is lower at night (</w:t>
      </w:r>
      <w:proofErr w:type="spellStart"/>
      <w:r w:rsidRPr="00C74803">
        <w:rPr>
          <w:rFonts w:cstheme="minorHAnsi"/>
        </w:rPr>
        <w:t>Odum</w:t>
      </w:r>
      <w:proofErr w:type="spellEnd"/>
      <w:r w:rsidRPr="00C74803">
        <w:rPr>
          <w:rFonts w:cstheme="minorHAnsi"/>
        </w:rPr>
        <w:t xml:space="preserve">, 1956). Warmer temperatures and longer hours of sunlight increase the rates of primary production, while higher organic carbon loads and warmer temperatures can enhance rates of respiration (Roberts &amp; Mulholland, 2007). Overall, GPP and NPP are significantly higher under warmer and wetter conditions (Bernhardt et al., 2018). Rivers in forested and shady areas have lower rates of primary production compared to rivers exposed to direct sunlight because of low nutrient concentration and decreased amount of sunlight from shading. Enhanced rates of both primary production and ecosystem respiration can be harmful as it can result in algal blooms and anoxia (complete depletion of oxygen in the river), respectively. Both photosynthesis and respiration are important processes, and the biomass (food) produced by photosynthesis is consumed by invertebrates, which are then consumed by fish, and so on to maintain the food web (Figure 3). Therefore, stream metabolism is an important phenomenon to be monitored and understood as it is the backbone that maintains the functioning of the aquatic food web (Webb et al., 2019). </w:t>
      </w:r>
    </w:p>
    <w:p w14:paraId="141BF21C" w14:textId="77777777" w:rsidR="004E5F8E" w:rsidRDefault="004E5F8E" w:rsidP="004E5F8E">
      <w:pPr>
        <w:keepNext/>
        <w:tabs>
          <w:tab w:val="center" w:pos="4535"/>
          <w:tab w:val="left" w:pos="7810"/>
        </w:tabs>
        <w:jc w:val="center"/>
      </w:pPr>
      <w:r w:rsidRPr="007E2F7C">
        <w:rPr>
          <w:rFonts w:asciiTheme="majorBidi" w:hAnsiTheme="majorBidi" w:cstheme="majorBidi"/>
          <w:noProof/>
          <w:lang w:val="en-GB"/>
        </w:rPr>
        <w:drawing>
          <wp:inline distT="0" distB="0" distL="0" distR="0" wp14:anchorId="0C29FEBD" wp14:editId="30E95964">
            <wp:extent cx="3448050" cy="1679546"/>
            <wp:effectExtent l="0" t="0" r="0" b="0"/>
            <wp:docPr id="458" name="Picture 4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Diagram&#10;&#10;Description automatically generated"/>
                    <pic:cNvPicPr/>
                  </pic:nvPicPr>
                  <pic:blipFill>
                    <a:blip r:embed="rId178" cstate="email">
                      <a:extLst>
                        <a:ext uri="{28A0092B-C50C-407E-A947-70E740481C1C}">
                          <a14:useLocalDpi xmlns:a14="http://schemas.microsoft.com/office/drawing/2010/main"/>
                        </a:ext>
                      </a:extLst>
                    </a:blip>
                    <a:stretch>
                      <a:fillRect/>
                    </a:stretch>
                  </pic:blipFill>
                  <pic:spPr>
                    <a:xfrm>
                      <a:off x="0" y="0"/>
                      <a:ext cx="3448050" cy="1679546"/>
                    </a:xfrm>
                    <a:prstGeom prst="rect">
                      <a:avLst/>
                    </a:prstGeom>
                  </pic:spPr>
                </pic:pic>
              </a:graphicData>
            </a:graphic>
          </wp:inline>
        </w:drawing>
      </w:r>
    </w:p>
    <w:p w14:paraId="3997F9CF" w14:textId="19F73EDE" w:rsidR="004E5F8E" w:rsidRPr="009636EC" w:rsidRDefault="004E5F8E" w:rsidP="009636EC">
      <w:pPr>
        <w:pStyle w:val="Caption"/>
        <w:keepNext/>
      </w:pPr>
      <w:bookmarkStart w:id="818" w:name="_Ref73130912"/>
      <w:r>
        <w:t>Figure</w:t>
      </w:r>
      <w:bookmarkEnd w:id="818"/>
      <w:r>
        <w:t xml:space="preserve"> 3</w:t>
      </w:r>
      <w:r w:rsidRPr="009636EC">
        <w:t xml:space="preserve"> Relationship between photosynthesis and respiration to maintain the food web (Webb et al., 2019)</w:t>
      </w:r>
    </w:p>
    <w:p w14:paraId="165748E0" w14:textId="77777777" w:rsidR="004E5F8E" w:rsidRPr="00C74803" w:rsidRDefault="004E5F8E" w:rsidP="004E5F8E">
      <w:pPr>
        <w:rPr>
          <w:rFonts w:cstheme="minorHAnsi"/>
          <w:color w:val="000000" w:themeColor="text1"/>
        </w:rPr>
      </w:pPr>
      <w:r w:rsidRPr="00C74803">
        <w:rPr>
          <w:rFonts w:cstheme="minorHAnsi"/>
          <w:color w:val="000000" w:themeColor="text1"/>
          <w:highlight w:val="white"/>
        </w:rPr>
        <w:t>Total metabolism in the system is a combination of pelagic and benthic metabolism. Benthic metabolism occurs on hard surfaces in the river such as riverbed and bedrock, while pelagic metabolism occurs in the water column. Local organisms can primarily consume only the organic matter produced on the hard surfaces as the food produced in the water column is exported from the river system.</w:t>
      </w:r>
      <w:r w:rsidRPr="00C74803">
        <w:rPr>
          <w:rFonts w:cstheme="minorHAnsi"/>
          <w:color w:val="000000" w:themeColor="text1"/>
        </w:rPr>
        <w:t xml:space="preserve"> Therefore, benthic metabolism is responsible for fish (and other vertebrate) production in the river (Vadeboncoeur, Lodge, &amp; Carpenter, 2001). Understanding the separate contributions of both pelagic and benthic metabolisms is important when studying food production for organisms in the river (Vadeboncoeur et al., 2003). This is done by measuring the whole stream and one component of </w:t>
      </w:r>
      <w:proofErr w:type="gramStart"/>
      <w:r w:rsidRPr="00C74803">
        <w:rPr>
          <w:rFonts w:cstheme="minorHAnsi"/>
          <w:color w:val="000000" w:themeColor="text1"/>
        </w:rPr>
        <w:t>metabolism, and</w:t>
      </w:r>
      <w:proofErr w:type="gramEnd"/>
      <w:r w:rsidRPr="00C74803">
        <w:rPr>
          <w:rFonts w:cstheme="minorHAnsi"/>
          <w:color w:val="000000" w:themeColor="text1"/>
        </w:rPr>
        <w:t xml:space="preserve"> deducing the other component by the difference between the obtained measurements (Carpenter et al., 2005).</w:t>
      </w:r>
    </w:p>
    <w:p w14:paraId="2D938893" w14:textId="0772C11D" w:rsidR="004E5F8E" w:rsidRPr="00C74803" w:rsidRDefault="004E5F8E" w:rsidP="004E5F8E">
      <w:pPr>
        <w:ind w:left="578" w:hanging="578"/>
        <w:rPr>
          <w:rFonts w:cstheme="minorHAnsi"/>
          <w:b/>
          <w:sz w:val="24"/>
        </w:rPr>
      </w:pPr>
      <w:r w:rsidRPr="00C74803">
        <w:rPr>
          <w:rFonts w:cstheme="minorHAnsi"/>
          <w:b/>
          <w:sz w:val="24"/>
        </w:rPr>
        <w:t>2.2 Conceptual model</w:t>
      </w:r>
    </w:p>
    <w:p w14:paraId="0FEB4905" w14:textId="77777777" w:rsidR="004E5F8E" w:rsidRPr="00C74803" w:rsidRDefault="004E5F8E" w:rsidP="004E5F8E">
      <w:pPr>
        <w:rPr>
          <w:rFonts w:cstheme="minorHAnsi"/>
        </w:rPr>
      </w:pPr>
      <w:r w:rsidRPr="00C74803">
        <w:rPr>
          <w:rFonts w:cstheme="minorHAnsi"/>
        </w:rPr>
        <w:t xml:space="preserve">The flow chart in Figure 4 is the conceptual model framework governing the project. Stream metabolism is a combination of GPP, and ER as explained in section 2.1. Both these rates of metabolism are affected by dissolved oxygen (DO) and balanced by NPP. </w:t>
      </w:r>
      <w:r w:rsidRPr="00C74803">
        <w:rPr>
          <w:rFonts w:cstheme="minorHAnsi"/>
          <w:color w:val="000000" w:themeColor="text1"/>
        </w:rPr>
        <w:t>Light (Photosynthetic Active Radiation - PAR)</w:t>
      </w:r>
      <w:r w:rsidRPr="00C74803">
        <w:rPr>
          <w:rFonts w:cstheme="minorHAnsi"/>
        </w:rPr>
        <w:t>, DO, and temperature were measured in-situ, while nutrients and Chlorophyll a were measured in the laboratory. Rates of stream metabolism are</w:t>
      </w:r>
      <w:r w:rsidRPr="00C74803" w:rsidDel="00FE59DF">
        <w:rPr>
          <w:rFonts w:cstheme="minorHAnsi"/>
        </w:rPr>
        <w:t xml:space="preserve"> </w:t>
      </w:r>
      <w:r w:rsidRPr="00C74803">
        <w:rPr>
          <w:rFonts w:cstheme="minorHAnsi"/>
        </w:rPr>
        <w:t xml:space="preserve">also affected by confounding variables such as pH and turbidity. </w:t>
      </w:r>
    </w:p>
    <w:p w14:paraId="505D0195" w14:textId="58671B26" w:rsidR="004E5F8E" w:rsidRDefault="004E5F8E" w:rsidP="004E5F8E">
      <w:pPr>
        <w:keepNext/>
        <w:jc w:val="center"/>
      </w:pPr>
      <w:r w:rsidRPr="007E2F7C">
        <w:rPr>
          <w:rFonts w:asciiTheme="majorBidi" w:hAnsiTheme="majorBidi" w:cstheme="majorBidi"/>
          <w:noProof/>
          <w:lang w:val="en-GB"/>
        </w:rPr>
        <w:lastRenderedPageBreak/>
        <w:drawing>
          <wp:inline distT="0" distB="0" distL="0" distR="0" wp14:anchorId="2097DE2A" wp14:editId="3FF59D40">
            <wp:extent cx="4419600" cy="1988578"/>
            <wp:effectExtent l="0" t="0" r="0" b="0"/>
            <wp:docPr id="459" name="Picture 4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9" cstate="email">
                      <a:extLst>
                        <a:ext uri="{28A0092B-C50C-407E-A947-70E740481C1C}">
                          <a14:useLocalDpi xmlns:a14="http://schemas.microsoft.com/office/drawing/2010/main"/>
                        </a:ext>
                      </a:extLst>
                    </a:blip>
                    <a:stretch>
                      <a:fillRect/>
                    </a:stretch>
                  </pic:blipFill>
                  <pic:spPr>
                    <a:xfrm>
                      <a:off x="0" y="0"/>
                      <a:ext cx="4439162" cy="1997380"/>
                    </a:xfrm>
                    <a:prstGeom prst="rect">
                      <a:avLst/>
                    </a:prstGeom>
                  </pic:spPr>
                </pic:pic>
              </a:graphicData>
            </a:graphic>
          </wp:inline>
        </w:drawing>
      </w:r>
    </w:p>
    <w:p w14:paraId="1B1296E2" w14:textId="3D3381F2" w:rsidR="004E5F8E" w:rsidRPr="009636EC" w:rsidRDefault="004E5F8E" w:rsidP="009636EC">
      <w:pPr>
        <w:pStyle w:val="Caption"/>
        <w:keepNext/>
      </w:pPr>
      <w:bookmarkStart w:id="819" w:name="_Ref73130965"/>
      <w:r>
        <w:t xml:space="preserve">Figure </w:t>
      </w:r>
      <w:bookmarkEnd w:id="819"/>
      <w:r>
        <w:t>4</w:t>
      </w:r>
      <w:r w:rsidRPr="009636EC">
        <w:t xml:space="preserve"> Conceptual model</w:t>
      </w:r>
    </w:p>
    <w:p w14:paraId="33332934" w14:textId="068961B1" w:rsidR="004E5F8E" w:rsidRPr="00C74803" w:rsidRDefault="004E5F8E" w:rsidP="004E5F8E">
      <w:pPr>
        <w:ind w:left="578" w:hanging="578"/>
        <w:rPr>
          <w:rFonts w:cstheme="minorHAnsi"/>
          <w:b/>
          <w:sz w:val="24"/>
        </w:rPr>
      </w:pPr>
      <w:r w:rsidRPr="00C74803">
        <w:rPr>
          <w:rFonts w:cstheme="minorHAnsi"/>
          <w:b/>
          <w:sz w:val="24"/>
        </w:rPr>
        <w:t>2.3 Relationship between indicators</w:t>
      </w:r>
    </w:p>
    <w:p w14:paraId="4CC08635" w14:textId="77777777" w:rsidR="004E5F8E" w:rsidRPr="00C74803" w:rsidRDefault="004E5F8E" w:rsidP="004E5F8E">
      <w:pPr>
        <w:rPr>
          <w:rFonts w:cstheme="minorHAnsi"/>
          <w:color w:val="000000" w:themeColor="text1"/>
        </w:rPr>
      </w:pPr>
      <w:r w:rsidRPr="00C74803">
        <w:rPr>
          <w:rFonts w:cstheme="minorHAnsi"/>
          <w:color w:val="000000" w:themeColor="text1"/>
        </w:rPr>
        <w:t xml:space="preserve">Respiration and primary production are relatively independent from a modelling perspective. Ecosystem respiration is unaffected by light, and therefore light and dark respiration are assumed to be identical for monitoring and analysis (Grace &amp; </w:t>
      </w:r>
      <w:proofErr w:type="spellStart"/>
      <w:r w:rsidRPr="00C74803">
        <w:rPr>
          <w:rFonts w:cstheme="minorHAnsi"/>
          <w:color w:val="000000" w:themeColor="text1"/>
        </w:rPr>
        <w:t>Imberger</w:t>
      </w:r>
      <w:proofErr w:type="spellEnd"/>
      <w:r w:rsidRPr="00C74803">
        <w:rPr>
          <w:rFonts w:cstheme="minorHAnsi"/>
          <w:color w:val="000000" w:themeColor="text1"/>
        </w:rPr>
        <w:t xml:space="preserve">, 2006). Australian rivers are known for their turbidity due to the arid climate and sporadic vegetative cover which contribute to soil erosion. Light intensity in rivers is measured as a vertical gradient varying with depth, and the depth of water in which photosynthesis can occur is known as the euphotic depth (Khanna, </w:t>
      </w:r>
      <w:proofErr w:type="spellStart"/>
      <w:r w:rsidRPr="00C74803">
        <w:rPr>
          <w:rFonts w:cstheme="minorHAnsi"/>
          <w:color w:val="000000" w:themeColor="text1"/>
        </w:rPr>
        <w:t>Bhutiani</w:t>
      </w:r>
      <w:proofErr w:type="spellEnd"/>
      <w:r w:rsidRPr="00C74803">
        <w:rPr>
          <w:rFonts w:cstheme="minorHAnsi"/>
          <w:color w:val="000000" w:themeColor="text1"/>
        </w:rPr>
        <w:t xml:space="preserve">, &amp; Chandra, 2009). As </w:t>
      </w:r>
      <w:proofErr w:type="spellStart"/>
      <w:r w:rsidRPr="00C74803">
        <w:rPr>
          <w:rFonts w:cstheme="minorHAnsi"/>
          <w:color w:val="000000" w:themeColor="text1"/>
        </w:rPr>
        <w:t>suspensoids</w:t>
      </w:r>
      <w:proofErr w:type="spellEnd"/>
      <w:r w:rsidRPr="00C74803">
        <w:rPr>
          <w:rFonts w:cstheme="minorHAnsi"/>
          <w:color w:val="000000" w:themeColor="text1"/>
        </w:rPr>
        <w:t>, the small colloidal size soil particles which remain suspended due to Brownian motion and responsible for turbidity, absorb and scatter solar radiation, light intensity decreases with depth (Kirk, 1985). Therefore, the euphotic depth is reduced by turbidity, which in turn decreases primary production in rivers (</w:t>
      </w:r>
      <w:proofErr w:type="spellStart"/>
      <w:r w:rsidRPr="00C74803">
        <w:rPr>
          <w:rFonts w:cstheme="minorHAnsi"/>
          <w:color w:val="000000" w:themeColor="text1"/>
        </w:rPr>
        <w:t>Desortová</w:t>
      </w:r>
      <w:proofErr w:type="spellEnd"/>
      <w:r w:rsidRPr="00C74803">
        <w:rPr>
          <w:rFonts w:cstheme="minorHAnsi"/>
          <w:color w:val="000000" w:themeColor="text1"/>
        </w:rPr>
        <w:t xml:space="preserve">, 1981; Kirk, 1985). Algal growth can be linked to water quality parameters that drive primary production such as pH, total nitrogen (TN), total phosphorous (TP), temperature, and light intensity, </w:t>
      </w:r>
      <w:proofErr w:type="gramStart"/>
      <w:r w:rsidRPr="00C74803">
        <w:rPr>
          <w:rFonts w:cstheme="minorHAnsi"/>
          <w:color w:val="000000" w:themeColor="text1"/>
        </w:rPr>
        <w:t>and also</w:t>
      </w:r>
      <w:proofErr w:type="gramEnd"/>
      <w:r w:rsidRPr="00C74803">
        <w:rPr>
          <w:rFonts w:cstheme="minorHAnsi"/>
          <w:color w:val="000000" w:themeColor="text1"/>
        </w:rPr>
        <w:t xml:space="preserve"> DO which is an outcome of primary production (Scholz, 2015). However, Chlorophyll a is a measure of how much algae is present (Jayaweera &amp; Asaeda, 1995; Zhou, Yuan, </w:t>
      </w:r>
      <w:proofErr w:type="spellStart"/>
      <w:r w:rsidRPr="00C74803">
        <w:rPr>
          <w:rFonts w:cstheme="minorHAnsi"/>
          <w:color w:val="000000" w:themeColor="text1"/>
        </w:rPr>
        <w:t>Huo</w:t>
      </w:r>
      <w:proofErr w:type="spellEnd"/>
      <w:r w:rsidRPr="00C74803">
        <w:rPr>
          <w:rFonts w:cstheme="minorHAnsi"/>
          <w:color w:val="000000" w:themeColor="text1"/>
        </w:rPr>
        <w:t xml:space="preserve">, &amp; Yin, 2004). </w:t>
      </w:r>
      <w:r w:rsidRPr="00C74803">
        <w:rPr>
          <w:rFonts w:cstheme="minorHAnsi"/>
        </w:rPr>
        <w:t xml:space="preserve">High Chlorophyll a </w:t>
      </w:r>
      <w:proofErr w:type="gramStart"/>
      <w:r w:rsidRPr="00C74803">
        <w:rPr>
          <w:rFonts w:cstheme="minorHAnsi"/>
        </w:rPr>
        <w:t>levels</w:t>
      </w:r>
      <w:proofErr w:type="gramEnd"/>
      <w:r w:rsidRPr="00C74803">
        <w:rPr>
          <w:rFonts w:cstheme="minorHAnsi"/>
        </w:rPr>
        <w:t xml:space="preserve"> in the stream correlate to a high algal level and are an indication that a high amount of production is occurring within the water column itself</w:t>
      </w:r>
      <w:r w:rsidRPr="00C74803">
        <w:rPr>
          <w:rFonts w:cstheme="minorHAnsi"/>
          <w:color w:val="000000" w:themeColor="text1"/>
        </w:rPr>
        <w:t xml:space="preserve"> (Grace &amp; </w:t>
      </w:r>
      <w:proofErr w:type="spellStart"/>
      <w:r w:rsidRPr="00C74803">
        <w:rPr>
          <w:rFonts w:cstheme="minorHAnsi"/>
          <w:color w:val="000000" w:themeColor="text1"/>
        </w:rPr>
        <w:t>Imberger</w:t>
      </w:r>
      <w:proofErr w:type="spellEnd"/>
      <w:r w:rsidRPr="00C74803">
        <w:rPr>
          <w:rFonts w:cstheme="minorHAnsi"/>
          <w:color w:val="000000" w:themeColor="text1"/>
        </w:rPr>
        <w:t xml:space="preserve">, 2006). The availability of TN and TP limits the growth of algae, as nutrients are incorporated into new algal biomass (Grace &amp; </w:t>
      </w:r>
      <w:proofErr w:type="spellStart"/>
      <w:r w:rsidRPr="00C74803">
        <w:rPr>
          <w:rFonts w:cstheme="minorHAnsi"/>
          <w:color w:val="000000" w:themeColor="text1"/>
        </w:rPr>
        <w:t>Imberger</w:t>
      </w:r>
      <w:proofErr w:type="spellEnd"/>
      <w:r w:rsidRPr="00C74803">
        <w:rPr>
          <w:rFonts w:cstheme="minorHAnsi"/>
          <w:color w:val="000000" w:themeColor="text1"/>
        </w:rPr>
        <w:t xml:space="preserve">, 2006; </w:t>
      </w:r>
      <w:proofErr w:type="spellStart"/>
      <w:r w:rsidRPr="00C74803">
        <w:rPr>
          <w:rFonts w:cstheme="minorHAnsi"/>
          <w:color w:val="000000" w:themeColor="text1"/>
        </w:rPr>
        <w:t>Hecky</w:t>
      </w:r>
      <w:proofErr w:type="spellEnd"/>
      <w:r w:rsidRPr="00C74803">
        <w:rPr>
          <w:rFonts w:cstheme="minorHAnsi"/>
          <w:color w:val="000000" w:themeColor="text1"/>
        </w:rPr>
        <w:t xml:space="preserve"> &amp; </w:t>
      </w:r>
      <w:proofErr w:type="spellStart"/>
      <w:r w:rsidRPr="00C74803">
        <w:rPr>
          <w:rFonts w:cstheme="minorHAnsi"/>
          <w:color w:val="000000" w:themeColor="text1"/>
        </w:rPr>
        <w:t>Kilham</w:t>
      </w:r>
      <w:proofErr w:type="spellEnd"/>
      <w:r w:rsidRPr="00C74803">
        <w:rPr>
          <w:rFonts w:cstheme="minorHAnsi"/>
          <w:color w:val="000000" w:themeColor="text1"/>
        </w:rPr>
        <w:t>, 1988). In reference to Equation 1 and Equation 2, CO</w:t>
      </w:r>
      <w:r w:rsidRPr="00C74803">
        <w:rPr>
          <w:rFonts w:cstheme="minorHAnsi"/>
          <w:color w:val="000000" w:themeColor="text1"/>
          <w:vertAlign w:val="subscript"/>
        </w:rPr>
        <w:t>2</w:t>
      </w:r>
      <w:r w:rsidRPr="00C74803">
        <w:rPr>
          <w:rFonts w:cstheme="minorHAnsi"/>
          <w:color w:val="000000" w:themeColor="text1"/>
        </w:rPr>
        <w:t xml:space="preserve"> is absorbed during photosynthesis and released during respiration. This results in an increase in pH when CO</w:t>
      </w:r>
      <w:r w:rsidRPr="00C74803">
        <w:rPr>
          <w:rFonts w:cstheme="minorHAnsi"/>
          <w:color w:val="000000" w:themeColor="text1"/>
          <w:vertAlign w:val="subscript"/>
        </w:rPr>
        <w:t>2</w:t>
      </w:r>
      <w:r w:rsidRPr="00C74803">
        <w:rPr>
          <w:rFonts w:cstheme="minorHAnsi"/>
          <w:color w:val="000000" w:themeColor="text1"/>
        </w:rPr>
        <w:t xml:space="preserve"> decreases during primary production, and vice versa during respiration. Algal</w:t>
      </w:r>
      <w:r w:rsidRPr="00C74803" w:rsidDel="00095EE0">
        <w:rPr>
          <w:rFonts w:cstheme="minorHAnsi"/>
          <w:color w:val="000000" w:themeColor="text1"/>
        </w:rPr>
        <w:t xml:space="preserve"> </w:t>
      </w:r>
      <w:r w:rsidRPr="00C74803">
        <w:rPr>
          <w:rFonts w:cstheme="minorHAnsi"/>
          <w:color w:val="000000" w:themeColor="text1"/>
        </w:rPr>
        <w:t>decomposition release CO</w:t>
      </w:r>
      <w:r w:rsidRPr="00C74803">
        <w:rPr>
          <w:rFonts w:cstheme="minorHAnsi"/>
          <w:color w:val="000000" w:themeColor="text1"/>
          <w:vertAlign w:val="subscript"/>
        </w:rPr>
        <w:t>2</w:t>
      </w:r>
      <w:r w:rsidRPr="00C74803">
        <w:rPr>
          <w:rFonts w:cstheme="minorHAnsi"/>
          <w:color w:val="000000" w:themeColor="text1"/>
        </w:rPr>
        <w:t>, which can also reduce the pH (Zang et al., 2011). pH and DO are influenced by photosynthesis and respiration (Scholz, 2015), and a link between the production and consumption of CO</w:t>
      </w:r>
      <w:r w:rsidRPr="00C74803">
        <w:rPr>
          <w:rFonts w:cstheme="minorHAnsi"/>
          <w:color w:val="000000" w:themeColor="text1"/>
          <w:vertAlign w:val="subscript"/>
        </w:rPr>
        <w:t>2</w:t>
      </w:r>
      <w:r w:rsidRPr="00C74803">
        <w:rPr>
          <w:rFonts w:cstheme="minorHAnsi"/>
          <w:color w:val="000000" w:themeColor="text1"/>
        </w:rPr>
        <w:t xml:space="preserve"> and oxygen has been observed (Zang et al., 2011). Figure 5 is a graphical interpretation of the interaction between the various indicators with </w:t>
      </w:r>
      <w:r w:rsidRPr="00C74803">
        <w:rPr>
          <w:rFonts w:cstheme="minorHAnsi"/>
        </w:rPr>
        <w:t>(1) Light reaction with nutrients; (2) Relationship between Chlorophyll-a, and algal growth; and (3) Euphotic depth affected by light.</w:t>
      </w:r>
    </w:p>
    <w:p w14:paraId="10E982B0" w14:textId="5F757174" w:rsidR="004E5F8E" w:rsidRDefault="004E5F8E" w:rsidP="004E5F8E">
      <w:pPr>
        <w:keepNext/>
        <w:jc w:val="center"/>
      </w:pPr>
      <w:r w:rsidRPr="007E2F7C">
        <w:rPr>
          <w:rFonts w:asciiTheme="majorBidi" w:hAnsiTheme="majorBidi" w:cstheme="majorBidi"/>
          <w:noProof/>
          <w:lang w:val="en-GB"/>
        </w:rPr>
        <w:lastRenderedPageBreak/>
        <w:drawing>
          <wp:inline distT="0" distB="0" distL="0" distR="0" wp14:anchorId="1BE38697" wp14:editId="64710EAC">
            <wp:extent cx="3878580" cy="2584577"/>
            <wp:effectExtent l="0" t="0" r="7620" b="6350"/>
            <wp:docPr id="460" name="Picture 46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Diagram&#10;&#10;Description automatically generated with medium confidence"/>
                    <pic:cNvPicPr/>
                  </pic:nvPicPr>
                  <pic:blipFill>
                    <a:blip r:embed="rId180" cstate="email">
                      <a:extLst>
                        <a:ext uri="{28A0092B-C50C-407E-A947-70E740481C1C}">
                          <a14:useLocalDpi xmlns:a14="http://schemas.microsoft.com/office/drawing/2010/main"/>
                        </a:ext>
                      </a:extLst>
                    </a:blip>
                    <a:stretch>
                      <a:fillRect/>
                    </a:stretch>
                  </pic:blipFill>
                  <pic:spPr>
                    <a:xfrm>
                      <a:off x="0" y="0"/>
                      <a:ext cx="3895908" cy="2596124"/>
                    </a:xfrm>
                    <a:prstGeom prst="rect">
                      <a:avLst/>
                    </a:prstGeom>
                  </pic:spPr>
                </pic:pic>
              </a:graphicData>
            </a:graphic>
          </wp:inline>
        </w:drawing>
      </w:r>
    </w:p>
    <w:p w14:paraId="69474ED6" w14:textId="7C0CFCB3" w:rsidR="004E5F8E" w:rsidRPr="009636EC" w:rsidRDefault="004E5F8E" w:rsidP="009636EC">
      <w:pPr>
        <w:pStyle w:val="Caption"/>
        <w:keepNext/>
      </w:pPr>
      <w:bookmarkStart w:id="820" w:name="_Ref73131011"/>
      <w:r>
        <w:t>Figure</w:t>
      </w:r>
      <w:bookmarkEnd w:id="820"/>
      <w:r>
        <w:t xml:space="preserve"> 5</w:t>
      </w:r>
      <w:r w:rsidRPr="009636EC">
        <w:t xml:space="preserve"> Interaction diagram indicating (1) Light reaction with nutrients; (2) Relationship between Chlorophyll a, and algal growth; (3) Euphotic depth affected by light.</w:t>
      </w:r>
    </w:p>
    <w:p w14:paraId="30A70CF4" w14:textId="77777777" w:rsidR="004E5F8E" w:rsidRPr="00C74803" w:rsidRDefault="004E5F8E" w:rsidP="004E5F8E">
      <w:pPr>
        <w:rPr>
          <w:rFonts w:cstheme="minorHAnsi"/>
          <w:lang w:val="en-US"/>
        </w:rPr>
      </w:pPr>
    </w:p>
    <w:p w14:paraId="6FA84AB8" w14:textId="77777777" w:rsidR="004E5F8E" w:rsidRPr="00C74803" w:rsidRDefault="004E5F8E" w:rsidP="00DE6E94">
      <w:pPr>
        <w:pStyle w:val="ListParagraph"/>
        <w:numPr>
          <w:ilvl w:val="0"/>
          <w:numId w:val="93"/>
        </w:numPr>
        <w:spacing w:before="120" w:after="20" w:line="240" w:lineRule="atLeast"/>
        <w:ind w:left="357" w:hanging="357"/>
        <w:contextualSpacing/>
        <w:jc w:val="left"/>
        <w:rPr>
          <w:rFonts w:cstheme="minorHAnsi"/>
          <w:b/>
          <w:sz w:val="28"/>
          <w:szCs w:val="28"/>
        </w:rPr>
      </w:pPr>
      <w:r w:rsidRPr="00C74803">
        <w:rPr>
          <w:rFonts w:cstheme="minorHAnsi"/>
          <w:b/>
          <w:sz w:val="28"/>
          <w:szCs w:val="28"/>
        </w:rPr>
        <w:t>Methods and Resources</w:t>
      </w:r>
    </w:p>
    <w:p w14:paraId="26477306" w14:textId="378E6B26" w:rsidR="004E5F8E" w:rsidRPr="00C74803" w:rsidRDefault="004E5F8E" w:rsidP="004E5F8E">
      <w:pPr>
        <w:ind w:left="578" w:hanging="578"/>
        <w:rPr>
          <w:rFonts w:cstheme="minorHAnsi"/>
          <w:b/>
          <w:sz w:val="24"/>
        </w:rPr>
      </w:pPr>
      <w:r w:rsidRPr="00C74803">
        <w:rPr>
          <w:rFonts w:cstheme="minorHAnsi"/>
          <w:b/>
          <w:sz w:val="24"/>
        </w:rPr>
        <w:t>3.1 Methodology and methods</w:t>
      </w:r>
    </w:p>
    <w:p w14:paraId="1E148287" w14:textId="77777777" w:rsidR="004E5F8E" w:rsidRPr="00C74803" w:rsidRDefault="004E5F8E" w:rsidP="004E5F8E">
      <w:pPr>
        <w:rPr>
          <w:rFonts w:cstheme="minorHAnsi"/>
        </w:rPr>
      </w:pPr>
      <w:r w:rsidRPr="00C74803">
        <w:rPr>
          <w:rFonts w:cstheme="minorHAnsi"/>
        </w:rPr>
        <w:t xml:space="preserve">We reviewed the literature on stream metabolism and the ongoing MER Program on the Goulburn River to determine methods for this project. Before the field trips, the YSI multiprobe PRODSS was calibrated for DO, conductivity, pH, and turbidity for onsite measurements. </w:t>
      </w:r>
      <w:r w:rsidRPr="00C74803">
        <w:rPr>
          <w:rFonts w:eastAsia="SimSun" w:cstheme="minorHAnsi"/>
          <w:lang w:val="en"/>
        </w:rPr>
        <w:t xml:space="preserve">A total of seven field trips were conducted across the Australian summer-autumn period, at a frequency of approximately two weeks depending on coronavirus restrictions. The field trips dates were December 22 &amp; 23 2020, January 11 &amp; 12, January 27 &amp;28, February 8 &amp; 9, February 28 &amp; March 1, March 14 &amp; 15, and April 7 &amp; 8 2021. The water samples were sent to the NATA-accredited Water Studies Centre laboratory at Monash University for analysis of nutrient and chlorophyll levels. </w:t>
      </w:r>
    </w:p>
    <w:p w14:paraId="13E02440" w14:textId="77777777" w:rsidR="004E5F8E" w:rsidRPr="00C74803" w:rsidRDefault="004E5F8E" w:rsidP="004E5F8E">
      <w:pPr>
        <w:rPr>
          <w:rFonts w:cstheme="minorHAnsi"/>
          <w:color w:val="333333"/>
        </w:rPr>
      </w:pPr>
      <w:r w:rsidRPr="00C74803">
        <w:rPr>
          <w:rFonts w:cstheme="minorHAnsi"/>
        </w:rPr>
        <w:t xml:space="preserve">The chosen method for determining GPP and ER is the light and dark bottle method (Grace &amp; </w:t>
      </w:r>
      <w:proofErr w:type="spellStart"/>
      <w:r w:rsidRPr="00C74803">
        <w:rPr>
          <w:rFonts w:cstheme="minorHAnsi"/>
        </w:rPr>
        <w:t>Imberger</w:t>
      </w:r>
      <w:proofErr w:type="spellEnd"/>
      <w:r w:rsidRPr="00C74803">
        <w:rPr>
          <w:rFonts w:cstheme="minorHAnsi"/>
        </w:rPr>
        <w:t xml:space="preserve">, 2006). In this simple and cheap in-situ method, water samples are collected in transparent (light) and opaque (dark) bottles. </w:t>
      </w:r>
      <w:r w:rsidRPr="00C74803">
        <w:rPr>
          <w:rFonts w:cstheme="minorHAnsi"/>
          <w:color w:val="333333"/>
          <w:highlight w:val="white"/>
        </w:rPr>
        <w:t>The bottles are then suspended at different depths in the water column (Figure 6) to understand the effect of light penetration on photosynthesis through measuring the concentration of dissolved oxygen. The water column DO is measured before deployment and the bottle DO is measured after deployment to identify the change in DO at various depths. From the DO change in the dark bottles, we can identify the respiration rate, while the light bottles show both respiration and photosynthesis</w:t>
      </w:r>
      <w:r w:rsidRPr="00C74803">
        <w:rPr>
          <w:rFonts w:cstheme="minorHAnsi"/>
          <w:color w:val="333333"/>
        </w:rPr>
        <w:t xml:space="preserve"> (Grace &amp; </w:t>
      </w:r>
      <w:proofErr w:type="spellStart"/>
      <w:r w:rsidRPr="00C74803">
        <w:rPr>
          <w:rFonts w:cstheme="minorHAnsi"/>
          <w:color w:val="333333"/>
        </w:rPr>
        <w:t>Imberger</w:t>
      </w:r>
      <w:proofErr w:type="spellEnd"/>
      <w:r w:rsidRPr="00C74803">
        <w:rPr>
          <w:rFonts w:cstheme="minorHAnsi"/>
          <w:color w:val="333333"/>
        </w:rPr>
        <w:t xml:space="preserve">, 2006). </w:t>
      </w:r>
    </w:p>
    <w:p w14:paraId="18DB6F5D" w14:textId="6DB15BE1" w:rsidR="004E5F8E" w:rsidRPr="00C74803" w:rsidRDefault="004E5F8E" w:rsidP="004E5F8E">
      <w:pPr>
        <w:keepNext/>
        <w:jc w:val="center"/>
        <w:rPr>
          <w:rFonts w:cstheme="minorHAnsi"/>
        </w:rPr>
      </w:pPr>
      <w:r w:rsidRPr="00C74803">
        <w:rPr>
          <w:rFonts w:cstheme="minorHAnsi"/>
          <w:noProof/>
          <w:color w:val="333333"/>
          <w:lang w:val="en-GB"/>
        </w:rPr>
        <w:drawing>
          <wp:inline distT="0" distB="0" distL="0" distR="0" wp14:anchorId="1212A4DC" wp14:editId="59B075AB">
            <wp:extent cx="5494020" cy="1839089"/>
            <wp:effectExtent l="0" t="0" r="0" b="8890"/>
            <wp:docPr id="461" name="Picture 46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10;&#10;Description automatically generated"/>
                    <pic:cNvPicPr/>
                  </pic:nvPicPr>
                  <pic:blipFill rotWithShape="1">
                    <a:blip r:embed="rId181" cstate="email">
                      <a:extLst>
                        <a:ext uri="{28A0092B-C50C-407E-A947-70E740481C1C}">
                          <a14:useLocalDpi xmlns:a14="http://schemas.microsoft.com/office/drawing/2010/main"/>
                        </a:ext>
                      </a:extLst>
                    </a:blip>
                    <a:srcRect/>
                    <a:stretch/>
                  </pic:blipFill>
                  <pic:spPr bwMode="auto">
                    <a:xfrm>
                      <a:off x="0" y="0"/>
                      <a:ext cx="5494883" cy="1839378"/>
                    </a:xfrm>
                    <a:prstGeom prst="rect">
                      <a:avLst/>
                    </a:prstGeom>
                    <a:ln>
                      <a:noFill/>
                    </a:ln>
                    <a:extLst>
                      <a:ext uri="{53640926-AAD7-44D8-BBD7-CCE9431645EC}">
                        <a14:shadowObscured xmlns:a14="http://schemas.microsoft.com/office/drawing/2010/main"/>
                      </a:ext>
                    </a:extLst>
                  </pic:spPr>
                </pic:pic>
              </a:graphicData>
            </a:graphic>
          </wp:inline>
        </w:drawing>
      </w:r>
    </w:p>
    <w:p w14:paraId="354BFA88" w14:textId="19474C6D" w:rsidR="004E5F8E" w:rsidRPr="009636EC" w:rsidRDefault="004E5F8E" w:rsidP="009636EC">
      <w:pPr>
        <w:pStyle w:val="Caption"/>
        <w:keepNext/>
      </w:pPr>
      <w:bookmarkStart w:id="821" w:name="_Ref73131131"/>
      <w:r>
        <w:t>Figure</w:t>
      </w:r>
      <w:bookmarkEnd w:id="821"/>
      <w:r>
        <w:t xml:space="preserve"> 6</w:t>
      </w:r>
      <w:r w:rsidRPr="009636EC">
        <w:t xml:space="preserve"> Diagram of the bottle chains setup in the river</w:t>
      </w:r>
    </w:p>
    <w:p w14:paraId="3ED712A4" w14:textId="481EC717" w:rsidR="004E5F8E" w:rsidRPr="00C74803" w:rsidRDefault="004E5F8E" w:rsidP="004E5F8E">
      <w:pPr>
        <w:ind w:left="578" w:hanging="578"/>
        <w:rPr>
          <w:rFonts w:cstheme="minorHAnsi"/>
          <w:b/>
          <w:sz w:val="24"/>
        </w:rPr>
      </w:pPr>
      <w:r w:rsidRPr="00C74803">
        <w:rPr>
          <w:rFonts w:cstheme="minorHAnsi"/>
          <w:b/>
          <w:sz w:val="24"/>
        </w:rPr>
        <w:t>3.2 Sampling protocol</w:t>
      </w:r>
    </w:p>
    <w:p w14:paraId="5BF2F23F" w14:textId="77777777" w:rsidR="004E5F8E" w:rsidRPr="00C74803" w:rsidRDefault="004E5F8E" w:rsidP="004E5F8E">
      <w:pPr>
        <w:rPr>
          <w:rFonts w:eastAsia="SimSun" w:cstheme="minorHAnsi"/>
          <w:lang w:val="en"/>
        </w:rPr>
      </w:pPr>
      <w:r w:rsidRPr="00C74803">
        <w:rPr>
          <w:rFonts w:eastAsia="SimSun" w:cstheme="minorHAnsi"/>
          <w:lang w:val="en"/>
        </w:rPr>
        <w:t xml:space="preserve">Using a plastic bottomed kayak, light (clear) and dark (opaque) bottles were filled using surface water from the middle of the river. Three identical bottle chains were formed with the light bottles suspended at the surface and depths of 1m and </w:t>
      </w:r>
      <w:r w:rsidRPr="00C74803">
        <w:rPr>
          <w:rFonts w:eastAsia="SimSun" w:cstheme="minorHAnsi"/>
          <w:lang w:val="en"/>
        </w:rPr>
        <w:lastRenderedPageBreak/>
        <w:t xml:space="preserve">2m, and one dark bottle (the bottle was wrapped with gaffer tape) attached to the chain at the bottom (Figure 6). A buoy was attached to the bottle chains to keep it afloat, and a 2-kg weight was suspended at the bottom to prevent the chains from moving. Three light and temperature loggers (HOBO MX2202 Temp/Light) were attached to one bottle chain at the same depths as the light bottles. The loggers were connected via Bluetooth to a smartphone application called </w:t>
      </w:r>
      <w:proofErr w:type="spellStart"/>
      <w:r w:rsidRPr="00C74803">
        <w:rPr>
          <w:rFonts w:eastAsia="SimSun" w:cstheme="minorHAnsi"/>
          <w:lang w:val="en"/>
        </w:rPr>
        <w:t>HOBOconnect</w:t>
      </w:r>
      <w:proofErr w:type="spellEnd"/>
      <w:r w:rsidRPr="00C74803">
        <w:rPr>
          <w:rFonts w:eastAsia="SimSun" w:cstheme="minorHAnsi"/>
          <w:lang w:val="en"/>
        </w:rPr>
        <w:t xml:space="preserve"> (Figure 7). These bottle chains along with the loggers were then lowered into the water (Figure 8) with the exact time noted, ensuring that the bottle chains were not close enough that they block light from one another. The bottle chains were left in the water column for a minimum of an hour and thirty minutes (Figure 9).</w:t>
      </w:r>
    </w:p>
    <w:p w14:paraId="12443E78" w14:textId="77777777" w:rsidR="004E5F8E" w:rsidRPr="00C74803" w:rsidRDefault="004E5F8E" w:rsidP="004E5F8E">
      <w:pPr>
        <w:rPr>
          <w:rFonts w:eastAsia="SimSun" w:cstheme="minorHAnsi"/>
          <w:lang w:val="en"/>
        </w:rPr>
      </w:pPr>
      <w:r w:rsidRPr="00C74803">
        <w:rPr>
          <w:rFonts w:eastAsia="SimSun" w:cstheme="minorHAnsi"/>
          <w:lang w:val="en"/>
        </w:rPr>
        <w:t xml:space="preserve">From the same section of the river, a YSI multiprobe </w:t>
      </w:r>
      <w:proofErr w:type="spellStart"/>
      <w:r w:rsidRPr="00C74803">
        <w:rPr>
          <w:rFonts w:eastAsia="SimSun" w:cstheme="minorHAnsi"/>
          <w:lang w:val="en"/>
        </w:rPr>
        <w:t>ProDSS</w:t>
      </w:r>
      <w:proofErr w:type="spellEnd"/>
      <w:r w:rsidRPr="00C74803">
        <w:rPr>
          <w:rFonts w:eastAsia="SimSun" w:cstheme="minorHAnsi"/>
          <w:lang w:val="en"/>
        </w:rPr>
        <w:t xml:space="preserve"> was used to determine the temperature, turbidity, conductivity, pH, and dissolved oxygen levels. </w:t>
      </w:r>
    </w:p>
    <w:p w14:paraId="5F1D446E" w14:textId="77777777" w:rsidR="004E5F8E" w:rsidRPr="00C74803" w:rsidRDefault="004E5F8E" w:rsidP="004E5F8E">
      <w:pPr>
        <w:rPr>
          <w:rFonts w:eastAsia="SimSun" w:cstheme="minorHAnsi"/>
          <w:lang w:val="en"/>
        </w:rPr>
      </w:pPr>
      <w:r w:rsidRPr="00C74803">
        <w:rPr>
          <w:rFonts w:eastAsia="SimSun" w:cstheme="minorHAnsi"/>
          <w:lang w:val="en"/>
        </w:rPr>
        <w:t>A sample of water was taken for chlorophyll analysis after rinsing a bucket with the same water. While waiting for the bottle chains to complete their incubation period, a syringe was used to filter approximately 800 ml (a minimum of 600ml can be used but the exact amount must be recorded) of the water sample through a 0.7-micron filter paper (Figure 10). The filter paper with the residue was wrapped in Aluminum foil and stored in a cooler to be sent for lab analysis of Chlorophyll a level.</w:t>
      </w:r>
    </w:p>
    <w:p w14:paraId="00D70AB4" w14:textId="77777777" w:rsidR="004E5F8E" w:rsidRPr="00C74803" w:rsidRDefault="004E5F8E" w:rsidP="004E5F8E">
      <w:pPr>
        <w:rPr>
          <w:rFonts w:eastAsia="SimSun" w:cstheme="minorHAnsi"/>
          <w:lang w:val="en"/>
        </w:rPr>
      </w:pPr>
      <w:r w:rsidRPr="00C74803">
        <w:rPr>
          <w:rFonts w:eastAsia="SimSun" w:cstheme="minorHAnsi"/>
          <w:lang w:val="en"/>
        </w:rPr>
        <w:t>The bottle chains were retrieved from the river after an hour and thirty minutes and the exact time of removal was recorded for each bottle chain. The dissolved oxygen level in each bottle was measured using the thin DO YSI Probe (Figure 11) and 80ml of water sample from five bottles in the bottle chain was filtered through a 0.2-micron filter paper into five 65 ml clear plastic bottles (Figure 12) separately. The bottles were stored in the</w:t>
      </w:r>
      <w:r w:rsidRPr="00C74803" w:rsidDel="00095EE0">
        <w:rPr>
          <w:rFonts w:eastAsia="SimSun" w:cstheme="minorHAnsi"/>
          <w:lang w:val="en"/>
        </w:rPr>
        <w:t xml:space="preserve"> </w:t>
      </w:r>
      <w:r w:rsidRPr="00C74803">
        <w:rPr>
          <w:rFonts w:eastAsia="SimSun" w:cstheme="minorHAnsi"/>
          <w:lang w:val="en"/>
        </w:rPr>
        <w:t>cooler with ice</w:t>
      </w:r>
      <w:r w:rsidRPr="00C74803" w:rsidDel="00095EE0">
        <w:rPr>
          <w:rFonts w:eastAsia="SimSun" w:cstheme="minorHAnsi"/>
          <w:lang w:val="en"/>
        </w:rPr>
        <w:t>,</w:t>
      </w:r>
      <w:r w:rsidRPr="00C74803">
        <w:rPr>
          <w:rFonts w:eastAsia="SimSun" w:cstheme="minorHAnsi"/>
          <w:lang w:val="en"/>
        </w:rPr>
        <w:t xml:space="preserve"> to be taken back to the lab for nutrient level analysis.</w:t>
      </w:r>
    </w:p>
    <w:p w14:paraId="3D278E85" w14:textId="733A26CC" w:rsidR="004E5F8E" w:rsidRPr="00C74803" w:rsidRDefault="004E5F8E" w:rsidP="004E5F8E">
      <w:pPr>
        <w:rPr>
          <w:rFonts w:eastAsia="SimSun" w:cstheme="minorHAnsi"/>
          <w:lang w:val="en"/>
        </w:rPr>
      </w:pPr>
      <w:r w:rsidRPr="00C74803">
        <w:rPr>
          <w:rFonts w:eastAsia="SimSun" w:cstheme="minorHAnsi"/>
          <w:lang w:val="en"/>
        </w:rPr>
        <w:t xml:space="preserve">The same process was repeated at every location and for every field trip. </w:t>
      </w:r>
    </w:p>
    <w:tbl>
      <w:tblPr>
        <w:tblStyle w:val="TableGrid"/>
        <w:tblW w:w="0" w:type="auto"/>
        <w:jc w:val="center"/>
        <w:tblLook w:val="04A0" w:firstRow="1" w:lastRow="0" w:firstColumn="1" w:lastColumn="0" w:noHBand="0" w:noVBand="1"/>
      </w:tblPr>
      <w:tblGrid>
        <w:gridCol w:w="6082"/>
        <w:gridCol w:w="3292"/>
      </w:tblGrid>
      <w:tr w:rsidR="00C87E21" w:rsidRPr="00C87E21" w14:paraId="507F5917" w14:textId="77777777" w:rsidTr="0056720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61" w:type="dxa"/>
            <w:shd w:val="clear" w:color="auto" w:fill="auto"/>
          </w:tcPr>
          <w:p w14:paraId="7E29BFA1" w14:textId="77777777" w:rsidR="004E5F8E" w:rsidRPr="00C87E21" w:rsidRDefault="004E5F8E" w:rsidP="002460B7">
            <w:pPr>
              <w:keepNext/>
              <w:rPr>
                <w:color w:val="auto"/>
              </w:rPr>
            </w:pPr>
            <w:r w:rsidRPr="00C87E21">
              <w:rPr>
                <w:rFonts w:asciiTheme="majorBidi" w:eastAsia="SimSun" w:hAnsiTheme="majorBidi" w:cstheme="majorBidi"/>
                <w:noProof/>
                <w:lang w:val="en-GB"/>
              </w:rPr>
              <w:drawing>
                <wp:inline distT="0" distB="0" distL="0" distR="0" wp14:anchorId="13C03E3B" wp14:editId="316A9D8C">
                  <wp:extent cx="3770415" cy="2120910"/>
                  <wp:effectExtent l="0" t="0" r="1905" b="0"/>
                  <wp:docPr id="462" name="Picture 462" descr="A picture containing water, boat, outdoor, wate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water, boat, outdoor, watercraft&#10;&#10;Description automatically generated"/>
                          <pic:cNvPicPr/>
                        </pic:nvPicPr>
                        <pic:blipFill>
                          <a:blip r:embed="rId182" cstate="email">
                            <a:extLst>
                              <a:ext uri="{28A0092B-C50C-407E-A947-70E740481C1C}">
                                <a14:useLocalDpi xmlns:a14="http://schemas.microsoft.com/office/drawing/2010/main"/>
                              </a:ext>
                            </a:extLst>
                          </a:blip>
                          <a:stretch>
                            <a:fillRect/>
                          </a:stretch>
                        </pic:blipFill>
                        <pic:spPr>
                          <a:xfrm>
                            <a:off x="0" y="0"/>
                            <a:ext cx="3833623" cy="2156465"/>
                          </a:xfrm>
                          <a:prstGeom prst="rect">
                            <a:avLst/>
                          </a:prstGeom>
                        </pic:spPr>
                      </pic:pic>
                    </a:graphicData>
                  </a:graphic>
                </wp:inline>
              </w:drawing>
            </w:r>
          </w:p>
          <w:p w14:paraId="22A98CFC" w14:textId="5F4BAC91" w:rsidR="004E5F8E" w:rsidRPr="00C87E21" w:rsidRDefault="004E5F8E" w:rsidP="002460B7">
            <w:pPr>
              <w:pStyle w:val="Caption"/>
              <w:rPr>
                <w:rFonts w:asciiTheme="majorBidi" w:eastAsia="SimSun" w:hAnsiTheme="majorBidi" w:cstheme="majorBidi"/>
                <w:b/>
                <w:color w:val="auto"/>
                <w:lang w:val="en"/>
              </w:rPr>
            </w:pPr>
            <w:bookmarkStart w:id="822" w:name="_Ref73131298"/>
            <w:r w:rsidRPr="00C87E21">
              <w:rPr>
                <w:b/>
                <w:color w:val="auto"/>
              </w:rPr>
              <w:t>Figure</w:t>
            </w:r>
            <w:bookmarkEnd w:id="822"/>
            <w:r w:rsidRPr="00C87E21">
              <w:rPr>
                <w:b/>
                <w:color w:val="auto"/>
              </w:rPr>
              <w:t xml:space="preserve"> 7 Connecting HOBO loggers via Bluetooth to a smartphone to take light and temperature measurements.</w:t>
            </w:r>
          </w:p>
        </w:tc>
        <w:tc>
          <w:tcPr>
            <w:tcW w:w="3209" w:type="dxa"/>
            <w:shd w:val="clear" w:color="auto" w:fill="auto"/>
          </w:tcPr>
          <w:p w14:paraId="5D925F02" w14:textId="77777777" w:rsidR="004E5F8E" w:rsidRPr="00C87E21" w:rsidRDefault="004E5F8E" w:rsidP="002460B7">
            <w:pPr>
              <w:keepNext/>
              <w:cnfStyle w:val="100000000000" w:firstRow="1" w:lastRow="0" w:firstColumn="0" w:lastColumn="0" w:oddVBand="0" w:evenVBand="0" w:oddHBand="0" w:evenHBand="0" w:firstRowFirstColumn="0" w:firstRowLastColumn="0" w:lastRowFirstColumn="0" w:lastRowLastColumn="0"/>
              <w:rPr>
                <w:color w:val="auto"/>
              </w:rPr>
            </w:pPr>
            <w:r w:rsidRPr="00C87E21">
              <w:rPr>
                <w:rFonts w:asciiTheme="majorBidi" w:eastAsia="SimSun" w:hAnsiTheme="majorBidi" w:cstheme="majorBidi"/>
                <w:noProof/>
                <w:lang w:val="en-GB"/>
              </w:rPr>
              <w:drawing>
                <wp:inline distT="0" distB="0" distL="0" distR="0" wp14:anchorId="5691882D" wp14:editId="6BD1B100">
                  <wp:extent cx="1996484" cy="2134008"/>
                  <wp:effectExtent l="0" t="0" r="3810" b="0"/>
                  <wp:docPr id="463" name="Picture 463" descr="A picture containing water, outdoor, river,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water, outdoor, river, lake&#10;&#10;Description automatically generated"/>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2006510" cy="2144725"/>
                          </a:xfrm>
                          <a:prstGeom prst="rect">
                            <a:avLst/>
                          </a:prstGeom>
                          <a:ln>
                            <a:noFill/>
                          </a:ln>
                          <a:extLst>
                            <a:ext uri="{53640926-AAD7-44D8-BBD7-CCE9431645EC}">
                              <a14:shadowObscured xmlns:a14="http://schemas.microsoft.com/office/drawing/2010/main"/>
                            </a:ext>
                          </a:extLst>
                        </pic:spPr>
                      </pic:pic>
                    </a:graphicData>
                  </a:graphic>
                </wp:inline>
              </w:drawing>
            </w:r>
          </w:p>
          <w:p w14:paraId="5353CA29" w14:textId="75280EA4" w:rsidR="004E5F8E" w:rsidRPr="00C87E21" w:rsidRDefault="004E5F8E" w:rsidP="002460B7">
            <w:pPr>
              <w:pStyle w:val="Caption"/>
              <w:cnfStyle w:val="100000000000" w:firstRow="1" w:lastRow="0" w:firstColumn="0" w:lastColumn="0" w:oddVBand="0" w:evenVBand="0" w:oddHBand="0" w:evenHBand="0" w:firstRowFirstColumn="0" w:firstRowLastColumn="0" w:lastRowFirstColumn="0" w:lastRowLastColumn="0"/>
              <w:rPr>
                <w:rFonts w:asciiTheme="majorBidi" w:eastAsia="SimSun" w:hAnsiTheme="majorBidi" w:cstheme="majorBidi"/>
                <w:b/>
                <w:color w:val="auto"/>
                <w:lang w:val="en"/>
              </w:rPr>
            </w:pPr>
            <w:bookmarkStart w:id="823" w:name="_Ref73131314"/>
            <w:r w:rsidRPr="00C87E21">
              <w:rPr>
                <w:b/>
                <w:color w:val="auto"/>
              </w:rPr>
              <w:t>Figure</w:t>
            </w:r>
            <w:bookmarkEnd w:id="823"/>
            <w:r w:rsidRPr="00C87E21">
              <w:rPr>
                <w:b/>
                <w:color w:val="auto"/>
              </w:rPr>
              <w:t xml:space="preserve"> 8</w:t>
            </w:r>
            <w:r w:rsidRPr="00C87E21">
              <w:rPr>
                <w:b/>
                <w:color w:val="auto"/>
                <w:lang w:val="en-US"/>
              </w:rPr>
              <w:t xml:space="preserve"> Deploying the bottle chains in the river.</w:t>
            </w:r>
          </w:p>
        </w:tc>
      </w:tr>
    </w:tbl>
    <w:p w14:paraId="7891127F" w14:textId="77777777" w:rsidR="004E5F8E" w:rsidRPr="00C87E21" w:rsidRDefault="004E5F8E" w:rsidP="004E5F8E">
      <w:pPr>
        <w:rPr>
          <w:rFonts w:asciiTheme="majorBidi" w:eastAsia="SimSun" w:hAnsiTheme="majorBidi" w:cstheme="majorBidi"/>
          <w:lang w:val="en"/>
        </w:rPr>
      </w:pPr>
    </w:p>
    <w:tbl>
      <w:tblPr>
        <w:tblStyle w:val="TableGrid"/>
        <w:tblW w:w="0" w:type="auto"/>
        <w:jc w:val="center"/>
        <w:tblLook w:val="04A0" w:firstRow="1" w:lastRow="0" w:firstColumn="1" w:lastColumn="0" w:noHBand="0" w:noVBand="1"/>
      </w:tblPr>
      <w:tblGrid>
        <w:gridCol w:w="6292"/>
        <w:gridCol w:w="3629"/>
      </w:tblGrid>
      <w:tr w:rsidR="00C87E21" w:rsidRPr="00C87E21" w14:paraId="6AD07EA1" w14:textId="77777777" w:rsidTr="0056720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728" w:type="dxa"/>
            <w:shd w:val="clear" w:color="auto" w:fill="auto"/>
          </w:tcPr>
          <w:p w14:paraId="7C781BA2" w14:textId="77777777" w:rsidR="004E5F8E" w:rsidRPr="00C87E21" w:rsidRDefault="004E5F8E" w:rsidP="002460B7">
            <w:pPr>
              <w:keepNext/>
              <w:jc w:val="center"/>
              <w:rPr>
                <w:color w:val="auto"/>
              </w:rPr>
            </w:pPr>
            <w:r w:rsidRPr="00C87E21">
              <w:rPr>
                <w:rFonts w:asciiTheme="majorBidi" w:hAnsiTheme="majorBidi" w:cstheme="majorBidi"/>
                <w:noProof/>
                <w:lang w:val="en-GB"/>
              </w:rPr>
              <w:lastRenderedPageBreak/>
              <w:drawing>
                <wp:inline distT="0" distB="0" distL="0" distR="0" wp14:anchorId="3E989EA4" wp14:editId="0745EC28">
                  <wp:extent cx="3930732" cy="2949103"/>
                  <wp:effectExtent l="0" t="0" r="0" b="3810"/>
                  <wp:docPr id="464" name="Picture 464" descr="A picture containing outdoor, tree, water,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84" cstate="email">
                            <a:extLst>
                              <a:ext uri="{28A0092B-C50C-407E-A947-70E740481C1C}">
                                <a14:useLocalDpi xmlns:a14="http://schemas.microsoft.com/office/drawing/2010/main"/>
                              </a:ext>
                            </a:extLst>
                          </a:blip>
                          <a:stretch>
                            <a:fillRect/>
                          </a:stretch>
                        </pic:blipFill>
                        <pic:spPr>
                          <a:xfrm>
                            <a:off x="0" y="0"/>
                            <a:ext cx="3944558" cy="2959477"/>
                          </a:xfrm>
                          <a:prstGeom prst="rect">
                            <a:avLst/>
                          </a:prstGeom>
                        </pic:spPr>
                      </pic:pic>
                    </a:graphicData>
                  </a:graphic>
                </wp:inline>
              </w:drawing>
            </w:r>
          </w:p>
          <w:p w14:paraId="26C90A97" w14:textId="1CC68CDC" w:rsidR="004E5F8E" w:rsidRPr="00C87E21" w:rsidRDefault="004E5F8E" w:rsidP="002460B7">
            <w:pPr>
              <w:pStyle w:val="Caption"/>
              <w:rPr>
                <w:rFonts w:asciiTheme="majorBidi" w:eastAsia="SimSun" w:hAnsiTheme="majorBidi" w:cstheme="majorBidi"/>
                <w:b/>
                <w:color w:val="auto"/>
                <w:lang w:val="en"/>
              </w:rPr>
            </w:pPr>
            <w:bookmarkStart w:id="824" w:name="_Ref73131331"/>
            <w:r w:rsidRPr="00C87E21">
              <w:rPr>
                <w:b/>
                <w:color w:val="auto"/>
              </w:rPr>
              <w:t>Figure</w:t>
            </w:r>
            <w:bookmarkEnd w:id="824"/>
            <w:r w:rsidRPr="00C87E21">
              <w:rPr>
                <w:b/>
                <w:color w:val="auto"/>
              </w:rPr>
              <w:t xml:space="preserve"> 9</w:t>
            </w:r>
            <w:r w:rsidRPr="00C87E21">
              <w:rPr>
                <w:b/>
                <w:color w:val="auto"/>
                <w:lang w:val="en-US"/>
              </w:rPr>
              <w:t xml:space="preserve"> Deployed bottle chains in the river.</w:t>
            </w:r>
          </w:p>
        </w:tc>
        <w:tc>
          <w:tcPr>
            <w:tcW w:w="3342" w:type="dxa"/>
            <w:shd w:val="clear" w:color="auto" w:fill="auto"/>
          </w:tcPr>
          <w:p w14:paraId="09A81CB3" w14:textId="77777777" w:rsidR="004E5F8E" w:rsidRPr="00C87E21" w:rsidRDefault="004E5F8E" w:rsidP="002460B7">
            <w:pPr>
              <w:keepNext/>
              <w:jc w:val="center"/>
              <w:cnfStyle w:val="100000000000" w:firstRow="1" w:lastRow="0" w:firstColumn="0" w:lastColumn="0" w:oddVBand="0" w:evenVBand="0" w:oddHBand="0" w:evenHBand="0" w:firstRowFirstColumn="0" w:firstRowLastColumn="0" w:lastRowFirstColumn="0" w:lastRowLastColumn="0"/>
              <w:rPr>
                <w:color w:val="auto"/>
              </w:rPr>
            </w:pPr>
            <w:r w:rsidRPr="00C87E21">
              <w:rPr>
                <w:rFonts w:asciiTheme="majorBidi" w:eastAsia="SimSun" w:hAnsiTheme="majorBidi" w:cstheme="majorBidi"/>
                <w:noProof/>
                <w:lang w:val="en-GB"/>
              </w:rPr>
              <w:drawing>
                <wp:inline distT="0" distB="0" distL="0" distR="0" wp14:anchorId="389D15B8" wp14:editId="3D141EC8">
                  <wp:extent cx="2219820" cy="2959760"/>
                  <wp:effectExtent l="0" t="0" r="9525" b="0"/>
                  <wp:docPr id="62" name="Picture 62" descr="A person standing next to a c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erson standing next to a car&#10;&#10;Description automatically generated with medium confidence"/>
                          <pic:cNvPicPr/>
                        </pic:nvPicPr>
                        <pic:blipFill>
                          <a:blip r:embed="rId185" cstate="email">
                            <a:extLst>
                              <a:ext uri="{28A0092B-C50C-407E-A947-70E740481C1C}">
                                <a14:useLocalDpi xmlns:a14="http://schemas.microsoft.com/office/drawing/2010/main"/>
                              </a:ext>
                            </a:extLst>
                          </a:blip>
                          <a:stretch>
                            <a:fillRect/>
                          </a:stretch>
                        </pic:blipFill>
                        <pic:spPr>
                          <a:xfrm>
                            <a:off x="0" y="0"/>
                            <a:ext cx="2234416" cy="2979222"/>
                          </a:xfrm>
                          <a:prstGeom prst="rect">
                            <a:avLst/>
                          </a:prstGeom>
                        </pic:spPr>
                      </pic:pic>
                    </a:graphicData>
                  </a:graphic>
                </wp:inline>
              </w:drawing>
            </w:r>
          </w:p>
          <w:p w14:paraId="1161AA57" w14:textId="0816A154" w:rsidR="004E5F8E" w:rsidRPr="00C87E21" w:rsidRDefault="004E5F8E" w:rsidP="00C87E21">
            <w:pPr>
              <w:pStyle w:val="Caption"/>
              <w:jc w:val="left"/>
              <w:cnfStyle w:val="100000000000" w:firstRow="1" w:lastRow="0" w:firstColumn="0" w:lastColumn="0" w:oddVBand="0" w:evenVBand="0" w:oddHBand="0" w:evenHBand="0" w:firstRowFirstColumn="0" w:firstRowLastColumn="0" w:lastRowFirstColumn="0" w:lastRowLastColumn="0"/>
              <w:rPr>
                <w:rFonts w:asciiTheme="majorBidi" w:eastAsia="SimSun" w:hAnsiTheme="majorBidi" w:cstheme="majorBidi"/>
                <w:b/>
                <w:color w:val="auto"/>
                <w:lang w:val="en"/>
              </w:rPr>
            </w:pPr>
            <w:bookmarkStart w:id="825" w:name="_Ref73131346"/>
            <w:r w:rsidRPr="00C87E21">
              <w:rPr>
                <w:b/>
                <w:color w:val="auto"/>
              </w:rPr>
              <w:t>Figure</w:t>
            </w:r>
            <w:bookmarkEnd w:id="825"/>
            <w:r w:rsidRPr="00C87E21">
              <w:rPr>
                <w:b/>
                <w:color w:val="auto"/>
              </w:rPr>
              <w:t xml:space="preserve"> 10</w:t>
            </w:r>
            <w:r w:rsidRPr="00C87E21">
              <w:rPr>
                <w:b/>
                <w:color w:val="auto"/>
                <w:lang w:val="en-US"/>
              </w:rPr>
              <w:t xml:space="preserve"> Filtering the water sample to be sent to the lab for Chlorophyll-A measurement.</w:t>
            </w:r>
          </w:p>
        </w:tc>
      </w:tr>
    </w:tbl>
    <w:p w14:paraId="409523D0" w14:textId="77777777" w:rsidR="004E5F8E" w:rsidRPr="00C87E21" w:rsidRDefault="004E5F8E" w:rsidP="004E5F8E">
      <w:pPr>
        <w:rPr>
          <w:lang w:val="en-US"/>
        </w:rPr>
      </w:pPr>
    </w:p>
    <w:tbl>
      <w:tblPr>
        <w:tblStyle w:val="TableGrid"/>
        <w:tblW w:w="0" w:type="auto"/>
        <w:jc w:val="center"/>
        <w:tblLook w:val="04A0" w:firstRow="1" w:lastRow="0" w:firstColumn="1" w:lastColumn="0" w:noHBand="0" w:noVBand="1"/>
      </w:tblPr>
      <w:tblGrid>
        <w:gridCol w:w="3982"/>
        <w:gridCol w:w="5163"/>
      </w:tblGrid>
      <w:tr w:rsidR="00C87E21" w:rsidRPr="00C87E21" w14:paraId="1F16BFF1" w14:textId="77777777" w:rsidTr="0056720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9" w:type="dxa"/>
            <w:shd w:val="clear" w:color="auto" w:fill="auto"/>
          </w:tcPr>
          <w:p w14:paraId="455F5A05" w14:textId="77777777" w:rsidR="004E5F8E" w:rsidRPr="00C87E21" w:rsidRDefault="004E5F8E" w:rsidP="002460B7">
            <w:pPr>
              <w:rPr>
                <w:rFonts w:asciiTheme="majorBidi" w:eastAsia="SimSun" w:hAnsiTheme="majorBidi" w:cstheme="majorBidi"/>
                <w:color w:val="auto"/>
                <w:lang w:val="en"/>
              </w:rPr>
            </w:pPr>
          </w:p>
          <w:p w14:paraId="760D3DCA" w14:textId="77777777" w:rsidR="004E5F8E" w:rsidRPr="00C87E21" w:rsidRDefault="004E5F8E" w:rsidP="002460B7">
            <w:pPr>
              <w:keepNext/>
              <w:rPr>
                <w:color w:val="auto"/>
              </w:rPr>
            </w:pPr>
            <w:r w:rsidRPr="00C87E21">
              <w:rPr>
                <w:rFonts w:asciiTheme="majorBidi" w:eastAsia="SimSun" w:hAnsiTheme="majorBidi" w:cstheme="majorBidi"/>
                <w:noProof/>
                <w:lang w:val="en-GB"/>
              </w:rPr>
              <w:drawing>
                <wp:inline distT="0" distB="0" distL="0" distR="0" wp14:anchorId="0E3F22B3" wp14:editId="0EA037E2">
                  <wp:extent cx="2429510" cy="3007778"/>
                  <wp:effectExtent l="0" t="0" r="8890" b="2540"/>
                  <wp:docPr id="65" name="Picture 65" descr="A picture containing outdoor, tree, person,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outdoor, tree, person, preparing&#10;&#10;Description automatically generated"/>
                          <pic:cNvPicPr/>
                        </pic:nvPicPr>
                        <pic:blipFill rotWithShape="1">
                          <a:blip r:embed="rId186" cstate="email">
                            <a:extLst>
                              <a:ext uri="{28A0092B-C50C-407E-A947-70E740481C1C}">
                                <a14:useLocalDpi xmlns:a14="http://schemas.microsoft.com/office/drawing/2010/main"/>
                              </a:ext>
                            </a:extLst>
                          </a:blip>
                          <a:srcRect/>
                          <a:stretch/>
                        </pic:blipFill>
                        <pic:spPr bwMode="auto">
                          <a:xfrm>
                            <a:off x="0" y="0"/>
                            <a:ext cx="2430000" cy="3008385"/>
                          </a:xfrm>
                          <a:prstGeom prst="rect">
                            <a:avLst/>
                          </a:prstGeom>
                          <a:ln>
                            <a:noFill/>
                          </a:ln>
                          <a:extLst>
                            <a:ext uri="{53640926-AAD7-44D8-BBD7-CCE9431645EC}">
                              <a14:shadowObscured xmlns:a14="http://schemas.microsoft.com/office/drawing/2010/main"/>
                            </a:ext>
                          </a:extLst>
                        </pic:spPr>
                      </pic:pic>
                    </a:graphicData>
                  </a:graphic>
                </wp:inline>
              </w:drawing>
            </w:r>
          </w:p>
          <w:p w14:paraId="750875A0" w14:textId="6737B8FA" w:rsidR="004E5F8E" w:rsidRPr="00C87E21" w:rsidRDefault="004E5F8E" w:rsidP="002460B7">
            <w:pPr>
              <w:pStyle w:val="Caption"/>
              <w:jc w:val="left"/>
              <w:rPr>
                <w:rFonts w:asciiTheme="majorBidi" w:eastAsia="SimSun" w:hAnsiTheme="majorBidi" w:cstheme="majorBidi"/>
                <w:b/>
                <w:color w:val="auto"/>
                <w:lang w:val="en-US"/>
              </w:rPr>
            </w:pPr>
            <w:bookmarkStart w:id="826" w:name="_Ref73131369"/>
            <w:r w:rsidRPr="00C87E21">
              <w:rPr>
                <w:b/>
                <w:color w:val="auto"/>
              </w:rPr>
              <w:t xml:space="preserve">Figure </w:t>
            </w:r>
            <w:bookmarkEnd w:id="826"/>
            <w:r w:rsidRPr="00C87E21">
              <w:rPr>
                <w:b/>
                <w:color w:val="auto"/>
              </w:rPr>
              <w:t>11</w:t>
            </w:r>
            <w:r w:rsidRPr="00C87E21">
              <w:rPr>
                <w:b/>
                <w:color w:val="auto"/>
                <w:lang w:val="en-US"/>
              </w:rPr>
              <w:t xml:space="preserve"> Taking DO measurements from bottles.</w:t>
            </w:r>
          </w:p>
        </w:tc>
        <w:tc>
          <w:tcPr>
            <w:tcW w:w="5111" w:type="dxa"/>
            <w:shd w:val="clear" w:color="auto" w:fill="auto"/>
          </w:tcPr>
          <w:p w14:paraId="60957615" w14:textId="77777777" w:rsidR="004E5F8E" w:rsidRPr="00C87E21" w:rsidRDefault="004E5F8E" w:rsidP="002460B7">
            <w:pPr>
              <w:cnfStyle w:val="100000000000" w:firstRow="1" w:lastRow="0" w:firstColumn="0" w:lastColumn="0" w:oddVBand="0" w:evenVBand="0" w:oddHBand="0" w:evenHBand="0" w:firstRowFirstColumn="0" w:firstRowLastColumn="0" w:lastRowFirstColumn="0" w:lastRowLastColumn="0"/>
              <w:rPr>
                <w:rFonts w:asciiTheme="majorBidi" w:eastAsia="SimSun" w:hAnsiTheme="majorBidi" w:cstheme="majorBidi"/>
                <w:color w:val="auto"/>
                <w:lang w:val="en-US"/>
              </w:rPr>
            </w:pPr>
          </w:p>
          <w:p w14:paraId="60DFE050" w14:textId="77777777" w:rsidR="004E5F8E" w:rsidRPr="00C87E21" w:rsidRDefault="004E5F8E" w:rsidP="002460B7">
            <w:pPr>
              <w:keepNext/>
              <w:cnfStyle w:val="100000000000" w:firstRow="1" w:lastRow="0" w:firstColumn="0" w:lastColumn="0" w:oddVBand="0" w:evenVBand="0" w:oddHBand="0" w:evenHBand="0" w:firstRowFirstColumn="0" w:firstRowLastColumn="0" w:lastRowFirstColumn="0" w:lastRowLastColumn="0"/>
              <w:rPr>
                <w:color w:val="auto"/>
              </w:rPr>
            </w:pPr>
            <w:r w:rsidRPr="00C87E21">
              <w:rPr>
                <w:rFonts w:asciiTheme="majorBidi" w:eastAsia="SimSun" w:hAnsiTheme="majorBidi" w:cstheme="majorBidi"/>
                <w:noProof/>
                <w:lang w:val="en-GB"/>
              </w:rPr>
              <w:drawing>
                <wp:inline distT="0" distB="0" distL="0" distR="0" wp14:anchorId="00228581" wp14:editId="200AD378">
                  <wp:extent cx="3188335" cy="3111335"/>
                  <wp:effectExtent l="0" t="0" r="0" b="0"/>
                  <wp:docPr id="64" name="Picture 64" descr="A picture containing person, preparing, working,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person, preparing, working, tool&#10;&#10;Description automatically generated"/>
                          <pic:cNvPicPr/>
                        </pic:nvPicPr>
                        <pic:blipFill rotWithShape="1">
                          <a:blip r:embed="rId187" cstate="email">
                            <a:extLst>
                              <a:ext uri="{28A0092B-C50C-407E-A947-70E740481C1C}">
                                <a14:useLocalDpi xmlns:a14="http://schemas.microsoft.com/office/drawing/2010/main"/>
                              </a:ext>
                            </a:extLst>
                          </a:blip>
                          <a:srcRect b="-3681"/>
                          <a:stretch/>
                        </pic:blipFill>
                        <pic:spPr bwMode="auto">
                          <a:xfrm>
                            <a:off x="0" y="0"/>
                            <a:ext cx="3195949" cy="3118765"/>
                          </a:xfrm>
                          <a:prstGeom prst="rect">
                            <a:avLst/>
                          </a:prstGeom>
                          <a:ln>
                            <a:noFill/>
                          </a:ln>
                          <a:extLst>
                            <a:ext uri="{53640926-AAD7-44D8-BBD7-CCE9431645EC}">
                              <a14:shadowObscured xmlns:a14="http://schemas.microsoft.com/office/drawing/2010/main"/>
                            </a:ext>
                          </a:extLst>
                        </pic:spPr>
                      </pic:pic>
                    </a:graphicData>
                  </a:graphic>
                </wp:inline>
              </w:drawing>
            </w:r>
          </w:p>
          <w:p w14:paraId="07AD515B" w14:textId="5FC04821" w:rsidR="004E5F8E" w:rsidRPr="00C87E21" w:rsidRDefault="004E5F8E" w:rsidP="002460B7">
            <w:pPr>
              <w:pStyle w:val="Caption"/>
              <w:jc w:val="left"/>
              <w:cnfStyle w:val="100000000000" w:firstRow="1" w:lastRow="0" w:firstColumn="0" w:lastColumn="0" w:oddVBand="0" w:evenVBand="0" w:oddHBand="0" w:evenHBand="0" w:firstRowFirstColumn="0" w:firstRowLastColumn="0" w:lastRowFirstColumn="0" w:lastRowLastColumn="0"/>
              <w:rPr>
                <w:rFonts w:asciiTheme="majorBidi" w:eastAsia="SimSun" w:hAnsiTheme="majorBidi" w:cstheme="majorBidi"/>
                <w:b/>
                <w:color w:val="auto"/>
                <w:lang w:val="en-US"/>
              </w:rPr>
            </w:pPr>
            <w:bookmarkStart w:id="827" w:name="_Ref73131387"/>
            <w:r w:rsidRPr="00C87E21">
              <w:rPr>
                <w:b/>
                <w:color w:val="auto"/>
              </w:rPr>
              <w:t xml:space="preserve">Figure </w:t>
            </w:r>
            <w:bookmarkEnd w:id="827"/>
            <w:r w:rsidRPr="00C87E21">
              <w:rPr>
                <w:b/>
                <w:color w:val="auto"/>
              </w:rPr>
              <w:t>12</w:t>
            </w:r>
            <w:r w:rsidRPr="00C87E21">
              <w:rPr>
                <w:b/>
                <w:color w:val="auto"/>
                <w:lang w:val="en-US"/>
              </w:rPr>
              <w:t xml:space="preserve"> Filtering through water samples through a 0.2-micron filter paper into five 65 ml clear plastic bottles be sent to the lab for Nutrient analysis.</w:t>
            </w:r>
          </w:p>
        </w:tc>
      </w:tr>
    </w:tbl>
    <w:p w14:paraId="70672E72" w14:textId="5FC89D0A" w:rsidR="004E5F8E" w:rsidRPr="00C74803" w:rsidRDefault="004E5F8E" w:rsidP="004E5F8E">
      <w:pPr>
        <w:ind w:left="578" w:hanging="578"/>
        <w:rPr>
          <w:rFonts w:eastAsia="Times New Roman" w:cstheme="minorHAnsi"/>
          <w:b/>
          <w:sz w:val="24"/>
        </w:rPr>
      </w:pPr>
      <w:r w:rsidRPr="00C74803">
        <w:rPr>
          <w:rFonts w:cstheme="minorHAnsi"/>
          <w:b/>
          <w:sz w:val="24"/>
        </w:rPr>
        <w:t xml:space="preserve">3.3 </w:t>
      </w:r>
      <w:r w:rsidRPr="00C74803">
        <w:rPr>
          <w:rFonts w:eastAsia="Times New Roman" w:cstheme="minorHAnsi"/>
          <w:b/>
          <w:sz w:val="24"/>
        </w:rPr>
        <w:t>Statistical analysis</w:t>
      </w:r>
    </w:p>
    <w:p w14:paraId="416DAF5E" w14:textId="77777777" w:rsidR="004E5F8E" w:rsidRPr="00C74803" w:rsidRDefault="004E5F8E" w:rsidP="004E5F8E">
      <w:pPr>
        <w:rPr>
          <w:rFonts w:eastAsia="SimSun" w:cstheme="minorHAnsi"/>
          <w:lang w:val="en"/>
        </w:rPr>
      </w:pPr>
      <w:proofErr w:type="gramStart"/>
      <w:r w:rsidRPr="00C74803">
        <w:rPr>
          <w:rFonts w:eastAsia="SimSun" w:cstheme="minorHAnsi"/>
          <w:lang w:val="en"/>
        </w:rPr>
        <w:t>In order to</w:t>
      </w:r>
      <w:proofErr w:type="gramEnd"/>
      <w:r w:rsidRPr="00C74803">
        <w:rPr>
          <w:rFonts w:eastAsia="SimSun" w:cstheme="minorHAnsi"/>
          <w:lang w:val="en"/>
        </w:rPr>
        <w:t xml:space="preserve"> </w:t>
      </w:r>
      <w:r w:rsidRPr="00C74803">
        <w:rPr>
          <w:rFonts w:eastAsia="SimSun" w:cstheme="minorHAnsi"/>
        </w:rPr>
        <w:t>analyse</w:t>
      </w:r>
      <w:r w:rsidRPr="00C74803">
        <w:rPr>
          <w:rFonts w:eastAsia="SimSun" w:cstheme="minorHAnsi"/>
          <w:lang w:val="en"/>
        </w:rPr>
        <w:t xml:space="preserve"> the collected data from onsite, the GPP, ER, and NPP values calculated as per </w:t>
      </w:r>
      <w:r w:rsidRPr="00C74803">
        <w:rPr>
          <w:rFonts w:cstheme="minorHAnsi"/>
        </w:rPr>
        <w:t>Equation 3</w:t>
      </w:r>
      <w:r w:rsidRPr="00C74803">
        <w:rPr>
          <w:rFonts w:eastAsia="SimSun" w:cstheme="minorHAnsi"/>
          <w:lang w:val="en"/>
        </w:rPr>
        <w:t xml:space="preserve">, </w:t>
      </w:r>
      <w:r w:rsidRPr="00C74803">
        <w:rPr>
          <w:rFonts w:cstheme="minorHAnsi"/>
        </w:rPr>
        <w:t>Equation 4</w:t>
      </w:r>
      <w:r w:rsidRPr="00C74803">
        <w:rPr>
          <w:rFonts w:eastAsia="SimSun" w:cstheme="minorHAnsi"/>
          <w:lang w:val="en"/>
        </w:rPr>
        <w:t xml:space="preserve">, and </w:t>
      </w:r>
      <w:r w:rsidRPr="00C74803">
        <w:rPr>
          <w:rFonts w:cstheme="minorHAnsi"/>
        </w:rPr>
        <w:t>Equation 5.</w:t>
      </w:r>
      <w:r w:rsidRPr="00C74803">
        <w:rPr>
          <w:rFonts w:eastAsia="SimSun" w:cstheme="minorHAnsi"/>
          <w:lang w:val="en"/>
        </w:rPr>
        <w:t xml:space="preserve"> (Lieth, 1975), per bottle chain were averaged to gain singular values for each depth and location per site trip (i.e., the three concentrations for the ‘surface’ bottle were averaged at each site x time combination, etc.). Results regarding nutrient and chlorophyll levels, performed at the Monash Water Studies Centre, were again averaged to give one value per site per visit.</w:t>
      </w:r>
    </w:p>
    <w:p w14:paraId="27ED8EFA" w14:textId="77777777" w:rsidR="004E5F8E" w:rsidRPr="00C74803" w:rsidRDefault="000771F7" w:rsidP="0056720D">
      <w:pPr>
        <w:pStyle w:val="Caption"/>
        <w:jc w:val="center"/>
        <w:rPr>
          <w:rFonts w:cstheme="minorHAnsi"/>
        </w:rPr>
      </w:pPr>
      <m:oMath>
        <m:r>
          <m:rPr>
            <m:sty m:val="bi"/>
          </m:rPr>
          <w:rPr>
            <w:rFonts w:ascii="Cambria Math" w:hAnsi="Cambria Math" w:cstheme="minorHAnsi"/>
          </w:rPr>
          <m:t>Respiration rate (ER) = (dark DO – initial DO) / time</m:t>
        </m:r>
      </m:oMath>
      <w:r w:rsidR="004E5F8E" w:rsidRPr="00C74803">
        <w:rPr>
          <w:rFonts w:cstheme="minorHAnsi"/>
        </w:rPr>
        <w:t xml:space="preserve">                                        Equa</w:t>
      </w:r>
      <w:proofErr w:type="spellStart"/>
      <w:r w:rsidR="004E5F8E" w:rsidRPr="00C74803">
        <w:rPr>
          <w:rFonts w:cstheme="minorHAnsi"/>
        </w:rPr>
        <w:t>tion</w:t>
      </w:r>
      <w:proofErr w:type="spellEnd"/>
      <w:r w:rsidR="004E5F8E" w:rsidRPr="00C74803">
        <w:rPr>
          <w:rFonts w:cstheme="minorHAnsi"/>
        </w:rPr>
        <w:t xml:space="preserve"> 3</w:t>
      </w:r>
    </w:p>
    <w:p w14:paraId="5F92E0E3" w14:textId="77777777" w:rsidR="004E5F8E" w:rsidRPr="00C74803" w:rsidRDefault="000771F7" w:rsidP="0056720D">
      <w:pPr>
        <w:pStyle w:val="Caption"/>
        <w:keepNext/>
        <w:jc w:val="center"/>
        <w:rPr>
          <w:rFonts w:cstheme="minorHAnsi"/>
        </w:rPr>
      </w:pPr>
      <m:oMath>
        <m:r>
          <m:rPr>
            <m:sty m:val="bi"/>
          </m:rPr>
          <w:rPr>
            <w:rFonts w:ascii="Cambria Math" w:hAnsi="Cambria Math" w:cstheme="minorHAnsi"/>
          </w:rPr>
          <w:lastRenderedPageBreak/>
          <m:t>Gross productivity (GPP) = (DO of bottle – dark DO) / time</m:t>
        </m:r>
      </m:oMath>
      <w:r w:rsidR="004E5F8E" w:rsidRPr="00C74803">
        <w:rPr>
          <w:rFonts w:cstheme="minorHAnsi"/>
        </w:rPr>
        <w:t xml:space="preserve">                            Equation 4</w:t>
      </w:r>
    </w:p>
    <w:p w14:paraId="20CA5D07" w14:textId="5D9CA142" w:rsidR="004E5F8E" w:rsidRPr="00C74803" w:rsidRDefault="000771F7" w:rsidP="0056720D">
      <w:pPr>
        <w:pStyle w:val="Caption"/>
        <w:keepNext/>
        <w:jc w:val="center"/>
        <w:rPr>
          <w:rFonts w:eastAsia="SimSun" w:cstheme="minorHAnsi"/>
        </w:rPr>
      </w:pPr>
      <m:oMath>
        <m:r>
          <m:rPr>
            <m:sty m:val="bi"/>
          </m:rPr>
          <w:rPr>
            <w:rFonts w:ascii="Cambria Math" w:hAnsi="Cambria Math" w:cstheme="minorHAnsi"/>
          </w:rPr>
          <m:t>Net Productivity (NPP) = (DO of bottle – initial DO) / time</m:t>
        </m:r>
      </m:oMath>
      <w:r w:rsidR="004E5F8E" w:rsidRPr="00C74803">
        <w:rPr>
          <w:rFonts w:cstheme="minorHAnsi"/>
        </w:rPr>
        <w:t xml:space="preserve">                               Equation 5</w:t>
      </w:r>
    </w:p>
    <w:p w14:paraId="0E5F92FD" w14:textId="77777777" w:rsidR="004E5F8E" w:rsidRPr="00C74803" w:rsidRDefault="004E5F8E" w:rsidP="004E5F8E">
      <w:pPr>
        <w:rPr>
          <w:rFonts w:eastAsia="SimSun" w:cstheme="minorHAnsi"/>
          <w:lang w:val="en"/>
        </w:rPr>
      </w:pPr>
      <w:r w:rsidRPr="00C74803">
        <w:rPr>
          <w:rFonts w:eastAsia="SimSun" w:cstheme="minorHAnsi"/>
          <w:lang w:val="en"/>
        </w:rPr>
        <w:t xml:space="preserve">Even after averaging, oxygen concentrations for the different depths were still very variable, precluding a direct approach to estimating a pelagic metabolism at each site x time combination. Instead, pelagic metabolism was determined using a combination of modelling and extrapolation. First, we plotted measured GPP against light, pooling all data from all trips, and determining the relationship. Another relationship was then substituted for light based on the light vs depth relationship for each site visit. This gave a relationship for GPP based on the depth of the water column. This relationship was then used to model the rate of pelagic metabolism for the entire cross-section of the river at each site where sampling had taken place (cross-section data were provided by another MER Program partner, </w:t>
      </w:r>
      <w:proofErr w:type="spellStart"/>
      <w:r w:rsidRPr="00C74803">
        <w:rPr>
          <w:rFonts w:eastAsia="SimSun" w:cstheme="minorHAnsi"/>
          <w:lang w:val="en"/>
        </w:rPr>
        <w:t>Streamology</w:t>
      </w:r>
      <w:proofErr w:type="spellEnd"/>
      <w:r w:rsidRPr="00C74803">
        <w:rPr>
          <w:rFonts w:eastAsia="SimSun" w:cstheme="minorHAnsi"/>
          <w:lang w:val="en"/>
        </w:rPr>
        <w:t xml:space="preserve">). These cross-sectional values of pelagic GPP formed the basis of analysis against all other measured parameters. </w:t>
      </w:r>
    </w:p>
    <w:p w14:paraId="0396A54B" w14:textId="77777777" w:rsidR="004E5F8E" w:rsidRPr="00C74803" w:rsidRDefault="004E5F8E" w:rsidP="004E5F8E">
      <w:pPr>
        <w:rPr>
          <w:rFonts w:eastAsia="SimSun" w:cstheme="minorHAnsi"/>
          <w:lang w:val="en"/>
        </w:rPr>
      </w:pPr>
      <w:r w:rsidRPr="00C74803">
        <w:rPr>
          <w:rFonts w:eastAsia="SimSun" w:cstheme="minorHAnsi"/>
          <w:lang w:val="en"/>
        </w:rPr>
        <w:t>Whole stream metabolism is measured as the change of dissolved oxygen induced by biological processes and reaeration</w:t>
      </w:r>
      <w:r w:rsidRPr="00C74803">
        <w:rPr>
          <w:rFonts w:cstheme="minorHAnsi"/>
        </w:rPr>
        <w:t xml:space="preserve"> in a litre of river water summed over a 24-hour period. That litre of water is influenced by both pelagic and benthic processes as well as the reaeration. It is assumed that the river is well mixed both laterally and vertically giving units of mg O</w:t>
      </w:r>
      <w:r w:rsidRPr="00C74803">
        <w:rPr>
          <w:rFonts w:cstheme="minorHAnsi"/>
          <w:vertAlign w:val="subscript"/>
        </w:rPr>
        <w:t>2</w:t>
      </w:r>
      <w:r w:rsidRPr="00C74803">
        <w:rPr>
          <w:rFonts w:cstheme="minorHAnsi"/>
        </w:rPr>
        <w:t>/L/day.</w:t>
      </w:r>
      <w:r w:rsidRPr="00C74803">
        <w:rPr>
          <w:rFonts w:eastAsia="SimSun" w:cstheme="minorHAnsi"/>
          <w:lang w:val="en"/>
        </w:rPr>
        <w:t xml:space="preserve"> As part of the ongoing MER Program (section 1.1), there are permanent data loggers distributed along the Goulburn River and one located </w:t>
      </w:r>
      <w:proofErr w:type="gramStart"/>
      <w:r w:rsidRPr="00C74803">
        <w:rPr>
          <w:rFonts w:eastAsia="SimSun" w:cstheme="minorHAnsi"/>
          <w:lang w:val="en"/>
        </w:rPr>
        <w:t>in close proximity to</w:t>
      </w:r>
      <w:proofErr w:type="gramEnd"/>
      <w:r w:rsidRPr="00C74803">
        <w:rPr>
          <w:rFonts w:eastAsia="SimSun" w:cstheme="minorHAnsi"/>
          <w:lang w:val="en"/>
        </w:rPr>
        <w:t xml:space="preserve"> each of the sites where data were collected. Whole stream metabolism data were retrieved from these permanent loggers on each site. Where the whole stream metabolism data showed poor fits based on the MER program conditions (see Webb et al. 2019 for the definition of a poor fit), the data were smoothed taking into account the trends of ‘good fit’ data taken either side of the required day while also ensuring that the recorded reaeration (‘exchange of gases between atmosphere and water, maintaining oxygen near saturation (George, 1978</w:t>
      </w:r>
      <w:proofErr w:type="gramStart"/>
      <w:r w:rsidRPr="00C74803">
        <w:rPr>
          <w:rFonts w:eastAsia="SimSun" w:cstheme="minorHAnsi"/>
          <w:lang w:val="en"/>
        </w:rPr>
        <w:t>) )</w:t>
      </w:r>
      <w:proofErr w:type="gramEnd"/>
      <w:r w:rsidRPr="00C74803">
        <w:rPr>
          <w:rFonts w:eastAsia="SimSun" w:cstheme="minorHAnsi"/>
          <w:lang w:val="en"/>
        </w:rPr>
        <w:t xml:space="preserve"> values were realistic and did not differ dramatically. Pelagic metabolism calculations were calculated in terms of mg O</w:t>
      </w:r>
      <w:r w:rsidRPr="00C74803">
        <w:rPr>
          <w:rFonts w:eastAsia="SimSun" w:cstheme="minorHAnsi"/>
          <w:vertAlign w:val="subscript"/>
          <w:lang w:val="en"/>
        </w:rPr>
        <w:t>2</w:t>
      </w:r>
      <w:r w:rsidRPr="00C74803">
        <w:rPr>
          <w:rFonts w:eastAsia="SimSun" w:cstheme="minorHAnsi"/>
          <w:lang w:val="en"/>
        </w:rPr>
        <w:t xml:space="preserve">/L/hour and as a result whole stream metabolism data was converted into the same rate. This was done using light values from nearby light loggers (Shepperton Drain 12 </w:t>
      </w:r>
      <w:proofErr w:type="spellStart"/>
      <w:r w:rsidRPr="00C74803">
        <w:rPr>
          <w:rFonts w:eastAsia="SimSun" w:cstheme="minorHAnsi"/>
          <w:lang w:val="en"/>
        </w:rPr>
        <w:t>Tahbilk</w:t>
      </w:r>
      <w:proofErr w:type="spellEnd"/>
      <w:r w:rsidRPr="00C74803">
        <w:rPr>
          <w:rFonts w:eastAsia="SimSun" w:cstheme="minorHAnsi"/>
          <w:lang w:val="en"/>
        </w:rPr>
        <w:t>, and Goulburn Weir). The whole stream metabolism values were converted by calculating the percentage of light over the study period, this percentage was then used to find the rate for each study period in mg O</w:t>
      </w:r>
      <w:r w:rsidRPr="00C74803">
        <w:rPr>
          <w:rFonts w:eastAsia="SimSun" w:cstheme="minorHAnsi"/>
          <w:vertAlign w:val="subscript"/>
          <w:lang w:val="en"/>
        </w:rPr>
        <w:t>2</w:t>
      </w:r>
      <w:r w:rsidRPr="00C74803">
        <w:rPr>
          <w:rFonts w:eastAsia="SimSun" w:cstheme="minorHAnsi"/>
          <w:lang w:val="en"/>
        </w:rPr>
        <w:t>/L/hour.</w:t>
      </w:r>
    </w:p>
    <w:p w14:paraId="454FD642" w14:textId="77777777" w:rsidR="004E5F8E" w:rsidRPr="00C74803" w:rsidRDefault="004E5F8E" w:rsidP="004E5F8E">
      <w:pPr>
        <w:rPr>
          <w:rFonts w:eastAsia="SimSun" w:cstheme="minorHAnsi"/>
          <w:lang w:val="en"/>
        </w:rPr>
      </w:pPr>
      <w:r w:rsidRPr="00C74803">
        <w:rPr>
          <w:rFonts w:eastAsia="SimSun" w:cstheme="minorHAnsi"/>
          <w:lang w:val="en"/>
        </w:rPr>
        <w:t xml:space="preserve">The light data from these sites were also used to fill missing surface light data from the site visits. This was completed by comparing the relationship between the nearby light values and actual light data recorded on-site across other visits. The light data from the nearby loggers was then used to determine the assumed light value data on-site. </w:t>
      </w:r>
    </w:p>
    <w:p w14:paraId="22DB7BAB" w14:textId="77777777" w:rsidR="004E5F8E" w:rsidRPr="00C74803" w:rsidRDefault="004E5F8E" w:rsidP="004E5F8E">
      <w:pPr>
        <w:rPr>
          <w:rFonts w:eastAsia="SimSun" w:cstheme="minorHAnsi"/>
          <w:lang w:val="en"/>
        </w:rPr>
      </w:pPr>
      <w:r w:rsidRPr="00C74803">
        <w:rPr>
          <w:rFonts w:eastAsia="SimSun" w:cstheme="minorHAnsi"/>
          <w:lang w:val="en"/>
        </w:rPr>
        <w:t xml:space="preserve">Corresponding euphotic depths, </w:t>
      </w:r>
      <w:r w:rsidRPr="00C74803">
        <w:rPr>
          <w:rFonts w:cstheme="minorHAnsi"/>
          <w:lang w:val="en"/>
        </w:rPr>
        <w:t>where euphotic depth is the depth where light intensity is reduced to 1% of the surface value and the point to which photosynthesis is assumed to occur,</w:t>
      </w:r>
      <w:r w:rsidRPr="00C74803">
        <w:rPr>
          <w:rFonts w:eastAsia="SimSun" w:cstheme="minorHAnsi"/>
          <w:lang w:val="en"/>
        </w:rPr>
        <w:t xml:space="preserve"> for these occurrences were determined using the recorded euphotic depth vs light relationship. </w:t>
      </w:r>
    </w:p>
    <w:p w14:paraId="592412DB" w14:textId="30AAE837" w:rsidR="004E5F8E" w:rsidRPr="00C74803" w:rsidRDefault="004E5F8E" w:rsidP="004E5F8E">
      <w:pPr>
        <w:rPr>
          <w:rFonts w:eastAsia="SimSun" w:cstheme="minorHAnsi"/>
          <w:lang w:val="en"/>
        </w:rPr>
      </w:pPr>
      <w:r w:rsidRPr="00C74803">
        <w:rPr>
          <w:rFonts w:eastAsia="SimSun" w:cstheme="minorHAnsi"/>
          <w:lang w:val="en"/>
        </w:rPr>
        <w:t xml:space="preserve">The percentage of riverbed above the euphotic depth was determined using the cross-sectional data provided by </w:t>
      </w:r>
      <w:proofErr w:type="spellStart"/>
      <w:r w:rsidRPr="00C74803">
        <w:rPr>
          <w:rFonts w:eastAsia="SimSun" w:cstheme="minorHAnsi"/>
          <w:lang w:val="en"/>
        </w:rPr>
        <w:t>Streamology</w:t>
      </w:r>
      <w:proofErr w:type="spellEnd"/>
      <w:r w:rsidRPr="00C74803">
        <w:rPr>
          <w:rFonts w:eastAsia="SimSun" w:cstheme="minorHAnsi"/>
          <w:lang w:val="en"/>
        </w:rPr>
        <w:t xml:space="preserve"> and the river level data, publicly available via the Department of Environment, Land, Water, and Planning (DELWP, </w:t>
      </w:r>
      <w:r w:rsidRPr="00946134">
        <w:rPr>
          <w:rFonts w:cstheme="minorHAnsi"/>
        </w:rPr>
        <w:t>https://data.water.vic.gov.au/</w:t>
      </w:r>
      <w:r w:rsidRPr="00C74803">
        <w:rPr>
          <w:rFonts w:eastAsia="SimSun" w:cstheme="minorHAnsi"/>
          <w:lang w:val="en"/>
        </w:rPr>
        <w:t xml:space="preserve">). The percentage value was calculated as the cross-sectional length of the riverbed above the euphotic depth. </w:t>
      </w:r>
    </w:p>
    <w:p w14:paraId="57F43D30" w14:textId="77777777" w:rsidR="004E5F8E" w:rsidRPr="00C74803" w:rsidRDefault="004E5F8E" w:rsidP="004E5F8E">
      <w:pPr>
        <w:rPr>
          <w:rFonts w:eastAsia="SimSun" w:cstheme="minorHAnsi"/>
          <w:lang w:val="en"/>
        </w:rPr>
      </w:pPr>
      <w:r w:rsidRPr="00C74803">
        <w:rPr>
          <w:rFonts w:eastAsia="SimSun" w:cstheme="minorHAnsi"/>
          <w:lang w:val="en"/>
        </w:rPr>
        <w:t>Charts were completed using the basic plot function in Microsoft Excel, while the correlation coefficients were determined using the correlation function in Microsoft Excel’s data analysis add-in.</w:t>
      </w:r>
    </w:p>
    <w:p w14:paraId="4FDC4E47" w14:textId="77777777" w:rsidR="004E5F8E" w:rsidRPr="00C74803" w:rsidRDefault="004E5F8E" w:rsidP="004E5F8E">
      <w:pPr>
        <w:rPr>
          <w:rFonts w:eastAsia="SimSun" w:cstheme="minorHAnsi"/>
          <w:lang w:val="en"/>
        </w:rPr>
      </w:pPr>
    </w:p>
    <w:p w14:paraId="51B3CC97" w14:textId="77777777" w:rsidR="004E5F8E" w:rsidRPr="00C74803" w:rsidRDefault="004E5F8E" w:rsidP="00DE6E94">
      <w:pPr>
        <w:pStyle w:val="ListParagraph"/>
        <w:numPr>
          <w:ilvl w:val="0"/>
          <w:numId w:val="93"/>
        </w:numPr>
        <w:spacing w:before="120" w:after="20" w:line="240" w:lineRule="atLeast"/>
        <w:ind w:left="357" w:hanging="357"/>
        <w:contextualSpacing/>
        <w:jc w:val="left"/>
        <w:rPr>
          <w:rFonts w:eastAsia="Times New Roman" w:cstheme="minorHAnsi"/>
          <w:b/>
          <w:sz w:val="28"/>
          <w:szCs w:val="28"/>
        </w:rPr>
      </w:pPr>
      <w:r w:rsidRPr="00C74803">
        <w:rPr>
          <w:rFonts w:eastAsia="Times New Roman" w:cstheme="minorHAnsi"/>
          <w:b/>
          <w:sz w:val="28"/>
          <w:szCs w:val="28"/>
        </w:rPr>
        <w:t>Results</w:t>
      </w:r>
    </w:p>
    <w:p w14:paraId="79BC8BAD" w14:textId="77777777" w:rsidR="004E5F8E" w:rsidRPr="00C74803" w:rsidRDefault="004E5F8E" w:rsidP="004E5F8E">
      <w:pPr>
        <w:rPr>
          <w:rFonts w:eastAsia="SimSun" w:cstheme="minorHAnsi"/>
          <w:lang w:val="en"/>
        </w:rPr>
      </w:pPr>
      <w:r w:rsidRPr="00C74803">
        <w:rPr>
          <w:rFonts w:eastAsia="SimSun" w:cstheme="minorHAnsi"/>
          <w:lang w:val="en"/>
        </w:rPr>
        <w:t>The results in this report are all from onsite water quality monitoring in the lower Goulburn River between the 22</w:t>
      </w:r>
      <w:r w:rsidRPr="00C74803">
        <w:rPr>
          <w:rFonts w:eastAsia="SimSun" w:cstheme="minorHAnsi"/>
          <w:vertAlign w:val="superscript"/>
          <w:lang w:val="en"/>
        </w:rPr>
        <w:t>nd</w:t>
      </w:r>
      <w:r w:rsidRPr="00C74803">
        <w:rPr>
          <w:rFonts w:eastAsia="SimSun" w:cstheme="minorHAnsi"/>
          <w:lang w:val="en"/>
        </w:rPr>
        <w:t xml:space="preserve"> of December 2020 and the 8</w:t>
      </w:r>
      <w:r w:rsidRPr="00C74803">
        <w:rPr>
          <w:rFonts w:eastAsia="SimSun" w:cstheme="minorHAnsi"/>
          <w:vertAlign w:val="superscript"/>
          <w:lang w:val="en"/>
        </w:rPr>
        <w:t>th</w:t>
      </w:r>
      <w:r w:rsidRPr="00C74803">
        <w:rPr>
          <w:rFonts w:eastAsia="SimSun" w:cstheme="minorHAnsi"/>
          <w:lang w:val="en"/>
        </w:rPr>
        <w:t xml:space="preserve"> of April 2021. Summarized data for each site is presented in tables while key figures are also presented with appropriate trend lines, if necessary. All other figures can be found in the appendix.</w:t>
      </w:r>
    </w:p>
    <w:p w14:paraId="51476F59" w14:textId="2E3D60C0" w:rsidR="004E5F8E" w:rsidRPr="00C74803" w:rsidRDefault="004E5F8E" w:rsidP="004E5F8E">
      <w:pPr>
        <w:ind w:left="578" w:hanging="578"/>
        <w:rPr>
          <w:rFonts w:eastAsia="Times New Roman" w:cstheme="minorHAnsi"/>
          <w:b/>
          <w:sz w:val="24"/>
        </w:rPr>
      </w:pPr>
      <w:r w:rsidRPr="00C74803">
        <w:rPr>
          <w:rFonts w:cstheme="minorHAnsi"/>
          <w:b/>
          <w:sz w:val="24"/>
        </w:rPr>
        <w:t xml:space="preserve">4.1 </w:t>
      </w:r>
      <w:r w:rsidRPr="00C74803">
        <w:rPr>
          <w:rFonts w:eastAsia="Times New Roman" w:cstheme="minorHAnsi"/>
          <w:b/>
          <w:sz w:val="24"/>
        </w:rPr>
        <w:t>Process</w:t>
      </w:r>
    </w:p>
    <w:p w14:paraId="3C877AC8" w14:textId="77777777" w:rsidR="004E5F8E" w:rsidRPr="00C74803" w:rsidRDefault="004E5F8E" w:rsidP="004E5F8E">
      <w:pPr>
        <w:rPr>
          <w:rFonts w:eastAsia="SimSun" w:cstheme="minorHAnsi"/>
          <w:lang w:val="en"/>
        </w:rPr>
      </w:pPr>
      <w:r w:rsidRPr="00C74803">
        <w:rPr>
          <w:rFonts w:eastAsia="SimSun" w:cstheme="minorHAnsi"/>
          <w:lang w:val="en"/>
        </w:rPr>
        <w:t>Figure 13 shows there was a clear exponential relationship between measured metabolism and light intensity within the water column.</w:t>
      </w:r>
    </w:p>
    <w:p w14:paraId="347E0F24" w14:textId="77777777" w:rsidR="004E5F8E" w:rsidRPr="007E2F7C" w:rsidRDefault="004E5F8E" w:rsidP="004E5F8E">
      <w:pPr>
        <w:rPr>
          <w:rFonts w:asciiTheme="majorBidi" w:eastAsia="SimSun" w:hAnsiTheme="majorBidi" w:cstheme="majorBidi"/>
          <w:lang w:val="en"/>
        </w:rPr>
      </w:pPr>
    </w:p>
    <w:p w14:paraId="6317B2AA" w14:textId="03B5709B" w:rsidR="004E5F8E" w:rsidRDefault="004E5F8E" w:rsidP="004E5F8E">
      <w:pPr>
        <w:keepNext/>
        <w:jc w:val="center"/>
      </w:pPr>
      <w:r w:rsidRPr="007E2F7C">
        <w:rPr>
          <w:rFonts w:asciiTheme="majorBidi" w:hAnsiTheme="majorBidi" w:cstheme="majorBidi"/>
          <w:noProof/>
          <w:lang w:val="en-GB"/>
        </w:rPr>
        <w:lastRenderedPageBreak/>
        <w:drawing>
          <wp:inline distT="0" distB="0" distL="0" distR="0" wp14:anchorId="09F5E7BF" wp14:editId="39C8485A">
            <wp:extent cx="5759450" cy="3724910"/>
            <wp:effectExtent l="0" t="0" r="12700" b="8890"/>
            <wp:docPr id="465" name="Chart 465">
              <a:extLst xmlns:a="http://schemas.openxmlformats.org/drawingml/2006/main">
                <a:ext uri="{FF2B5EF4-FFF2-40B4-BE49-F238E27FC236}">
                  <a16:creationId xmlns:a16="http://schemas.microsoft.com/office/drawing/2014/main" id="{0CAFCF33-1DD6-42BF-B545-6C0A57B495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1F2E14C1" w14:textId="77777777" w:rsidR="004E5F8E" w:rsidRPr="00056DA7" w:rsidRDefault="004E5F8E" w:rsidP="00056DA7">
      <w:pPr>
        <w:pStyle w:val="Caption"/>
        <w:keepNext/>
      </w:pPr>
      <w:bookmarkStart w:id="828" w:name="_Ref73131462"/>
      <w:bookmarkStart w:id="829" w:name="_Ref73132750"/>
      <w:r>
        <w:t>Figure</w:t>
      </w:r>
      <w:bookmarkEnd w:id="828"/>
      <w:r>
        <w:t xml:space="preserve"> 13</w:t>
      </w:r>
      <w:r w:rsidRPr="00056DA7">
        <w:t>: Average GPP vs Light Intensity</w:t>
      </w:r>
      <w:bookmarkEnd w:id="829"/>
    </w:p>
    <w:p w14:paraId="45DEE04B" w14:textId="77777777" w:rsidR="004E5F8E" w:rsidRPr="00C74803" w:rsidRDefault="004E5F8E" w:rsidP="004E5F8E">
      <w:pPr>
        <w:rPr>
          <w:rFonts w:cstheme="minorHAnsi"/>
        </w:rPr>
      </w:pPr>
    </w:p>
    <w:p w14:paraId="423A5F1D" w14:textId="77777777" w:rsidR="004E5F8E" w:rsidRPr="00C74803" w:rsidRDefault="004E5F8E" w:rsidP="004E5F8E">
      <w:pPr>
        <w:rPr>
          <w:rFonts w:cstheme="minorHAnsi"/>
        </w:rPr>
      </w:pPr>
      <w:r w:rsidRPr="00C74803">
        <w:rPr>
          <w:rFonts w:cstheme="minorHAnsi"/>
        </w:rPr>
        <w:t>The results comparing pelagic metabolism to whole stream metabolism across all three sites shows much greater variability in whole stream results when compared to pelagic metabolism. Including outliers with extreme percentages of pelagic metabolism, the average percentage is 46%, and excluding values where the percentage is above 100%, the average is reduced to 40%. This infers that the majority of metabolism occurring throughout the river can be attributed to benthic metabolism (Table 2, Table 4, and Table 6).</w:t>
      </w:r>
    </w:p>
    <w:p w14:paraId="0C6A863F" w14:textId="62ADAF64" w:rsidR="004E5F8E" w:rsidRPr="00C74803" w:rsidRDefault="004E5F8E" w:rsidP="004E5F8E">
      <w:pPr>
        <w:ind w:left="578" w:hanging="578"/>
        <w:rPr>
          <w:rFonts w:cstheme="minorHAnsi"/>
          <w:b/>
          <w:sz w:val="24"/>
        </w:rPr>
      </w:pPr>
      <w:r w:rsidRPr="00C74803">
        <w:rPr>
          <w:rFonts w:cstheme="minorHAnsi"/>
          <w:b/>
          <w:sz w:val="24"/>
        </w:rPr>
        <w:t>4.2 Darcy’s Track</w:t>
      </w:r>
    </w:p>
    <w:p w14:paraId="1B98D9BE" w14:textId="4484A0C3" w:rsidR="004E5F8E" w:rsidRPr="00056DA7" w:rsidRDefault="004E5F8E" w:rsidP="007D4B6C">
      <w:pPr>
        <w:pStyle w:val="Caption"/>
        <w:keepNext/>
      </w:pPr>
      <w:bookmarkStart w:id="830" w:name="_Ref73133528"/>
      <w:r>
        <w:t>Table</w:t>
      </w:r>
      <w:bookmarkEnd w:id="830"/>
      <w:r>
        <w:t xml:space="preserve"> 2</w:t>
      </w:r>
      <w:r w:rsidRPr="00056DA7">
        <w:t>: Darcy’s Track results</w:t>
      </w:r>
    </w:p>
    <w:tbl>
      <w:tblPr>
        <w:tblStyle w:val="GridTable2"/>
        <w:tblW w:w="10773" w:type="dxa"/>
        <w:jc w:val="center"/>
        <w:tblLook w:val="04A0" w:firstRow="1" w:lastRow="0" w:firstColumn="1" w:lastColumn="0" w:noHBand="0" w:noVBand="1"/>
      </w:tblPr>
      <w:tblGrid>
        <w:gridCol w:w="1134"/>
        <w:gridCol w:w="1418"/>
        <w:gridCol w:w="2268"/>
        <w:gridCol w:w="992"/>
        <w:gridCol w:w="1261"/>
        <w:gridCol w:w="960"/>
        <w:gridCol w:w="898"/>
        <w:gridCol w:w="992"/>
        <w:gridCol w:w="850"/>
      </w:tblGrid>
      <w:tr w:rsidR="004E5F8E" w:rsidRPr="007E2F7C" w14:paraId="72C7A5B1" w14:textId="77777777" w:rsidTr="002460B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14:paraId="51E60BFD" w14:textId="77777777" w:rsidR="004E5F8E" w:rsidRPr="003B3F4F" w:rsidRDefault="004E5F8E" w:rsidP="002460B7">
            <w:pPr>
              <w:jc w:val="center"/>
              <w:rPr>
                <w:rFonts w:asciiTheme="majorBidi" w:hAnsiTheme="majorBidi" w:cstheme="majorBidi"/>
                <w:i/>
                <w:color w:val="000000"/>
              </w:rPr>
            </w:pPr>
            <w:r w:rsidRPr="003B3F4F">
              <w:rPr>
                <w:rFonts w:asciiTheme="majorBidi" w:hAnsiTheme="majorBidi" w:cstheme="majorBidi"/>
                <w:i/>
                <w:color w:val="000000"/>
              </w:rPr>
              <w:t>Date</w:t>
            </w:r>
          </w:p>
        </w:tc>
        <w:tc>
          <w:tcPr>
            <w:tcW w:w="1418" w:type="dxa"/>
            <w:noWrap/>
            <w:hideMark/>
          </w:tcPr>
          <w:p w14:paraId="0166CB12"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3B3F4F">
              <w:rPr>
                <w:rFonts w:asciiTheme="majorBidi" w:hAnsiTheme="majorBidi" w:cstheme="majorBidi"/>
                <w:i/>
                <w:color w:val="000000"/>
              </w:rPr>
              <w:t>Pelagic GPP</w:t>
            </w:r>
          </w:p>
          <w:p w14:paraId="5F892311"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3B3F4F">
              <w:rPr>
                <w:rFonts w:asciiTheme="majorBidi" w:hAnsiTheme="majorBidi" w:cstheme="majorBidi"/>
                <w:i/>
                <w:color w:val="000000"/>
              </w:rPr>
              <w:t>(mg O</w:t>
            </w:r>
            <w:r w:rsidRPr="003B3F4F">
              <w:rPr>
                <w:rFonts w:asciiTheme="majorBidi" w:hAnsiTheme="majorBidi" w:cstheme="majorBidi"/>
                <w:i/>
                <w:color w:val="000000"/>
                <w:vertAlign w:val="subscript"/>
              </w:rPr>
              <w:t>2</w:t>
            </w:r>
            <w:r w:rsidRPr="003B3F4F">
              <w:rPr>
                <w:rFonts w:asciiTheme="majorBidi" w:hAnsiTheme="majorBidi" w:cstheme="majorBidi"/>
                <w:i/>
                <w:color w:val="000000"/>
                <w:vertAlign w:val="subscript"/>
              </w:rPr>
              <w:softHyphen/>
            </w:r>
            <w:r w:rsidRPr="003B3F4F">
              <w:rPr>
                <w:rFonts w:asciiTheme="majorBidi" w:hAnsiTheme="majorBidi" w:cstheme="majorBidi"/>
                <w:i/>
                <w:color w:val="000000"/>
              </w:rPr>
              <w:t>/L/h)</w:t>
            </w:r>
          </w:p>
        </w:tc>
        <w:tc>
          <w:tcPr>
            <w:tcW w:w="2268" w:type="dxa"/>
            <w:noWrap/>
            <w:hideMark/>
          </w:tcPr>
          <w:p w14:paraId="2B131F7D"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3B3F4F">
              <w:rPr>
                <w:rFonts w:asciiTheme="majorBidi" w:hAnsiTheme="majorBidi" w:cstheme="majorBidi"/>
                <w:i/>
                <w:color w:val="000000"/>
              </w:rPr>
              <w:t>Whole stream GPP</w:t>
            </w:r>
          </w:p>
          <w:p w14:paraId="17ABDB53"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3B3F4F">
              <w:rPr>
                <w:rFonts w:asciiTheme="majorBidi" w:hAnsiTheme="majorBidi" w:cstheme="majorBidi"/>
                <w:i/>
                <w:color w:val="000000"/>
              </w:rPr>
              <w:t>(mg O</w:t>
            </w:r>
            <w:r w:rsidRPr="003B3F4F">
              <w:rPr>
                <w:rFonts w:asciiTheme="majorBidi" w:hAnsiTheme="majorBidi" w:cstheme="majorBidi"/>
                <w:i/>
                <w:color w:val="000000"/>
                <w:vertAlign w:val="subscript"/>
              </w:rPr>
              <w:t>2</w:t>
            </w:r>
            <w:r w:rsidRPr="003B3F4F">
              <w:rPr>
                <w:rFonts w:asciiTheme="majorBidi" w:hAnsiTheme="majorBidi" w:cstheme="majorBidi"/>
                <w:i/>
                <w:color w:val="000000"/>
                <w:vertAlign w:val="subscript"/>
              </w:rPr>
              <w:softHyphen/>
            </w:r>
            <w:r w:rsidRPr="003B3F4F">
              <w:rPr>
                <w:rFonts w:asciiTheme="majorBidi" w:hAnsiTheme="majorBidi" w:cstheme="majorBidi"/>
                <w:i/>
                <w:color w:val="000000"/>
              </w:rPr>
              <w:t>/L/h)</w:t>
            </w:r>
          </w:p>
        </w:tc>
        <w:tc>
          <w:tcPr>
            <w:tcW w:w="992" w:type="dxa"/>
            <w:noWrap/>
            <w:hideMark/>
          </w:tcPr>
          <w:p w14:paraId="3709BB9F"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3B3F4F">
              <w:rPr>
                <w:rFonts w:asciiTheme="majorBidi" w:hAnsiTheme="majorBidi" w:cstheme="majorBidi"/>
                <w:i/>
                <w:color w:val="000000"/>
              </w:rPr>
              <w:t>Pelagic %</w:t>
            </w:r>
          </w:p>
        </w:tc>
        <w:tc>
          <w:tcPr>
            <w:tcW w:w="1261" w:type="dxa"/>
            <w:noWrap/>
            <w:hideMark/>
          </w:tcPr>
          <w:p w14:paraId="0B6F8CA5"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3B3F4F">
              <w:rPr>
                <w:rFonts w:asciiTheme="majorBidi" w:hAnsiTheme="majorBidi" w:cstheme="majorBidi"/>
                <w:i/>
                <w:color w:val="000000"/>
              </w:rPr>
              <w:t>Temp</w:t>
            </w:r>
          </w:p>
          <w:p w14:paraId="51734D2A"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3B3F4F">
              <w:rPr>
                <w:rFonts w:asciiTheme="majorBidi" w:hAnsiTheme="majorBidi" w:cstheme="majorBidi"/>
                <w:i/>
                <w:color w:val="000000"/>
              </w:rPr>
              <w:t>(°C)</w:t>
            </w:r>
          </w:p>
        </w:tc>
        <w:tc>
          <w:tcPr>
            <w:tcW w:w="960" w:type="dxa"/>
            <w:noWrap/>
            <w:hideMark/>
          </w:tcPr>
          <w:p w14:paraId="4F641913"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3B3F4F">
              <w:rPr>
                <w:rFonts w:asciiTheme="majorBidi" w:hAnsiTheme="majorBidi" w:cstheme="majorBidi"/>
                <w:i/>
                <w:color w:val="000000"/>
              </w:rPr>
              <w:t>DOC</w:t>
            </w:r>
          </w:p>
          <w:p w14:paraId="4E22DF6B"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3B3F4F">
              <w:rPr>
                <w:rFonts w:asciiTheme="majorBidi" w:hAnsiTheme="majorBidi" w:cstheme="majorBidi"/>
                <w:i/>
                <w:iCs/>
                <w:color w:val="000000"/>
              </w:rPr>
              <w:t>(</w:t>
            </w:r>
            <w:r w:rsidRPr="003B3F4F">
              <w:rPr>
                <w:rFonts w:asciiTheme="majorBidi" w:hAnsiTheme="majorBidi" w:cstheme="majorBidi"/>
                <w:i/>
                <w:color w:val="000000"/>
              </w:rPr>
              <w:t>mg/L</w:t>
            </w:r>
            <w:r w:rsidRPr="003B3F4F">
              <w:rPr>
                <w:rFonts w:asciiTheme="majorBidi" w:hAnsiTheme="majorBidi" w:cstheme="majorBidi"/>
                <w:i/>
                <w:iCs/>
                <w:color w:val="000000"/>
              </w:rPr>
              <w:t>)</w:t>
            </w:r>
          </w:p>
        </w:tc>
        <w:tc>
          <w:tcPr>
            <w:tcW w:w="898" w:type="dxa"/>
            <w:noWrap/>
            <w:hideMark/>
          </w:tcPr>
          <w:p w14:paraId="2AE1ECD4"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3B3F4F">
              <w:rPr>
                <w:rFonts w:asciiTheme="majorBidi" w:hAnsiTheme="majorBidi" w:cstheme="majorBidi"/>
                <w:i/>
                <w:color w:val="000000"/>
              </w:rPr>
              <w:t>TP</w:t>
            </w:r>
          </w:p>
          <w:p w14:paraId="38475C81"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3B3F4F">
              <w:rPr>
                <w:rFonts w:asciiTheme="majorBidi" w:hAnsiTheme="majorBidi" w:cstheme="majorBidi"/>
                <w:i/>
                <w:iCs/>
                <w:color w:val="000000"/>
              </w:rPr>
              <w:t>(</w:t>
            </w:r>
            <w:r w:rsidRPr="003B3F4F">
              <w:rPr>
                <w:rFonts w:asciiTheme="majorBidi" w:hAnsiTheme="majorBidi" w:cstheme="majorBidi"/>
                <w:i/>
                <w:color w:val="000000"/>
              </w:rPr>
              <w:t>mg/L</w:t>
            </w:r>
            <w:r w:rsidRPr="003B3F4F">
              <w:rPr>
                <w:rFonts w:asciiTheme="majorBidi" w:hAnsiTheme="majorBidi" w:cstheme="majorBidi"/>
                <w:i/>
                <w:iCs/>
                <w:color w:val="000000"/>
              </w:rPr>
              <w:t>)</w:t>
            </w:r>
          </w:p>
        </w:tc>
        <w:tc>
          <w:tcPr>
            <w:tcW w:w="992" w:type="dxa"/>
            <w:noWrap/>
            <w:hideMark/>
          </w:tcPr>
          <w:p w14:paraId="24B49263"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3B3F4F">
              <w:rPr>
                <w:rFonts w:asciiTheme="majorBidi" w:hAnsiTheme="majorBidi" w:cstheme="majorBidi"/>
                <w:i/>
                <w:color w:val="000000"/>
              </w:rPr>
              <w:t>TN</w:t>
            </w:r>
          </w:p>
          <w:p w14:paraId="3E60AB6B"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3B3F4F">
              <w:rPr>
                <w:rFonts w:asciiTheme="majorBidi" w:hAnsiTheme="majorBidi" w:cstheme="majorBidi"/>
                <w:i/>
                <w:iCs/>
                <w:color w:val="000000"/>
              </w:rPr>
              <w:t>(</w:t>
            </w:r>
            <w:r w:rsidRPr="003B3F4F">
              <w:rPr>
                <w:rFonts w:asciiTheme="majorBidi" w:hAnsiTheme="majorBidi" w:cstheme="majorBidi"/>
                <w:i/>
                <w:color w:val="000000"/>
              </w:rPr>
              <w:t>mg/L</w:t>
            </w:r>
            <w:r w:rsidRPr="003B3F4F">
              <w:rPr>
                <w:rFonts w:asciiTheme="majorBidi" w:hAnsiTheme="majorBidi" w:cstheme="majorBidi"/>
                <w:i/>
                <w:iCs/>
                <w:color w:val="000000"/>
              </w:rPr>
              <w:t>)</w:t>
            </w:r>
          </w:p>
        </w:tc>
        <w:tc>
          <w:tcPr>
            <w:tcW w:w="850" w:type="dxa"/>
            <w:noWrap/>
            <w:hideMark/>
          </w:tcPr>
          <w:p w14:paraId="1D9CFE57"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3B3F4F">
              <w:rPr>
                <w:rFonts w:asciiTheme="majorBidi" w:hAnsiTheme="majorBidi" w:cstheme="majorBidi"/>
                <w:i/>
                <w:color w:val="000000"/>
              </w:rPr>
              <w:t>NH3</w:t>
            </w:r>
          </w:p>
          <w:p w14:paraId="2AD61A9C" w14:textId="77777777" w:rsidR="004E5F8E" w:rsidRPr="003B3F4F"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3B3F4F">
              <w:rPr>
                <w:rFonts w:asciiTheme="majorBidi" w:hAnsiTheme="majorBidi" w:cstheme="majorBidi"/>
                <w:i/>
                <w:iCs/>
                <w:color w:val="000000"/>
              </w:rPr>
              <w:t>(</w:t>
            </w:r>
            <w:r w:rsidRPr="003B3F4F">
              <w:rPr>
                <w:rFonts w:asciiTheme="majorBidi" w:hAnsiTheme="majorBidi" w:cstheme="majorBidi"/>
                <w:i/>
                <w:color w:val="000000"/>
              </w:rPr>
              <w:t>mg/L</w:t>
            </w:r>
            <w:r w:rsidRPr="003B3F4F">
              <w:rPr>
                <w:rFonts w:asciiTheme="majorBidi" w:hAnsiTheme="majorBidi" w:cstheme="majorBidi"/>
                <w:i/>
                <w:iCs/>
                <w:color w:val="000000"/>
              </w:rPr>
              <w:t>)</w:t>
            </w:r>
          </w:p>
        </w:tc>
      </w:tr>
      <w:tr w:rsidR="004E5F8E" w:rsidRPr="007E2F7C" w14:paraId="7E9E6515" w14:textId="77777777" w:rsidTr="00246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14:paraId="702C5B07"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22-Dec</w:t>
            </w:r>
          </w:p>
        </w:tc>
        <w:tc>
          <w:tcPr>
            <w:tcW w:w="1418" w:type="dxa"/>
            <w:noWrap/>
            <w:hideMark/>
          </w:tcPr>
          <w:p w14:paraId="70AD12C0"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0.129</w:t>
            </w:r>
          </w:p>
        </w:tc>
        <w:tc>
          <w:tcPr>
            <w:tcW w:w="2268" w:type="dxa"/>
            <w:noWrap/>
            <w:hideMark/>
          </w:tcPr>
          <w:p w14:paraId="3AB54FA7"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0.530</w:t>
            </w:r>
          </w:p>
        </w:tc>
        <w:tc>
          <w:tcPr>
            <w:tcW w:w="992" w:type="dxa"/>
            <w:noWrap/>
            <w:hideMark/>
          </w:tcPr>
          <w:p w14:paraId="58BD95E7"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24.34</w:t>
            </w:r>
          </w:p>
        </w:tc>
        <w:tc>
          <w:tcPr>
            <w:tcW w:w="1261" w:type="dxa"/>
            <w:noWrap/>
            <w:hideMark/>
          </w:tcPr>
          <w:p w14:paraId="7C2CAFC2"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21.3</w:t>
            </w:r>
          </w:p>
        </w:tc>
        <w:tc>
          <w:tcPr>
            <w:tcW w:w="960" w:type="dxa"/>
            <w:noWrap/>
            <w:hideMark/>
          </w:tcPr>
          <w:p w14:paraId="595F9472"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2.81</w:t>
            </w:r>
          </w:p>
        </w:tc>
        <w:tc>
          <w:tcPr>
            <w:tcW w:w="898" w:type="dxa"/>
            <w:noWrap/>
            <w:hideMark/>
          </w:tcPr>
          <w:p w14:paraId="42CEB3B4"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0.018</w:t>
            </w:r>
          </w:p>
        </w:tc>
        <w:tc>
          <w:tcPr>
            <w:tcW w:w="992" w:type="dxa"/>
            <w:noWrap/>
            <w:hideMark/>
          </w:tcPr>
          <w:p w14:paraId="0ED0D583"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0.323</w:t>
            </w:r>
          </w:p>
        </w:tc>
        <w:tc>
          <w:tcPr>
            <w:tcW w:w="850" w:type="dxa"/>
            <w:noWrap/>
            <w:hideMark/>
          </w:tcPr>
          <w:p w14:paraId="7C9BC340"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0.033</w:t>
            </w:r>
          </w:p>
        </w:tc>
      </w:tr>
      <w:tr w:rsidR="004E5F8E" w:rsidRPr="007E2F7C" w14:paraId="6B58BD65" w14:textId="77777777" w:rsidTr="002460B7">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14:paraId="1D98DA21"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11-Jan</w:t>
            </w:r>
          </w:p>
        </w:tc>
        <w:tc>
          <w:tcPr>
            <w:tcW w:w="1418" w:type="dxa"/>
            <w:noWrap/>
            <w:hideMark/>
          </w:tcPr>
          <w:p w14:paraId="0BF4F570"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0.133</w:t>
            </w:r>
          </w:p>
        </w:tc>
        <w:tc>
          <w:tcPr>
            <w:tcW w:w="2268" w:type="dxa"/>
            <w:noWrap/>
            <w:hideMark/>
          </w:tcPr>
          <w:p w14:paraId="4F788E2C"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1.294</w:t>
            </w:r>
          </w:p>
        </w:tc>
        <w:tc>
          <w:tcPr>
            <w:tcW w:w="992" w:type="dxa"/>
            <w:noWrap/>
            <w:hideMark/>
          </w:tcPr>
          <w:p w14:paraId="5EF30892"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10.29</w:t>
            </w:r>
          </w:p>
        </w:tc>
        <w:tc>
          <w:tcPr>
            <w:tcW w:w="1261" w:type="dxa"/>
            <w:noWrap/>
            <w:hideMark/>
          </w:tcPr>
          <w:p w14:paraId="2C9CBA08"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25.0</w:t>
            </w:r>
          </w:p>
        </w:tc>
        <w:tc>
          <w:tcPr>
            <w:tcW w:w="960" w:type="dxa"/>
            <w:noWrap/>
            <w:hideMark/>
          </w:tcPr>
          <w:p w14:paraId="13999B74"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2.02</w:t>
            </w:r>
          </w:p>
        </w:tc>
        <w:tc>
          <w:tcPr>
            <w:tcW w:w="898" w:type="dxa"/>
            <w:noWrap/>
            <w:hideMark/>
          </w:tcPr>
          <w:p w14:paraId="06ED5CC1"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w:t>
            </w:r>
          </w:p>
        </w:tc>
        <w:tc>
          <w:tcPr>
            <w:tcW w:w="992" w:type="dxa"/>
            <w:noWrap/>
            <w:hideMark/>
          </w:tcPr>
          <w:p w14:paraId="5B0C00A6"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0.268</w:t>
            </w:r>
          </w:p>
        </w:tc>
        <w:tc>
          <w:tcPr>
            <w:tcW w:w="850" w:type="dxa"/>
            <w:noWrap/>
            <w:hideMark/>
          </w:tcPr>
          <w:p w14:paraId="7681C468"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0.010</w:t>
            </w:r>
          </w:p>
        </w:tc>
      </w:tr>
      <w:tr w:rsidR="004E5F8E" w:rsidRPr="007E2F7C" w14:paraId="1FE98323" w14:textId="77777777" w:rsidTr="00246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14:paraId="4666B005"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27-Jan</w:t>
            </w:r>
          </w:p>
        </w:tc>
        <w:tc>
          <w:tcPr>
            <w:tcW w:w="1418" w:type="dxa"/>
            <w:noWrap/>
            <w:hideMark/>
          </w:tcPr>
          <w:p w14:paraId="6C7B920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0.138</w:t>
            </w:r>
          </w:p>
        </w:tc>
        <w:tc>
          <w:tcPr>
            <w:tcW w:w="2268" w:type="dxa"/>
            <w:noWrap/>
            <w:hideMark/>
          </w:tcPr>
          <w:p w14:paraId="5B9EB538"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0.991</w:t>
            </w:r>
          </w:p>
        </w:tc>
        <w:tc>
          <w:tcPr>
            <w:tcW w:w="992" w:type="dxa"/>
            <w:noWrap/>
            <w:hideMark/>
          </w:tcPr>
          <w:p w14:paraId="729AFDAE"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14.01</w:t>
            </w:r>
          </w:p>
        </w:tc>
        <w:tc>
          <w:tcPr>
            <w:tcW w:w="1261" w:type="dxa"/>
            <w:noWrap/>
            <w:hideMark/>
          </w:tcPr>
          <w:p w14:paraId="3F030255"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23.3</w:t>
            </w:r>
          </w:p>
        </w:tc>
        <w:tc>
          <w:tcPr>
            <w:tcW w:w="960" w:type="dxa"/>
            <w:noWrap/>
            <w:hideMark/>
          </w:tcPr>
          <w:p w14:paraId="717D561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2.62</w:t>
            </w:r>
          </w:p>
        </w:tc>
        <w:tc>
          <w:tcPr>
            <w:tcW w:w="898" w:type="dxa"/>
            <w:noWrap/>
            <w:hideMark/>
          </w:tcPr>
          <w:p w14:paraId="705D6B34"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w:t>
            </w:r>
          </w:p>
        </w:tc>
        <w:tc>
          <w:tcPr>
            <w:tcW w:w="992" w:type="dxa"/>
            <w:noWrap/>
            <w:hideMark/>
          </w:tcPr>
          <w:p w14:paraId="4AE68D9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0.308</w:t>
            </w:r>
          </w:p>
        </w:tc>
        <w:tc>
          <w:tcPr>
            <w:tcW w:w="850" w:type="dxa"/>
            <w:noWrap/>
            <w:hideMark/>
          </w:tcPr>
          <w:p w14:paraId="09D3DD9D"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0.012</w:t>
            </w:r>
          </w:p>
        </w:tc>
      </w:tr>
      <w:tr w:rsidR="004E5F8E" w:rsidRPr="007E2F7C" w14:paraId="18A7AEE8" w14:textId="77777777" w:rsidTr="002460B7">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14:paraId="5C58AAE8"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9-Feb</w:t>
            </w:r>
          </w:p>
        </w:tc>
        <w:tc>
          <w:tcPr>
            <w:tcW w:w="1418" w:type="dxa"/>
            <w:noWrap/>
            <w:hideMark/>
          </w:tcPr>
          <w:p w14:paraId="50A17446"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0.144</w:t>
            </w:r>
          </w:p>
        </w:tc>
        <w:tc>
          <w:tcPr>
            <w:tcW w:w="2268" w:type="dxa"/>
            <w:noWrap/>
            <w:hideMark/>
          </w:tcPr>
          <w:p w14:paraId="5CF69425"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0.230</w:t>
            </w:r>
          </w:p>
        </w:tc>
        <w:tc>
          <w:tcPr>
            <w:tcW w:w="992" w:type="dxa"/>
            <w:noWrap/>
            <w:hideMark/>
          </w:tcPr>
          <w:p w14:paraId="7A9E2CCC"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63.07</w:t>
            </w:r>
          </w:p>
        </w:tc>
        <w:tc>
          <w:tcPr>
            <w:tcW w:w="1261" w:type="dxa"/>
            <w:noWrap/>
            <w:hideMark/>
          </w:tcPr>
          <w:p w14:paraId="21299AC1"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20.6</w:t>
            </w:r>
          </w:p>
        </w:tc>
        <w:tc>
          <w:tcPr>
            <w:tcW w:w="960" w:type="dxa"/>
            <w:noWrap/>
            <w:hideMark/>
          </w:tcPr>
          <w:p w14:paraId="54228F57"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3.08</w:t>
            </w:r>
          </w:p>
        </w:tc>
        <w:tc>
          <w:tcPr>
            <w:tcW w:w="898" w:type="dxa"/>
            <w:noWrap/>
            <w:hideMark/>
          </w:tcPr>
          <w:p w14:paraId="4CE1E368"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w:t>
            </w:r>
          </w:p>
        </w:tc>
        <w:tc>
          <w:tcPr>
            <w:tcW w:w="992" w:type="dxa"/>
            <w:noWrap/>
            <w:hideMark/>
          </w:tcPr>
          <w:p w14:paraId="10DDEEB7"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0.340</w:t>
            </w:r>
          </w:p>
        </w:tc>
        <w:tc>
          <w:tcPr>
            <w:tcW w:w="850" w:type="dxa"/>
            <w:noWrap/>
            <w:hideMark/>
          </w:tcPr>
          <w:p w14:paraId="2D1BA578"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0.014</w:t>
            </w:r>
          </w:p>
        </w:tc>
      </w:tr>
      <w:tr w:rsidR="004E5F8E" w:rsidRPr="007E2F7C" w14:paraId="0A11F641" w14:textId="77777777" w:rsidTr="00246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14:paraId="73EDCA9A"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1-Mar</w:t>
            </w:r>
          </w:p>
        </w:tc>
        <w:tc>
          <w:tcPr>
            <w:tcW w:w="1418" w:type="dxa"/>
            <w:noWrap/>
            <w:hideMark/>
          </w:tcPr>
          <w:p w14:paraId="04826B5D"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0.131</w:t>
            </w:r>
          </w:p>
        </w:tc>
        <w:tc>
          <w:tcPr>
            <w:tcW w:w="2268" w:type="dxa"/>
            <w:noWrap/>
            <w:hideMark/>
          </w:tcPr>
          <w:p w14:paraId="1A5D742D"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0.323</w:t>
            </w:r>
          </w:p>
        </w:tc>
        <w:tc>
          <w:tcPr>
            <w:tcW w:w="992" w:type="dxa"/>
            <w:noWrap/>
            <w:hideMark/>
          </w:tcPr>
          <w:p w14:paraId="0E3EAE54"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40.88</w:t>
            </w:r>
          </w:p>
        </w:tc>
        <w:tc>
          <w:tcPr>
            <w:tcW w:w="1261" w:type="dxa"/>
            <w:noWrap/>
            <w:hideMark/>
          </w:tcPr>
          <w:p w14:paraId="15B2870A"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20.0</w:t>
            </w:r>
          </w:p>
        </w:tc>
        <w:tc>
          <w:tcPr>
            <w:tcW w:w="960" w:type="dxa"/>
            <w:noWrap/>
            <w:hideMark/>
          </w:tcPr>
          <w:p w14:paraId="7CF338C9"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3.08</w:t>
            </w:r>
          </w:p>
        </w:tc>
        <w:tc>
          <w:tcPr>
            <w:tcW w:w="898" w:type="dxa"/>
            <w:noWrap/>
            <w:hideMark/>
          </w:tcPr>
          <w:p w14:paraId="19D67307"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w:t>
            </w:r>
          </w:p>
        </w:tc>
        <w:tc>
          <w:tcPr>
            <w:tcW w:w="992" w:type="dxa"/>
            <w:noWrap/>
            <w:hideMark/>
          </w:tcPr>
          <w:p w14:paraId="53079EB2"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0.248</w:t>
            </w:r>
          </w:p>
        </w:tc>
        <w:tc>
          <w:tcPr>
            <w:tcW w:w="850" w:type="dxa"/>
            <w:noWrap/>
            <w:hideMark/>
          </w:tcPr>
          <w:p w14:paraId="665FF39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0.006</w:t>
            </w:r>
          </w:p>
        </w:tc>
      </w:tr>
      <w:tr w:rsidR="004E5F8E" w:rsidRPr="007E2F7C" w14:paraId="0C6E8DF4" w14:textId="77777777" w:rsidTr="002460B7">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14:paraId="6E20C6C5"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15-Mar</w:t>
            </w:r>
          </w:p>
        </w:tc>
        <w:tc>
          <w:tcPr>
            <w:tcW w:w="1418" w:type="dxa"/>
            <w:noWrap/>
            <w:hideMark/>
          </w:tcPr>
          <w:p w14:paraId="7A766561"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0.162</w:t>
            </w:r>
          </w:p>
        </w:tc>
        <w:tc>
          <w:tcPr>
            <w:tcW w:w="2268" w:type="dxa"/>
            <w:noWrap/>
            <w:hideMark/>
          </w:tcPr>
          <w:p w14:paraId="2B1C3725"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0.257</w:t>
            </w:r>
          </w:p>
        </w:tc>
        <w:tc>
          <w:tcPr>
            <w:tcW w:w="992" w:type="dxa"/>
            <w:noWrap/>
            <w:hideMark/>
          </w:tcPr>
          <w:p w14:paraId="747C587C"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63.06</w:t>
            </w:r>
          </w:p>
        </w:tc>
        <w:tc>
          <w:tcPr>
            <w:tcW w:w="1261" w:type="dxa"/>
            <w:noWrap/>
            <w:hideMark/>
          </w:tcPr>
          <w:p w14:paraId="615B8947"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18.2</w:t>
            </w:r>
          </w:p>
        </w:tc>
        <w:tc>
          <w:tcPr>
            <w:tcW w:w="960" w:type="dxa"/>
            <w:noWrap/>
            <w:hideMark/>
          </w:tcPr>
          <w:p w14:paraId="0FAE48EE"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2.32</w:t>
            </w:r>
          </w:p>
        </w:tc>
        <w:tc>
          <w:tcPr>
            <w:tcW w:w="898" w:type="dxa"/>
            <w:noWrap/>
            <w:hideMark/>
          </w:tcPr>
          <w:p w14:paraId="2C3087A9"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w:t>
            </w:r>
          </w:p>
        </w:tc>
        <w:tc>
          <w:tcPr>
            <w:tcW w:w="992" w:type="dxa"/>
            <w:noWrap/>
            <w:hideMark/>
          </w:tcPr>
          <w:p w14:paraId="5CD136E2"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0.296</w:t>
            </w:r>
          </w:p>
        </w:tc>
        <w:tc>
          <w:tcPr>
            <w:tcW w:w="850" w:type="dxa"/>
            <w:noWrap/>
            <w:hideMark/>
          </w:tcPr>
          <w:p w14:paraId="613369CB"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0.009</w:t>
            </w:r>
          </w:p>
        </w:tc>
      </w:tr>
      <w:tr w:rsidR="004E5F8E" w:rsidRPr="007E2F7C" w14:paraId="0068395B" w14:textId="77777777" w:rsidTr="00246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14:paraId="08489120"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8-Apr</w:t>
            </w:r>
          </w:p>
        </w:tc>
        <w:tc>
          <w:tcPr>
            <w:tcW w:w="1418" w:type="dxa"/>
            <w:noWrap/>
            <w:hideMark/>
          </w:tcPr>
          <w:p w14:paraId="62F4370A"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0.164</w:t>
            </w:r>
          </w:p>
        </w:tc>
        <w:tc>
          <w:tcPr>
            <w:tcW w:w="2268" w:type="dxa"/>
            <w:noWrap/>
            <w:hideMark/>
          </w:tcPr>
          <w:p w14:paraId="4DF0603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0.330</w:t>
            </w:r>
          </w:p>
        </w:tc>
        <w:tc>
          <w:tcPr>
            <w:tcW w:w="992" w:type="dxa"/>
            <w:noWrap/>
            <w:hideMark/>
          </w:tcPr>
          <w:p w14:paraId="19A8C354"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49.80</w:t>
            </w:r>
          </w:p>
        </w:tc>
        <w:tc>
          <w:tcPr>
            <w:tcW w:w="1261" w:type="dxa"/>
            <w:noWrap/>
            <w:hideMark/>
          </w:tcPr>
          <w:p w14:paraId="7A5A25B5"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18.6</w:t>
            </w:r>
          </w:p>
        </w:tc>
        <w:tc>
          <w:tcPr>
            <w:tcW w:w="960" w:type="dxa"/>
            <w:noWrap/>
            <w:hideMark/>
          </w:tcPr>
          <w:p w14:paraId="6F6599C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2.66</w:t>
            </w:r>
          </w:p>
        </w:tc>
        <w:tc>
          <w:tcPr>
            <w:tcW w:w="898" w:type="dxa"/>
            <w:noWrap/>
            <w:hideMark/>
          </w:tcPr>
          <w:p w14:paraId="27CA097E"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w:t>
            </w:r>
          </w:p>
        </w:tc>
        <w:tc>
          <w:tcPr>
            <w:tcW w:w="992" w:type="dxa"/>
            <w:noWrap/>
            <w:hideMark/>
          </w:tcPr>
          <w:p w14:paraId="0CDAED49"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0.354</w:t>
            </w:r>
          </w:p>
        </w:tc>
        <w:tc>
          <w:tcPr>
            <w:tcW w:w="850" w:type="dxa"/>
            <w:noWrap/>
            <w:hideMark/>
          </w:tcPr>
          <w:p w14:paraId="45CDBA13"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0.016</w:t>
            </w:r>
          </w:p>
        </w:tc>
      </w:tr>
    </w:tbl>
    <w:p w14:paraId="396D125B" w14:textId="77777777" w:rsidR="004E5F8E" w:rsidRPr="007E2F7C" w:rsidRDefault="004E5F8E" w:rsidP="004E5F8E">
      <w:pPr>
        <w:pStyle w:val="Caption"/>
        <w:keepNext/>
        <w:jc w:val="left"/>
        <w:rPr>
          <w:rFonts w:asciiTheme="majorBidi" w:hAnsiTheme="majorBidi" w:cstheme="majorBidi"/>
        </w:rPr>
      </w:pPr>
    </w:p>
    <w:p w14:paraId="5A7826D0" w14:textId="77777777" w:rsidR="009859AC" w:rsidRPr="00056DA7" w:rsidRDefault="009859AC" w:rsidP="009859AC">
      <w:pPr>
        <w:pStyle w:val="Caption"/>
        <w:keepNext/>
      </w:pPr>
      <w:r>
        <w:t>Table 3</w:t>
      </w:r>
      <w:r w:rsidRPr="00056DA7">
        <w:t>: Darcy’s Track results</w:t>
      </w:r>
    </w:p>
    <w:tbl>
      <w:tblPr>
        <w:tblStyle w:val="GridTable2"/>
        <w:tblW w:w="10632" w:type="dxa"/>
        <w:jc w:val="center"/>
        <w:tblLook w:val="04A0" w:firstRow="1" w:lastRow="0" w:firstColumn="1" w:lastColumn="0" w:noHBand="0" w:noVBand="1"/>
      </w:tblPr>
      <w:tblGrid>
        <w:gridCol w:w="997"/>
        <w:gridCol w:w="846"/>
        <w:gridCol w:w="851"/>
        <w:gridCol w:w="1559"/>
        <w:gridCol w:w="1134"/>
        <w:gridCol w:w="1134"/>
        <w:gridCol w:w="1418"/>
        <w:gridCol w:w="1275"/>
        <w:gridCol w:w="1418"/>
      </w:tblGrid>
      <w:tr w:rsidR="009859AC" w:rsidRPr="00251589" w14:paraId="266E79EF" w14:textId="77777777" w:rsidTr="001B3C1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7" w:type="dxa"/>
          </w:tcPr>
          <w:p w14:paraId="4E75DCB1" w14:textId="77777777" w:rsidR="009859AC" w:rsidRPr="00251589" w:rsidRDefault="009859AC" w:rsidP="001B3C13">
            <w:pPr>
              <w:jc w:val="center"/>
              <w:rPr>
                <w:rFonts w:asciiTheme="majorBidi" w:hAnsiTheme="majorBidi" w:cstheme="majorBidi"/>
                <w:i/>
                <w:color w:val="000000"/>
              </w:rPr>
            </w:pPr>
            <w:r w:rsidRPr="00251589">
              <w:rPr>
                <w:rFonts w:asciiTheme="majorBidi" w:hAnsiTheme="majorBidi" w:cstheme="majorBidi"/>
                <w:i/>
                <w:color w:val="000000"/>
              </w:rPr>
              <w:t>Date</w:t>
            </w:r>
          </w:p>
        </w:tc>
        <w:tc>
          <w:tcPr>
            <w:tcW w:w="846" w:type="dxa"/>
            <w:noWrap/>
            <w:hideMark/>
          </w:tcPr>
          <w:p w14:paraId="1AA0580E"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51589">
              <w:rPr>
                <w:rFonts w:asciiTheme="majorBidi" w:hAnsiTheme="majorBidi" w:cstheme="majorBidi"/>
                <w:i/>
                <w:color w:val="000000"/>
              </w:rPr>
              <w:t>FRP</w:t>
            </w:r>
          </w:p>
          <w:p w14:paraId="145EDE31"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(mg/L)</w:t>
            </w:r>
          </w:p>
        </w:tc>
        <w:tc>
          <w:tcPr>
            <w:tcW w:w="851" w:type="dxa"/>
            <w:noWrap/>
            <w:hideMark/>
          </w:tcPr>
          <w:p w14:paraId="167EADC2"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51589">
              <w:rPr>
                <w:rFonts w:asciiTheme="majorBidi" w:hAnsiTheme="majorBidi" w:cstheme="majorBidi"/>
                <w:i/>
                <w:color w:val="000000"/>
              </w:rPr>
              <w:t>NOx</w:t>
            </w:r>
          </w:p>
          <w:p w14:paraId="14DCA88C"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(mg/L)</w:t>
            </w:r>
          </w:p>
        </w:tc>
        <w:tc>
          <w:tcPr>
            <w:tcW w:w="1559" w:type="dxa"/>
            <w:noWrap/>
            <w:hideMark/>
          </w:tcPr>
          <w:p w14:paraId="703AB7C2"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51589">
              <w:rPr>
                <w:rFonts w:asciiTheme="majorBidi" w:hAnsiTheme="majorBidi" w:cstheme="majorBidi"/>
                <w:i/>
                <w:color w:val="000000"/>
              </w:rPr>
              <w:t>Chlorophyll-a</w:t>
            </w:r>
          </w:p>
          <w:p w14:paraId="17A87076"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(mg/L)</w:t>
            </w:r>
          </w:p>
        </w:tc>
        <w:tc>
          <w:tcPr>
            <w:tcW w:w="1134" w:type="dxa"/>
            <w:noWrap/>
            <w:hideMark/>
          </w:tcPr>
          <w:p w14:paraId="33EF1065"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51589">
              <w:rPr>
                <w:rFonts w:asciiTheme="majorBidi" w:hAnsiTheme="majorBidi" w:cstheme="majorBidi"/>
                <w:i/>
                <w:color w:val="000000"/>
              </w:rPr>
              <w:t>Light</w:t>
            </w:r>
          </w:p>
          <w:p w14:paraId="7554CF00"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PAR (lux)</w:t>
            </w:r>
          </w:p>
        </w:tc>
        <w:tc>
          <w:tcPr>
            <w:tcW w:w="1134" w:type="dxa"/>
            <w:noWrap/>
            <w:hideMark/>
          </w:tcPr>
          <w:p w14:paraId="51962ACF"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Euphotic depth (m)</w:t>
            </w:r>
          </w:p>
        </w:tc>
        <w:tc>
          <w:tcPr>
            <w:tcW w:w="1418" w:type="dxa"/>
            <w:noWrap/>
            <w:hideMark/>
          </w:tcPr>
          <w:p w14:paraId="08F53220"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B77B7E">
              <w:rPr>
                <w:rFonts w:asciiTheme="majorBidi" w:hAnsiTheme="majorBidi" w:cstheme="majorBidi"/>
                <w:i/>
                <w:iCs/>
                <w:color w:val="000000"/>
              </w:rPr>
              <w:t>River</w:t>
            </w:r>
            <w:r>
              <w:rPr>
                <w:rFonts w:asciiTheme="majorBidi" w:hAnsiTheme="majorBidi" w:cstheme="majorBidi"/>
                <w:i/>
                <w:iCs/>
                <w:color w:val="000000"/>
              </w:rPr>
              <w:t>b</w:t>
            </w:r>
            <w:r w:rsidRPr="00B77B7E">
              <w:rPr>
                <w:rFonts w:asciiTheme="majorBidi" w:hAnsiTheme="majorBidi" w:cstheme="majorBidi"/>
                <w:i/>
                <w:iCs/>
                <w:color w:val="000000"/>
              </w:rPr>
              <w:t>ed</w:t>
            </w:r>
            <w:r w:rsidRPr="00B77B7E">
              <w:rPr>
                <w:rFonts w:asciiTheme="majorBidi" w:hAnsiTheme="majorBidi" w:cstheme="majorBidi"/>
                <w:i/>
                <w:color w:val="000000"/>
              </w:rPr>
              <w:t xml:space="preserve"> % &gt; euphotic</w:t>
            </w:r>
            <w:r w:rsidRPr="00B77B7E">
              <w:rPr>
                <w:rFonts w:asciiTheme="majorBidi" w:hAnsiTheme="majorBidi" w:cstheme="majorBidi"/>
                <w:i/>
                <w:iCs/>
                <w:color w:val="000000"/>
              </w:rPr>
              <w:t xml:space="preserve"> depth</w:t>
            </w:r>
          </w:p>
        </w:tc>
        <w:tc>
          <w:tcPr>
            <w:tcW w:w="1275" w:type="dxa"/>
            <w:noWrap/>
            <w:hideMark/>
          </w:tcPr>
          <w:p w14:paraId="4190B0D2"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51589">
              <w:rPr>
                <w:rFonts w:asciiTheme="majorBidi" w:hAnsiTheme="majorBidi" w:cstheme="majorBidi"/>
                <w:i/>
                <w:color w:val="000000"/>
              </w:rPr>
              <w:t>River level</w:t>
            </w:r>
          </w:p>
          <w:p w14:paraId="66DC2ECB"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(m)</w:t>
            </w:r>
          </w:p>
        </w:tc>
        <w:tc>
          <w:tcPr>
            <w:tcW w:w="1418" w:type="dxa"/>
            <w:noWrap/>
            <w:hideMark/>
          </w:tcPr>
          <w:p w14:paraId="27FC1F07"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51589">
              <w:rPr>
                <w:rFonts w:asciiTheme="majorBidi" w:hAnsiTheme="majorBidi" w:cstheme="majorBidi"/>
                <w:i/>
                <w:color w:val="000000"/>
              </w:rPr>
              <w:t>Respiration</w:t>
            </w:r>
          </w:p>
          <w:p w14:paraId="0E3F1DFF"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(mg O</w:t>
            </w:r>
            <w:r w:rsidRPr="00251589">
              <w:rPr>
                <w:rFonts w:asciiTheme="majorBidi" w:hAnsiTheme="majorBidi" w:cstheme="majorBidi"/>
                <w:i/>
                <w:color w:val="000000"/>
                <w:vertAlign w:val="subscript"/>
              </w:rPr>
              <w:t>2</w:t>
            </w:r>
            <w:r w:rsidRPr="00251589">
              <w:rPr>
                <w:rFonts w:asciiTheme="majorBidi" w:hAnsiTheme="majorBidi" w:cstheme="majorBidi"/>
                <w:i/>
                <w:color w:val="000000"/>
                <w:vertAlign w:val="subscript"/>
              </w:rPr>
              <w:softHyphen/>
            </w:r>
            <w:r w:rsidRPr="00251589">
              <w:rPr>
                <w:rFonts w:asciiTheme="majorBidi" w:hAnsiTheme="majorBidi" w:cstheme="majorBidi"/>
                <w:i/>
                <w:color w:val="000000"/>
              </w:rPr>
              <w:t>/L/h)</w:t>
            </w:r>
          </w:p>
        </w:tc>
      </w:tr>
      <w:tr w:rsidR="009859AC" w:rsidRPr="007E2F7C" w14:paraId="01516389" w14:textId="77777777" w:rsidTr="001B3C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7" w:type="dxa"/>
          </w:tcPr>
          <w:p w14:paraId="7748856F"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t>22-Dec</w:t>
            </w:r>
          </w:p>
        </w:tc>
        <w:tc>
          <w:tcPr>
            <w:tcW w:w="846" w:type="dxa"/>
            <w:noWrap/>
            <w:vAlign w:val="bottom"/>
            <w:hideMark/>
          </w:tcPr>
          <w:p w14:paraId="3433FBB2"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0.007</w:t>
            </w:r>
          </w:p>
        </w:tc>
        <w:tc>
          <w:tcPr>
            <w:tcW w:w="851" w:type="dxa"/>
            <w:noWrap/>
            <w:vAlign w:val="bottom"/>
            <w:hideMark/>
          </w:tcPr>
          <w:p w14:paraId="494BA59E"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0.013</w:t>
            </w:r>
          </w:p>
        </w:tc>
        <w:tc>
          <w:tcPr>
            <w:tcW w:w="1559" w:type="dxa"/>
            <w:noWrap/>
            <w:vAlign w:val="bottom"/>
            <w:hideMark/>
          </w:tcPr>
          <w:p w14:paraId="761D82F3"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2.000</w:t>
            </w:r>
          </w:p>
        </w:tc>
        <w:tc>
          <w:tcPr>
            <w:tcW w:w="1134" w:type="dxa"/>
            <w:noWrap/>
            <w:vAlign w:val="bottom"/>
            <w:hideMark/>
          </w:tcPr>
          <w:p w14:paraId="65359B56"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4771</w:t>
            </w:r>
          </w:p>
        </w:tc>
        <w:tc>
          <w:tcPr>
            <w:tcW w:w="1134" w:type="dxa"/>
            <w:noWrap/>
            <w:vAlign w:val="bottom"/>
            <w:hideMark/>
          </w:tcPr>
          <w:p w14:paraId="54952435"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2.104</w:t>
            </w:r>
          </w:p>
        </w:tc>
        <w:tc>
          <w:tcPr>
            <w:tcW w:w="1418" w:type="dxa"/>
            <w:noWrap/>
            <w:vAlign w:val="bottom"/>
            <w:hideMark/>
          </w:tcPr>
          <w:p w14:paraId="789AE9A8"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E2F7C">
              <w:rPr>
                <w:rFonts w:asciiTheme="majorBidi" w:hAnsiTheme="majorBidi" w:cstheme="majorBidi"/>
                <w:color w:val="000000"/>
              </w:rPr>
              <w:t>95</w:t>
            </w:r>
          </w:p>
        </w:tc>
        <w:tc>
          <w:tcPr>
            <w:tcW w:w="1275" w:type="dxa"/>
            <w:noWrap/>
            <w:vAlign w:val="bottom"/>
            <w:hideMark/>
          </w:tcPr>
          <w:p w14:paraId="6A02BB27"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2.173</w:t>
            </w:r>
          </w:p>
        </w:tc>
        <w:tc>
          <w:tcPr>
            <w:tcW w:w="1418" w:type="dxa"/>
            <w:noWrap/>
            <w:vAlign w:val="bottom"/>
            <w:hideMark/>
          </w:tcPr>
          <w:p w14:paraId="05D2C161"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-0.027</w:t>
            </w:r>
          </w:p>
        </w:tc>
      </w:tr>
      <w:tr w:rsidR="009859AC" w:rsidRPr="007E2F7C" w14:paraId="4388E779" w14:textId="77777777" w:rsidTr="001B3C13">
        <w:trPr>
          <w:trHeight w:val="300"/>
          <w:jc w:val="center"/>
        </w:trPr>
        <w:tc>
          <w:tcPr>
            <w:cnfStyle w:val="001000000000" w:firstRow="0" w:lastRow="0" w:firstColumn="1" w:lastColumn="0" w:oddVBand="0" w:evenVBand="0" w:oddHBand="0" w:evenHBand="0" w:firstRowFirstColumn="0" w:firstRowLastColumn="0" w:lastRowFirstColumn="0" w:lastRowLastColumn="0"/>
            <w:tcW w:w="997" w:type="dxa"/>
          </w:tcPr>
          <w:p w14:paraId="2A642236"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t>11-Jan</w:t>
            </w:r>
          </w:p>
        </w:tc>
        <w:tc>
          <w:tcPr>
            <w:tcW w:w="846" w:type="dxa"/>
            <w:noWrap/>
            <w:vAlign w:val="bottom"/>
            <w:hideMark/>
          </w:tcPr>
          <w:p w14:paraId="5E81483C"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0.003</w:t>
            </w:r>
          </w:p>
        </w:tc>
        <w:tc>
          <w:tcPr>
            <w:tcW w:w="851" w:type="dxa"/>
            <w:noWrap/>
            <w:vAlign w:val="bottom"/>
            <w:hideMark/>
          </w:tcPr>
          <w:p w14:paraId="20BD0A3E"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0.011</w:t>
            </w:r>
          </w:p>
        </w:tc>
        <w:tc>
          <w:tcPr>
            <w:tcW w:w="1559" w:type="dxa"/>
            <w:noWrap/>
            <w:vAlign w:val="bottom"/>
            <w:hideMark/>
          </w:tcPr>
          <w:p w14:paraId="0F3E9FA1"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1.300</w:t>
            </w:r>
          </w:p>
        </w:tc>
        <w:tc>
          <w:tcPr>
            <w:tcW w:w="1134" w:type="dxa"/>
            <w:noWrap/>
            <w:vAlign w:val="bottom"/>
            <w:hideMark/>
          </w:tcPr>
          <w:p w14:paraId="707E9251"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4324</w:t>
            </w:r>
          </w:p>
        </w:tc>
        <w:tc>
          <w:tcPr>
            <w:tcW w:w="1134" w:type="dxa"/>
            <w:noWrap/>
            <w:vAlign w:val="bottom"/>
            <w:hideMark/>
          </w:tcPr>
          <w:p w14:paraId="42C01B6C"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2.127</w:t>
            </w:r>
          </w:p>
        </w:tc>
        <w:tc>
          <w:tcPr>
            <w:tcW w:w="1418" w:type="dxa"/>
            <w:noWrap/>
            <w:vAlign w:val="bottom"/>
            <w:hideMark/>
          </w:tcPr>
          <w:p w14:paraId="5EE8CA96"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7E2F7C">
              <w:rPr>
                <w:rFonts w:asciiTheme="majorBidi" w:hAnsiTheme="majorBidi" w:cstheme="majorBidi"/>
                <w:color w:val="000000"/>
              </w:rPr>
              <w:t>100</w:t>
            </w:r>
          </w:p>
        </w:tc>
        <w:tc>
          <w:tcPr>
            <w:tcW w:w="1275" w:type="dxa"/>
            <w:noWrap/>
            <w:vAlign w:val="bottom"/>
            <w:hideMark/>
          </w:tcPr>
          <w:p w14:paraId="23B0B9DB"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2.011</w:t>
            </w:r>
          </w:p>
        </w:tc>
        <w:tc>
          <w:tcPr>
            <w:tcW w:w="1418" w:type="dxa"/>
            <w:noWrap/>
            <w:vAlign w:val="bottom"/>
            <w:hideMark/>
          </w:tcPr>
          <w:p w14:paraId="4DD6C679"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0.069</w:t>
            </w:r>
          </w:p>
        </w:tc>
      </w:tr>
      <w:tr w:rsidR="009859AC" w:rsidRPr="007E2F7C" w14:paraId="0F43BCC2" w14:textId="77777777" w:rsidTr="001B3C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7" w:type="dxa"/>
          </w:tcPr>
          <w:p w14:paraId="7624ECCA"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t>27-Jan</w:t>
            </w:r>
          </w:p>
        </w:tc>
        <w:tc>
          <w:tcPr>
            <w:tcW w:w="846" w:type="dxa"/>
            <w:noWrap/>
            <w:vAlign w:val="bottom"/>
            <w:hideMark/>
          </w:tcPr>
          <w:p w14:paraId="019CE770"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0.005</w:t>
            </w:r>
          </w:p>
        </w:tc>
        <w:tc>
          <w:tcPr>
            <w:tcW w:w="851" w:type="dxa"/>
            <w:noWrap/>
            <w:vAlign w:val="bottom"/>
            <w:hideMark/>
          </w:tcPr>
          <w:p w14:paraId="7B677672"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0.014</w:t>
            </w:r>
          </w:p>
        </w:tc>
        <w:tc>
          <w:tcPr>
            <w:tcW w:w="1559" w:type="dxa"/>
            <w:noWrap/>
            <w:vAlign w:val="bottom"/>
            <w:hideMark/>
          </w:tcPr>
          <w:p w14:paraId="4B37ED8C"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1.700</w:t>
            </w:r>
          </w:p>
        </w:tc>
        <w:tc>
          <w:tcPr>
            <w:tcW w:w="1134" w:type="dxa"/>
            <w:noWrap/>
            <w:vAlign w:val="bottom"/>
            <w:hideMark/>
          </w:tcPr>
          <w:p w14:paraId="3BA0FC16"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5893</w:t>
            </w:r>
          </w:p>
        </w:tc>
        <w:tc>
          <w:tcPr>
            <w:tcW w:w="1134" w:type="dxa"/>
            <w:noWrap/>
            <w:vAlign w:val="bottom"/>
            <w:hideMark/>
          </w:tcPr>
          <w:p w14:paraId="29F3A4DF"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2.048</w:t>
            </w:r>
          </w:p>
        </w:tc>
        <w:tc>
          <w:tcPr>
            <w:tcW w:w="1418" w:type="dxa"/>
            <w:noWrap/>
            <w:vAlign w:val="bottom"/>
            <w:hideMark/>
          </w:tcPr>
          <w:p w14:paraId="0308C06E"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E2F7C">
              <w:rPr>
                <w:rFonts w:asciiTheme="majorBidi" w:hAnsiTheme="majorBidi" w:cstheme="majorBidi"/>
                <w:color w:val="000000"/>
              </w:rPr>
              <w:t>100</w:t>
            </w:r>
          </w:p>
        </w:tc>
        <w:tc>
          <w:tcPr>
            <w:tcW w:w="1275" w:type="dxa"/>
            <w:noWrap/>
            <w:vAlign w:val="bottom"/>
            <w:hideMark/>
          </w:tcPr>
          <w:p w14:paraId="01CADF08"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1.924</w:t>
            </w:r>
          </w:p>
        </w:tc>
        <w:tc>
          <w:tcPr>
            <w:tcW w:w="1418" w:type="dxa"/>
            <w:noWrap/>
            <w:vAlign w:val="bottom"/>
            <w:hideMark/>
          </w:tcPr>
          <w:p w14:paraId="5EDAE9AF"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0.031</w:t>
            </w:r>
          </w:p>
        </w:tc>
      </w:tr>
      <w:tr w:rsidR="009859AC" w:rsidRPr="007E2F7C" w14:paraId="10289AF9" w14:textId="77777777" w:rsidTr="001B3C13">
        <w:trPr>
          <w:trHeight w:val="300"/>
          <w:jc w:val="center"/>
        </w:trPr>
        <w:tc>
          <w:tcPr>
            <w:cnfStyle w:val="001000000000" w:firstRow="0" w:lastRow="0" w:firstColumn="1" w:lastColumn="0" w:oddVBand="0" w:evenVBand="0" w:oddHBand="0" w:evenHBand="0" w:firstRowFirstColumn="0" w:firstRowLastColumn="0" w:lastRowFirstColumn="0" w:lastRowLastColumn="0"/>
            <w:tcW w:w="997" w:type="dxa"/>
          </w:tcPr>
          <w:p w14:paraId="34AD16AC"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lastRenderedPageBreak/>
              <w:t>9-Feb</w:t>
            </w:r>
          </w:p>
        </w:tc>
        <w:tc>
          <w:tcPr>
            <w:tcW w:w="846" w:type="dxa"/>
            <w:noWrap/>
            <w:vAlign w:val="bottom"/>
            <w:hideMark/>
          </w:tcPr>
          <w:p w14:paraId="6F4BA72A"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0.005</w:t>
            </w:r>
          </w:p>
        </w:tc>
        <w:tc>
          <w:tcPr>
            <w:tcW w:w="851" w:type="dxa"/>
            <w:noWrap/>
            <w:vAlign w:val="bottom"/>
            <w:hideMark/>
          </w:tcPr>
          <w:p w14:paraId="4458D890"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0.081</w:t>
            </w:r>
          </w:p>
        </w:tc>
        <w:tc>
          <w:tcPr>
            <w:tcW w:w="1559" w:type="dxa"/>
            <w:noWrap/>
            <w:vAlign w:val="bottom"/>
            <w:hideMark/>
          </w:tcPr>
          <w:p w14:paraId="1F78F224"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0.700</w:t>
            </w:r>
          </w:p>
        </w:tc>
        <w:tc>
          <w:tcPr>
            <w:tcW w:w="1134" w:type="dxa"/>
            <w:noWrap/>
            <w:vAlign w:val="bottom"/>
            <w:hideMark/>
          </w:tcPr>
          <w:p w14:paraId="7DEE2325"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2254</w:t>
            </w:r>
          </w:p>
        </w:tc>
        <w:tc>
          <w:tcPr>
            <w:tcW w:w="1134" w:type="dxa"/>
            <w:noWrap/>
            <w:vAlign w:val="bottom"/>
            <w:hideMark/>
          </w:tcPr>
          <w:p w14:paraId="33C73B01"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2.640</w:t>
            </w:r>
          </w:p>
        </w:tc>
        <w:tc>
          <w:tcPr>
            <w:tcW w:w="1418" w:type="dxa"/>
            <w:noWrap/>
            <w:vAlign w:val="bottom"/>
            <w:hideMark/>
          </w:tcPr>
          <w:p w14:paraId="7D2F52E0"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100</w:t>
            </w:r>
          </w:p>
        </w:tc>
        <w:tc>
          <w:tcPr>
            <w:tcW w:w="1275" w:type="dxa"/>
            <w:noWrap/>
            <w:vAlign w:val="bottom"/>
            <w:hideMark/>
          </w:tcPr>
          <w:p w14:paraId="1B8B6073"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2.291</w:t>
            </w:r>
          </w:p>
        </w:tc>
        <w:tc>
          <w:tcPr>
            <w:tcW w:w="1418" w:type="dxa"/>
            <w:noWrap/>
            <w:vAlign w:val="bottom"/>
            <w:hideMark/>
          </w:tcPr>
          <w:p w14:paraId="4CFFE608"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0.082</w:t>
            </w:r>
          </w:p>
        </w:tc>
      </w:tr>
      <w:tr w:rsidR="009859AC" w:rsidRPr="007E2F7C" w14:paraId="6DC07322" w14:textId="77777777" w:rsidTr="001B3C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7" w:type="dxa"/>
          </w:tcPr>
          <w:p w14:paraId="00CE02AD"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t>1-Mar</w:t>
            </w:r>
          </w:p>
        </w:tc>
        <w:tc>
          <w:tcPr>
            <w:tcW w:w="846" w:type="dxa"/>
            <w:noWrap/>
            <w:vAlign w:val="bottom"/>
            <w:hideMark/>
          </w:tcPr>
          <w:p w14:paraId="7A494D82"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0.003</w:t>
            </w:r>
          </w:p>
        </w:tc>
        <w:tc>
          <w:tcPr>
            <w:tcW w:w="851" w:type="dxa"/>
            <w:noWrap/>
            <w:vAlign w:val="bottom"/>
            <w:hideMark/>
          </w:tcPr>
          <w:p w14:paraId="692F69F0"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0.029</w:t>
            </w:r>
          </w:p>
        </w:tc>
        <w:tc>
          <w:tcPr>
            <w:tcW w:w="1559" w:type="dxa"/>
            <w:noWrap/>
            <w:vAlign w:val="bottom"/>
            <w:hideMark/>
          </w:tcPr>
          <w:p w14:paraId="5B000F5A"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2.700</w:t>
            </w:r>
          </w:p>
        </w:tc>
        <w:tc>
          <w:tcPr>
            <w:tcW w:w="1134" w:type="dxa"/>
            <w:noWrap/>
            <w:vAlign w:val="bottom"/>
            <w:hideMark/>
          </w:tcPr>
          <w:p w14:paraId="2C59D081"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1674</w:t>
            </w:r>
          </w:p>
        </w:tc>
        <w:tc>
          <w:tcPr>
            <w:tcW w:w="1134" w:type="dxa"/>
            <w:noWrap/>
            <w:vAlign w:val="bottom"/>
            <w:hideMark/>
          </w:tcPr>
          <w:p w14:paraId="0CA0B26B"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2.179</w:t>
            </w:r>
          </w:p>
        </w:tc>
        <w:tc>
          <w:tcPr>
            <w:tcW w:w="1418" w:type="dxa"/>
            <w:noWrap/>
            <w:vAlign w:val="bottom"/>
            <w:hideMark/>
          </w:tcPr>
          <w:p w14:paraId="0BE96647"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100</w:t>
            </w:r>
          </w:p>
        </w:tc>
        <w:tc>
          <w:tcPr>
            <w:tcW w:w="1275" w:type="dxa"/>
            <w:noWrap/>
            <w:vAlign w:val="bottom"/>
            <w:hideMark/>
          </w:tcPr>
          <w:p w14:paraId="14055623"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2.087</w:t>
            </w:r>
          </w:p>
        </w:tc>
        <w:tc>
          <w:tcPr>
            <w:tcW w:w="1418" w:type="dxa"/>
            <w:noWrap/>
            <w:vAlign w:val="bottom"/>
            <w:hideMark/>
          </w:tcPr>
          <w:p w14:paraId="2BC633DD"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-0.116</w:t>
            </w:r>
          </w:p>
        </w:tc>
      </w:tr>
      <w:tr w:rsidR="009859AC" w:rsidRPr="007E2F7C" w14:paraId="0171CD5C" w14:textId="77777777" w:rsidTr="001B3C13">
        <w:trPr>
          <w:trHeight w:val="300"/>
          <w:jc w:val="center"/>
        </w:trPr>
        <w:tc>
          <w:tcPr>
            <w:cnfStyle w:val="001000000000" w:firstRow="0" w:lastRow="0" w:firstColumn="1" w:lastColumn="0" w:oddVBand="0" w:evenVBand="0" w:oddHBand="0" w:evenHBand="0" w:firstRowFirstColumn="0" w:firstRowLastColumn="0" w:lastRowFirstColumn="0" w:lastRowLastColumn="0"/>
            <w:tcW w:w="997" w:type="dxa"/>
          </w:tcPr>
          <w:p w14:paraId="0B0DD4FE"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t>15-Mar</w:t>
            </w:r>
          </w:p>
        </w:tc>
        <w:tc>
          <w:tcPr>
            <w:tcW w:w="846" w:type="dxa"/>
            <w:noWrap/>
            <w:vAlign w:val="bottom"/>
            <w:hideMark/>
          </w:tcPr>
          <w:p w14:paraId="2CB0CEA5"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0.002</w:t>
            </w:r>
          </w:p>
        </w:tc>
        <w:tc>
          <w:tcPr>
            <w:tcW w:w="851" w:type="dxa"/>
            <w:noWrap/>
            <w:vAlign w:val="bottom"/>
            <w:hideMark/>
          </w:tcPr>
          <w:p w14:paraId="15F45687"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0.025</w:t>
            </w:r>
          </w:p>
        </w:tc>
        <w:tc>
          <w:tcPr>
            <w:tcW w:w="1559" w:type="dxa"/>
            <w:noWrap/>
            <w:vAlign w:val="bottom"/>
            <w:hideMark/>
          </w:tcPr>
          <w:p w14:paraId="59A83090"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2.300</w:t>
            </w:r>
          </w:p>
        </w:tc>
        <w:tc>
          <w:tcPr>
            <w:tcW w:w="1134" w:type="dxa"/>
            <w:noWrap/>
            <w:vAlign w:val="bottom"/>
            <w:hideMark/>
          </w:tcPr>
          <w:p w14:paraId="245BF502"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637</w:t>
            </w:r>
          </w:p>
        </w:tc>
        <w:tc>
          <w:tcPr>
            <w:tcW w:w="1134" w:type="dxa"/>
            <w:noWrap/>
            <w:vAlign w:val="bottom"/>
            <w:hideMark/>
          </w:tcPr>
          <w:p w14:paraId="76D30864"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8.290</w:t>
            </w:r>
          </w:p>
        </w:tc>
        <w:tc>
          <w:tcPr>
            <w:tcW w:w="1418" w:type="dxa"/>
            <w:noWrap/>
            <w:vAlign w:val="bottom"/>
            <w:hideMark/>
          </w:tcPr>
          <w:p w14:paraId="18F5ED26"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100</w:t>
            </w:r>
          </w:p>
        </w:tc>
        <w:tc>
          <w:tcPr>
            <w:tcW w:w="1275" w:type="dxa"/>
            <w:noWrap/>
            <w:vAlign w:val="bottom"/>
            <w:hideMark/>
          </w:tcPr>
          <w:p w14:paraId="2D97985B"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2.437</w:t>
            </w:r>
          </w:p>
        </w:tc>
        <w:tc>
          <w:tcPr>
            <w:tcW w:w="1418" w:type="dxa"/>
            <w:noWrap/>
            <w:vAlign w:val="bottom"/>
            <w:hideMark/>
          </w:tcPr>
          <w:p w14:paraId="2BBCB4D3"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-0.078</w:t>
            </w:r>
          </w:p>
        </w:tc>
      </w:tr>
      <w:tr w:rsidR="009859AC" w:rsidRPr="007E2F7C" w14:paraId="6299CA36" w14:textId="77777777" w:rsidTr="001B3C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7" w:type="dxa"/>
          </w:tcPr>
          <w:p w14:paraId="05DFF993"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t>8-Apr</w:t>
            </w:r>
          </w:p>
        </w:tc>
        <w:tc>
          <w:tcPr>
            <w:tcW w:w="846" w:type="dxa"/>
            <w:noWrap/>
            <w:vAlign w:val="bottom"/>
            <w:hideMark/>
          </w:tcPr>
          <w:p w14:paraId="7C7623E3"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0.003</w:t>
            </w:r>
          </w:p>
        </w:tc>
        <w:tc>
          <w:tcPr>
            <w:tcW w:w="851" w:type="dxa"/>
            <w:noWrap/>
            <w:vAlign w:val="bottom"/>
            <w:hideMark/>
          </w:tcPr>
          <w:p w14:paraId="5B4BBC99"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0.025</w:t>
            </w:r>
          </w:p>
        </w:tc>
        <w:tc>
          <w:tcPr>
            <w:tcW w:w="1559" w:type="dxa"/>
            <w:noWrap/>
            <w:vAlign w:val="bottom"/>
            <w:hideMark/>
          </w:tcPr>
          <w:p w14:paraId="038F2136"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0.300</w:t>
            </w:r>
          </w:p>
        </w:tc>
        <w:tc>
          <w:tcPr>
            <w:tcW w:w="1134" w:type="dxa"/>
            <w:noWrap/>
            <w:vAlign w:val="bottom"/>
            <w:hideMark/>
          </w:tcPr>
          <w:p w14:paraId="24F9D01D"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728</w:t>
            </w:r>
          </w:p>
        </w:tc>
        <w:tc>
          <w:tcPr>
            <w:tcW w:w="1134" w:type="dxa"/>
            <w:noWrap/>
            <w:vAlign w:val="bottom"/>
            <w:hideMark/>
          </w:tcPr>
          <w:p w14:paraId="1EB1A48E"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3.330</w:t>
            </w:r>
          </w:p>
        </w:tc>
        <w:tc>
          <w:tcPr>
            <w:tcW w:w="1418" w:type="dxa"/>
            <w:noWrap/>
            <w:vAlign w:val="bottom"/>
            <w:hideMark/>
          </w:tcPr>
          <w:p w14:paraId="2002A205"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100</w:t>
            </w:r>
          </w:p>
        </w:tc>
        <w:tc>
          <w:tcPr>
            <w:tcW w:w="1275" w:type="dxa"/>
            <w:noWrap/>
            <w:vAlign w:val="bottom"/>
            <w:hideMark/>
          </w:tcPr>
          <w:p w14:paraId="200E69C4"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1.672</w:t>
            </w:r>
          </w:p>
        </w:tc>
        <w:tc>
          <w:tcPr>
            <w:tcW w:w="1418" w:type="dxa"/>
            <w:noWrap/>
            <w:vAlign w:val="bottom"/>
            <w:hideMark/>
          </w:tcPr>
          <w:p w14:paraId="63FC56C6"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0.150</w:t>
            </w:r>
          </w:p>
        </w:tc>
      </w:tr>
    </w:tbl>
    <w:p w14:paraId="40EF631E" w14:textId="77777777" w:rsidR="009859AC" w:rsidRPr="007E2F7C" w:rsidRDefault="009859AC" w:rsidP="009859AC">
      <w:pPr>
        <w:rPr>
          <w:rFonts w:asciiTheme="majorBidi" w:hAnsiTheme="majorBidi" w:cstheme="majorBidi"/>
        </w:rPr>
      </w:pPr>
    </w:p>
    <w:p w14:paraId="5F04B502" w14:textId="77777777" w:rsidR="009859AC" w:rsidRPr="00C74803" w:rsidRDefault="009859AC" w:rsidP="009859AC">
      <w:pPr>
        <w:ind w:left="578" w:hanging="578"/>
        <w:rPr>
          <w:rFonts w:cstheme="minorHAnsi"/>
          <w:b/>
          <w:bCs/>
          <w:sz w:val="24"/>
        </w:rPr>
      </w:pPr>
      <w:r w:rsidRPr="00C74803">
        <w:rPr>
          <w:rFonts w:cstheme="minorHAnsi"/>
          <w:b/>
          <w:bCs/>
          <w:sz w:val="24"/>
        </w:rPr>
        <w:t>4.3 Loch Garry</w:t>
      </w:r>
    </w:p>
    <w:p w14:paraId="52A0FFD7" w14:textId="77777777" w:rsidR="009859AC" w:rsidRPr="00056DA7" w:rsidRDefault="009859AC" w:rsidP="009859AC">
      <w:pPr>
        <w:pStyle w:val="Caption"/>
        <w:keepNext/>
      </w:pPr>
      <w:r w:rsidRPr="00056DA7">
        <w:t>Table 4: Loch Garry results</w:t>
      </w:r>
    </w:p>
    <w:tbl>
      <w:tblPr>
        <w:tblStyle w:val="GridTable2"/>
        <w:tblW w:w="10206" w:type="dxa"/>
        <w:jc w:val="center"/>
        <w:tblLook w:val="04A0" w:firstRow="1" w:lastRow="0" w:firstColumn="1" w:lastColumn="0" w:noHBand="0" w:noVBand="1"/>
      </w:tblPr>
      <w:tblGrid>
        <w:gridCol w:w="1034"/>
        <w:gridCol w:w="1659"/>
        <w:gridCol w:w="1941"/>
        <w:gridCol w:w="1053"/>
        <w:gridCol w:w="960"/>
        <w:gridCol w:w="960"/>
        <w:gridCol w:w="898"/>
        <w:gridCol w:w="850"/>
        <w:gridCol w:w="851"/>
      </w:tblGrid>
      <w:tr w:rsidR="009859AC" w:rsidRPr="007E2F7C" w14:paraId="016D3437" w14:textId="77777777" w:rsidTr="001B3C1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34" w:type="dxa"/>
            <w:noWrap/>
            <w:hideMark/>
          </w:tcPr>
          <w:p w14:paraId="0583CD73" w14:textId="77777777" w:rsidR="009859AC" w:rsidRPr="00251589" w:rsidRDefault="009859AC" w:rsidP="001B3C13">
            <w:pPr>
              <w:jc w:val="center"/>
              <w:rPr>
                <w:rFonts w:asciiTheme="majorBidi" w:hAnsiTheme="majorBidi" w:cstheme="majorBidi"/>
                <w:i/>
                <w:color w:val="000000"/>
              </w:rPr>
            </w:pPr>
            <w:r w:rsidRPr="00251589">
              <w:rPr>
                <w:rFonts w:asciiTheme="majorBidi" w:hAnsiTheme="majorBidi" w:cstheme="majorBidi"/>
                <w:i/>
                <w:color w:val="000000"/>
              </w:rPr>
              <w:t>Date</w:t>
            </w:r>
          </w:p>
        </w:tc>
        <w:tc>
          <w:tcPr>
            <w:tcW w:w="1659" w:type="dxa"/>
            <w:noWrap/>
            <w:hideMark/>
          </w:tcPr>
          <w:p w14:paraId="2C6D6F4C"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51589">
              <w:rPr>
                <w:rFonts w:asciiTheme="majorBidi" w:hAnsiTheme="majorBidi" w:cstheme="majorBidi"/>
                <w:i/>
                <w:color w:val="000000"/>
              </w:rPr>
              <w:t>Pelagic GPP</w:t>
            </w:r>
          </w:p>
          <w:p w14:paraId="7D538B20"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(mg O</w:t>
            </w:r>
            <w:r w:rsidRPr="00251589">
              <w:rPr>
                <w:rFonts w:asciiTheme="majorBidi" w:hAnsiTheme="majorBidi" w:cstheme="majorBidi"/>
                <w:i/>
                <w:color w:val="000000"/>
                <w:vertAlign w:val="subscript"/>
              </w:rPr>
              <w:t>2</w:t>
            </w:r>
            <w:r w:rsidRPr="00251589">
              <w:rPr>
                <w:rFonts w:asciiTheme="majorBidi" w:hAnsiTheme="majorBidi" w:cstheme="majorBidi"/>
                <w:i/>
                <w:color w:val="000000"/>
                <w:vertAlign w:val="subscript"/>
              </w:rPr>
              <w:softHyphen/>
            </w:r>
            <w:r w:rsidRPr="00251589">
              <w:rPr>
                <w:rFonts w:asciiTheme="majorBidi" w:hAnsiTheme="majorBidi" w:cstheme="majorBidi"/>
                <w:i/>
                <w:color w:val="000000"/>
              </w:rPr>
              <w:t>/L/h)</w:t>
            </w:r>
          </w:p>
        </w:tc>
        <w:tc>
          <w:tcPr>
            <w:tcW w:w="1941" w:type="dxa"/>
            <w:noWrap/>
            <w:hideMark/>
          </w:tcPr>
          <w:p w14:paraId="090D46A3"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51589">
              <w:rPr>
                <w:rFonts w:asciiTheme="majorBidi" w:hAnsiTheme="majorBidi" w:cstheme="majorBidi"/>
                <w:i/>
                <w:color w:val="000000"/>
              </w:rPr>
              <w:t>Whole stream GPP</w:t>
            </w:r>
          </w:p>
          <w:p w14:paraId="5D5B8001"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(mg O</w:t>
            </w:r>
            <w:r w:rsidRPr="00251589">
              <w:rPr>
                <w:rFonts w:asciiTheme="majorBidi" w:hAnsiTheme="majorBidi" w:cstheme="majorBidi"/>
                <w:i/>
                <w:color w:val="000000"/>
                <w:vertAlign w:val="subscript"/>
              </w:rPr>
              <w:t>2</w:t>
            </w:r>
            <w:r w:rsidRPr="00251589">
              <w:rPr>
                <w:rFonts w:asciiTheme="majorBidi" w:hAnsiTheme="majorBidi" w:cstheme="majorBidi"/>
                <w:i/>
                <w:color w:val="000000"/>
                <w:vertAlign w:val="subscript"/>
              </w:rPr>
              <w:softHyphen/>
            </w:r>
            <w:r w:rsidRPr="00251589">
              <w:rPr>
                <w:rFonts w:asciiTheme="majorBidi" w:hAnsiTheme="majorBidi" w:cstheme="majorBidi"/>
                <w:i/>
                <w:color w:val="000000"/>
              </w:rPr>
              <w:t>/L/h)</w:t>
            </w:r>
          </w:p>
        </w:tc>
        <w:tc>
          <w:tcPr>
            <w:tcW w:w="1053" w:type="dxa"/>
            <w:noWrap/>
            <w:hideMark/>
          </w:tcPr>
          <w:p w14:paraId="1A4A8753"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Pelagic %</w:t>
            </w:r>
          </w:p>
        </w:tc>
        <w:tc>
          <w:tcPr>
            <w:tcW w:w="960" w:type="dxa"/>
            <w:noWrap/>
            <w:hideMark/>
          </w:tcPr>
          <w:p w14:paraId="38363047"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51589">
              <w:rPr>
                <w:rFonts w:asciiTheme="majorBidi" w:hAnsiTheme="majorBidi" w:cstheme="majorBidi"/>
                <w:i/>
                <w:color w:val="000000"/>
              </w:rPr>
              <w:t>Temp</w:t>
            </w:r>
          </w:p>
          <w:p w14:paraId="11E6E551"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(°C)</w:t>
            </w:r>
          </w:p>
        </w:tc>
        <w:tc>
          <w:tcPr>
            <w:tcW w:w="960" w:type="dxa"/>
            <w:noWrap/>
            <w:hideMark/>
          </w:tcPr>
          <w:p w14:paraId="61F81FE0"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51589">
              <w:rPr>
                <w:rFonts w:asciiTheme="majorBidi" w:hAnsiTheme="majorBidi" w:cstheme="majorBidi"/>
                <w:i/>
                <w:color w:val="000000"/>
              </w:rPr>
              <w:t>DOC</w:t>
            </w:r>
          </w:p>
          <w:p w14:paraId="06EBD136"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(mg/L)</w:t>
            </w:r>
          </w:p>
        </w:tc>
        <w:tc>
          <w:tcPr>
            <w:tcW w:w="898" w:type="dxa"/>
            <w:noWrap/>
            <w:hideMark/>
          </w:tcPr>
          <w:p w14:paraId="1FC5A942"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51589">
              <w:rPr>
                <w:rFonts w:asciiTheme="majorBidi" w:hAnsiTheme="majorBidi" w:cstheme="majorBidi"/>
                <w:i/>
                <w:color w:val="000000"/>
              </w:rPr>
              <w:t>TP</w:t>
            </w:r>
          </w:p>
          <w:p w14:paraId="7CFB1BFE"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(mg/L)</w:t>
            </w:r>
          </w:p>
        </w:tc>
        <w:tc>
          <w:tcPr>
            <w:tcW w:w="850" w:type="dxa"/>
            <w:noWrap/>
            <w:hideMark/>
          </w:tcPr>
          <w:p w14:paraId="486DE95E"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51589">
              <w:rPr>
                <w:rFonts w:asciiTheme="majorBidi" w:hAnsiTheme="majorBidi" w:cstheme="majorBidi"/>
                <w:i/>
                <w:color w:val="000000"/>
              </w:rPr>
              <w:t>TN</w:t>
            </w:r>
          </w:p>
          <w:p w14:paraId="3B9E8BFF"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(mg/L)</w:t>
            </w:r>
          </w:p>
        </w:tc>
        <w:tc>
          <w:tcPr>
            <w:tcW w:w="851" w:type="dxa"/>
            <w:noWrap/>
            <w:hideMark/>
          </w:tcPr>
          <w:p w14:paraId="4C6D8F1A"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51589">
              <w:rPr>
                <w:rFonts w:asciiTheme="majorBidi" w:hAnsiTheme="majorBidi" w:cstheme="majorBidi"/>
                <w:i/>
                <w:color w:val="000000"/>
              </w:rPr>
              <w:t>NH3</w:t>
            </w:r>
          </w:p>
          <w:p w14:paraId="2217ADA4" w14:textId="77777777" w:rsidR="009859AC" w:rsidRPr="00251589" w:rsidRDefault="009859AC" w:rsidP="001B3C1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51589">
              <w:rPr>
                <w:rFonts w:asciiTheme="majorBidi" w:hAnsiTheme="majorBidi" w:cstheme="majorBidi"/>
                <w:i/>
                <w:color w:val="000000"/>
              </w:rPr>
              <w:t>(mg/L)</w:t>
            </w:r>
          </w:p>
        </w:tc>
      </w:tr>
      <w:tr w:rsidR="009859AC" w:rsidRPr="007E2F7C" w14:paraId="1F759A78" w14:textId="77777777" w:rsidTr="001B3C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34" w:type="dxa"/>
            <w:noWrap/>
            <w:hideMark/>
          </w:tcPr>
          <w:p w14:paraId="5578C7F8"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t>23-Dec</w:t>
            </w:r>
          </w:p>
        </w:tc>
        <w:tc>
          <w:tcPr>
            <w:tcW w:w="1659" w:type="dxa"/>
            <w:noWrap/>
            <w:hideMark/>
          </w:tcPr>
          <w:p w14:paraId="159C5275"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0.142</w:t>
            </w:r>
          </w:p>
        </w:tc>
        <w:tc>
          <w:tcPr>
            <w:tcW w:w="1941" w:type="dxa"/>
            <w:noWrap/>
            <w:hideMark/>
          </w:tcPr>
          <w:p w14:paraId="29141DE2"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0.418</w:t>
            </w:r>
          </w:p>
        </w:tc>
        <w:tc>
          <w:tcPr>
            <w:tcW w:w="1053" w:type="dxa"/>
            <w:noWrap/>
            <w:vAlign w:val="bottom"/>
            <w:hideMark/>
          </w:tcPr>
          <w:p w14:paraId="03CB369B"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34.02</w:t>
            </w:r>
          </w:p>
        </w:tc>
        <w:tc>
          <w:tcPr>
            <w:tcW w:w="960" w:type="dxa"/>
            <w:noWrap/>
            <w:hideMark/>
          </w:tcPr>
          <w:p w14:paraId="25FA8112"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21.9</w:t>
            </w:r>
          </w:p>
        </w:tc>
        <w:tc>
          <w:tcPr>
            <w:tcW w:w="960" w:type="dxa"/>
            <w:noWrap/>
            <w:vAlign w:val="bottom"/>
            <w:hideMark/>
          </w:tcPr>
          <w:p w14:paraId="16366230"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2.975</w:t>
            </w:r>
          </w:p>
        </w:tc>
        <w:tc>
          <w:tcPr>
            <w:tcW w:w="898" w:type="dxa"/>
            <w:noWrap/>
            <w:vAlign w:val="bottom"/>
            <w:hideMark/>
          </w:tcPr>
          <w:p w14:paraId="3F618C53"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0.013</w:t>
            </w:r>
          </w:p>
        </w:tc>
        <w:tc>
          <w:tcPr>
            <w:tcW w:w="850" w:type="dxa"/>
            <w:noWrap/>
            <w:vAlign w:val="bottom"/>
            <w:hideMark/>
          </w:tcPr>
          <w:p w14:paraId="1C513188"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0.275</w:t>
            </w:r>
          </w:p>
        </w:tc>
        <w:tc>
          <w:tcPr>
            <w:tcW w:w="851" w:type="dxa"/>
            <w:noWrap/>
            <w:vAlign w:val="bottom"/>
            <w:hideMark/>
          </w:tcPr>
          <w:p w14:paraId="71E5FF07"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0.020</w:t>
            </w:r>
          </w:p>
        </w:tc>
      </w:tr>
      <w:tr w:rsidR="009859AC" w:rsidRPr="007E2F7C" w14:paraId="634078F6" w14:textId="77777777" w:rsidTr="001B3C13">
        <w:trPr>
          <w:trHeight w:val="300"/>
          <w:jc w:val="center"/>
        </w:trPr>
        <w:tc>
          <w:tcPr>
            <w:cnfStyle w:val="001000000000" w:firstRow="0" w:lastRow="0" w:firstColumn="1" w:lastColumn="0" w:oddVBand="0" w:evenVBand="0" w:oddHBand="0" w:evenHBand="0" w:firstRowFirstColumn="0" w:firstRowLastColumn="0" w:lastRowFirstColumn="0" w:lastRowLastColumn="0"/>
            <w:tcW w:w="1034" w:type="dxa"/>
            <w:noWrap/>
            <w:hideMark/>
          </w:tcPr>
          <w:p w14:paraId="7DB3A8DC"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t>11-Jan</w:t>
            </w:r>
          </w:p>
        </w:tc>
        <w:tc>
          <w:tcPr>
            <w:tcW w:w="1659" w:type="dxa"/>
            <w:noWrap/>
            <w:hideMark/>
          </w:tcPr>
          <w:p w14:paraId="7061F3C2"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0.142</w:t>
            </w:r>
          </w:p>
        </w:tc>
        <w:tc>
          <w:tcPr>
            <w:tcW w:w="1941" w:type="dxa"/>
            <w:noWrap/>
            <w:hideMark/>
          </w:tcPr>
          <w:p w14:paraId="78D152C8"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0.765</w:t>
            </w:r>
          </w:p>
        </w:tc>
        <w:tc>
          <w:tcPr>
            <w:tcW w:w="1053" w:type="dxa"/>
            <w:noWrap/>
            <w:vAlign w:val="bottom"/>
            <w:hideMark/>
          </w:tcPr>
          <w:p w14:paraId="1161C5DC"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18.60</w:t>
            </w:r>
          </w:p>
        </w:tc>
        <w:tc>
          <w:tcPr>
            <w:tcW w:w="960" w:type="dxa"/>
            <w:noWrap/>
            <w:hideMark/>
          </w:tcPr>
          <w:p w14:paraId="6EF03E7E"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26.3</w:t>
            </w:r>
          </w:p>
        </w:tc>
        <w:tc>
          <w:tcPr>
            <w:tcW w:w="960" w:type="dxa"/>
            <w:noWrap/>
            <w:vAlign w:val="bottom"/>
            <w:hideMark/>
          </w:tcPr>
          <w:p w14:paraId="119A631C"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2.64</w:t>
            </w:r>
          </w:p>
        </w:tc>
        <w:tc>
          <w:tcPr>
            <w:tcW w:w="898" w:type="dxa"/>
            <w:noWrap/>
            <w:vAlign w:val="bottom"/>
            <w:hideMark/>
          </w:tcPr>
          <w:p w14:paraId="6AD8DC0C"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0.010</w:t>
            </w:r>
          </w:p>
        </w:tc>
        <w:tc>
          <w:tcPr>
            <w:tcW w:w="850" w:type="dxa"/>
            <w:noWrap/>
            <w:vAlign w:val="bottom"/>
            <w:hideMark/>
          </w:tcPr>
          <w:p w14:paraId="1C7E9F03"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0.284</w:t>
            </w:r>
          </w:p>
        </w:tc>
        <w:tc>
          <w:tcPr>
            <w:tcW w:w="851" w:type="dxa"/>
            <w:noWrap/>
            <w:vAlign w:val="bottom"/>
            <w:hideMark/>
          </w:tcPr>
          <w:p w14:paraId="40A70A3C"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0.014</w:t>
            </w:r>
          </w:p>
        </w:tc>
      </w:tr>
      <w:tr w:rsidR="009859AC" w:rsidRPr="007E2F7C" w14:paraId="54463396" w14:textId="77777777" w:rsidTr="001B3C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34" w:type="dxa"/>
            <w:noWrap/>
            <w:hideMark/>
          </w:tcPr>
          <w:p w14:paraId="3B6D550D"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t>27-Jan</w:t>
            </w:r>
          </w:p>
        </w:tc>
        <w:tc>
          <w:tcPr>
            <w:tcW w:w="1659" w:type="dxa"/>
            <w:noWrap/>
            <w:hideMark/>
          </w:tcPr>
          <w:p w14:paraId="6C64ABD6"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0.130</w:t>
            </w:r>
          </w:p>
        </w:tc>
        <w:tc>
          <w:tcPr>
            <w:tcW w:w="1941" w:type="dxa"/>
            <w:noWrap/>
            <w:hideMark/>
          </w:tcPr>
          <w:p w14:paraId="6D2121F5"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0.136</w:t>
            </w:r>
            <w:r w:rsidRPr="007E2F7C">
              <w:rPr>
                <w:rStyle w:val="FootnoteReference"/>
                <w:rFonts w:asciiTheme="majorBidi" w:hAnsiTheme="majorBidi" w:cstheme="majorBidi"/>
                <w:color w:val="000000"/>
              </w:rPr>
              <w:footnoteReference w:id="5"/>
            </w:r>
          </w:p>
        </w:tc>
        <w:tc>
          <w:tcPr>
            <w:tcW w:w="1053" w:type="dxa"/>
            <w:noWrap/>
            <w:vAlign w:val="bottom"/>
            <w:hideMark/>
          </w:tcPr>
          <w:p w14:paraId="2B209F87"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96.00</w:t>
            </w:r>
          </w:p>
        </w:tc>
        <w:tc>
          <w:tcPr>
            <w:tcW w:w="960" w:type="dxa"/>
            <w:noWrap/>
            <w:hideMark/>
          </w:tcPr>
          <w:p w14:paraId="1D94CAB2"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25.7</w:t>
            </w:r>
          </w:p>
        </w:tc>
        <w:tc>
          <w:tcPr>
            <w:tcW w:w="960" w:type="dxa"/>
            <w:noWrap/>
            <w:vAlign w:val="bottom"/>
            <w:hideMark/>
          </w:tcPr>
          <w:p w14:paraId="7030E188"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2.6</w:t>
            </w:r>
          </w:p>
        </w:tc>
        <w:tc>
          <w:tcPr>
            <w:tcW w:w="898" w:type="dxa"/>
            <w:noWrap/>
            <w:vAlign w:val="bottom"/>
            <w:hideMark/>
          </w:tcPr>
          <w:p w14:paraId="1E491A91"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1.321</w:t>
            </w:r>
          </w:p>
        </w:tc>
        <w:tc>
          <w:tcPr>
            <w:tcW w:w="850" w:type="dxa"/>
            <w:noWrap/>
            <w:vAlign w:val="bottom"/>
            <w:hideMark/>
          </w:tcPr>
          <w:p w14:paraId="758CDF66"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0.973</w:t>
            </w:r>
          </w:p>
        </w:tc>
        <w:tc>
          <w:tcPr>
            <w:tcW w:w="851" w:type="dxa"/>
            <w:noWrap/>
            <w:vAlign w:val="bottom"/>
            <w:hideMark/>
          </w:tcPr>
          <w:p w14:paraId="38634B22"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0.733</w:t>
            </w:r>
          </w:p>
        </w:tc>
      </w:tr>
      <w:tr w:rsidR="009859AC" w:rsidRPr="007E2F7C" w14:paraId="30A21B22" w14:textId="77777777" w:rsidTr="001B3C13">
        <w:trPr>
          <w:trHeight w:val="300"/>
          <w:jc w:val="center"/>
        </w:trPr>
        <w:tc>
          <w:tcPr>
            <w:cnfStyle w:val="001000000000" w:firstRow="0" w:lastRow="0" w:firstColumn="1" w:lastColumn="0" w:oddVBand="0" w:evenVBand="0" w:oddHBand="0" w:evenHBand="0" w:firstRowFirstColumn="0" w:firstRowLastColumn="0" w:lastRowFirstColumn="0" w:lastRowLastColumn="0"/>
            <w:tcW w:w="1034" w:type="dxa"/>
            <w:noWrap/>
            <w:hideMark/>
          </w:tcPr>
          <w:p w14:paraId="2435F256"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t>8-Feb</w:t>
            </w:r>
          </w:p>
        </w:tc>
        <w:tc>
          <w:tcPr>
            <w:tcW w:w="1659" w:type="dxa"/>
            <w:noWrap/>
            <w:hideMark/>
          </w:tcPr>
          <w:p w14:paraId="449E95D9"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0.099</w:t>
            </w:r>
          </w:p>
        </w:tc>
        <w:tc>
          <w:tcPr>
            <w:tcW w:w="1941" w:type="dxa"/>
            <w:noWrap/>
            <w:hideMark/>
          </w:tcPr>
          <w:p w14:paraId="12E7800C"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0.743</w:t>
            </w:r>
          </w:p>
        </w:tc>
        <w:tc>
          <w:tcPr>
            <w:tcW w:w="1053" w:type="dxa"/>
            <w:noWrap/>
            <w:vAlign w:val="bottom"/>
            <w:hideMark/>
          </w:tcPr>
          <w:p w14:paraId="56281A82"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13.43</w:t>
            </w:r>
          </w:p>
        </w:tc>
        <w:tc>
          <w:tcPr>
            <w:tcW w:w="960" w:type="dxa"/>
            <w:noWrap/>
            <w:hideMark/>
          </w:tcPr>
          <w:p w14:paraId="5B8DD85F"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22.8</w:t>
            </w:r>
          </w:p>
        </w:tc>
        <w:tc>
          <w:tcPr>
            <w:tcW w:w="960" w:type="dxa"/>
            <w:noWrap/>
            <w:vAlign w:val="bottom"/>
            <w:hideMark/>
          </w:tcPr>
          <w:p w14:paraId="6BB2AAF9"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3.48</w:t>
            </w:r>
          </w:p>
        </w:tc>
        <w:tc>
          <w:tcPr>
            <w:tcW w:w="898" w:type="dxa"/>
            <w:noWrap/>
            <w:vAlign w:val="bottom"/>
            <w:hideMark/>
          </w:tcPr>
          <w:p w14:paraId="4055F2F7"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1.747</w:t>
            </w:r>
          </w:p>
        </w:tc>
        <w:tc>
          <w:tcPr>
            <w:tcW w:w="850" w:type="dxa"/>
            <w:noWrap/>
            <w:vAlign w:val="bottom"/>
            <w:hideMark/>
          </w:tcPr>
          <w:p w14:paraId="3C56C5C6"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1.299</w:t>
            </w:r>
          </w:p>
        </w:tc>
        <w:tc>
          <w:tcPr>
            <w:tcW w:w="851" w:type="dxa"/>
            <w:noWrap/>
            <w:vAlign w:val="bottom"/>
            <w:hideMark/>
          </w:tcPr>
          <w:p w14:paraId="67EE00D0"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0.978</w:t>
            </w:r>
          </w:p>
        </w:tc>
      </w:tr>
      <w:tr w:rsidR="009859AC" w:rsidRPr="007E2F7C" w14:paraId="588B1ADD" w14:textId="77777777" w:rsidTr="001B3C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34" w:type="dxa"/>
            <w:noWrap/>
            <w:hideMark/>
          </w:tcPr>
          <w:p w14:paraId="55F7AC96"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t>28-Feb</w:t>
            </w:r>
          </w:p>
        </w:tc>
        <w:tc>
          <w:tcPr>
            <w:tcW w:w="1659" w:type="dxa"/>
            <w:noWrap/>
            <w:hideMark/>
          </w:tcPr>
          <w:p w14:paraId="19A4CA0A"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0.155</w:t>
            </w:r>
          </w:p>
        </w:tc>
        <w:tc>
          <w:tcPr>
            <w:tcW w:w="1941" w:type="dxa"/>
            <w:noWrap/>
            <w:hideMark/>
          </w:tcPr>
          <w:p w14:paraId="61E7A96A"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0.276</w:t>
            </w:r>
          </w:p>
        </w:tc>
        <w:tc>
          <w:tcPr>
            <w:tcW w:w="1053" w:type="dxa"/>
            <w:noWrap/>
            <w:vAlign w:val="bottom"/>
            <w:hideMark/>
          </w:tcPr>
          <w:p w14:paraId="0F5B21CD"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56.46</w:t>
            </w:r>
          </w:p>
        </w:tc>
        <w:tc>
          <w:tcPr>
            <w:tcW w:w="960" w:type="dxa"/>
            <w:noWrap/>
            <w:hideMark/>
          </w:tcPr>
          <w:p w14:paraId="362C643B"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21.7</w:t>
            </w:r>
          </w:p>
        </w:tc>
        <w:tc>
          <w:tcPr>
            <w:tcW w:w="960" w:type="dxa"/>
            <w:noWrap/>
            <w:vAlign w:val="bottom"/>
            <w:hideMark/>
          </w:tcPr>
          <w:p w14:paraId="600DEC18"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4.18</w:t>
            </w:r>
          </w:p>
        </w:tc>
        <w:tc>
          <w:tcPr>
            <w:tcW w:w="898" w:type="dxa"/>
            <w:noWrap/>
            <w:vAlign w:val="bottom"/>
            <w:hideMark/>
          </w:tcPr>
          <w:p w14:paraId="11274B8F"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2.096</w:t>
            </w:r>
          </w:p>
        </w:tc>
        <w:tc>
          <w:tcPr>
            <w:tcW w:w="850" w:type="dxa"/>
            <w:noWrap/>
            <w:vAlign w:val="bottom"/>
            <w:hideMark/>
          </w:tcPr>
          <w:p w14:paraId="2B8A6393"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1.549</w:t>
            </w:r>
          </w:p>
        </w:tc>
        <w:tc>
          <w:tcPr>
            <w:tcW w:w="851" w:type="dxa"/>
            <w:noWrap/>
            <w:vAlign w:val="bottom"/>
            <w:hideMark/>
          </w:tcPr>
          <w:p w14:paraId="771AC1D6"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1.166</w:t>
            </w:r>
          </w:p>
        </w:tc>
      </w:tr>
      <w:tr w:rsidR="009859AC" w:rsidRPr="007E2F7C" w14:paraId="57944B20" w14:textId="77777777" w:rsidTr="001B3C13">
        <w:trPr>
          <w:trHeight w:val="300"/>
          <w:jc w:val="center"/>
        </w:trPr>
        <w:tc>
          <w:tcPr>
            <w:cnfStyle w:val="001000000000" w:firstRow="0" w:lastRow="0" w:firstColumn="1" w:lastColumn="0" w:oddVBand="0" w:evenVBand="0" w:oddHBand="0" w:evenHBand="0" w:firstRowFirstColumn="0" w:firstRowLastColumn="0" w:lastRowFirstColumn="0" w:lastRowLastColumn="0"/>
            <w:tcW w:w="1034" w:type="dxa"/>
            <w:noWrap/>
            <w:hideMark/>
          </w:tcPr>
          <w:p w14:paraId="6B926E51"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t>14-Mar</w:t>
            </w:r>
          </w:p>
        </w:tc>
        <w:tc>
          <w:tcPr>
            <w:tcW w:w="1659" w:type="dxa"/>
            <w:noWrap/>
            <w:hideMark/>
          </w:tcPr>
          <w:p w14:paraId="6B9F180D"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0.209</w:t>
            </w:r>
          </w:p>
        </w:tc>
        <w:tc>
          <w:tcPr>
            <w:tcW w:w="1941" w:type="dxa"/>
            <w:noWrap/>
            <w:hideMark/>
          </w:tcPr>
          <w:p w14:paraId="516AAA06"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0.164</w:t>
            </w:r>
          </w:p>
        </w:tc>
        <w:tc>
          <w:tcPr>
            <w:tcW w:w="1053" w:type="dxa"/>
            <w:noWrap/>
            <w:vAlign w:val="bottom"/>
            <w:hideMark/>
          </w:tcPr>
          <w:p w14:paraId="04099966"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127.85</w:t>
            </w:r>
          </w:p>
        </w:tc>
        <w:tc>
          <w:tcPr>
            <w:tcW w:w="960" w:type="dxa"/>
            <w:noWrap/>
            <w:hideMark/>
          </w:tcPr>
          <w:p w14:paraId="7F4EA323"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19.9</w:t>
            </w:r>
          </w:p>
        </w:tc>
        <w:tc>
          <w:tcPr>
            <w:tcW w:w="960" w:type="dxa"/>
            <w:noWrap/>
            <w:vAlign w:val="bottom"/>
            <w:hideMark/>
          </w:tcPr>
          <w:p w14:paraId="06D561B1"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2.68</w:t>
            </w:r>
          </w:p>
        </w:tc>
        <w:tc>
          <w:tcPr>
            <w:tcW w:w="898" w:type="dxa"/>
            <w:noWrap/>
            <w:vAlign w:val="bottom"/>
            <w:hideMark/>
          </w:tcPr>
          <w:p w14:paraId="43116D09"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0.010</w:t>
            </w:r>
          </w:p>
        </w:tc>
        <w:tc>
          <w:tcPr>
            <w:tcW w:w="850" w:type="dxa"/>
            <w:noWrap/>
            <w:vAlign w:val="bottom"/>
            <w:hideMark/>
          </w:tcPr>
          <w:p w14:paraId="0E90D2C8"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0.322</w:t>
            </w:r>
          </w:p>
        </w:tc>
        <w:tc>
          <w:tcPr>
            <w:tcW w:w="851" w:type="dxa"/>
            <w:noWrap/>
            <w:vAlign w:val="bottom"/>
            <w:hideMark/>
          </w:tcPr>
          <w:p w14:paraId="64F2F455" w14:textId="77777777" w:rsidR="009859AC" w:rsidRPr="007E2F7C" w:rsidRDefault="009859AC" w:rsidP="001B3C1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0.011</w:t>
            </w:r>
          </w:p>
        </w:tc>
      </w:tr>
      <w:tr w:rsidR="009859AC" w:rsidRPr="007E2F7C" w14:paraId="6A592CA6" w14:textId="77777777" w:rsidTr="001B3C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34" w:type="dxa"/>
            <w:noWrap/>
            <w:hideMark/>
          </w:tcPr>
          <w:p w14:paraId="6F12FA31" w14:textId="77777777" w:rsidR="009859AC" w:rsidRPr="007E2F7C" w:rsidRDefault="009859AC" w:rsidP="001B3C13">
            <w:pPr>
              <w:jc w:val="center"/>
              <w:rPr>
                <w:rFonts w:asciiTheme="majorBidi" w:hAnsiTheme="majorBidi" w:cstheme="majorBidi"/>
                <w:color w:val="000000"/>
              </w:rPr>
            </w:pPr>
            <w:r w:rsidRPr="007E2F7C">
              <w:rPr>
                <w:rFonts w:asciiTheme="majorBidi" w:hAnsiTheme="majorBidi" w:cstheme="majorBidi"/>
                <w:color w:val="000000"/>
              </w:rPr>
              <w:t>7-Apr</w:t>
            </w:r>
          </w:p>
        </w:tc>
        <w:tc>
          <w:tcPr>
            <w:tcW w:w="1659" w:type="dxa"/>
            <w:noWrap/>
            <w:hideMark/>
          </w:tcPr>
          <w:p w14:paraId="46151566"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0.138</w:t>
            </w:r>
          </w:p>
        </w:tc>
        <w:tc>
          <w:tcPr>
            <w:tcW w:w="1941" w:type="dxa"/>
            <w:noWrap/>
            <w:hideMark/>
          </w:tcPr>
          <w:p w14:paraId="31E2BD9A"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0.170</w:t>
            </w:r>
          </w:p>
        </w:tc>
        <w:tc>
          <w:tcPr>
            <w:tcW w:w="1053" w:type="dxa"/>
            <w:noWrap/>
            <w:vAlign w:val="bottom"/>
            <w:hideMark/>
          </w:tcPr>
          <w:p w14:paraId="629084BA"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81.68</w:t>
            </w:r>
          </w:p>
        </w:tc>
        <w:tc>
          <w:tcPr>
            <w:tcW w:w="960" w:type="dxa"/>
            <w:noWrap/>
            <w:hideMark/>
          </w:tcPr>
          <w:p w14:paraId="5D40ADDC"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19.8</w:t>
            </w:r>
          </w:p>
        </w:tc>
        <w:tc>
          <w:tcPr>
            <w:tcW w:w="960" w:type="dxa"/>
            <w:noWrap/>
            <w:vAlign w:val="bottom"/>
            <w:hideMark/>
          </w:tcPr>
          <w:p w14:paraId="155AA60B"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2.86</w:t>
            </w:r>
          </w:p>
        </w:tc>
        <w:tc>
          <w:tcPr>
            <w:tcW w:w="898" w:type="dxa"/>
            <w:noWrap/>
            <w:vAlign w:val="bottom"/>
            <w:hideMark/>
          </w:tcPr>
          <w:p w14:paraId="51A0B4A9"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0.012</w:t>
            </w:r>
          </w:p>
        </w:tc>
        <w:tc>
          <w:tcPr>
            <w:tcW w:w="850" w:type="dxa"/>
            <w:noWrap/>
            <w:vAlign w:val="bottom"/>
            <w:hideMark/>
          </w:tcPr>
          <w:p w14:paraId="1D3F87DF"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0.390</w:t>
            </w:r>
          </w:p>
        </w:tc>
        <w:tc>
          <w:tcPr>
            <w:tcW w:w="851" w:type="dxa"/>
            <w:noWrap/>
            <w:vAlign w:val="bottom"/>
            <w:hideMark/>
          </w:tcPr>
          <w:p w14:paraId="294C2CA3" w14:textId="77777777" w:rsidR="009859AC" w:rsidRPr="007E2F7C" w:rsidRDefault="009859AC" w:rsidP="001B3C1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0.016</w:t>
            </w:r>
          </w:p>
        </w:tc>
      </w:tr>
    </w:tbl>
    <w:p w14:paraId="7A12C86C" w14:textId="77777777" w:rsidR="004E5F8E" w:rsidRPr="007E2F7C" w:rsidRDefault="004E5F8E" w:rsidP="004E5F8E">
      <w:pPr>
        <w:rPr>
          <w:rFonts w:asciiTheme="majorBidi" w:hAnsiTheme="majorBidi" w:cstheme="majorBidi"/>
        </w:rPr>
      </w:pPr>
    </w:p>
    <w:p w14:paraId="410BCF71" w14:textId="481872D7" w:rsidR="004E5F8E" w:rsidRPr="007E2F7C" w:rsidRDefault="004E5F8E" w:rsidP="004E5F8E">
      <w:pPr>
        <w:rPr>
          <w:rFonts w:asciiTheme="majorBidi" w:hAnsiTheme="majorBidi" w:cstheme="majorBidi"/>
        </w:rPr>
        <w:sectPr w:rsidR="004E5F8E" w:rsidRPr="007E2F7C" w:rsidSect="002460B7">
          <w:headerReference w:type="default" r:id="rId189"/>
          <w:footerReference w:type="even" r:id="rId190"/>
          <w:footerReference w:type="default" r:id="rId191"/>
          <w:pgSz w:w="11906" w:h="16838"/>
          <w:pgMar w:top="567" w:right="851" w:bottom="851" w:left="1134" w:header="709" w:footer="709" w:gutter="0"/>
          <w:cols w:space="708"/>
          <w:docGrid w:linePitch="360"/>
        </w:sectPr>
      </w:pPr>
    </w:p>
    <w:p w14:paraId="5FC6C14A" w14:textId="6196DC34" w:rsidR="004E5F8E" w:rsidRPr="00056DA7" w:rsidRDefault="004E5F8E" w:rsidP="007D4B6C">
      <w:pPr>
        <w:pStyle w:val="Caption"/>
        <w:keepNext/>
      </w:pPr>
      <w:r>
        <w:lastRenderedPageBreak/>
        <w:t>Table 5</w:t>
      </w:r>
      <w:r w:rsidRPr="00056DA7">
        <w:t>: Loch Garry results</w:t>
      </w:r>
    </w:p>
    <w:tbl>
      <w:tblPr>
        <w:tblStyle w:val="GridTable2"/>
        <w:tblW w:w="10348" w:type="dxa"/>
        <w:tblInd w:w="-623" w:type="dxa"/>
        <w:tblLook w:val="04A0" w:firstRow="1" w:lastRow="0" w:firstColumn="1" w:lastColumn="0" w:noHBand="0" w:noVBand="1"/>
      </w:tblPr>
      <w:tblGrid>
        <w:gridCol w:w="894"/>
        <w:gridCol w:w="960"/>
        <w:gridCol w:w="840"/>
        <w:gridCol w:w="1473"/>
        <w:gridCol w:w="1078"/>
        <w:gridCol w:w="1134"/>
        <w:gridCol w:w="1418"/>
        <w:gridCol w:w="1275"/>
        <w:gridCol w:w="1276"/>
      </w:tblGrid>
      <w:tr w:rsidR="004E5F8E" w:rsidRPr="007E2F7C" w14:paraId="2818845E" w14:textId="77777777" w:rsidTr="002460B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 w:type="dxa"/>
          </w:tcPr>
          <w:p w14:paraId="66F2167D" w14:textId="77777777" w:rsidR="004E5F8E" w:rsidRPr="00B77B7E" w:rsidRDefault="004E5F8E" w:rsidP="002460B7">
            <w:pPr>
              <w:jc w:val="center"/>
              <w:rPr>
                <w:rFonts w:asciiTheme="majorBidi" w:hAnsiTheme="majorBidi" w:cstheme="majorBidi"/>
                <w:i/>
                <w:color w:val="000000"/>
              </w:rPr>
            </w:pPr>
            <w:r w:rsidRPr="00B77B7E">
              <w:rPr>
                <w:rFonts w:asciiTheme="majorBidi" w:hAnsiTheme="majorBidi" w:cstheme="majorBidi"/>
                <w:i/>
                <w:color w:val="000000"/>
              </w:rPr>
              <w:t>Date</w:t>
            </w:r>
          </w:p>
        </w:tc>
        <w:tc>
          <w:tcPr>
            <w:tcW w:w="960" w:type="dxa"/>
            <w:noWrap/>
            <w:hideMark/>
          </w:tcPr>
          <w:p w14:paraId="7055ABC0"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B77B7E">
              <w:rPr>
                <w:rFonts w:asciiTheme="majorBidi" w:hAnsiTheme="majorBidi" w:cstheme="majorBidi"/>
                <w:i/>
                <w:color w:val="000000"/>
              </w:rPr>
              <w:t>FRP</w:t>
            </w:r>
          </w:p>
          <w:p w14:paraId="21AAC5A2"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B77B7E">
              <w:rPr>
                <w:rFonts w:asciiTheme="majorBidi" w:hAnsiTheme="majorBidi" w:cstheme="majorBidi"/>
                <w:i/>
                <w:color w:val="000000"/>
              </w:rPr>
              <w:t>(mg/L)</w:t>
            </w:r>
          </w:p>
        </w:tc>
        <w:tc>
          <w:tcPr>
            <w:tcW w:w="840" w:type="dxa"/>
            <w:noWrap/>
            <w:hideMark/>
          </w:tcPr>
          <w:p w14:paraId="2F6CAC72"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B77B7E">
              <w:rPr>
                <w:rFonts w:asciiTheme="majorBidi" w:hAnsiTheme="majorBidi" w:cstheme="majorBidi"/>
                <w:i/>
                <w:color w:val="000000"/>
              </w:rPr>
              <w:t>NOx</w:t>
            </w:r>
          </w:p>
          <w:p w14:paraId="77206E06"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B77B7E">
              <w:rPr>
                <w:rFonts w:asciiTheme="majorBidi" w:hAnsiTheme="majorBidi" w:cstheme="majorBidi"/>
                <w:i/>
                <w:color w:val="000000"/>
              </w:rPr>
              <w:t>(mg/L)</w:t>
            </w:r>
          </w:p>
        </w:tc>
        <w:tc>
          <w:tcPr>
            <w:tcW w:w="1473" w:type="dxa"/>
            <w:noWrap/>
            <w:hideMark/>
          </w:tcPr>
          <w:p w14:paraId="3229C980"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B77B7E">
              <w:rPr>
                <w:rFonts w:asciiTheme="majorBidi" w:hAnsiTheme="majorBidi" w:cstheme="majorBidi"/>
                <w:i/>
                <w:color w:val="000000"/>
              </w:rPr>
              <w:t>Chlorophyll-a</w:t>
            </w:r>
          </w:p>
          <w:p w14:paraId="08240DF1"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B77B7E">
              <w:rPr>
                <w:rFonts w:asciiTheme="majorBidi" w:hAnsiTheme="majorBidi" w:cstheme="majorBidi"/>
                <w:i/>
                <w:color w:val="000000"/>
              </w:rPr>
              <w:t>(mg/L)</w:t>
            </w:r>
          </w:p>
        </w:tc>
        <w:tc>
          <w:tcPr>
            <w:tcW w:w="1078" w:type="dxa"/>
            <w:noWrap/>
            <w:hideMark/>
          </w:tcPr>
          <w:p w14:paraId="6A37933E"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B77B7E">
              <w:rPr>
                <w:rFonts w:asciiTheme="majorBidi" w:hAnsiTheme="majorBidi" w:cstheme="majorBidi"/>
                <w:i/>
                <w:color w:val="000000"/>
              </w:rPr>
              <w:t>Light</w:t>
            </w:r>
          </w:p>
          <w:p w14:paraId="7118904E"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B77B7E">
              <w:rPr>
                <w:rFonts w:asciiTheme="majorBidi" w:hAnsiTheme="majorBidi" w:cstheme="majorBidi"/>
                <w:i/>
                <w:color w:val="000000"/>
              </w:rPr>
              <w:t>PAR (lux)</w:t>
            </w:r>
          </w:p>
        </w:tc>
        <w:tc>
          <w:tcPr>
            <w:tcW w:w="1134" w:type="dxa"/>
            <w:noWrap/>
            <w:hideMark/>
          </w:tcPr>
          <w:p w14:paraId="5664F7EC"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B77B7E">
              <w:rPr>
                <w:rFonts w:asciiTheme="majorBidi" w:hAnsiTheme="majorBidi" w:cstheme="majorBidi"/>
                <w:i/>
                <w:color w:val="000000"/>
              </w:rPr>
              <w:t>Euphotic depth (m)</w:t>
            </w:r>
          </w:p>
        </w:tc>
        <w:tc>
          <w:tcPr>
            <w:tcW w:w="1418" w:type="dxa"/>
            <w:noWrap/>
            <w:hideMark/>
          </w:tcPr>
          <w:p w14:paraId="7A87EEAD"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B77B7E">
              <w:rPr>
                <w:rFonts w:asciiTheme="majorBidi" w:hAnsiTheme="majorBidi" w:cstheme="majorBidi"/>
                <w:i/>
                <w:iCs/>
                <w:color w:val="000000"/>
              </w:rPr>
              <w:t>River</w:t>
            </w:r>
            <w:r>
              <w:rPr>
                <w:rFonts w:asciiTheme="majorBidi" w:hAnsiTheme="majorBidi" w:cstheme="majorBidi"/>
                <w:i/>
                <w:iCs/>
                <w:color w:val="000000"/>
              </w:rPr>
              <w:t>b</w:t>
            </w:r>
            <w:r w:rsidRPr="00B77B7E">
              <w:rPr>
                <w:rFonts w:asciiTheme="majorBidi" w:hAnsiTheme="majorBidi" w:cstheme="majorBidi"/>
                <w:i/>
                <w:iCs/>
                <w:color w:val="000000"/>
              </w:rPr>
              <w:t>ed</w:t>
            </w:r>
            <w:r w:rsidRPr="00B77B7E">
              <w:rPr>
                <w:rFonts w:asciiTheme="majorBidi" w:hAnsiTheme="majorBidi" w:cstheme="majorBidi"/>
                <w:i/>
                <w:color w:val="000000"/>
              </w:rPr>
              <w:t xml:space="preserve"> % &gt; euphotic</w:t>
            </w:r>
            <w:r w:rsidRPr="00B77B7E">
              <w:rPr>
                <w:rFonts w:asciiTheme="majorBidi" w:hAnsiTheme="majorBidi" w:cstheme="majorBidi"/>
                <w:i/>
                <w:iCs/>
                <w:color w:val="000000"/>
              </w:rPr>
              <w:t xml:space="preserve"> depth</w:t>
            </w:r>
          </w:p>
        </w:tc>
        <w:tc>
          <w:tcPr>
            <w:tcW w:w="1275" w:type="dxa"/>
            <w:noWrap/>
            <w:hideMark/>
          </w:tcPr>
          <w:p w14:paraId="4BDC49CC"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B77B7E">
              <w:rPr>
                <w:rFonts w:asciiTheme="majorBidi" w:hAnsiTheme="majorBidi" w:cstheme="majorBidi"/>
                <w:i/>
                <w:color w:val="000000"/>
              </w:rPr>
              <w:t>River level</w:t>
            </w:r>
          </w:p>
          <w:p w14:paraId="5D080720"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B77B7E">
              <w:rPr>
                <w:rFonts w:asciiTheme="majorBidi" w:hAnsiTheme="majorBidi" w:cstheme="majorBidi"/>
                <w:i/>
                <w:color w:val="000000"/>
              </w:rPr>
              <w:t>(m)</w:t>
            </w:r>
          </w:p>
        </w:tc>
        <w:tc>
          <w:tcPr>
            <w:tcW w:w="1276" w:type="dxa"/>
            <w:noWrap/>
            <w:hideMark/>
          </w:tcPr>
          <w:p w14:paraId="180645AC"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B77B7E">
              <w:rPr>
                <w:rFonts w:asciiTheme="majorBidi" w:hAnsiTheme="majorBidi" w:cstheme="majorBidi"/>
                <w:i/>
                <w:color w:val="000000"/>
              </w:rPr>
              <w:t>Respiration</w:t>
            </w:r>
          </w:p>
          <w:p w14:paraId="43AB924E" w14:textId="77777777" w:rsidR="004E5F8E" w:rsidRPr="00B77B7E"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B77B7E">
              <w:rPr>
                <w:rFonts w:asciiTheme="majorBidi" w:hAnsiTheme="majorBidi" w:cstheme="majorBidi"/>
                <w:i/>
                <w:color w:val="000000"/>
              </w:rPr>
              <w:t>(mg O</w:t>
            </w:r>
            <w:r w:rsidRPr="00B77B7E">
              <w:rPr>
                <w:rFonts w:asciiTheme="majorBidi" w:hAnsiTheme="majorBidi" w:cstheme="majorBidi"/>
                <w:i/>
                <w:color w:val="000000"/>
                <w:vertAlign w:val="subscript"/>
              </w:rPr>
              <w:t>2</w:t>
            </w:r>
            <w:r w:rsidRPr="00B77B7E">
              <w:rPr>
                <w:rFonts w:asciiTheme="majorBidi" w:hAnsiTheme="majorBidi" w:cstheme="majorBidi"/>
                <w:i/>
                <w:color w:val="000000"/>
                <w:vertAlign w:val="subscript"/>
              </w:rPr>
              <w:softHyphen/>
            </w:r>
            <w:r w:rsidRPr="00B77B7E">
              <w:rPr>
                <w:rFonts w:asciiTheme="majorBidi" w:hAnsiTheme="majorBidi" w:cstheme="majorBidi"/>
                <w:i/>
                <w:color w:val="000000"/>
              </w:rPr>
              <w:t>/L/h)</w:t>
            </w:r>
          </w:p>
        </w:tc>
      </w:tr>
      <w:tr w:rsidR="004E5F8E" w:rsidRPr="007E2F7C" w14:paraId="73B1D3B0" w14:textId="77777777" w:rsidTr="002460B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 w:type="dxa"/>
          </w:tcPr>
          <w:p w14:paraId="4F9ACF4E"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23-Dec</w:t>
            </w:r>
          </w:p>
        </w:tc>
        <w:tc>
          <w:tcPr>
            <w:tcW w:w="960" w:type="dxa"/>
            <w:noWrap/>
            <w:vAlign w:val="bottom"/>
            <w:hideMark/>
          </w:tcPr>
          <w:p w14:paraId="010FD648"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0.006</w:t>
            </w:r>
          </w:p>
        </w:tc>
        <w:tc>
          <w:tcPr>
            <w:tcW w:w="840" w:type="dxa"/>
            <w:noWrap/>
            <w:vAlign w:val="bottom"/>
            <w:hideMark/>
          </w:tcPr>
          <w:p w14:paraId="579C2DB2"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0.005</w:t>
            </w:r>
          </w:p>
        </w:tc>
        <w:tc>
          <w:tcPr>
            <w:tcW w:w="1473" w:type="dxa"/>
            <w:noWrap/>
            <w:vAlign w:val="bottom"/>
            <w:hideMark/>
          </w:tcPr>
          <w:p w14:paraId="1D91DF95"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3.100</w:t>
            </w:r>
          </w:p>
        </w:tc>
        <w:tc>
          <w:tcPr>
            <w:tcW w:w="1078" w:type="dxa"/>
            <w:noWrap/>
            <w:vAlign w:val="bottom"/>
            <w:hideMark/>
          </w:tcPr>
          <w:p w14:paraId="003B14E0"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5250</w:t>
            </w:r>
          </w:p>
        </w:tc>
        <w:tc>
          <w:tcPr>
            <w:tcW w:w="1134" w:type="dxa"/>
            <w:noWrap/>
            <w:vAlign w:val="bottom"/>
            <w:hideMark/>
          </w:tcPr>
          <w:p w14:paraId="759C7C43"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2.081</w:t>
            </w:r>
          </w:p>
        </w:tc>
        <w:tc>
          <w:tcPr>
            <w:tcW w:w="1418" w:type="dxa"/>
            <w:noWrap/>
            <w:vAlign w:val="bottom"/>
            <w:hideMark/>
          </w:tcPr>
          <w:p w14:paraId="0F57FA99"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E2F7C">
              <w:rPr>
                <w:rFonts w:asciiTheme="majorBidi" w:hAnsiTheme="majorBidi" w:cstheme="majorBidi"/>
                <w:color w:val="000000"/>
              </w:rPr>
              <w:t>90</w:t>
            </w:r>
          </w:p>
        </w:tc>
        <w:tc>
          <w:tcPr>
            <w:tcW w:w="1275" w:type="dxa"/>
            <w:noWrap/>
            <w:vAlign w:val="bottom"/>
            <w:hideMark/>
          </w:tcPr>
          <w:p w14:paraId="3D3582CB"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2.461</w:t>
            </w:r>
          </w:p>
        </w:tc>
        <w:tc>
          <w:tcPr>
            <w:tcW w:w="1276" w:type="dxa"/>
            <w:noWrap/>
            <w:vAlign w:val="bottom"/>
            <w:hideMark/>
          </w:tcPr>
          <w:p w14:paraId="48E77CF6"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0.231</w:t>
            </w:r>
          </w:p>
        </w:tc>
      </w:tr>
      <w:tr w:rsidR="004E5F8E" w:rsidRPr="007E2F7C" w14:paraId="3829F386" w14:textId="77777777" w:rsidTr="002460B7">
        <w:trPr>
          <w:trHeight w:val="300"/>
        </w:trPr>
        <w:tc>
          <w:tcPr>
            <w:cnfStyle w:val="001000000000" w:firstRow="0" w:lastRow="0" w:firstColumn="1" w:lastColumn="0" w:oddVBand="0" w:evenVBand="0" w:oddHBand="0" w:evenHBand="0" w:firstRowFirstColumn="0" w:firstRowLastColumn="0" w:lastRowFirstColumn="0" w:lastRowLastColumn="0"/>
            <w:tcW w:w="894" w:type="dxa"/>
          </w:tcPr>
          <w:p w14:paraId="0812FD7A"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11-Jan</w:t>
            </w:r>
          </w:p>
        </w:tc>
        <w:tc>
          <w:tcPr>
            <w:tcW w:w="960" w:type="dxa"/>
            <w:noWrap/>
            <w:vAlign w:val="bottom"/>
            <w:hideMark/>
          </w:tcPr>
          <w:p w14:paraId="5B92F295"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0.002</w:t>
            </w:r>
          </w:p>
        </w:tc>
        <w:tc>
          <w:tcPr>
            <w:tcW w:w="840" w:type="dxa"/>
            <w:noWrap/>
            <w:vAlign w:val="bottom"/>
            <w:hideMark/>
          </w:tcPr>
          <w:p w14:paraId="2F711FFD"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0.001</w:t>
            </w:r>
          </w:p>
        </w:tc>
        <w:tc>
          <w:tcPr>
            <w:tcW w:w="1473" w:type="dxa"/>
            <w:noWrap/>
            <w:vAlign w:val="bottom"/>
            <w:hideMark/>
          </w:tcPr>
          <w:p w14:paraId="21E4E8EE"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3.700</w:t>
            </w:r>
          </w:p>
        </w:tc>
        <w:tc>
          <w:tcPr>
            <w:tcW w:w="1078" w:type="dxa"/>
            <w:noWrap/>
            <w:vAlign w:val="bottom"/>
            <w:hideMark/>
          </w:tcPr>
          <w:p w14:paraId="65C8B8E4"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2349</w:t>
            </w:r>
          </w:p>
        </w:tc>
        <w:tc>
          <w:tcPr>
            <w:tcW w:w="1134" w:type="dxa"/>
            <w:noWrap/>
            <w:vAlign w:val="bottom"/>
            <w:hideMark/>
          </w:tcPr>
          <w:p w14:paraId="6069F923"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2.226</w:t>
            </w:r>
          </w:p>
        </w:tc>
        <w:tc>
          <w:tcPr>
            <w:tcW w:w="1418" w:type="dxa"/>
            <w:noWrap/>
            <w:vAlign w:val="bottom"/>
            <w:hideMark/>
          </w:tcPr>
          <w:p w14:paraId="5C87ACA6"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7E2F7C">
              <w:rPr>
                <w:rFonts w:asciiTheme="majorBidi" w:hAnsiTheme="majorBidi" w:cstheme="majorBidi"/>
                <w:color w:val="000000"/>
              </w:rPr>
              <w:t>94</w:t>
            </w:r>
          </w:p>
        </w:tc>
        <w:tc>
          <w:tcPr>
            <w:tcW w:w="1275" w:type="dxa"/>
            <w:noWrap/>
            <w:vAlign w:val="bottom"/>
            <w:hideMark/>
          </w:tcPr>
          <w:p w14:paraId="5BF73C96"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2.459</w:t>
            </w:r>
          </w:p>
        </w:tc>
        <w:tc>
          <w:tcPr>
            <w:tcW w:w="1276" w:type="dxa"/>
            <w:noWrap/>
            <w:vAlign w:val="bottom"/>
            <w:hideMark/>
          </w:tcPr>
          <w:p w14:paraId="36DC2FFE"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0.433</w:t>
            </w:r>
          </w:p>
        </w:tc>
      </w:tr>
      <w:tr w:rsidR="004E5F8E" w:rsidRPr="007E2F7C" w14:paraId="38EBD0AF" w14:textId="77777777" w:rsidTr="002460B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 w:type="dxa"/>
          </w:tcPr>
          <w:p w14:paraId="3C7023C3"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27-Jan</w:t>
            </w:r>
          </w:p>
        </w:tc>
        <w:tc>
          <w:tcPr>
            <w:tcW w:w="960" w:type="dxa"/>
            <w:noWrap/>
            <w:vAlign w:val="bottom"/>
            <w:hideMark/>
          </w:tcPr>
          <w:p w14:paraId="3518BFA4"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0.587</w:t>
            </w:r>
          </w:p>
        </w:tc>
        <w:tc>
          <w:tcPr>
            <w:tcW w:w="840" w:type="dxa"/>
            <w:noWrap/>
            <w:vAlign w:val="bottom"/>
            <w:hideMark/>
          </w:tcPr>
          <w:p w14:paraId="117CBB37"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0.565</w:t>
            </w:r>
          </w:p>
        </w:tc>
        <w:tc>
          <w:tcPr>
            <w:tcW w:w="1473" w:type="dxa"/>
            <w:noWrap/>
            <w:vAlign w:val="bottom"/>
            <w:hideMark/>
          </w:tcPr>
          <w:p w14:paraId="7926EF24"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0.300</w:t>
            </w:r>
          </w:p>
        </w:tc>
        <w:tc>
          <w:tcPr>
            <w:tcW w:w="1078" w:type="dxa"/>
            <w:noWrap/>
            <w:vAlign w:val="bottom"/>
            <w:hideMark/>
          </w:tcPr>
          <w:p w14:paraId="65B120D3"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1979</w:t>
            </w:r>
          </w:p>
        </w:tc>
        <w:tc>
          <w:tcPr>
            <w:tcW w:w="1134" w:type="dxa"/>
            <w:noWrap/>
            <w:vAlign w:val="bottom"/>
            <w:hideMark/>
          </w:tcPr>
          <w:p w14:paraId="57453C75"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1.843</w:t>
            </w:r>
          </w:p>
        </w:tc>
        <w:tc>
          <w:tcPr>
            <w:tcW w:w="1418" w:type="dxa"/>
            <w:noWrap/>
            <w:vAlign w:val="bottom"/>
            <w:hideMark/>
          </w:tcPr>
          <w:p w14:paraId="162D2D5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86</w:t>
            </w:r>
          </w:p>
        </w:tc>
        <w:tc>
          <w:tcPr>
            <w:tcW w:w="1275" w:type="dxa"/>
            <w:noWrap/>
            <w:vAlign w:val="bottom"/>
            <w:hideMark/>
          </w:tcPr>
          <w:p w14:paraId="5E325952"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2.462</w:t>
            </w:r>
          </w:p>
        </w:tc>
        <w:tc>
          <w:tcPr>
            <w:tcW w:w="1276" w:type="dxa"/>
            <w:noWrap/>
            <w:vAlign w:val="bottom"/>
            <w:hideMark/>
          </w:tcPr>
          <w:p w14:paraId="4C998763"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-0.016</w:t>
            </w:r>
          </w:p>
        </w:tc>
      </w:tr>
      <w:tr w:rsidR="004E5F8E" w:rsidRPr="007E2F7C" w14:paraId="22EC3C08" w14:textId="77777777" w:rsidTr="002460B7">
        <w:trPr>
          <w:trHeight w:val="300"/>
        </w:trPr>
        <w:tc>
          <w:tcPr>
            <w:cnfStyle w:val="001000000000" w:firstRow="0" w:lastRow="0" w:firstColumn="1" w:lastColumn="0" w:oddVBand="0" w:evenVBand="0" w:oddHBand="0" w:evenHBand="0" w:firstRowFirstColumn="0" w:firstRowLastColumn="0" w:lastRowFirstColumn="0" w:lastRowLastColumn="0"/>
            <w:tcW w:w="894" w:type="dxa"/>
          </w:tcPr>
          <w:p w14:paraId="49B19CBF"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8-Feb</w:t>
            </w:r>
          </w:p>
        </w:tc>
        <w:tc>
          <w:tcPr>
            <w:tcW w:w="960" w:type="dxa"/>
            <w:noWrap/>
            <w:vAlign w:val="bottom"/>
            <w:hideMark/>
          </w:tcPr>
          <w:p w14:paraId="3DD716B1"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0.784</w:t>
            </w:r>
          </w:p>
        </w:tc>
        <w:tc>
          <w:tcPr>
            <w:tcW w:w="840" w:type="dxa"/>
            <w:noWrap/>
            <w:vAlign w:val="bottom"/>
            <w:hideMark/>
          </w:tcPr>
          <w:p w14:paraId="7F8E4CD4"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0.657</w:t>
            </w:r>
          </w:p>
        </w:tc>
        <w:tc>
          <w:tcPr>
            <w:tcW w:w="1473" w:type="dxa"/>
            <w:noWrap/>
            <w:vAlign w:val="bottom"/>
            <w:hideMark/>
          </w:tcPr>
          <w:p w14:paraId="11265AA1"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0.300</w:t>
            </w:r>
          </w:p>
        </w:tc>
        <w:tc>
          <w:tcPr>
            <w:tcW w:w="1078" w:type="dxa"/>
            <w:noWrap/>
            <w:vAlign w:val="bottom"/>
            <w:hideMark/>
          </w:tcPr>
          <w:p w14:paraId="076F7E7A"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3931</w:t>
            </w:r>
          </w:p>
        </w:tc>
        <w:tc>
          <w:tcPr>
            <w:tcW w:w="1134" w:type="dxa"/>
            <w:noWrap/>
            <w:vAlign w:val="bottom"/>
            <w:hideMark/>
          </w:tcPr>
          <w:p w14:paraId="5B53B355"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1.157</w:t>
            </w:r>
          </w:p>
        </w:tc>
        <w:tc>
          <w:tcPr>
            <w:tcW w:w="1418" w:type="dxa"/>
            <w:noWrap/>
            <w:vAlign w:val="bottom"/>
            <w:hideMark/>
          </w:tcPr>
          <w:p w14:paraId="3513B9BE"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49</w:t>
            </w:r>
          </w:p>
        </w:tc>
        <w:tc>
          <w:tcPr>
            <w:tcW w:w="1275" w:type="dxa"/>
            <w:noWrap/>
            <w:vAlign w:val="bottom"/>
            <w:hideMark/>
          </w:tcPr>
          <w:p w14:paraId="50C97D26"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2.462</w:t>
            </w:r>
          </w:p>
        </w:tc>
        <w:tc>
          <w:tcPr>
            <w:tcW w:w="1276" w:type="dxa"/>
            <w:noWrap/>
            <w:vAlign w:val="bottom"/>
            <w:hideMark/>
          </w:tcPr>
          <w:p w14:paraId="5CD2ED73"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0.000</w:t>
            </w:r>
          </w:p>
        </w:tc>
      </w:tr>
      <w:tr w:rsidR="004E5F8E" w:rsidRPr="007E2F7C" w14:paraId="68799FBD" w14:textId="77777777" w:rsidTr="002460B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 w:type="dxa"/>
          </w:tcPr>
          <w:p w14:paraId="5BC7BDEB"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28-Feb</w:t>
            </w:r>
          </w:p>
        </w:tc>
        <w:tc>
          <w:tcPr>
            <w:tcW w:w="960" w:type="dxa"/>
            <w:noWrap/>
            <w:vAlign w:val="bottom"/>
            <w:hideMark/>
          </w:tcPr>
          <w:p w14:paraId="18CDD75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0.934</w:t>
            </w:r>
          </w:p>
        </w:tc>
        <w:tc>
          <w:tcPr>
            <w:tcW w:w="840" w:type="dxa"/>
            <w:noWrap/>
            <w:vAlign w:val="bottom"/>
            <w:hideMark/>
          </w:tcPr>
          <w:p w14:paraId="2BCBA8F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0.788</w:t>
            </w:r>
          </w:p>
        </w:tc>
        <w:tc>
          <w:tcPr>
            <w:tcW w:w="1473" w:type="dxa"/>
            <w:noWrap/>
            <w:vAlign w:val="bottom"/>
            <w:hideMark/>
          </w:tcPr>
          <w:p w14:paraId="3F1E86BE"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0.300</w:t>
            </w:r>
          </w:p>
        </w:tc>
        <w:tc>
          <w:tcPr>
            <w:tcW w:w="1078" w:type="dxa"/>
            <w:noWrap/>
            <w:vAlign w:val="bottom"/>
            <w:hideMark/>
          </w:tcPr>
          <w:p w14:paraId="1123ED89"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17977</w:t>
            </w:r>
          </w:p>
        </w:tc>
        <w:tc>
          <w:tcPr>
            <w:tcW w:w="1134" w:type="dxa"/>
            <w:noWrap/>
            <w:vAlign w:val="bottom"/>
            <w:hideMark/>
          </w:tcPr>
          <w:p w14:paraId="2A5C5153"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1.290</w:t>
            </w:r>
          </w:p>
        </w:tc>
        <w:tc>
          <w:tcPr>
            <w:tcW w:w="1418" w:type="dxa"/>
            <w:noWrap/>
            <w:vAlign w:val="bottom"/>
            <w:hideMark/>
          </w:tcPr>
          <w:p w14:paraId="32A8AB9A"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61</w:t>
            </w:r>
          </w:p>
        </w:tc>
        <w:tc>
          <w:tcPr>
            <w:tcW w:w="1275" w:type="dxa"/>
            <w:noWrap/>
            <w:vAlign w:val="bottom"/>
            <w:hideMark/>
          </w:tcPr>
          <w:p w14:paraId="0BCC139B"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2.462</w:t>
            </w:r>
          </w:p>
        </w:tc>
        <w:tc>
          <w:tcPr>
            <w:tcW w:w="1276" w:type="dxa"/>
            <w:noWrap/>
            <w:vAlign w:val="bottom"/>
            <w:hideMark/>
          </w:tcPr>
          <w:p w14:paraId="2F18E0ED"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-0.076</w:t>
            </w:r>
          </w:p>
        </w:tc>
      </w:tr>
      <w:tr w:rsidR="004E5F8E" w:rsidRPr="007E2F7C" w14:paraId="54CE4EB0" w14:textId="77777777" w:rsidTr="002460B7">
        <w:trPr>
          <w:trHeight w:val="300"/>
        </w:trPr>
        <w:tc>
          <w:tcPr>
            <w:cnfStyle w:val="001000000000" w:firstRow="0" w:lastRow="0" w:firstColumn="1" w:lastColumn="0" w:oddVBand="0" w:evenVBand="0" w:oddHBand="0" w:evenHBand="0" w:firstRowFirstColumn="0" w:firstRowLastColumn="0" w:lastRowFirstColumn="0" w:lastRowLastColumn="0"/>
            <w:tcW w:w="894" w:type="dxa"/>
          </w:tcPr>
          <w:p w14:paraId="1CF205FB"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14-Mar</w:t>
            </w:r>
          </w:p>
        </w:tc>
        <w:tc>
          <w:tcPr>
            <w:tcW w:w="960" w:type="dxa"/>
            <w:noWrap/>
            <w:vAlign w:val="bottom"/>
            <w:hideMark/>
          </w:tcPr>
          <w:p w14:paraId="0BDC2C61"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0.002</w:t>
            </w:r>
          </w:p>
        </w:tc>
        <w:tc>
          <w:tcPr>
            <w:tcW w:w="840" w:type="dxa"/>
            <w:noWrap/>
            <w:vAlign w:val="bottom"/>
            <w:hideMark/>
          </w:tcPr>
          <w:p w14:paraId="189F2F93"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0.004</w:t>
            </w:r>
          </w:p>
        </w:tc>
        <w:tc>
          <w:tcPr>
            <w:tcW w:w="1473" w:type="dxa"/>
            <w:noWrap/>
            <w:vAlign w:val="bottom"/>
            <w:hideMark/>
          </w:tcPr>
          <w:p w14:paraId="2DF0E5EE"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3.300</w:t>
            </w:r>
          </w:p>
        </w:tc>
        <w:tc>
          <w:tcPr>
            <w:tcW w:w="1078" w:type="dxa"/>
            <w:noWrap/>
            <w:vAlign w:val="bottom"/>
            <w:hideMark/>
          </w:tcPr>
          <w:p w14:paraId="0DB1B8E6"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6433</w:t>
            </w:r>
          </w:p>
        </w:tc>
        <w:tc>
          <w:tcPr>
            <w:tcW w:w="1134" w:type="dxa"/>
            <w:noWrap/>
            <w:vAlign w:val="bottom"/>
            <w:hideMark/>
          </w:tcPr>
          <w:p w14:paraId="760F166F"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2.450</w:t>
            </w:r>
          </w:p>
        </w:tc>
        <w:tc>
          <w:tcPr>
            <w:tcW w:w="1418" w:type="dxa"/>
            <w:noWrap/>
            <w:vAlign w:val="bottom"/>
            <w:hideMark/>
          </w:tcPr>
          <w:p w14:paraId="3BDC9A15"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99</w:t>
            </w:r>
          </w:p>
        </w:tc>
        <w:tc>
          <w:tcPr>
            <w:tcW w:w="1275" w:type="dxa"/>
            <w:noWrap/>
            <w:vAlign w:val="bottom"/>
            <w:hideMark/>
          </w:tcPr>
          <w:p w14:paraId="190FF7EA"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2.462</w:t>
            </w:r>
          </w:p>
        </w:tc>
        <w:tc>
          <w:tcPr>
            <w:tcW w:w="1276" w:type="dxa"/>
            <w:noWrap/>
            <w:vAlign w:val="bottom"/>
            <w:hideMark/>
          </w:tcPr>
          <w:p w14:paraId="14A68F26"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-0.178</w:t>
            </w:r>
          </w:p>
        </w:tc>
      </w:tr>
      <w:tr w:rsidR="004E5F8E" w:rsidRPr="007E2F7C" w14:paraId="5CB35699" w14:textId="77777777" w:rsidTr="002460B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4" w:type="dxa"/>
          </w:tcPr>
          <w:p w14:paraId="09ADA463"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7-Apr</w:t>
            </w:r>
          </w:p>
        </w:tc>
        <w:tc>
          <w:tcPr>
            <w:tcW w:w="960" w:type="dxa"/>
            <w:noWrap/>
            <w:vAlign w:val="bottom"/>
            <w:hideMark/>
          </w:tcPr>
          <w:p w14:paraId="65881366"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1.002</w:t>
            </w:r>
          </w:p>
        </w:tc>
        <w:tc>
          <w:tcPr>
            <w:tcW w:w="840" w:type="dxa"/>
            <w:noWrap/>
            <w:vAlign w:val="bottom"/>
            <w:hideMark/>
          </w:tcPr>
          <w:p w14:paraId="305D1B0E"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0.006</w:t>
            </w:r>
          </w:p>
        </w:tc>
        <w:tc>
          <w:tcPr>
            <w:tcW w:w="1473" w:type="dxa"/>
            <w:noWrap/>
            <w:vAlign w:val="bottom"/>
            <w:hideMark/>
          </w:tcPr>
          <w:p w14:paraId="7EE3AA3E"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0.300</w:t>
            </w:r>
          </w:p>
        </w:tc>
        <w:tc>
          <w:tcPr>
            <w:tcW w:w="1078" w:type="dxa"/>
            <w:noWrap/>
            <w:vAlign w:val="bottom"/>
            <w:hideMark/>
          </w:tcPr>
          <w:p w14:paraId="7F071BA2"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2704</w:t>
            </w:r>
          </w:p>
        </w:tc>
        <w:tc>
          <w:tcPr>
            <w:tcW w:w="1134" w:type="dxa"/>
            <w:noWrap/>
            <w:vAlign w:val="bottom"/>
            <w:hideMark/>
          </w:tcPr>
          <w:p w14:paraId="4EBC13A8"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2.385</w:t>
            </w:r>
          </w:p>
        </w:tc>
        <w:tc>
          <w:tcPr>
            <w:tcW w:w="1418" w:type="dxa"/>
            <w:noWrap/>
            <w:vAlign w:val="bottom"/>
            <w:hideMark/>
          </w:tcPr>
          <w:p w14:paraId="204AECF9"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98</w:t>
            </w:r>
          </w:p>
        </w:tc>
        <w:tc>
          <w:tcPr>
            <w:tcW w:w="1275" w:type="dxa"/>
            <w:noWrap/>
            <w:vAlign w:val="bottom"/>
            <w:hideMark/>
          </w:tcPr>
          <w:p w14:paraId="7571D73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2.462</w:t>
            </w:r>
          </w:p>
        </w:tc>
        <w:tc>
          <w:tcPr>
            <w:tcW w:w="1276" w:type="dxa"/>
            <w:noWrap/>
            <w:vAlign w:val="bottom"/>
            <w:hideMark/>
          </w:tcPr>
          <w:p w14:paraId="2B5AFD47"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0.120</w:t>
            </w:r>
          </w:p>
        </w:tc>
      </w:tr>
    </w:tbl>
    <w:p w14:paraId="670E0232" w14:textId="77777777" w:rsidR="004E5F8E" w:rsidRPr="007E2F7C" w:rsidRDefault="004E5F8E" w:rsidP="004E5F8E"/>
    <w:p w14:paraId="1F773778" w14:textId="5E3D08FF" w:rsidR="004E5F8E" w:rsidRPr="00C74803" w:rsidRDefault="004E5F8E" w:rsidP="004E5F8E">
      <w:pPr>
        <w:ind w:left="578" w:hanging="578"/>
        <w:rPr>
          <w:rFonts w:cstheme="minorHAnsi"/>
          <w:b/>
          <w:sz w:val="24"/>
        </w:rPr>
      </w:pPr>
      <w:r w:rsidRPr="00C74803">
        <w:rPr>
          <w:rFonts w:cstheme="minorHAnsi"/>
          <w:b/>
          <w:sz w:val="24"/>
        </w:rPr>
        <w:t>4.4 McCoy’s Bridge</w:t>
      </w:r>
    </w:p>
    <w:p w14:paraId="3B97C15F" w14:textId="77777777" w:rsidR="004E5F8E" w:rsidRPr="00C74803" w:rsidRDefault="004E5F8E" w:rsidP="004E5F8E">
      <w:pPr>
        <w:rPr>
          <w:rFonts w:cstheme="minorHAnsi"/>
        </w:rPr>
      </w:pPr>
      <w:r w:rsidRPr="00C74803">
        <w:rPr>
          <w:rFonts w:cstheme="minorHAnsi"/>
        </w:rPr>
        <w:t>The following table show all the results from data collection and analysis for McCoy’s bridge site.</w:t>
      </w:r>
    </w:p>
    <w:p w14:paraId="09F0A904" w14:textId="77777777" w:rsidR="004E5F8E" w:rsidRDefault="004E5F8E" w:rsidP="007D4B6C">
      <w:pPr>
        <w:pStyle w:val="Caption"/>
        <w:keepNext/>
      </w:pPr>
    </w:p>
    <w:p w14:paraId="038D0D04" w14:textId="74FC30FF" w:rsidR="004E5F8E" w:rsidRPr="00056DA7" w:rsidRDefault="004E5F8E" w:rsidP="007D4B6C">
      <w:pPr>
        <w:pStyle w:val="Caption"/>
        <w:keepNext/>
      </w:pPr>
      <w:bookmarkStart w:id="831" w:name="_Ref73133754"/>
      <w:r>
        <w:t>Table</w:t>
      </w:r>
      <w:bookmarkEnd w:id="831"/>
      <w:r>
        <w:t xml:space="preserve"> 6</w:t>
      </w:r>
      <w:r w:rsidRPr="00056DA7">
        <w:t>: McCoy’s Bridge results</w:t>
      </w:r>
    </w:p>
    <w:tbl>
      <w:tblPr>
        <w:tblStyle w:val="GridTable2"/>
        <w:tblW w:w="11253" w:type="dxa"/>
        <w:jc w:val="center"/>
        <w:tblLook w:val="04A0" w:firstRow="1" w:lastRow="0" w:firstColumn="1" w:lastColumn="0" w:noHBand="0" w:noVBand="1"/>
      </w:tblPr>
      <w:tblGrid>
        <w:gridCol w:w="1460"/>
        <w:gridCol w:w="1659"/>
        <w:gridCol w:w="1941"/>
        <w:gridCol w:w="1053"/>
        <w:gridCol w:w="960"/>
        <w:gridCol w:w="960"/>
        <w:gridCol w:w="1300"/>
        <w:gridCol w:w="960"/>
        <w:gridCol w:w="960"/>
      </w:tblGrid>
      <w:tr w:rsidR="004E5F8E" w:rsidRPr="00265B76" w14:paraId="0F4D014C" w14:textId="77777777" w:rsidTr="002460B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60" w:type="dxa"/>
            <w:noWrap/>
            <w:hideMark/>
          </w:tcPr>
          <w:p w14:paraId="55390926" w14:textId="77777777" w:rsidR="004E5F8E" w:rsidRPr="00265B76" w:rsidRDefault="004E5F8E" w:rsidP="002460B7">
            <w:pPr>
              <w:jc w:val="center"/>
              <w:rPr>
                <w:rFonts w:asciiTheme="majorBidi" w:hAnsiTheme="majorBidi" w:cstheme="majorBidi"/>
                <w:i/>
                <w:color w:val="000000"/>
              </w:rPr>
            </w:pPr>
            <w:r w:rsidRPr="00265B76">
              <w:rPr>
                <w:rFonts w:asciiTheme="majorBidi" w:hAnsiTheme="majorBidi" w:cstheme="majorBidi"/>
                <w:i/>
                <w:color w:val="000000"/>
              </w:rPr>
              <w:t>Date</w:t>
            </w:r>
          </w:p>
        </w:tc>
        <w:tc>
          <w:tcPr>
            <w:tcW w:w="1659" w:type="dxa"/>
            <w:noWrap/>
            <w:hideMark/>
          </w:tcPr>
          <w:p w14:paraId="0820E793"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65B76">
              <w:rPr>
                <w:rFonts w:asciiTheme="majorBidi" w:hAnsiTheme="majorBidi" w:cstheme="majorBidi"/>
                <w:i/>
                <w:color w:val="000000"/>
              </w:rPr>
              <w:t>Pelagic GPP</w:t>
            </w:r>
          </w:p>
          <w:p w14:paraId="7160B409"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(mg O</w:t>
            </w:r>
            <w:r w:rsidRPr="00265B76">
              <w:rPr>
                <w:rFonts w:asciiTheme="majorBidi" w:hAnsiTheme="majorBidi" w:cstheme="majorBidi"/>
                <w:i/>
                <w:color w:val="000000"/>
                <w:vertAlign w:val="subscript"/>
              </w:rPr>
              <w:t>2</w:t>
            </w:r>
            <w:r w:rsidRPr="00265B76">
              <w:rPr>
                <w:rFonts w:asciiTheme="majorBidi" w:hAnsiTheme="majorBidi" w:cstheme="majorBidi"/>
                <w:i/>
                <w:color w:val="000000"/>
                <w:vertAlign w:val="subscript"/>
              </w:rPr>
              <w:softHyphen/>
            </w:r>
            <w:r w:rsidRPr="00265B76">
              <w:rPr>
                <w:rFonts w:asciiTheme="majorBidi" w:hAnsiTheme="majorBidi" w:cstheme="majorBidi"/>
                <w:i/>
                <w:color w:val="000000"/>
              </w:rPr>
              <w:t>/L/h)</w:t>
            </w:r>
          </w:p>
        </w:tc>
        <w:tc>
          <w:tcPr>
            <w:tcW w:w="1941" w:type="dxa"/>
            <w:noWrap/>
            <w:hideMark/>
          </w:tcPr>
          <w:p w14:paraId="25E7C1F8"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65B76">
              <w:rPr>
                <w:rFonts w:asciiTheme="majorBidi" w:hAnsiTheme="majorBidi" w:cstheme="majorBidi"/>
                <w:i/>
                <w:color w:val="000000"/>
              </w:rPr>
              <w:t>Whole stream GPP</w:t>
            </w:r>
          </w:p>
          <w:p w14:paraId="470914F2"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(mg O</w:t>
            </w:r>
            <w:r w:rsidRPr="00265B76">
              <w:rPr>
                <w:rFonts w:asciiTheme="majorBidi" w:hAnsiTheme="majorBidi" w:cstheme="majorBidi"/>
                <w:i/>
                <w:color w:val="000000"/>
                <w:vertAlign w:val="subscript"/>
              </w:rPr>
              <w:t>2</w:t>
            </w:r>
            <w:r w:rsidRPr="00265B76">
              <w:rPr>
                <w:rFonts w:asciiTheme="majorBidi" w:hAnsiTheme="majorBidi" w:cstheme="majorBidi"/>
                <w:i/>
                <w:color w:val="000000"/>
                <w:vertAlign w:val="subscript"/>
              </w:rPr>
              <w:softHyphen/>
            </w:r>
            <w:r w:rsidRPr="00265B76">
              <w:rPr>
                <w:rFonts w:asciiTheme="majorBidi" w:hAnsiTheme="majorBidi" w:cstheme="majorBidi"/>
                <w:i/>
                <w:color w:val="000000"/>
              </w:rPr>
              <w:t>/L/h)</w:t>
            </w:r>
          </w:p>
        </w:tc>
        <w:tc>
          <w:tcPr>
            <w:tcW w:w="1053" w:type="dxa"/>
            <w:noWrap/>
            <w:hideMark/>
          </w:tcPr>
          <w:p w14:paraId="42755730"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Pelagic %</w:t>
            </w:r>
          </w:p>
        </w:tc>
        <w:tc>
          <w:tcPr>
            <w:tcW w:w="960" w:type="dxa"/>
            <w:noWrap/>
            <w:hideMark/>
          </w:tcPr>
          <w:p w14:paraId="2A9EAD06"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65B76">
              <w:rPr>
                <w:rFonts w:asciiTheme="majorBidi" w:hAnsiTheme="majorBidi" w:cstheme="majorBidi"/>
                <w:i/>
                <w:color w:val="000000"/>
              </w:rPr>
              <w:t>Temp</w:t>
            </w:r>
          </w:p>
          <w:p w14:paraId="246077D4"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(°C)</w:t>
            </w:r>
          </w:p>
        </w:tc>
        <w:tc>
          <w:tcPr>
            <w:tcW w:w="960" w:type="dxa"/>
            <w:noWrap/>
            <w:hideMark/>
          </w:tcPr>
          <w:p w14:paraId="23E1BFC8"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65B76">
              <w:rPr>
                <w:rFonts w:asciiTheme="majorBidi" w:hAnsiTheme="majorBidi" w:cstheme="majorBidi"/>
                <w:i/>
                <w:color w:val="000000"/>
              </w:rPr>
              <w:t>DOC</w:t>
            </w:r>
          </w:p>
          <w:p w14:paraId="2687253D"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(mg/L)</w:t>
            </w:r>
          </w:p>
        </w:tc>
        <w:tc>
          <w:tcPr>
            <w:tcW w:w="1300" w:type="dxa"/>
            <w:noWrap/>
            <w:hideMark/>
          </w:tcPr>
          <w:p w14:paraId="29AC56E0"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65B76">
              <w:rPr>
                <w:rFonts w:asciiTheme="majorBidi" w:hAnsiTheme="majorBidi" w:cstheme="majorBidi"/>
                <w:i/>
                <w:color w:val="000000"/>
              </w:rPr>
              <w:t>TP</w:t>
            </w:r>
          </w:p>
          <w:p w14:paraId="538D8E50"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(mg/L)</w:t>
            </w:r>
          </w:p>
        </w:tc>
        <w:tc>
          <w:tcPr>
            <w:tcW w:w="960" w:type="dxa"/>
            <w:noWrap/>
            <w:hideMark/>
          </w:tcPr>
          <w:p w14:paraId="78998314"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65B76">
              <w:rPr>
                <w:rFonts w:asciiTheme="majorBidi" w:hAnsiTheme="majorBidi" w:cstheme="majorBidi"/>
                <w:i/>
                <w:color w:val="000000"/>
              </w:rPr>
              <w:t>TN</w:t>
            </w:r>
          </w:p>
          <w:p w14:paraId="3446854F"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(mg/L</w:t>
            </w:r>
            <w:r w:rsidRPr="00265B76">
              <w:rPr>
                <w:rFonts w:asciiTheme="majorBidi" w:hAnsiTheme="majorBidi" w:cstheme="majorBidi"/>
                <w:i/>
                <w:iCs/>
                <w:color w:val="000000"/>
              </w:rPr>
              <w:t>)</w:t>
            </w:r>
          </w:p>
        </w:tc>
        <w:tc>
          <w:tcPr>
            <w:tcW w:w="960" w:type="dxa"/>
            <w:noWrap/>
            <w:hideMark/>
          </w:tcPr>
          <w:p w14:paraId="10750909"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65B76">
              <w:rPr>
                <w:rFonts w:asciiTheme="majorBidi" w:hAnsiTheme="majorBidi" w:cstheme="majorBidi"/>
                <w:i/>
                <w:color w:val="000000"/>
              </w:rPr>
              <w:t>NH3</w:t>
            </w:r>
          </w:p>
          <w:p w14:paraId="74E84FDF"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iCs/>
                <w:color w:val="000000"/>
              </w:rPr>
              <w:t>(</w:t>
            </w:r>
            <w:r w:rsidRPr="00265B76">
              <w:rPr>
                <w:rFonts w:asciiTheme="majorBidi" w:hAnsiTheme="majorBidi" w:cstheme="majorBidi"/>
                <w:i/>
                <w:color w:val="000000"/>
              </w:rPr>
              <w:t>mg/L</w:t>
            </w:r>
            <w:r w:rsidRPr="00265B76">
              <w:rPr>
                <w:rFonts w:asciiTheme="majorBidi" w:hAnsiTheme="majorBidi" w:cstheme="majorBidi"/>
                <w:i/>
                <w:iCs/>
                <w:color w:val="000000"/>
              </w:rPr>
              <w:t>)</w:t>
            </w:r>
          </w:p>
        </w:tc>
      </w:tr>
      <w:tr w:rsidR="004E5F8E" w:rsidRPr="007E2F7C" w14:paraId="210A7C81" w14:textId="77777777" w:rsidTr="00246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83767A6"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23-Dec</w:t>
            </w:r>
          </w:p>
        </w:tc>
        <w:tc>
          <w:tcPr>
            <w:tcW w:w="1659" w:type="dxa"/>
            <w:noWrap/>
            <w:hideMark/>
          </w:tcPr>
          <w:p w14:paraId="20901722"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0.149194639</w:t>
            </w:r>
          </w:p>
        </w:tc>
        <w:tc>
          <w:tcPr>
            <w:tcW w:w="1941" w:type="dxa"/>
            <w:noWrap/>
            <w:hideMark/>
          </w:tcPr>
          <w:p w14:paraId="52D4464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0.336</w:t>
            </w:r>
          </w:p>
        </w:tc>
        <w:tc>
          <w:tcPr>
            <w:tcW w:w="1053" w:type="dxa"/>
            <w:noWrap/>
            <w:vAlign w:val="bottom"/>
            <w:hideMark/>
          </w:tcPr>
          <w:p w14:paraId="3499AE5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44.42</w:t>
            </w:r>
          </w:p>
        </w:tc>
        <w:tc>
          <w:tcPr>
            <w:tcW w:w="960" w:type="dxa"/>
            <w:noWrap/>
            <w:hideMark/>
          </w:tcPr>
          <w:p w14:paraId="06C34769"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23</w:t>
            </w:r>
          </w:p>
        </w:tc>
        <w:tc>
          <w:tcPr>
            <w:tcW w:w="960" w:type="dxa"/>
            <w:noWrap/>
            <w:vAlign w:val="bottom"/>
            <w:hideMark/>
          </w:tcPr>
          <w:p w14:paraId="0C9732E8"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3.3</w:t>
            </w:r>
          </w:p>
        </w:tc>
        <w:tc>
          <w:tcPr>
            <w:tcW w:w="1300" w:type="dxa"/>
            <w:noWrap/>
            <w:vAlign w:val="bottom"/>
            <w:hideMark/>
          </w:tcPr>
          <w:p w14:paraId="1F88A4C2"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0.010</w:t>
            </w:r>
          </w:p>
        </w:tc>
        <w:tc>
          <w:tcPr>
            <w:tcW w:w="960" w:type="dxa"/>
            <w:noWrap/>
            <w:vAlign w:val="bottom"/>
            <w:hideMark/>
          </w:tcPr>
          <w:p w14:paraId="58255BF9"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0.315</w:t>
            </w:r>
          </w:p>
        </w:tc>
        <w:tc>
          <w:tcPr>
            <w:tcW w:w="960" w:type="dxa"/>
            <w:noWrap/>
            <w:vAlign w:val="bottom"/>
            <w:hideMark/>
          </w:tcPr>
          <w:p w14:paraId="2C4653D2"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0.008</w:t>
            </w:r>
          </w:p>
        </w:tc>
      </w:tr>
      <w:tr w:rsidR="004E5F8E" w:rsidRPr="007E2F7C" w14:paraId="4187F1B9" w14:textId="77777777" w:rsidTr="002460B7">
        <w:trPr>
          <w:trHeight w:val="300"/>
          <w:jc w:val="center"/>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A5712D8"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12-Jan</w:t>
            </w:r>
          </w:p>
        </w:tc>
        <w:tc>
          <w:tcPr>
            <w:tcW w:w="1659" w:type="dxa"/>
            <w:noWrap/>
            <w:hideMark/>
          </w:tcPr>
          <w:p w14:paraId="697AA1DD"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0.154327578</w:t>
            </w:r>
          </w:p>
        </w:tc>
        <w:tc>
          <w:tcPr>
            <w:tcW w:w="1941" w:type="dxa"/>
            <w:noWrap/>
            <w:hideMark/>
          </w:tcPr>
          <w:p w14:paraId="20A07A5F"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0.593</w:t>
            </w:r>
          </w:p>
        </w:tc>
        <w:tc>
          <w:tcPr>
            <w:tcW w:w="1053" w:type="dxa"/>
            <w:noWrap/>
            <w:vAlign w:val="bottom"/>
            <w:hideMark/>
          </w:tcPr>
          <w:p w14:paraId="4783553E"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26.05</w:t>
            </w:r>
          </w:p>
        </w:tc>
        <w:tc>
          <w:tcPr>
            <w:tcW w:w="960" w:type="dxa"/>
            <w:noWrap/>
            <w:hideMark/>
          </w:tcPr>
          <w:p w14:paraId="146A1759"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25.7</w:t>
            </w:r>
          </w:p>
        </w:tc>
        <w:tc>
          <w:tcPr>
            <w:tcW w:w="960" w:type="dxa"/>
            <w:noWrap/>
            <w:vAlign w:val="bottom"/>
            <w:hideMark/>
          </w:tcPr>
          <w:p w14:paraId="450E736B"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2.82</w:t>
            </w:r>
          </w:p>
        </w:tc>
        <w:tc>
          <w:tcPr>
            <w:tcW w:w="1300" w:type="dxa"/>
            <w:noWrap/>
            <w:vAlign w:val="bottom"/>
            <w:hideMark/>
          </w:tcPr>
          <w:p w14:paraId="566EB1A7"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0.010</w:t>
            </w:r>
          </w:p>
        </w:tc>
        <w:tc>
          <w:tcPr>
            <w:tcW w:w="960" w:type="dxa"/>
            <w:noWrap/>
            <w:vAlign w:val="bottom"/>
            <w:hideMark/>
          </w:tcPr>
          <w:p w14:paraId="6FA22F14"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0.260</w:t>
            </w:r>
          </w:p>
        </w:tc>
        <w:tc>
          <w:tcPr>
            <w:tcW w:w="960" w:type="dxa"/>
            <w:noWrap/>
            <w:vAlign w:val="bottom"/>
            <w:hideMark/>
          </w:tcPr>
          <w:p w14:paraId="3BF5032F"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0.008</w:t>
            </w:r>
          </w:p>
        </w:tc>
      </w:tr>
      <w:tr w:rsidR="004E5F8E" w:rsidRPr="007E2F7C" w14:paraId="573172FA" w14:textId="77777777" w:rsidTr="00246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7512345"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28-Jan</w:t>
            </w:r>
          </w:p>
        </w:tc>
        <w:tc>
          <w:tcPr>
            <w:tcW w:w="1659" w:type="dxa"/>
            <w:noWrap/>
            <w:hideMark/>
          </w:tcPr>
          <w:p w14:paraId="1EC2D879"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0.155678173</w:t>
            </w:r>
          </w:p>
        </w:tc>
        <w:tc>
          <w:tcPr>
            <w:tcW w:w="1941" w:type="dxa"/>
            <w:noWrap/>
            <w:hideMark/>
          </w:tcPr>
          <w:p w14:paraId="33F75B98"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3.201</w:t>
            </w:r>
          </w:p>
        </w:tc>
        <w:tc>
          <w:tcPr>
            <w:tcW w:w="1053" w:type="dxa"/>
            <w:noWrap/>
            <w:vAlign w:val="bottom"/>
            <w:hideMark/>
          </w:tcPr>
          <w:p w14:paraId="3381B48E"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4.86</w:t>
            </w:r>
          </w:p>
        </w:tc>
        <w:tc>
          <w:tcPr>
            <w:tcW w:w="960" w:type="dxa"/>
            <w:noWrap/>
            <w:hideMark/>
          </w:tcPr>
          <w:p w14:paraId="11F8795D"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24.43</w:t>
            </w:r>
          </w:p>
        </w:tc>
        <w:tc>
          <w:tcPr>
            <w:tcW w:w="960" w:type="dxa"/>
            <w:noWrap/>
            <w:vAlign w:val="bottom"/>
            <w:hideMark/>
          </w:tcPr>
          <w:p w14:paraId="0454AD18"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2.54</w:t>
            </w:r>
          </w:p>
        </w:tc>
        <w:tc>
          <w:tcPr>
            <w:tcW w:w="1300" w:type="dxa"/>
            <w:noWrap/>
            <w:vAlign w:val="bottom"/>
            <w:hideMark/>
          </w:tcPr>
          <w:p w14:paraId="3F81300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0.010</w:t>
            </w:r>
          </w:p>
        </w:tc>
        <w:tc>
          <w:tcPr>
            <w:tcW w:w="960" w:type="dxa"/>
            <w:noWrap/>
            <w:vAlign w:val="bottom"/>
            <w:hideMark/>
          </w:tcPr>
          <w:p w14:paraId="5A1D8E15"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0.228</w:t>
            </w:r>
          </w:p>
        </w:tc>
        <w:tc>
          <w:tcPr>
            <w:tcW w:w="960" w:type="dxa"/>
            <w:noWrap/>
            <w:vAlign w:val="bottom"/>
            <w:hideMark/>
          </w:tcPr>
          <w:p w14:paraId="3AE0A547"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0.006</w:t>
            </w:r>
          </w:p>
        </w:tc>
      </w:tr>
      <w:tr w:rsidR="004E5F8E" w:rsidRPr="007E2F7C" w14:paraId="61E91BF2" w14:textId="77777777" w:rsidTr="002460B7">
        <w:trPr>
          <w:trHeight w:val="300"/>
          <w:jc w:val="center"/>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F14C706"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8-Feb</w:t>
            </w:r>
          </w:p>
        </w:tc>
        <w:tc>
          <w:tcPr>
            <w:tcW w:w="1659" w:type="dxa"/>
            <w:noWrap/>
            <w:hideMark/>
          </w:tcPr>
          <w:p w14:paraId="7B2401B9"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0.099307094</w:t>
            </w:r>
          </w:p>
        </w:tc>
        <w:tc>
          <w:tcPr>
            <w:tcW w:w="1941" w:type="dxa"/>
            <w:noWrap/>
            <w:hideMark/>
          </w:tcPr>
          <w:p w14:paraId="2F632087"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0.163</w:t>
            </w:r>
          </w:p>
        </w:tc>
        <w:tc>
          <w:tcPr>
            <w:tcW w:w="1053" w:type="dxa"/>
            <w:noWrap/>
            <w:vAlign w:val="bottom"/>
            <w:hideMark/>
          </w:tcPr>
          <w:p w14:paraId="08E39A83"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61.01</w:t>
            </w:r>
          </w:p>
        </w:tc>
        <w:tc>
          <w:tcPr>
            <w:tcW w:w="960" w:type="dxa"/>
            <w:noWrap/>
            <w:hideMark/>
          </w:tcPr>
          <w:p w14:paraId="1EAB414C"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22.2</w:t>
            </w:r>
          </w:p>
        </w:tc>
        <w:tc>
          <w:tcPr>
            <w:tcW w:w="960" w:type="dxa"/>
            <w:noWrap/>
            <w:vAlign w:val="bottom"/>
            <w:hideMark/>
          </w:tcPr>
          <w:p w14:paraId="2AF4D2CF"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4.56</w:t>
            </w:r>
          </w:p>
        </w:tc>
        <w:tc>
          <w:tcPr>
            <w:tcW w:w="1300" w:type="dxa"/>
            <w:noWrap/>
            <w:vAlign w:val="bottom"/>
            <w:hideMark/>
          </w:tcPr>
          <w:p w14:paraId="0D480CA5"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0.022</w:t>
            </w:r>
          </w:p>
        </w:tc>
        <w:tc>
          <w:tcPr>
            <w:tcW w:w="960" w:type="dxa"/>
            <w:noWrap/>
            <w:vAlign w:val="bottom"/>
            <w:hideMark/>
          </w:tcPr>
          <w:p w14:paraId="2019C752"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0.654</w:t>
            </w:r>
          </w:p>
        </w:tc>
        <w:tc>
          <w:tcPr>
            <w:tcW w:w="960" w:type="dxa"/>
            <w:noWrap/>
            <w:vAlign w:val="bottom"/>
            <w:hideMark/>
          </w:tcPr>
          <w:p w14:paraId="1800632B"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0.018</w:t>
            </w:r>
          </w:p>
        </w:tc>
      </w:tr>
      <w:tr w:rsidR="004E5F8E" w:rsidRPr="007E2F7C" w14:paraId="0A5CDA15" w14:textId="77777777" w:rsidTr="00246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6E1FD03"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28-Feb</w:t>
            </w:r>
          </w:p>
        </w:tc>
        <w:tc>
          <w:tcPr>
            <w:tcW w:w="1659" w:type="dxa"/>
            <w:noWrap/>
            <w:hideMark/>
          </w:tcPr>
          <w:p w14:paraId="66B43DB8"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0.177099083</w:t>
            </w:r>
          </w:p>
        </w:tc>
        <w:tc>
          <w:tcPr>
            <w:tcW w:w="1941" w:type="dxa"/>
            <w:noWrap/>
            <w:hideMark/>
          </w:tcPr>
          <w:p w14:paraId="2BB0AFA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0.865</w:t>
            </w:r>
          </w:p>
        </w:tc>
        <w:tc>
          <w:tcPr>
            <w:tcW w:w="1053" w:type="dxa"/>
            <w:noWrap/>
            <w:vAlign w:val="bottom"/>
            <w:hideMark/>
          </w:tcPr>
          <w:p w14:paraId="34509F5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20.47</w:t>
            </w:r>
          </w:p>
        </w:tc>
        <w:tc>
          <w:tcPr>
            <w:tcW w:w="960" w:type="dxa"/>
            <w:noWrap/>
            <w:hideMark/>
          </w:tcPr>
          <w:p w14:paraId="13FECE57"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21.3</w:t>
            </w:r>
          </w:p>
        </w:tc>
        <w:tc>
          <w:tcPr>
            <w:tcW w:w="960" w:type="dxa"/>
            <w:noWrap/>
            <w:vAlign w:val="bottom"/>
            <w:hideMark/>
          </w:tcPr>
          <w:p w14:paraId="313E9661"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4.86</w:t>
            </w:r>
          </w:p>
        </w:tc>
        <w:tc>
          <w:tcPr>
            <w:tcW w:w="1300" w:type="dxa"/>
            <w:noWrap/>
            <w:vAlign w:val="bottom"/>
            <w:hideMark/>
          </w:tcPr>
          <w:p w14:paraId="491BD89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0.012</w:t>
            </w:r>
          </w:p>
        </w:tc>
        <w:tc>
          <w:tcPr>
            <w:tcW w:w="960" w:type="dxa"/>
            <w:noWrap/>
            <w:vAlign w:val="bottom"/>
            <w:hideMark/>
          </w:tcPr>
          <w:p w14:paraId="4C51BC8D"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0.580</w:t>
            </w:r>
          </w:p>
        </w:tc>
        <w:tc>
          <w:tcPr>
            <w:tcW w:w="960" w:type="dxa"/>
            <w:noWrap/>
            <w:vAlign w:val="bottom"/>
            <w:hideMark/>
          </w:tcPr>
          <w:p w14:paraId="76BB4BEE"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0.017</w:t>
            </w:r>
          </w:p>
        </w:tc>
      </w:tr>
      <w:tr w:rsidR="004E5F8E" w:rsidRPr="007E2F7C" w14:paraId="5B9EFAC2" w14:textId="77777777" w:rsidTr="002460B7">
        <w:trPr>
          <w:trHeight w:val="300"/>
          <w:jc w:val="center"/>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7270B68"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14-Mar</w:t>
            </w:r>
          </w:p>
        </w:tc>
        <w:tc>
          <w:tcPr>
            <w:tcW w:w="1659" w:type="dxa"/>
            <w:noWrap/>
            <w:hideMark/>
          </w:tcPr>
          <w:p w14:paraId="1FED5BF7"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0.222040436</w:t>
            </w:r>
          </w:p>
        </w:tc>
        <w:tc>
          <w:tcPr>
            <w:tcW w:w="1941" w:type="dxa"/>
            <w:noWrap/>
            <w:hideMark/>
          </w:tcPr>
          <w:p w14:paraId="6FEDDBA2"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0.328</w:t>
            </w:r>
          </w:p>
        </w:tc>
        <w:tc>
          <w:tcPr>
            <w:tcW w:w="1053" w:type="dxa"/>
            <w:noWrap/>
            <w:vAlign w:val="bottom"/>
            <w:hideMark/>
          </w:tcPr>
          <w:p w14:paraId="130FCBF1"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67.78</w:t>
            </w:r>
          </w:p>
        </w:tc>
        <w:tc>
          <w:tcPr>
            <w:tcW w:w="960" w:type="dxa"/>
            <w:noWrap/>
            <w:hideMark/>
          </w:tcPr>
          <w:p w14:paraId="600F9A37"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19.8</w:t>
            </w:r>
          </w:p>
        </w:tc>
        <w:tc>
          <w:tcPr>
            <w:tcW w:w="960" w:type="dxa"/>
            <w:noWrap/>
            <w:vAlign w:val="bottom"/>
            <w:hideMark/>
          </w:tcPr>
          <w:p w14:paraId="519C1CA0"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3.02</w:t>
            </w:r>
          </w:p>
        </w:tc>
        <w:tc>
          <w:tcPr>
            <w:tcW w:w="1300" w:type="dxa"/>
            <w:noWrap/>
            <w:vAlign w:val="bottom"/>
            <w:hideMark/>
          </w:tcPr>
          <w:p w14:paraId="6D030E7F"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0.010</w:t>
            </w:r>
          </w:p>
        </w:tc>
        <w:tc>
          <w:tcPr>
            <w:tcW w:w="960" w:type="dxa"/>
            <w:noWrap/>
            <w:vAlign w:val="bottom"/>
            <w:hideMark/>
          </w:tcPr>
          <w:p w14:paraId="29501F51"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0.456</w:t>
            </w:r>
          </w:p>
        </w:tc>
        <w:tc>
          <w:tcPr>
            <w:tcW w:w="960" w:type="dxa"/>
            <w:noWrap/>
            <w:vAlign w:val="bottom"/>
            <w:hideMark/>
          </w:tcPr>
          <w:p w14:paraId="01CE1F9A"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0.016</w:t>
            </w:r>
          </w:p>
        </w:tc>
      </w:tr>
      <w:tr w:rsidR="004E5F8E" w:rsidRPr="007E2F7C" w14:paraId="4D6EABC8" w14:textId="77777777" w:rsidTr="00246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60" w:type="dxa"/>
            <w:noWrap/>
            <w:hideMark/>
          </w:tcPr>
          <w:p w14:paraId="7D06DDEF"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7-Apr</w:t>
            </w:r>
          </w:p>
        </w:tc>
        <w:tc>
          <w:tcPr>
            <w:tcW w:w="1659" w:type="dxa"/>
            <w:noWrap/>
            <w:hideMark/>
          </w:tcPr>
          <w:p w14:paraId="0B7D1B87"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0.236597214</w:t>
            </w:r>
          </w:p>
        </w:tc>
        <w:tc>
          <w:tcPr>
            <w:tcW w:w="1941" w:type="dxa"/>
            <w:noWrap/>
            <w:hideMark/>
          </w:tcPr>
          <w:p w14:paraId="5995CDB4"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0.495</w:t>
            </w:r>
          </w:p>
        </w:tc>
        <w:tc>
          <w:tcPr>
            <w:tcW w:w="1053" w:type="dxa"/>
            <w:noWrap/>
            <w:vAlign w:val="bottom"/>
            <w:hideMark/>
          </w:tcPr>
          <w:p w14:paraId="63014D0D"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47.81</w:t>
            </w:r>
          </w:p>
        </w:tc>
        <w:tc>
          <w:tcPr>
            <w:tcW w:w="960" w:type="dxa"/>
            <w:noWrap/>
            <w:hideMark/>
          </w:tcPr>
          <w:p w14:paraId="43F5E3A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19.5</w:t>
            </w:r>
          </w:p>
        </w:tc>
        <w:tc>
          <w:tcPr>
            <w:tcW w:w="960" w:type="dxa"/>
            <w:noWrap/>
            <w:vAlign w:val="bottom"/>
            <w:hideMark/>
          </w:tcPr>
          <w:p w14:paraId="4B2C82F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3.02</w:t>
            </w:r>
          </w:p>
        </w:tc>
        <w:tc>
          <w:tcPr>
            <w:tcW w:w="1300" w:type="dxa"/>
            <w:noWrap/>
            <w:vAlign w:val="bottom"/>
            <w:hideMark/>
          </w:tcPr>
          <w:p w14:paraId="05AA42FD"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0.010</w:t>
            </w:r>
          </w:p>
        </w:tc>
        <w:tc>
          <w:tcPr>
            <w:tcW w:w="960" w:type="dxa"/>
            <w:noWrap/>
            <w:vAlign w:val="bottom"/>
            <w:hideMark/>
          </w:tcPr>
          <w:p w14:paraId="6FD888E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0.488</w:t>
            </w:r>
          </w:p>
        </w:tc>
        <w:tc>
          <w:tcPr>
            <w:tcW w:w="960" w:type="dxa"/>
            <w:noWrap/>
            <w:vAlign w:val="bottom"/>
            <w:hideMark/>
          </w:tcPr>
          <w:p w14:paraId="6109BB98"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0.020</w:t>
            </w:r>
          </w:p>
        </w:tc>
      </w:tr>
    </w:tbl>
    <w:p w14:paraId="29C0F146" w14:textId="77777777" w:rsidR="004E5F8E" w:rsidRPr="00376C4C" w:rsidRDefault="004E5F8E" w:rsidP="004E5F8E"/>
    <w:p w14:paraId="6E8AAEEA" w14:textId="747B440A" w:rsidR="004E5F8E" w:rsidRPr="00056DA7" w:rsidRDefault="004E5F8E" w:rsidP="007D4B6C">
      <w:pPr>
        <w:pStyle w:val="Caption"/>
        <w:keepNext/>
      </w:pPr>
      <w:r>
        <w:t>Table 7</w:t>
      </w:r>
      <w:r w:rsidRPr="00056DA7">
        <w:t>: McCoy’s Bridge results</w:t>
      </w:r>
    </w:p>
    <w:tbl>
      <w:tblPr>
        <w:tblStyle w:val="GridTable2"/>
        <w:tblW w:w="10915" w:type="dxa"/>
        <w:jc w:val="center"/>
        <w:tblLook w:val="04A0" w:firstRow="1" w:lastRow="0" w:firstColumn="1" w:lastColumn="0" w:noHBand="0" w:noVBand="1"/>
      </w:tblPr>
      <w:tblGrid>
        <w:gridCol w:w="1080"/>
        <w:gridCol w:w="840"/>
        <w:gridCol w:w="65"/>
        <w:gridCol w:w="895"/>
        <w:gridCol w:w="1540"/>
        <w:gridCol w:w="1251"/>
        <w:gridCol w:w="1329"/>
        <w:gridCol w:w="1369"/>
        <w:gridCol w:w="1271"/>
        <w:gridCol w:w="1275"/>
      </w:tblGrid>
      <w:tr w:rsidR="004E5F8E" w:rsidRPr="007E2F7C" w14:paraId="383E011B" w14:textId="77777777" w:rsidTr="002460B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0" w:type="dxa"/>
          </w:tcPr>
          <w:p w14:paraId="59653A79" w14:textId="77777777" w:rsidR="004E5F8E" w:rsidRPr="00265B76" w:rsidRDefault="004E5F8E" w:rsidP="002460B7">
            <w:pPr>
              <w:jc w:val="center"/>
              <w:rPr>
                <w:rFonts w:asciiTheme="majorBidi" w:hAnsiTheme="majorBidi" w:cstheme="majorBidi"/>
                <w:i/>
                <w:color w:val="000000"/>
              </w:rPr>
            </w:pPr>
            <w:r w:rsidRPr="00265B76">
              <w:rPr>
                <w:rFonts w:asciiTheme="majorBidi" w:hAnsiTheme="majorBidi" w:cstheme="majorBidi"/>
                <w:i/>
                <w:color w:val="000000"/>
              </w:rPr>
              <w:t>Date</w:t>
            </w:r>
          </w:p>
        </w:tc>
        <w:tc>
          <w:tcPr>
            <w:tcW w:w="840" w:type="dxa"/>
            <w:noWrap/>
            <w:hideMark/>
          </w:tcPr>
          <w:p w14:paraId="1B810A5A"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65B76">
              <w:rPr>
                <w:rFonts w:asciiTheme="majorBidi" w:hAnsiTheme="majorBidi" w:cstheme="majorBidi"/>
                <w:i/>
                <w:color w:val="000000"/>
              </w:rPr>
              <w:t>FRP</w:t>
            </w:r>
          </w:p>
          <w:p w14:paraId="4076E2BB"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(mg/L)</w:t>
            </w:r>
          </w:p>
        </w:tc>
        <w:tc>
          <w:tcPr>
            <w:tcW w:w="960" w:type="dxa"/>
            <w:gridSpan w:val="2"/>
            <w:noWrap/>
            <w:hideMark/>
          </w:tcPr>
          <w:p w14:paraId="2BE4F714"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65B76">
              <w:rPr>
                <w:rFonts w:asciiTheme="majorBidi" w:hAnsiTheme="majorBidi" w:cstheme="majorBidi"/>
                <w:i/>
                <w:color w:val="000000"/>
              </w:rPr>
              <w:t>NOx</w:t>
            </w:r>
          </w:p>
          <w:p w14:paraId="09E77743"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(mg/L)</w:t>
            </w:r>
          </w:p>
        </w:tc>
        <w:tc>
          <w:tcPr>
            <w:tcW w:w="1540" w:type="dxa"/>
            <w:noWrap/>
            <w:hideMark/>
          </w:tcPr>
          <w:p w14:paraId="0FD6F346"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65B76">
              <w:rPr>
                <w:rFonts w:asciiTheme="majorBidi" w:hAnsiTheme="majorBidi" w:cstheme="majorBidi"/>
                <w:i/>
                <w:color w:val="000000"/>
              </w:rPr>
              <w:t>Chlorophyll-a</w:t>
            </w:r>
          </w:p>
          <w:p w14:paraId="443F852B"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(mg/L)</w:t>
            </w:r>
          </w:p>
        </w:tc>
        <w:tc>
          <w:tcPr>
            <w:tcW w:w="1251" w:type="dxa"/>
            <w:noWrap/>
            <w:hideMark/>
          </w:tcPr>
          <w:p w14:paraId="53E49A10"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65B76">
              <w:rPr>
                <w:rFonts w:asciiTheme="majorBidi" w:hAnsiTheme="majorBidi" w:cstheme="majorBidi"/>
                <w:i/>
                <w:color w:val="000000"/>
              </w:rPr>
              <w:t>Light</w:t>
            </w:r>
          </w:p>
          <w:p w14:paraId="03F730AE"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PAR (lux)</w:t>
            </w:r>
          </w:p>
        </w:tc>
        <w:tc>
          <w:tcPr>
            <w:tcW w:w="1329" w:type="dxa"/>
            <w:noWrap/>
            <w:hideMark/>
          </w:tcPr>
          <w:p w14:paraId="3D134706"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Euphotic depth (m)</w:t>
            </w:r>
          </w:p>
        </w:tc>
        <w:tc>
          <w:tcPr>
            <w:tcW w:w="1369" w:type="dxa"/>
            <w:noWrap/>
            <w:hideMark/>
          </w:tcPr>
          <w:p w14:paraId="2798736B"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B77B7E">
              <w:rPr>
                <w:rFonts w:asciiTheme="majorBidi" w:hAnsiTheme="majorBidi" w:cstheme="majorBidi"/>
                <w:i/>
                <w:iCs/>
                <w:color w:val="000000"/>
              </w:rPr>
              <w:t>River</w:t>
            </w:r>
            <w:r>
              <w:rPr>
                <w:rFonts w:asciiTheme="majorBidi" w:hAnsiTheme="majorBidi" w:cstheme="majorBidi"/>
                <w:i/>
                <w:iCs/>
                <w:color w:val="000000"/>
              </w:rPr>
              <w:t>b</w:t>
            </w:r>
            <w:r w:rsidRPr="00B77B7E">
              <w:rPr>
                <w:rFonts w:asciiTheme="majorBidi" w:hAnsiTheme="majorBidi" w:cstheme="majorBidi"/>
                <w:i/>
                <w:iCs/>
                <w:color w:val="000000"/>
              </w:rPr>
              <w:t>ed % &gt; euphotic depth</w:t>
            </w:r>
          </w:p>
        </w:tc>
        <w:tc>
          <w:tcPr>
            <w:tcW w:w="1271" w:type="dxa"/>
            <w:noWrap/>
            <w:hideMark/>
          </w:tcPr>
          <w:p w14:paraId="1E90993A"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65B76">
              <w:rPr>
                <w:rFonts w:asciiTheme="majorBidi" w:hAnsiTheme="majorBidi" w:cstheme="majorBidi"/>
                <w:i/>
                <w:color w:val="000000"/>
              </w:rPr>
              <w:t>River level</w:t>
            </w:r>
          </w:p>
          <w:p w14:paraId="2C53193E"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(m)</w:t>
            </w:r>
          </w:p>
        </w:tc>
        <w:tc>
          <w:tcPr>
            <w:tcW w:w="1275" w:type="dxa"/>
            <w:noWrap/>
            <w:hideMark/>
          </w:tcPr>
          <w:p w14:paraId="0AFC2AD4"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color w:val="000000"/>
              </w:rPr>
            </w:pPr>
            <w:r w:rsidRPr="00265B76">
              <w:rPr>
                <w:rFonts w:asciiTheme="majorBidi" w:hAnsiTheme="majorBidi" w:cstheme="majorBidi"/>
                <w:i/>
                <w:color w:val="000000"/>
              </w:rPr>
              <w:t>Respiration</w:t>
            </w:r>
          </w:p>
          <w:p w14:paraId="0703CF8D" w14:textId="77777777" w:rsidR="004E5F8E" w:rsidRPr="00265B76" w:rsidRDefault="004E5F8E" w:rsidP="002460B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
                <w:color w:val="000000"/>
              </w:rPr>
            </w:pPr>
            <w:r w:rsidRPr="00265B76">
              <w:rPr>
                <w:rFonts w:asciiTheme="majorBidi" w:hAnsiTheme="majorBidi" w:cstheme="majorBidi"/>
                <w:i/>
                <w:color w:val="000000"/>
              </w:rPr>
              <w:t>(mg O</w:t>
            </w:r>
            <w:r w:rsidRPr="00265B76">
              <w:rPr>
                <w:rFonts w:asciiTheme="majorBidi" w:hAnsiTheme="majorBidi" w:cstheme="majorBidi"/>
                <w:i/>
                <w:color w:val="000000"/>
                <w:vertAlign w:val="subscript"/>
              </w:rPr>
              <w:t>2</w:t>
            </w:r>
            <w:r w:rsidRPr="00265B76">
              <w:rPr>
                <w:rFonts w:asciiTheme="majorBidi" w:hAnsiTheme="majorBidi" w:cstheme="majorBidi"/>
                <w:i/>
                <w:color w:val="000000"/>
                <w:vertAlign w:val="subscript"/>
              </w:rPr>
              <w:softHyphen/>
            </w:r>
            <w:r w:rsidRPr="00265B76">
              <w:rPr>
                <w:rFonts w:asciiTheme="majorBidi" w:hAnsiTheme="majorBidi" w:cstheme="majorBidi"/>
                <w:i/>
                <w:color w:val="000000"/>
              </w:rPr>
              <w:t>/L/h)</w:t>
            </w:r>
          </w:p>
        </w:tc>
      </w:tr>
      <w:tr w:rsidR="004E5F8E" w:rsidRPr="007E2F7C" w14:paraId="256B069F" w14:textId="77777777" w:rsidTr="00246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0" w:type="dxa"/>
          </w:tcPr>
          <w:p w14:paraId="3DBD3B15"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23-Dec</w:t>
            </w:r>
          </w:p>
        </w:tc>
        <w:tc>
          <w:tcPr>
            <w:tcW w:w="905" w:type="dxa"/>
            <w:gridSpan w:val="2"/>
            <w:noWrap/>
            <w:vAlign w:val="bottom"/>
            <w:hideMark/>
          </w:tcPr>
          <w:p w14:paraId="1F90590A"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0.004</w:t>
            </w:r>
          </w:p>
        </w:tc>
        <w:tc>
          <w:tcPr>
            <w:tcW w:w="895" w:type="dxa"/>
            <w:noWrap/>
            <w:vAlign w:val="bottom"/>
            <w:hideMark/>
          </w:tcPr>
          <w:p w14:paraId="7FB4A840"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0.001</w:t>
            </w:r>
          </w:p>
        </w:tc>
        <w:tc>
          <w:tcPr>
            <w:tcW w:w="1540" w:type="dxa"/>
            <w:noWrap/>
            <w:vAlign w:val="bottom"/>
            <w:hideMark/>
          </w:tcPr>
          <w:p w14:paraId="50A7945D"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1.700</w:t>
            </w:r>
          </w:p>
        </w:tc>
        <w:tc>
          <w:tcPr>
            <w:tcW w:w="1251" w:type="dxa"/>
            <w:noWrap/>
            <w:vAlign w:val="bottom"/>
            <w:hideMark/>
          </w:tcPr>
          <w:p w14:paraId="47F38A07"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4925</w:t>
            </w:r>
          </w:p>
        </w:tc>
        <w:tc>
          <w:tcPr>
            <w:tcW w:w="1329" w:type="dxa"/>
            <w:noWrap/>
            <w:vAlign w:val="bottom"/>
            <w:hideMark/>
          </w:tcPr>
          <w:p w14:paraId="65030B01"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2.097</w:t>
            </w:r>
          </w:p>
        </w:tc>
        <w:tc>
          <w:tcPr>
            <w:tcW w:w="1369" w:type="dxa"/>
            <w:noWrap/>
            <w:vAlign w:val="bottom"/>
            <w:hideMark/>
          </w:tcPr>
          <w:p w14:paraId="40CA04B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E2F7C">
              <w:rPr>
                <w:rFonts w:asciiTheme="majorBidi" w:hAnsiTheme="majorBidi" w:cstheme="majorBidi"/>
                <w:color w:val="000000"/>
              </w:rPr>
              <w:t>100</w:t>
            </w:r>
          </w:p>
        </w:tc>
        <w:tc>
          <w:tcPr>
            <w:tcW w:w="1271" w:type="dxa"/>
            <w:noWrap/>
            <w:vAlign w:val="bottom"/>
            <w:hideMark/>
          </w:tcPr>
          <w:p w14:paraId="2124F5F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1.722</w:t>
            </w:r>
          </w:p>
        </w:tc>
        <w:tc>
          <w:tcPr>
            <w:tcW w:w="1275" w:type="dxa"/>
            <w:noWrap/>
            <w:vAlign w:val="bottom"/>
            <w:hideMark/>
          </w:tcPr>
          <w:p w14:paraId="21FDEC9D"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0.713</w:t>
            </w:r>
          </w:p>
        </w:tc>
      </w:tr>
      <w:tr w:rsidR="004E5F8E" w:rsidRPr="007E2F7C" w14:paraId="2C687FE4" w14:textId="77777777" w:rsidTr="002460B7">
        <w:trPr>
          <w:trHeight w:val="300"/>
          <w:jc w:val="center"/>
        </w:trPr>
        <w:tc>
          <w:tcPr>
            <w:cnfStyle w:val="001000000000" w:firstRow="0" w:lastRow="0" w:firstColumn="1" w:lastColumn="0" w:oddVBand="0" w:evenVBand="0" w:oddHBand="0" w:evenHBand="0" w:firstRowFirstColumn="0" w:firstRowLastColumn="0" w:lastRowFirstColumn="0" w:lastRowLastColumn="0"/>
            <w:tcW w:w="1080" w:type="dxa"/>
          </w:tcPr>
          <w:p w14:paraId="15E9D576"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12-Jan</w:t>
            </w:r>
          </w:p>
        </w:tc>
        <w:tc>
          <w:tcPr>
            <w:tcW w:w="840" w:type="dxa"/>
            <w:noWrap/>
            <w:vAlign w:val="bottom"/>
            <w:hideMark/>
          </w:tcPr>
          <w:p w14:paraId="46AEBF39"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0.003</w:t>
            </w:r>
          </w:p>
        </w:tc>
        <w:tc>
          <w:tcPr>
            <w:tcW w:w="960" w:type="dxa"/>
            <w:gridSpan w:val="2"/>
            <w:noWrap/>
            <w:vAlign w:val="bottom"/>
            <w:hideMark/>
          </w:tcPr>
          <w:p w14:paraId="38EABFC1"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0.001</w:t>
            </w:r>
          </w:p>
        </w:tc>
        <w:tc>
          <w:tcPr>
            <w:tcW w:w="1540" w:type="dxa"/>
            <w:noWrap/>
            <w:vAlign w:val="bottom"/>
            <w:hideMark/>
          </w:tcPr>
          <w:p w14:paraId="20CB24FC"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1.700</w:t>
            </w:r>
          </w:p>
        </w:tc>
        <w:tc>
          <w:tcPr>
            <w:tcW w:w="1251" w:type="dxa"/>
            <w:noWrap/>
            <w:vAlign w:val="bottom"/>
            <w:hideMark/>
          </w:tcPr>
          <w:p w14:paraId="2C56912B"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5480</w:t>
            </w:r>
          </w:p>
        </w:tc>
        <w:tc>
          <w:tcPr>
            <w:tcW w:w="1329" w:type="dxa"/>
            <w:noWrap/>
            <w:vAlign w:val="bottom"/>
            <w:hideMark/>
          </w:tcPr>
          <w:p w14:paraId="100BEC40"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2.069</w:t>
            </w:r>
          </w:p>
        </w:tc>
        <w:tc>
          <w:tcPr>
            <w:tcW w:w="1369" w:type="dxa"/>
            <w:noWrap/>
            <w:vAlign w:val="bottom"/>
            <w:hideMark/>
          </w:tcPr>
          <w:p w14:paraId="34730D9F"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7E2F7C">
              <w:rPr>
                <w:rFonts w:asciiTheme="majorBidi" w:hAnsiTheme="majorBidi" w:cstheme="majorBidi"/>
                <w:color w:val="000000"/>
              </w:rPr>
              <w:t>100</w:t>
            </w:r>
          </w:p>
        </w:tc>
        <w:tc>
          <w:tcPr>
            <w:tcW w:w="1271" w:type="dxa"/>
            <w:noWrap/>
            <w:vAlign w:val="bottom"/>
            <w:hideMark/>
          </w:tcPr>
          <w:p w14:paraId="3CDE5358"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1.608</w:t>
            </w:r>
          </w:p>
        </w:tc>
        <w:tc>
          <w:tcPr>
            <w:tcW w:w="1275" w:type="dxa"/>
            <w:noWrap/>
            <w:vAlign w:val="bottom"/>
            <w:hideMark/>
          </w:tcPr>
          <w:p w14:paraId="383034DB"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-0.022</w:t>
            </w:r>
          </w:p>
        </w:tc>
      </w:tr>
      <w:tr w:rsidR="004E5F8E" w:rsidRPr="007E2F7C" w14:paraId="2FAEF567" w14:textId="77777777" w:rsidTr="00246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0" w:type="dxa"/>
          </w:tcPr>
          <w:p w14:paraId="3FFF087F"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28-Jan</w:t>
            </w:r>
          </w:p>
        </w:tc>
        <w:tc>
          <w:tcPr>
            <w:tcW w:w="840" w:type="dxa"/>
            <w:noWrap/>
            <w:vAlign w:val="bottom"/>
            <w:hideMark/>
          </w:tcPr>
          <w:p w14:paraId="35F5D298"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0.005</w:t>
            </w:r>
          </w:p>
        </w:tc>
        <w:tc>
          <w:tcPr>
            <w:tcW w:w="960" w:type="dxa"/>
            <w:gridSpan w:val="2"/>
            <w:noWrap/>
            <w:vAlign w:val="bottom"/>
            <w:hideMark/>
          </w:tcPr>
          <w:p w14:paraId="329CDE9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0.000</w:t>
            </w:r>
          </w:p>
        </w:tc>
        <w:tc>
          <w:tcPr>
            <w:tcW w:w="1540" w:type="dxa"/>
            <w:noWrap/>
            <w:vAlign w:val="bottom"/>
            <w:hideMark/>
          </w:tcPr>
          <w:p w14:paraId="47154597"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5.000</w:t>
            </w:r>
          </w:p>
        </w:tc>
        <w:tc>
          <w:tcPr>
            <w:tcW w:w="1251" w:type="dxa"/>
            <w:noWrap/>
            <w:vAlign w:val="bottom"/>
            <w:hideMark/>
          </w:tcPr>
          <w:p w14:paraId="161B84CE"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1781</w:t>
            </w:r>
          </w:p>
        </w:tc>
        <w:tc>
          <w:tcPr>
            <w:tcW w:w="1329" w:type="dxa"/>
            <w:noWrap/>
            <w:vAlign w:val="bottom"/>
            <w:hideMark/>
          </w:tcPr>
          <w:p w14:paraId="38C2893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1.998</w:t>
            </w:r>
          </w:p>
        </w:tc>
        <w:tc>
          <w:tcPr>
            <w:tcW w:w="1369" w:type="dxa"/>
            <w:noWrap/>
            <w:vAlign w:val="bottom"/>
            <w:hideMark/>
          </w:tcPr>
          <w:p w14:paraId="1A1797B1"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100</w:t>
            </w:r>
          </w:p>
        </w:tc>
        <w:tc>
          <w:tcPr>
            <w:tcW w:w="1271" w:type="dxa"/>
            <w:noWrap/>
            <w:vAlign w:val="bottom"/>
            <w:hideMark/>
          </w:tcPr>
          <w:p w14:paraId="1623336D"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1.556</w:t>
            </w:r>
          </w:p>
        </w:tc>
        <w:tc>
          <w:tcPr>
            <w:tcW w:w="1275" w:type="dxa"/>
            <w:noWrap/>
            <w:vAlign w:val="bottom"/>
            <w:hideMark/>
          </w:tcPr>
          <w:p w14:paraId="5F789312"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0.018</w:t>
            </w:r>
          </w:p>
        </w:tc>
      </w:tr>
      <w:tr w:rsidR="004E5F8E" w:rsidRPr="007E2F7C" w14:paraId="083919AE" w14:textId="77777777" w:rsidTr="002460B7">
        <w:trPr>
          <w:trHeight w:val="300"/>
          <w:jc w:val="center"/>
        </w:trPr>
        <w:tc>
          <w:tcPr>
            <w:cnfStyle w:val="001000000000" w:firstRow="0" w:lastRow="0" w:firstColumn="1" w:lastColumn="0" w:oddVBand="0" w:evenVBand="0" w:oddHBand="0" w:evenHBand="0" w:firstRowFirstColumn="0" w:firstRowLastColumn="0" w:lastRowFirstColumn="0" w:lastRowLastColumn="0"/>
            <w:tcW w:w="1080" w:type="dxa"/>
          </w:tcPr>
          <w:p w14:paraId="66093E6B"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8-Feb</w:t>
            </w:r>
          </w:p>
        </w:tc>
        <w:tc>
          <w:tcPr>
            <w:tcW w:w="840" w:type="dxa"/>
            <w:noWrap/>
            <w:vAlign w:val="bottom"/>
            <w:hideMark/>
          </w:tcPr>
          <w:p w14:paraId="0BAC6C16"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0.006</w:t>
            </w:r>
          </w:p>
        </w:tc>
        <w:tc>
          <w:tcPr>
            <w:tcW w:w="960" w:type="dxa"/>
            <w:gridSpan w:val="2"/>
            <w:noWrap/>
            <w:vAlign w:val="bottom"/>
            <w:hideMark/>
          </w:tcPr>
          <w:p w14:paraId="70BB39F7"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0.083</w:t>
            </w:r>
          </w:p>
        </w:tc>
        <w:tc>
          <w:tcPr>
            <w:tcW w:w="1540" w:type="dxa"/>
            <w:noWrap/>
            <w:vAlign w:val="bottom"/>
            <w:hideMark/>
          </w:tcPr>
          <w:p w14:paraId="59ABBEDA"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0.700</w:t>
            </w:r>
          </w:p>
        </w:tc>
        <w:tc>
          <w:tcPr>
            <w:tcW w:w="1251" w:type="dxa"/>
            <w:noWrap/>
            <w:vAlign w:val="bottom"/>
            <w:hideMark/>
          </w:tcPr>
          <w:p w14:paraId="2CC5906E"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5655</w:t>
            </w:r>
          </w:p>
        </w:tc>
        <w:tc>
          <w:tcPr>
            <w:tcW w:w="1329" w:type="dxa"/>
            <w:noWrap/>
            <w:vAlign w:val="bottom"/>
            <w:hideMark/>
          </w:tcPr>
          <w:p w14:paraId="3242A0A2"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1.026</w:t>
            </w:r>
          </w:p>
        </w:tc>
        <w:tc>
          <w:tcPr>
            <w:tcW w:w="1369" w:type="dxa"/>
            <w:noWrap/>
            <w:vAlign w:val="bottom"/>
            <w:hideMark/>
          </w:tcPr>
          <w:p w14:paraId="41192411"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44</w:t>
            </w:r>
          </w:p>
        </w:tc>
        <w:tc>
          <w:tcPr>
            <w:tcW w:w="1271" w:type="dxa"/>
            <w:noWrap/>
            <w:vAlign w:val="bottom"/>
            <w:hideMark/>
          </w:tcPr>
          <w:p w14:paraId="7C89895F"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1.825</w:t>
            </w:r>
          </w:p>
        </w:tc>
        <w:tc>
          <w:tcPr>
            <w:tcW w:w="1275" w:type="dxa"/>
            <w:noWrap/>
            <w:vAlign w:val="bottom"/>
            <w:hideMark/>
          </w:tcPr>
          <w:p w14:paraId="4368029D"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-0.007</w:t>
            </w:r>
          </w:p>
        </w:tc>
      </w:tr>
      <w:tr w:rsidR="004E5F8E" w:rsidRPr="007E2F7C" w14:paraId="125C609E" w14:textId="77777777" w:rsidTr="00246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0" w:type="dxa"/>
          </w:tcPr>
          <w:p w14:paraId="119AD71F"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28-Feb</w:t>
            </w:r>
          </w:p>
        </w:tc>
        <w:tc>
          <w:tcPr>
            <w:tcW w:w="840" w:type="dxa"/>
            <w:noWrap/>
            <w:vAlign w:val="bottom"/>
            <w:hideMark/>
          </w:tcPr>
          <w:p w14:paraId="7C3B687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0.004</w:t>
            </w:r>
          </w:p>
        </w:tc>
        <w:tc>
          <w:tcPr>
            <w:tcW w:w="960" w:type="dxa"/>
            <w:gridSpan w:val="2"/>
            <w:noWrap/>
            <w:vAlign w:val="bottom"/>
            <w:hideMark/>
          </w:tcPr>
          <w:p w14:paraId="0E24BEB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0.086</w:t>
            </w:r>
          </w:p>
        </w:tc>
        <w:tc>
          <w:tcPr>
            <w:tcW w:w="1540" w:type="dxa"/>
            <w:noWrap/>
            <w:vAlign w:val="bottom"/>
            <w:hideMark/>
          </w:tcPr>
          <w:p w14:paraId="32B5E9A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0.300</w:t>
            </w:r>
          </w:p>
        </w:tc>
        <w:tc>
          <w:tcPr>
            <w:tcW w:w="1251" w:type="dxa"/>
            <w:noWrap/>
            <w:vAlign w:val="bottom"/>
            <w:hideMark/>
          </w:tcPr>
          <w:p w14:paraId="07D227E1"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8563</w:t>
            </w:r>
          </w:p>
        </w:tc>
        <w:tc>
          <w:tcPr>
            <w:tcW w:w="1329" w:type="dxa"/>
            <w:noWrap/>
            <w:vAlign w:val="bottom"/>
            <w:hideMark/>
          </w:tcPr>
          <w:p w14:paraId="2450A5A7"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1.824</w:t>
            </w:r>
          </w:p>
        </w:tc>
        <w:tc>
          <w:tcPr>
            <w:tcW w:w="1369" w:type="dxa"/>
            <w:noWrap/>
            <w:vAlign w:val="bottom"/>
            <w:hideMark/>
          </w:tcPr>
          <w:p w14:paraId="44EFB303"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100</w:t>
            </w:r>
          </w:p>
        </w:tc>
        <w:tc>
          <w:tcPr>
            <w:tcW w:w="1271" w:type="dxa"/>
            <w:noWrap/>
            <w:vAlign w:val="bottom"/>
            <w:hideMark/>
          </w:tcPr>
          <w:p w14:paraId="3AB34E89"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1.725</w:t>
            </w:r>
          </w:p>
        </w:tc>
        <w:tc>
          <w:tcPr>
            <w:tcW w:w="1275" w:type="dxa"/>
            <w:noWrap/>
            <w:vAlign w:val="bottom"/>
            <w:hideMark/>
          </w:tcPr>
          <w:p w14:paraId="0BD8AC73"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-0.147</w:t>
            </w:r>
          </w:p>
        </w:tc>
      </w:tr>
      <w:tr w:rsidR="004E5F8E" w:rsidRPr="007E2F7C" w14:paraId="5086498C" w14:textId="77777777" w:rsidTr="002460B7">
        <w:trPr>
          <w:trHeight w:val="300"/>
          <w:jc w:val="center"/>
        </w:trPr>
        <w:tc>
          <w:tcPr>
            <w:cnfStyle w:val="001000000000" w:firstRow="0" w:lastRow="0" w:firstColumn="1" w:lastColumn="0" w:oddVBand="0" w:evenVBand="0" w:oddHBand="0" w:evenHBand="0" w:firstRowFirstColumn="0" w:firstRowLastColumn="0" w:lastRowFirstColumn="0" w:lastRowLastColumn="0"/>
            <w:tcW w:w="1080" w:type="dxa"/>
          </w:tcPr>
          <w:p w14:paraId="7CF340A5"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14-</w:t>
            </w:r>
            <w:r>
              <w:rPr>
                <w:rFonts w:asciiTheme="majorBidi" w:hAnsiTheme="majorBidi" w:cstheme="majorBidi"/>
                <w:color w:val="000000"/>
              </w:rPr>
              <w:t>M</w:t>
            </w:r>
            <w:r w:rsidRPr="007E2F7C">
              <w:rPr>
                <w:rFonts w:asciiTheme="majorBidi" w:hAnsiTheme="majorBidi" w:cstheme="majorBidi"/>
                <w:color w:val="000000"/>
              </w:rPr>
              <w:t>ar</w:t>
            </w:r>
          </w:p>
        </w:tc>
        <w:tc>
          <w:tcPr>
            <w:tcW w:w="840" w:type="dxa"/>
            <w:noWrap/>
            <w:vAlign w:val="bottom"/>
            <w:hideMark/>
          </w:tcPr>
          <w:p w14:paraId="1B040370"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0.003</w:t>
            </w:r>
          </w:p>
        </w:tc>
        <w:tc>
          <w:tcPr>
            <w:tcW w:w="960" w:type="dxa"/>
            <w:gridSpan w:val="2"/>
            <w:noWrap/>
            <w:vAlign w:val="bottom"/>
            <w:hideMark/>
          </w:tcPr>
          <w:p w14:paraId="04049F28"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0.005</w:t>
            </w:r>
          </w:p>
        </w:tc>
        <w:tc>
          <w:tcPr>
            <w:tcW w:w="1540" w:type="dxa"/>
            <w:noWrap/>
            <w:vAlign w:val="bottom"/>
            <w:hideMark/>
          </w:tcPr>
          <w:p w14:paraId="405A6F3D"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0.300</w:t>
            </w:r>
          </w:p>
        </w:tc>
        <w:tc>
          <w:tcPr>
            <w:tcW w:w="1251" w:type="dxa"/>
            <w:noWrap/>
            <w:vAlign w:val="bottom"/>
            <w:hideMark/>
          </w:tcPr>
          <w:p w14:paraId="686A495B"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10565</w:t>
            </w:r>
          </w:p>
        </w:tc>
        <w:tc>
          <w:tcPr>
            <w:tcW w:w="1329" w:type="dxa"/>
            <w:noWrap/>
            <w:vAlign w:val="bottom"/>
            <w:hideMark/>
          </w:tcPr>
          <w:p w14:paraId="508D0BDD"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2.450</w:t>
            </w:r>
          </w:p>
        </w:tc>
        <w:tc>
          <w:tcPr>
            <w:tcW w:w="1369" w:type="dxa"/>
            <w:noWrap/>
            <w:vAlign w:val="bottom"/>
            <w:hideMark/>
          </w:tcPr>
          <w:p w14:paraId="4E0CF507"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100</w:t>
            </w:r>
          </w:p>
        </w:tc>
        <w:tc>
          <w:tcPr>
            <w:tcW w:w="1271" w:type="dxa"/>
            <w:noWrap/>
            <w:vAlign w:val="bottom"/>
            <w:hideMark/>
          </w:tcPr>
          <w:p w14:paraId="6220DBEB"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1.976</w:t>
            </w:r>
          </w:p>
        </w:tc>
        <w:tc>
          <w:tcPr>
            <w:tcW w:w="1275" w:type="dxa"/>
            <w:noWrap/>
            <w:vAlign w:val="bottom"/>
            <w:hideMark/>
          </w:tcPr>
          <w:p w14:paraId="21A1A010" w14:textId="77777777" w:rsidR="004E5F8E" w:rsidRPr="007E2F7C" w:rsidRDefault="004E5F8E" w:rsidP="002460B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-0.167</w:t>
            </w:r>
          </w:p>
        </w:tc>
      </w:tr>
      <w:tr w:rsidR="004E5F8E" w:rsidRPr="007E2F7C" w14:paraId="70887A85" w14:textId="77777777" w:rsidTr="00246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0" w:type="dxa"/>
          </w:tcPr>
          <w:p w14:paraId="4AC0617E" w14:textId="77777777" w:rsidR="004E5F8E" w:rsidRPr="007E2F7C" w:rsidRDefault="004E5F8E" w:rsidP="002460B7">
            <w:pPr>
              <w:jc w:val="center"/>
              <w:rPr>
                <w:rFonts w:asciiTheme="majorBidi" w:hAnsiTheme="majorBidi" w:cstheme="majorBidi"/>
                <w:color w:val="000000"/>
              </w:rPr>
            </w:pPr>
            <w:r w:rsidRPr="007E2F7C">
              <w:rPr>
                <w:rFonts w:asciiTheme="majorBidi" w:hAnsiTheme="majorBidi" w:cstheme="majorBidi"/>
                <w:color w:val="000000"/>
              </w:rPr>
              <w:t>7-Apr</w:t>
            </w:r>
          </w:p>
        </w:tc>
        <w:tc>
          <w:tcPr>
            <w:tcW w:w="840" w:type="dxa"/>
            <w:noWrap/>
            <w:vAlign w:val="bottom"/>
            <w:hideMark/>
          </w:tcPr>
          <w:p w14:paraId="5168EC40"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0.002</w:t>
            </w:r>
          </w:p>
        </w:tc>
        <w:tc>
          <w:tcPr>
            <w:tcW w:w="960" w:type="dxa"/>
            <w:gridSpan w:val="2"/>
            <w:noWrap/>
            <w:vAlign w:val="bottom"/>
            <w:hideMark/>
          </w:tcPr>
          <w:p w14:paraId="413C260C"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0.009</w:t>
            </w:r>
          </w:p>
        </w:tc>
        <w:tc>
          <w:tcPr>
            <w:tcW w:w="1540" w:type="dxa"/>
            <w:noWrap/>
            <w:vAlign w:val="bottom"/>
            <w:hideMark/>
          </w:tcPr>
          <w:p w14:paraId="3B8C692F"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0.300</w:t>
            </w:r>
          </w:p>
        </w:tc>
        <w:tc>
          <w:tcPr>
            <w:tcW w:w="1251" w:type="dxa"/>
            <w:noWrap/>
            <w:vAlign w:val="bottom"/>
            <w:hideMark/>
          </w:tcPr>
          <w:p w14:paraId="14AC0D37"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9408</w:t>
            </w:r>
          </w:p>
        </w:tc>
        <w:tc>
          <w:tcPr>
            <w:tcW w:w="1329" w:type="dxa"/>
            <w:noWrap/>
            <w:vAlign w:val="bottom"/>
            <w:hideMark/>
          </w:tcPr>
          <w:p w14:paraId="2783A1FE"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2.480</w:t>
            </w:r>
          </w:p>
        </w:tc>
        <w:tc>
          <w:tcPr>
            <w:tcW w:w="1369" w:type="dxa"/>
            <w:noWrap/>
            <w:vAlign w:val="bottom"/>
            <w:hideMark/>
          </w:tcPr>
          <w:p w14:paraId="7FEA4AC9"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100</w:t>
            </w:r>
          </w:p>
        </w:tc>
        <w:tc>
          <w:tcPr>
            <w:tcW w:w="1271" w:type="dxa"/>
            <w:noWrap/>
            <w:vAlign w:val="bottom"/>
            <w:hideMark/>
          </w:tcPr>
          <w:p w14:paraId="5A440617"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1.457</w:t>
            </w:r>
          </w:p>
        </w:tc>
        <w:tc>
          <w:tcPr>
            <w:tcW w:w="1275" w:type="dxa"/>
            <w:noWrap/>
            <w:vAlign w:val="bottom"/>
            <w:hideMark/>
          </w:tcPr>
          <w:p w14:paraId="7EAA90F8" w14:textId="77777777" w:rsidR="004E5F8E" w:rsidRPr="007E2F7C" w:rsidRDefault="004E5F8E" w:rsidP="002460B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7E2F7C">
              <w:rPr>
                <w:rFonts w:asciiTheme="majorBidi" w:hAnsiTheme="majorBidi" w:cstheme="majorBidi"/>
                <w:color w:val="000000"/>
              </w:rPr>
              <w:t>0.127</w:t>
            </w:r>
          </w:p>
        </w:tc>
      </w:tr>
    </w:tbl>
    <w:p w14:paraId="3ED1270B" w14:textId="77777777" w:rsidR="004E5F8E" w:rsidRDefault="004E5F8E" w:rsidP="004E5F8E">
      <w:pPr>
        <w:rPr>
          <w:rFonts w:asciiTheme="majorBidi" w:hAnsiTheme="majorBidi" w:cstheme="majorBidi"/>
          <w:lang w:val="en"/>
        </w:rPr>
      </w:pPr>
    </w:p>
    <w:p w14:paraId="01364B4D" w14:textId="77777777" w:rsidR="004E5F8E" w:rsidRPr="00C74803" w:rsidRDefault="004E5F8E" w:rsidP="004E5F8E">
      <w:pPr>
        <w:rPr>
          <w:rFonts w:cstheme="minorHAnsi"/>
          <w:lang w:val="en"/>
        </w:rPr>
      </w:pPr>
      <w:r w:rsidRPr="00C74803">
        <w:rPr>
          <w:rFonts w:cstheme="minorHAnsi"/>
          <w:lang w:val="en"/>
        </w:rPr>
        <w:t>The nutrient analysis found no strong correlations between any of the nutrients measured and pelagic metabolism.   TP, TN, NH</w:t>
      </w:r>
      <w:r w:rsidRPr="00C74803">
        <w:rPr>
          <w:rFonts w:cstheme="minorHAnsi"/>
          <w:vertAlign w:val="subscript"/>
          <w:lang w:val="en"/>
        </w:rPr>
        <w:t>3,</w:t>
      </w:r>
      <w:r w:rsidRPr="00C74803">
        <w:rPr>
          <w:rFonts w:cstheme="minorHAnsi"/>
          <w:lang w:val="en"/>
        </w:rPr>
        <w:t xml:space="preserve"> and NO</w:t>
      </w:r>
      <w:r w:rsidRPr="00C74803">
        <w:rPr>
          <w:rFonts w:cstheme="minorHAnsi"/>
          <w:vertAlign w:val="subscript"/>
          <w:lang w:val="en"/>
        </w:rPr>
        <w:t>x</w:t>
      </w:r>
      <w:r w:rsidRPr="00C74803">
        <w:rPr>
          <w:rFonts w:cstheme="minorHAnsi"/>
          <w:lang w:val="en"/>
        </w:rPr>
        <w:t xml:space="preserve"> all have extremely high correlations. In fact, from Table 8 pelagic metabolism is not highly correlated to any other parameter measured. There is also a high correlation between chlorophyll-a levels and Whole stream GPP as opposed to pelagic metabolism which has almost zero correlation to chlorophyll-a levels.</w:t>
      </w:r>
    </w:p>
    <w:p w14:paraId="1AF384D8" w14:textId="77777777" w:rsidR="004E5F8E" w:rsidRPr="00C74803" w:rsidRDefault="004E5F8E" w:rsidP="004E5F8E">
      <w:pPr>
        <w:rPr>
          <w:rFonts w:cstheme="minorHAnsi"/>
          <w:lang w:val="en"/>
        </w:rPr>
      </w:pPr>
    </w:p>
    <w:p w14:paraId="0B3C0AF8" w14:textId="77777777" w:rsidR="004E5F8E" w:rsidRDefault="004E5F8E" w:rsidP="004E5F8E">
      <w:pPr>
        <w:pStyle w:val="Caption"/>
        <w:keepNext/>
      </w:pPr>
      <w:bookmarkStart w:id="832" w:name="_Ref73133861"/>
      <w:r>
        <w:lastRenderedPageBreak/>
        <w:t>Table</w:t>
      </w:r>
      <w:bookmarkEnd w:id="832"/>
      <w:r>
        <w:t xml:space="preserve"> 8</w:t>
      </w:r>
      <w:r w:rsidRPr="00056DA7">
        <w:t>: Pearson correlation table</w:t>
      </w:r>
    </w:p>
    <w:p w14:paraId="197D896D" w14:textId="668EF82D" w:rsidR="004E5F8E" w:rsidRDefault="004E5F8E" w:rsidP="004E5F8E">
      <w:pPr>
        <w:rPr>
          <w:rFonts w:asciiTheme="majorBidi" w:hAnsiTheme="majorBidi" w:cstheme="majorBidi"/>
          <w:lang w:val="en"/>
        </w:rPr>
      </w:pPr>
      <w:r w:rsidRPr="005A6473">
        <w:rPr>
          <w:rFonts w:asciiTheme="majorBidi" w:hAnsiTheme="majorBidi" w:cstheme="majorBidi"/>
          <w:noProof/>
          <w:lang w:val="en-GB"/>
        </w:rPr>
        <w:drawing>
          <wp:inline distT="0" distB="0" distL="0" distR="0" wp14:anchorId="538C86DA" wp14:editId="511E3116">
            <wp:extent cx="5759450" cy="2289175"/>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email">
                      <a:extLst>
                        <a:ext uri="{28A0092B-C50C-407E-A947-70E740481C1C}">
                          <a14:useLocalDpi xmlns:a14="http://schemas.microsoft.com/office/drawing/2010/main"/>
                        </a:ext>
                      </a:extLst>
                    </a:blip>
                    <a:stretch>
                      <a:fillRect/>
                    </a:stretch>
                  </pic:blipFill>
                  <pic:spPr>
                    <a:xfrm>
                      <a:off x="0" y="0"/>
                      <a:ext cx="5759450" cy="2289175"/>
                    </a:xfrm>
                    <a:prstGeom prst="rect">
                      <a:avLst/>
                    </a:prstGeom>
                  </pic:spPr>
                </pic:pic>
              </a:graphicData>
            </a:graphic>
          </wp:inline>
        </w:drawing>
      </w:r>
    </w:p>
    <w:p w14:paraId="000DD4B5" w14:textId="77777777" w:rsidR="004E5F8E" w:rsidRPr="002D3308" w:rsidRDefault="004E5F8E" w:rsidP="004E5F8E">
      <w:pPr>
        <w:jc w:val="center"/>
        <w:rPr>
          <w:rFonts w:asciiTheme="majorBidi" w:hAnsiTheme="majorBidi" w:cstheme="majorBidi"/>
          <w:i/>
          <w:lang w:val="en"/>
        </w:rPr>
      </w:pPr>
      <w:r>
        <w:rPr>
          <w:rFonts w:asciiTheme="majorBidi" w:hAnsiTheme="majorBidi" w:cstheme="majorBidi"/>
          <w:i/>
          <w:iCs/>
          <w:lang w:val="en"/>
        </w:rPr>
        <w:t>Pearson correlation table continued</w:t>
      </w:r>
    </w:p>
    <w:p w14:paraId="48FF6236" w14:textId="77777777" w:rsidR="004E5F8E" w:rsidRDefault="004E5F8E" w:rsidP="004E5F8E">
      <w:pPr>
        <w:jc w:val="center"/>
        <w:rPr>
          <w:rFonts w:asciiTheme="majorBidi" w:hAnsiTheme="majorBidi" w:cstheme="majorBidi"/>
          <w:lang w:val="en"/>
        </w:rPr>
      </w:pPr>
      <w:r w:rsidRPr="008551F3">
        <w:rPr>
          <w:rFonts w:asciiTheme="majorBidi" w:hAnsiTheme="majorBidi" w:cstheme="majorBidi"/>
          <w:noProof/>
          <w:lang w:val="en-GB"/>
        </w:rPr>
        <w:drawing>
          <wp:inline distT="0" distB="0" distL="0" distR="0" wp14:anchorId="0E4DF54F" wp14:editId="5FC882C8">
            <wp:extent cx="3887518" cy="2400300"/>
            <wp:effectExtent l="635" t="0" r="0" b="0"/>
            <wp:docPr id="467" name="Picture 467" descr="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Application, table&#10;&#10;Description automatically generated"/>
                    <pic:cNvPicPr/>
                  </pic:nvPicPr>
                  <pic:blipFill>
                    <a:blip r:embed="rId193" cstate="email">
                      <a:extLst>
                        <a:ext uri="{28A0092B-C50C-407E-A947-70E740481C1C}">
                          <a14:useLocalDpi xmlns:a14="http://schemas.microsoft.com/office/drawing/2010/main"/>
                        </a:ext>
                      </a:extLst>
                    </a:blip>
                    <a:stretch>
                      <a:fillRect/>
                    </a:stretch>
                  </pic:blipFill>
                  <pic:spPr>
                    <a:xfrm>
                      <a:off x="0" y="0"/>
                      <a:ext cx="3894919" cy="2404870"/>
                    </a:xfrm>
                    <a:prstGeom prst="rect">
                      <a:avLst/>
                    </a:prstGeom>
                  </pic:spPr>
                </pic:pic>
              </a:graphicData>
            </a:graphic>
          </wp:inline>
        </w:drawing>
      </w:r>
    </w:p>
    <w:p w14:paraId="090FE5A7" w14:textId="77777777" w:rsidR="007D4B6C" w:rsidRDefault="007D4B6C" w:rsidP="004E5F8E">
      <w:pPr>
        <w:jc w:val="center"/>
        <w:rPr>
          <w:rFonts w:asciiTheme="majorBidi" w:hAnsiTheme="majorBidi" w:cstheme="majorBidi"/>
          <w:lang w:val="en"/>
        </w:rPr>
      </w:pPr>
    </w:p>
    <w:p w14:paraId="15981800" w14:textId="77777777" w:rsidR="004E5F8E" w:rsidRPr="00C74803" w:rsidRDefault="004E5F8E" w:rsidP="004E5F8E">
      <w:pPr>
        <w:ind w:left="578" w:hanging="578"/>
        <w:rPr>
          <w:rFonts w:cstheme="minorHAnsi"/>
          <w:b/>
          <w:sz w:val="24"/>
        </w:rPr>
      </w:pPr>
      <w:r w:rsidRPr="00C74803">
        <w:rPr>
          <w:rFonts w:cstheme="minorHAnsi"/>
          <w:b/>
          <w:sz w:val="24"/>
        </w:rPr>
        <w:t>4.5 Key figures</w:t>
      </w:r>
    </w:p>
    <w:p w14:paraId="06DD7525" w14:textId="77777777" w:rsidR="004E5F8E" w:rsidRPr="00C74803" w:rsidRDefault="004E5F8E" w:rsidP="004E5F8E">
      <w:pPr>
        <w:rPr>
          <w:rFonts w:cstheme="minorHAnsi"/>
          <w:lang w:val="en"/>
        </w:rPr>
      </w:pPr>
      <w:r w:rsidRPr="00C74803">
        <w:rPr>
          <w:rFonts w:cstheme="minorHAnsi"/>
          <w:lang w:val="en"/>
        </w:rPr>
        <w:t>Figure 14 shows the whole stream metabolism figures against the percentage of pelagic metabolism occurring within the whole stream cross-section. The figure shows a clear trend, that as whole stream metabolism decreases, the percentage of pelagic metabolism does not decrease at the same rate. Hence, the figure shows larger percentages of pelagic metabolism at lower whole stream metabolism rates. This also indicates a major finding that the majority of metabolism in the river is occurring in benthic regions and that benthic metabolism is more variable with light.</w:t>
      </w:r>
    </w:p>
    <w:p w14:paraId="78E3C84E" w14:textId="56E6F5FD" w:rsidR="004E5F8E" w:rsidRPr="007E2F7C" w:rsidRDefault="00603C11" w:rsidP="004E5F8E">
      <w:pPr>
        <w:keepNext/>
        <w:jc w:val="center"/>
        <w:rPr>
          <w:rFonts w:asciiTheme="majorBidi" w:hAnsiTheme="majorBidi" w:cstheme="majorBidi"/>
        </w:rPr>
      </w:pPr>
      <w:r>
        <w:rPr>
          <w:noProof/>
          <w:lang w:val="en-GB"/>
        </w:rPr>
        <w:lastRenderedPageBreak/>
        <w:drawing>
          <wp:inline distT="0" distB="0" distL="0" distR="0" wp14:anchorId="5E7FF500" wp14:editId="6DE6DFEF">
            <wp:extent cx="4572000" cy="2733675"/>
            <wp:effectExtent l="0" t="0" r="0" b="9525"/>
            <wp:docPr id="448" name="Chart 448">
              <a:extLst xmlns:a="http://schemas.openxmlformats.org/drawingml/2006/main">
                <a:ext uri="{FF2B5EF4-FFF2-40B4-BE49-F238E27FC236}">
                  <a16:creationId xmlns:a16="http://schemas.microsoft.com/office/drawing/2014/main" id="{4383B788-3F43-4BA9-AED7-F190D1AB35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761ABDFD" w14:textId="77777777" w:rsidR="004E5F8E" w:rsidRPr="00056DA7" w:rsidRDefault="004E5F8E" w:rsidP="00056DA7">
      <w:pPr>
        <w:pStyle w:val="Caption"/>
        <w:keepNext/>
      </w:pPr>
      <w:bookmarkStart w:id="833" w:name="_Ref72681441"/>
      <w:bookmarkStart w:id="834" w:name="_Ref72681396"/>
      <w:r w:rsidRPr="00056DA7">
        <w:t>Figure</w:t>
      </w:r>
      <w:bookmarkEnd w:id="833"/>
      <w:r w:rsidRPr="00056DA7">
        <w:t xml:space="preserve"> 14: Pelagic % vs Whole Stream Metabolism</w:t>
      </w:r>
      <w:bookmarkEnd w:id="834"/>
    </w:p>
    <w:p w14:paraId="5BB697F7" w14:textId="77777777" w:rsidR="004E5F8E" w:rsidRDefault="004E5F8E" w:rsidP="004E5F8E">
      <w:pPr>
        <w:rPr>
          <w:rFonts w:cstheme="minorHAnsi"/>
          <w:lang w:val="en"/>
        </w:rPr>
      </w:pPr>
      <w:r w:rsidRPr="00C74803">
        <w:rPr>
          <w:rFonts w:cstheme="minorHAnsi"/>
          <w:lang w:val="en"/>
        </w:rPr>
        <w:t>Figure 15 shows the relationship between euphotic depth and pelagic metabolism rates. From this figure, a trend can be gauged that shows that as euphotic depth increases so does the rate of pelagic metabolism, albeit with one extreme outlier.</w:t>
      </w:r>
    </w:p>
    <w:p w14:paraId="5E3E4FAE" w14:textId="77777777" w:rsidR="009859AC" w:rsidRDefault="009859AC" w:rsidP="007D4B6C">
      <w:pPr>
        <w:rPr>
          <w:rFonts w:cstheme="minorHAnsi"/>
          <w:lang w:val="en"/>
        </w:rPr>
      </w:pPr>
    </w:p>
    <w:p w14:paraId="46298DEF" w14:textId="77777777" w:rsidR="004E5F8E" w:rsidRPr="007E2F7C" w:rsidRDefault="009859AC" w:rsidP="004E5F8E">
      <w:pPr>
        <w:keepNext/>
        <w:jc w:val="center"/>
        <w:rPr>
          <w:rFonts w:asciiTheme="majorBidi" w:hAnsiTheme="majorBidi" w:cstheme="majorBidi"/>
        </w:rPr>
      </w:pPr>
      <w:r w:rsidRPr="006D30A3">
        <w:rPr>
          <w:rFonts w:asciiTheme="majorBidi" w:hAnsiTheme="majorBidi" w:cstheme="majorBidi"/>
          <w:noProof/>
          <w:lang w:val="en-GB"/>
        </w:rPr>
        <w:drawing>
          <wp:inline distT="0" distB="0" distL="0" distR="0" wp14:anchorId="2BF6C05D" wp14:editId="343E6D9A">
            <wp:extent cx="4476750" cy="2743200"/>
            <wp:effectExtent l="0" t="0" r="0" b="0"/>
            <wp:docPr id="38" name="Chart 38">
              <a:extLst xmlns:a="http://schemas.openxmlformats.org/drawingml/2006/main">
                <a:ext uri="{FF2B5EF4-FFF2-40B4-BE49-F238E27FC236}">
                  <a16:creationId xmlns:a16="http://schemas.microsoft.com/office/drawing/2014/main" id="{BCAFE08C-61E7-49BA-A405-28AE4B3A23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4336E4DD" w14:textId="77777777" w:rsidR="004E5F8E" w:rsidRPr="00056DA7" w:rsidRDefault="004E5F8E" w:rsidP="009859AC">
      <w:pPr>
        <w:pStyle w:val="Caption"/>
        <w:keepNext/>
      </w:pPr>
      <w:bookmarkStart w:id="835" w:name="_Ref72681448"/>
      <w:bookmarkStart w:id="836" w:name="_Ref72681409"/>
      <w:r w:rsidRPr="00056DA7">
        <w:t>Figure</w:t>
      </w:r>
      <w:bookmarkEnd w:id="835"/>
      <w:r w:rsidRPr="00056DA7">
        <w:t xml:space="preserve"> 15: Euphotic depth vs Pelagic Metabolism</w:t>
      </w:r>
      <w:bookmarkEnd w:id="836"/>
    </w:p>
    <w:p w14:paraId="2E6699AA" w14:textId="77777777" w:rsidR="004E5F8E" w:rsidRDefault="004E5F8E" w:rsidP="007D4B6C">
      <w:pPr>
        <w:rPr>
          <w:rFonts w:cstheme="minorHAnsi"/>
        </w:rPr>
      </w:pPr>
    </w:p>
    <w:p w14:paraId="40FA18AF" w14:textId="77777777" w:rsidR="004E5F8E" w:rsidRPr="00C74803" w:rsidRDefault="004E5F8E" w:rsidP="004E5F8E">
      <w:pPr>
        <w:rPr>
          <w:rFonts w:cstheme="minorHAnsi"/>
          <w:lang w:val="en"/>
        </w:rPr>
      </w:pPr>
      <w:r w:rsidRPr="00C74803">
        <w:rPr>
          <w:rFonts w:cstheme="minorHAnsi"/>
          <w:lang w:val="en"/>
        </w:rPr>
        <w:t>With an increase in temperature, we observe weak relationships that decrease with pelagic metabolism and increase with whole stream metabolism, respectively. This suggests that metabolism in the lower Goulburn water column is driven more by the availability of sunlight and nutrients rather than the temperature of the water body (Figure 16 and Figure 17).</w:t>
      </w:r>
    </w:p>
    <w:p w14:paraId="5591C172" w14:textId="77777777" w:rsidR="004E5F8E" w:rsidRPr="007E2F7C" w:rsidRDefault="009859AC" w:rsidP="004E5F8E">
      <w:pPr>
        <w:keepNext/>
        <w:jc w:val="center"/>
        <w:rPr>
          <w:rFonts w:asciiTheme="majorBidi" w:hAnsiTheme="majorBidi" w:cstheme="majorBidi"/>
        </w:rPr>
      </w:pPr>
      <w:r>
        <w:rPr>
          <w:noProof/>
          <w:lang w:val="en-GB"/>
        </w:rPr>
        <w:lastRenderedPageBreak/>
        <w:drawing>
          <wp:inline distT="0" distB="0" distL="0" distR="0" wp14:anchorId="33FB81A5" wp14:editId="3D56932D">
            <wp:extent cx="4524375" cy="2743200"/>
            <wp:effectExtent l="0" t="0" r="9525" b="0"/>
            <wp:docPr id="48" name="Chart 48">
              <a:extLst xmlns:a="http://schemas.openxmlformats.org/drawingml/2006/main">
                <a:ext uri="{FF2B5EF4-FFF2-40B4-BE49-F238E27FC236}">
                  <a16:creationId xmlns:a16="http://schemas.microsoft.com/office/drawing/2014/main" id="{10EDA396-3A32-463E-928D-EE2DB5D3E6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53B72461" w14:textId="77777777" w:rsidR="004E5F8E" w:rsidRPr="00056DA7" w:rsidRDefault="004E5F8E" w:rsidP="009859AC">
      <w:pPr>
        <w:pStyle w:val="Caption"/>
        <w:keepNext/>
      </w:pPr>
      <w:bookmarkStart w:id="837" w:name="_Ref72672637"/>
      <w:bookmarkStart w:id="838" w:name="_Ref73128281"/>
      <w:r w:rsidRPr="00056DA7">
        <w:t>Figure</w:t>
      </w:r>
      <w:bookmarkEnd w:id="837"/>
      <w:r w:rsidRPr="00056DA7">
        <w:t xml:space="preserve"> 16: Whole stream metabolism vs Temperature</w:t>
      </w:r>
      <w:bookmarkEnd w:id="838"/>
    </w:p>
    <w:p w14:paraId="206CFD8F" w14:textId="09848A54" w:rsidR="004E5F8E" w:rsidRPr="007E2F7C" w:rsidRDefault="004E5F8E" w:rsidP="004E5F8E">
      <w:pPr>
        <w:keepNext/>
        <w:jc w:val="center"/>
        <w:rPr>
          <w:rFonts w:asciiTheme="majorBidi" w:hAnsiTheme="majorBidi" w:cstheme="majorBidi"/>
        </w:rPr>
      </w:pPr>
      <w:r>
        <w:rPr>
          <w:noProof/>
          <w:lang w:val="en-GB"/>
        </w:rPr>
        <w:drawing>
          <wp:inline distT="0" distB="0" distL="0" distR="0" wp14:anchorId="0CFAD3B7" wp14:editId="18543C5B">
            <wp:extent cx="5057775" cy="2752725"/>
            <wp:effectExtent l="0" t="0" r="9525" b="9525"/>
            <wp:docPr id="42" name="Chart 42">
              <a:extLst xmlns:a="http://schemas.openxmlformats.org/drawingml/2006/main">
                <a:ext uri="{FF2B5EF4-FFF2-40B4-BE49-F238E27FC236}">
                  <a16:creationId xmlns:a16="http://schemas.microsoft.com/office/drawing/2014/main" id="{044870A4-E14A-4615-98B2-E6F045508E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10480FE6" w14:textId="77777777" w:rsidR="004E5F8E" w:rsidRPr="00056DA7" w:rsidRDefault="004E5F8E" w:rsidP="00056DA7">
      <w:pPr>
        <w:pStyle w:val="Caption"/>
        <w:keepNext/>
      </w:pPr>
      <w:bookmarkStart w:id="839" w:name="_Ref72672625"/>
      <w:r w:rsidRPr="00056DA7">
        <w:t>Figure</w:t>
      </w:r>
      <w:bookmarkEnd w:id="839"/>
      <w:r w:rsidRPr="00056DA7">
        <w:t xml:space="preserve"> 17: Temperature vs Pelagic Metabolism</w:t>
      </w:r>
    </w:p>
    <w:p w14:paraId="37969FD4" w14:textId="77777777" w:rsidR="004E5F8E" w:rsidRPr="00C74803" w:rsidRDefault="004E5F8E" w:rsidP="009859AC">
      <w:pPr>
        <w:jc w:val="left"/>
        <w:rPr>
          <w:rFonts w:cstheme="minorHAnsi"/>
          <w:lang w:val="en"/>
        </w:rPr>
      </w:pPr>
    </w:p>
    <w:p w14:paraId="287E677A" w14:textId="77777777" w:rsidR="004E5F8E" w:rsidRPr="00C74803" w:rsidRDefault="004E5F8E" w:rsidP="00DE6E94">
      <w:pPr>
        <w:pStyle w:val="ListParagraph"/>
        <w:numPr>
          <w:ilvl w:val="0"/>
          <w:numId w:val="93"/>
        </w:numPr>
        <w:spacing w:before="120" w:after="20" w:line="240" w:lineRule="atLeast"/>
        <w:ind w:left="357" w:hanging="357"/>
        <w:contextualSpacing/>
        <w:jc w:val="left"/>
        <w:rPr>
          <w:rFonts w:cstheme="minorHAnsi"/>
          <w:b/>
          <w:sz w:val="28"/>
          <w:szCs w:val="28"/>
        </w:rPr>
      </w:pPr>
      <w:r w:rsidRPr="00C74803">
        <w:rPr>
          <w:rFonts w:cstheme="minorHAnsi"/>
          <w:b/>
          <w:sz w:val="28"/>
          <w:szCs w:val="28"/>
        </w:rPr>
        <w:t>Discussion</w:t>
      </w:r>
    </w:p>
    <w:p w14:paraId="14547689" w14:textId="3CBB770B" w:rsidR="004E5F8E" w:rsidRPr="00C74803" w:rsidRDefault="004E5F8E" w:rsidP="004E5F8E">
      <w:pPr>
        <w:ind w:left="578" w:hanging="578"/>
        <w:rPr>
          <w:rFonts w:cstheme="minorHAnsi"/>
          <w:b/>
          <w:sz w:val="24"/>
        </w:rPr>
      </w:pPr>
      <w:r w:rsidRPr="00C74803">
        <w:rPr>
          <w:rFonts w:cstheme="minorHAnsi"/>
          <w:b/>
          <w:sz w:val="24"/>
        </w:rPr>
        <w:t>5.1 Main finding</w:t>
      </w:r>
    </w:p>
    <w:p w14:paraId="01C1D67A" w14:textId="5AD4DA0C" w:rsidR="004E5F8E" w:rsidRPr="00C74803" w:rsidRDefault="004E5F8E" w:rsidP="004E5F8E">
      <w:pPr>
        <w:rPr>
          <w:rFonts w:cstheme="minorHAnsi"/>
          <w:lang w:val="en"/>
        </w:rPr>
      </w:pPr>
      <w:r w:rsidRPr="00C74803">
        <w:rPr>
          <w:rFonts w:cstheme="minorHAnsi"/>
          <w:lang w:val="en"/>
        </w:rPr>
        <w:t>Pelagic metabolism provides an average of 40% of whole stream metabolism meaning benthic areas of the Goulburn River are the primary contributors to river production. Benthic metabolism is beneficial to river health as it provides food to organisms in the local area, providing benefit and growth to larger locally based organisms and wildlife in the river. This finding shows that if we wanted local wildlife populations to increase, increasing the overall metabolism rate in the river should help, assuming that food availability is the limiting factor of growth rather than suitable habitat, or other breeding factors. This could potentially help to ensure that native fish such as the Murray cod and Golden perch have stable populations for the years to come.</w:t>
      </w:r>
    </w:p>
    <w:p w14:paraId="3FF4BC16" w14:textId="7ED2A6DF" w:rsidR="004E5F8E" w:rsidRPr="00C74803" w:rsidRDefault="004E5F8E" w:rsidP="004E5F8E">
      <w:pPr>
        <w:ind w:left="578" w:hanging="578"/>
        <w:rPr>
          <w:rFonts w:cstheme="minorHAnsi"/>
          <w:b/>
          <w:sz w:val="24"/>
        </w:rPr>
      </w:pPr>
      <w:r w:rsidRPr="00C74803">
        <w:rPr>
          <w:rFonts w:cstheme="minorHAnsi"/>
          <w:b/>
          <w:sz w:val="24"/>
        </w:rPr>
        <w:t>5.2 General findings</w:t>
      </w:r>
    </w:p>
    <w:p w14:paraId="2AE0682B" w14:textId="77777777" w:rsidR="004E5F8E" w:rsidRPr="00C74803" w:rsidRDefault="004E5F8E" w:rsidP="004E5F8E">
      <w:pPr>
        <w:rPr>
          <w:rFonts w:cstheme="minorHAnsi"/>
          <w:lang w:val="en"/>
        </w:rPr>
      </w:pPr>
      <w:r w:rsidRPr="00C74803">
        <w:rPr>
          <w:rFonts w:cstheme="minorHAnsi"/>
          <w:lang w:val="en"/>
        </w:rPr>
        <w:t xml:space="preserve">Generally, a decrease in temperature results in a decrease in both primary production and ecosystem respiration, thereby resulting in a decrease in stream metabolism (Roberts &amp; Mulholland, 2007). The results from this analysis showed that temperature does not have a significant effect on metabolism rates in the lower Goulburn. Possible reasons for this could be that sunlight and nutrients are limited and hence water temperature does not have a great effect. Alternatively, the </w:t>
      </w:r>
      <w:r w:rsidRPr="00C74803">
        <w:rPr>
          <w:rFonts w:cstheme="minorHAnsi"/>
          <w:lang w:val="en"/>
        </w:rPr>
        <w:lastRenderedPageBreak/>
        <w:t xml:space="preserve">relationship given by our results may not be indicative of actual trends. When </w:t>
      </w:r>
      <w:r w:rsidRPr="00C74803">
        <w:rPr>
          <w:rFonts w:cstheme="minorHAnsi"/>
        </w:rPr>
        <w:t>analysing</w:t>
      </w:r>
      <w:r w:rsidRPr="00C74803">
        <w:rPr>
          <w:rFonts w:cstheme="minorHAnsi"/>
          <w:lang w:val="en"/>
        </w:rPr>
        <w:t xml:space="preserve"> the effect of temperature, units used should be in degrees Kelvin, not Celsius which is shown in the figures. This results in what originally appears to be a 30% change in temperature to a change of only 2.7% across the project lifetime. This means that the changes in Pelagic metabolism are most likely driven by fluctuations in light intensity rather than temperature change. To be able to effectively conclude that the effects of temperature on metabolism were not behaving as hypothesized, then a larger range of data would be needed over greater changes in temperature.</w:t>
      </w:r>
    </w:p>
    <w:p w14:paraId="7E08FABB" w14:textId="77777777" w:rsidR="004E5F8E" w:rsidRPr="00C74803" w:rsidRDefault="004E5F8E" w:rsidP="004E5F8E">
      <w:pPr>
        <w:rPr>
          <w:rFonts w:cstheme="minorHAnsi"/>
          <w:lang w:val="en"/>
        </w:rPr>
      </w:pPr>
      <w:r w:rsidRPr="00C74803">
        <w:rPr>
          <w:rFonts w:cstheme="minorHAnsi"/>
          <w:lang w:val="en"/>
        </w:rPr>
        <w:t>Since Goulburn is characterized by high turbidity and low nutrient concentration (</w:t>
      </w:r>
      <w:proofErr w:type="spellStart"/>
      <w:r w:rsidRPr="00C74803">
        <w:rPr>
          <w:rFonts w:cstheme="minorHAnsi"/>
          <w:lang w:val="en"/>
        </w:rPr>
        <w:t>Pollino</w:t>
      </w:r>
      <w:proofErr w:type="spellEnd"/>
      <w:r w:rsidRPr="00C74803">
        <w:rPr>
          <w:rFonts w:cstheme="minorHAnsi"/>
          <w:lang w:val="en"/>
        </w:rPr>
        <w:t xml:space="preserve"> et al., 2004), primary productivity is low. The low nutrient values may maximize the impact of</w:t>
      </w:r>
      <w:r w:rsidRPr="00C74803" w:rsidDel="0017656F">
        <w:rPr>
          <w:rFonts w:cstheme="minorHAnsi"/>
          <w:lang w:val="en"/>
        </w:rPr>
        <w:t xml:space="preserve"> </w:t>
      </w:r>
      <w:r w:rsidRPr="00C74803">
        <w:rPr>
          <w:rFonts w:cstheme="minorHAnsi"/>
          <w:lang w:val="en"/>
        </w:rPr>
        <w:t>measurement errors that obscure relationships between the indicators. The nutrients TP, TN, NH</w:t>
      </w:r>
      <w:r w:rsidRPr="00C74803">
        <w:rPr>
          <w:rFonts w:cstheme="minorHAnsi"/>
          <w:vertAlign w:val="subscript"/>
          <w:lang w:val="en"/>
        </w:rPr>
        <w:t>3</w:t>
      </w:r>
      <w:r w:rsidRPr="00C74803">
        <w:rPr>
          <w:rFonts w:cstheme="minorHAnsi"/>
          <w:lang w:val="en"/>
        </w:rPr>
        <w:t xml:space="preserve">, FRP, and NOx are all forms of nitrogen or phosphorous and can be highly correlated if they come from the decomposition of the same plant and animal detritus (including algal detritus). </w:t>
      </w:r>
    </w:p>
    <w:p w14:paraId="3987D238" w14:textId="77777777" w:rsidR="004E5F8E" w:rsidRPr="00C74803" w:rsidRDefault="004E5F8E" w:rsidP="004E5F8E">
      <w:pPr>
        <w:rPr>
          <w:rFonts w:cstheme="minorHAnsi"/>
          <w:lang w:val="en"/>
        </w:rPr>
      </w:pPr>
      <w:r w:rsidRPr="00C74803">
        <w:rPr>
          <w:rFonts w:cstheme="minorHAnsi"/>
          <w:lang w:val="en"/>
        </w:rPr>
        <w:t>The low pelagic metabolism rates on the 8</w:t>
      </w:r>
      <w:r w:rsidRPr="00C74803">
        <w:rPr>
          <w:rFonts w:cstheme="minorHAnsi"/>
          <w:vertAlign w:val="superscript"/>
          <w:lang w:val="en"/>
        </w:rPr>
        <w:t>th</w:t>
      </w:r>
      <w:r w:rsidRPr="00C74803">
        <w:rPr>
          <w:rFonts w:cstheme="minorHAnsi"/>
          <w:lang w:val="en"/>
        </w:rPr>
        <w:t xml:space="preserve"> of February occurred after a significant storm/rainfall event. While water turbidity levels showed no significant change, visual observations on-site showed more material (leaves, branches) flowing down the river. This observation was reflected by the euphotic depth on this day being significantly smaller than any other day monitored over the </w:t>
      </w:r>
      <w:proofErr w:type="gramStart"/>
      <w:r w:rsidRPr="00C74803">
        <w:rPr>
          <w:rFonts w:cstheme="minorHAnsi"/>
          <w:lang w:val="en"/>
        </w:rPr>
        <w:t>time period</w:t>
      </w:r>
      <w:proofErr w:type="gramEnd"/>
      <w:r w:rsidRPr="00C74803">
        <w:rPr>
          <w:rFonts w:cstheme="minorHAnsi"/>
          <w:lang w:val="en"/>
        </w:rPr>
        <w:t>. The decrease in pelagic metabolism rates is then implied to be caused by the reduction in euphotic depth. This observation is logical as a reduction in euphotic depth results in less pelagic metabolism occurring in the deeper areas of the water column resulting in a lower overall cross-sectional rate. The storm also caused higher flow rates which lead to enhanced scouring of biofilms, which as a result suppresses benthic production, interestingly this result was seen only at McCoy’s bridge and not Loch Garry. However, due to the greater depth and width of the river at Loch Garry, increases in water level were insignificant compared to changes at McCoy’s bridge, possibly accounting for this.</w:t>
      </w:r>
    </w:p>
    <w:p w14:paraId="2A98729B" w14:textId="77777777" w:rsidR="004E5F8E" w:rsidRPr="00C74803" w:rsidRDefault="004E5F8E" w:rsidP="004E5F8E">
      <w:pPr>
        <w:rPr>
          <w:rFonts w:cstheme="minorHAnsi"/>
          <w:lang w:val="en"/>
        </w:rPr>
      </w:pPr>
      <w:r w:rsidRPr="00C74803">
        <w:rPr>
          <w:rFonts w:cstheme="minorHAnsi"/>
          <w:lang w:val="en"/>
        </w:rPr>
        <w:t xml:space="preserve">Chlorophyll-a measured in the field is representative of the algae content in the water column, high algae contents are often correlated with production within the water column. Hence, we expect to see correlations between pelagic and chlorophyll-a, suggesting production happening in the water column. On the contrary, there is a correlation between whole stream metabolism and chlorophyll-a. Since chlorophyll-a is measured from the water surface we cannot conclude that algae </w:t>
      </w:r>
      <w:proofErr w:type="gramStart"/>
      <w:r w:rsidRPr="00C74803">
        <w:rPr>
          <w:rFonts w:cstheme="minorHAnsi"/>
          <w:lang w:val="en"/>
        </w:rPr>
        <w:t>is</w:t>
      </w:r>
      <w:proofErr w:type="gramEnd"/>
      <w:r w:rsidRPr="00C74803">
        <w:rPr>
          <w:rFonts w:cstheme="minorHAnsi"/>
          <w:lang w:val="en"/>
        </w:rPr>
        <w:t xml:space="preserve"> present in the benthic areas, however, if these regions are being scoured after production occurs this could lead to the results seen.</w:t>
      </w:r>
    </w:p>
    <w:p w14:paraId="357169FE" w14:textId="77777777" w:rsidR="004E5F8E" w:rsidRPr="00C74803" w:rsidRDefault="004E5F8E" w:rsidP="004E5F8E">
      <w:pPr>
        <w:rPr>
          <w:rFonts w:cstheme="minorHAnsi"/>
          <w:lang w:val="en"/>
        </w:rPr>
      </w:pPr>
      <w:r w:rsidRPr="00C74803">
        <w:rPr>
          <w:rFonts w:cstheme="minorHAnsi"/>
          <w:lang w:val="en"/>
        </w:rPr>
        <w:t xml:space="preserve">Respiration was calculated from each bottle chain at every site however, there were large inconsistencies between bottle chains from the same sites at the same time. We have no explanation as to why dissolved oxygen rates were higher in the black bottles and as such this was a source of significant error. Metabolism rates were able to be smoothed out </w:t>
      </w:r>
      <w:proofErr w:type="gramStart"/>
      <w:r w:rsidRPr="00C74803">
        <w:rPr>
          <w:rFonts w:cstheme="minorHAnsi"/>
          <w:lang w:val="en"/>
        </w:rPr>
        <w:t>through the use of</w:t>
      </w:r>
      <w:proofErr w:type="gramEnd"/>
      <w:r w:rsidRPr="00C74803">
        <w:rPr>
          <w:rFonts w:cstheme="minorHAnsi"/>
          <w:lang w:val="en"/>
        </w:rPr>
        <w:t xml:space="preserve"> light intensity (Figure 13), however, for respiration calculations, this could not be achieved and as a result, we see a highly sporadic chart with largely varying respiration rates (Figure 20). </w:t>
      </w:r>
    </w:p>
    <w:p w14:paraId="5AFC0C44" w14:textId="7258C3DA" w:rsidR="004E5F8E" w:rsidRPr="00C74803" w:rsidRDefault="004E5F8E" w:rsidP="004E5F8E">
      <w:pPr>
        <w:ind w:left="578" w:hanging="578"/>
        <w:rPr>
          <w:rFonts w:cstheme="minorHAnsi"/>
          <w:b/>
          <w:sz w:val="24"/>
        </w:rPr>
      </w:pPr>
      <w:r w:rsidRPr="00C74803">
        <w:rPr>
          <w:rFonts w:cstheme="minorHAnsi"/>
          <w:b/>
          <w:sz w:val="24"/>
        </w:rPr>
        <w:t>5.3 Method discussion</w:t>
      </w:r>
    </w:p>
    <w:p w14:paraId="126F6220" w14:textId="77777777" w:rsidR="004E5F8E" w:rsidRPr="00C74803" w:rsidRDefault="004E5F8E" w:rsidP="004E5F8E">
      <w:pPr>
        <w:rPr>
          <w:rFonts w:eastAsia="SimSun" w:cstheme="minorHAnsi"/>
          <w:lang w:val="en"/>
        </w:rPr>
      </w:pPr>
      <w:r w:rsidRPr="00C74803">
        <w:rPr>
          <w:rFonts w:cstheme="minorHAnsi"/>
          <w:lang w:val="en"/>
        </w:rPr>
        <w:t xml:space="preserve">This section focuses on various aspects of the project that could be improved for better research and analysis in the future. We conducted seven field trips from December 2020 to April 2021. </w:t>
      </w:r>
      <w:r w:rsidRPr="00C74803">
        <w:rPr>
          <w:rFonts w:eastAsia="SimSun" w:cstheme="minorHAnsi"/>
          <w:lang w:val="en"/>
        </w:rPr>
        <w:t>Our results showed consistent pelagic metabolism rates throughout the study period. With a longer period of monitoring, we could see if this is the case across the whole year. We used three bottle chains, which were suspended a small distance from each other. There were differences in DO levels at each bottle chain, therefore, and a better representation of the actual values could have been achieved if we had had a greater number of bottle chains with more bottles per chain. The bottle chains were suspended in the river for approximately an hour and a half, where significant DO changes could be observed. However, greater changes in DO levels could be observed if the incubating period of the bottles were increased. Though a 2-kg weight was attached to the bottle chain to keep it from moving, the bottles moved occasionally due to the velocity of the river and wind. While depth remains constant, movement of the bottle chains or simply changes in times of day could result in significant changes to the data. The major change occurring</w:t>
      </w:r>
      <w:r w:rsidRPr="00C74803" w:rsidDel="00DF25C7">
        <w:rPr>
          <w:rFonts w:eastAsia="SimSun" w:cstheme="minorHAnsi"/>
          <w:lang w:val="en"/>
        </w:rPr>
        <w:t xml:space="preserve"> </w:t>
      </w:r>
      <w:r w:rsidRPr="00C74803">
        <w:rPr>
          <w:rFonts w:eastAsia="SimSun" w:cstheme="minorHAnsi"/>
          <w:lang w:val="en"/>
        </w:rPr>
        <w:t xml:space="preserve">affecting results would be change in light intensity over time. The statistical analysis used the average light intensity however changes in shadow or cloud movement result in different light intensity. While these effects cannot be avoided in the field, the effects on the light intensity average would be </w:t>
      </w:r>
      <w:r w:rsidRPr="00C74803">
        <w:rPr>
          <w:rFonts w:eastAsia="SimSun" w:cstheme="minorHAnsi"/>
        </w:rPr>
        <w:t>minimised</w:t>
      </w:r>
      <w:r w:rsidRPr="00C74803">
        <w:rPr>
          <w:rFonts w:eastAsia="SimSun" w:cstheme="minorHAnsi"/>
          <w:lang w:val="en"/>
        </w:rPr>
        <w:t xml:space="preserve"> by longer incubation periods as it negates the effect of random changes such as debris or boats passing over the bottle chains.</w:t>
      </w:r>
    </w:p>
    <w:p w14:paraId="56141BCC" w14:textId="525E725D" w:rsidR="004E5F8E" w:rsidRPr="00C74803" w:rsidRDefault="004E5F8E" w:rsidP="004E5F8E">
      <w:pPr>
        <w:ind w:left="578" w:hanging="578"/>
        <w:rPr>
          <w:rFonts w:eastAsia="Times New Roman" w:cstheme="minorHAnsi"/>
          <w:b/>
          <w:sz w:val="24"/>
        </w:rPr>
      </w:pPr>
      <w:r w:rsidRPr="00C74803">
        <w:rPr>
          <w:rFonts w:cstheme="minorHAnsi"/>
          <w:b/>
          <w:sz w:val="24"/>
        </w:rPr>
        <w:t xml:space="preserve">5.4 </w:t>
      </w:r>
      <w:r w:rsidRPr="00C74803">
        <w:rPr>
          <w:rFonts w:eastAsia="Times New Roman" w:cstheme="minorHAnsi"/>
          <w:b/>
          <w:sz w:val="24"/>
        </w:rPr>
        <w:t>Data collection discussion</w:t>
      </w:r>
    </w:p>
    <w:p w14:paraId="5C7B4776" w14:textId="77777777" w:rsidR="004E5F8E" w:rsidRPr="00C74803" w:rsidRDefault="004E5F8E" w:rsidP="004E5F8E">
      <w:pPr>
        <w:rPr>
          <w:rFonts w:eastAsia="SimSun" w:cstheme="minorHAnsi"/>
          <w:lang w:val="en"/>
        </w:rPr>
      </w:pPr>
      <w:r w:rsidRPr="00C74803">
        <w:rPr>
          <w:rFonts w:eastAsia="SimSun" w:cstheme="minorHAnsi"/>
          <w:lang w:val="en"/>
        </w:rPr>
        <w:t xml:space="preserve">The data collection was not fool proof and had its own set of uncertainties. After the incubation period, the water samples in the bottles were measured for DO concentrations. The DO concentrations are expected to decrease with depth because the intensity of light decreases with depth, and light is essential for primary productivity. However, that was not the case in all locations in many field trips. This could be due to the time interval between taking the bottles out from the river and </w:t>
      </w:r>
      <w:r w:rsidRPr="00C74803">
        <w:rPr>
          <w:rFonts w:eastAsia="SimSun" w:cstheme="minorHAnsi"/>
          <w:lang w:val="en"/>
        </w:rPr>
        <w:lastRenderedPageBreak/>
        <w:t xml:space="preserve">measurement. Also, there is a possibility of oxygen entering the bottle when measured for DO. Two different YSI </w:t>
      </w:r>
      <w:proofErr w:type="spellStart"/>
      <w:r w:rsidRPr="00C74803">
        <w:rPr>
          <w:rFonts w:eastAsia="SimSun" w:cstheme="minorHAnsi"/>
          <w:lang w:val="en"/>
        </w:rPr>
        <w:t>ProDSS</w:t>
      </w:r>
      <w:proofErr w:type="spellEnd"/>
      <w:r w:rsidRPr="00C74803">
        <w:rPr>
          <w:rFonts w:eastAsia="SimSun" w:cstheme="minorHAnsi"/>
          <w:lang w:val="en"/>
        </w:rPr>
        <w:t xml:space="preserve"> were used: one with all the probes (turbidity, conductivity, pH, and DO), and the other with only the DO probe. The reason for this is because the light/dark bottles have a small opening and the YSI </w:t>
      </w:r>
      <w:proofErr w:type="spellStart"/>
      <w:r w:rsidRPr="00C74803">
        <w:rPr>
          <w:rFonts w:eastAsia="SimSun" w:cstheme="minorHAnsi"/>
          <w:lang w:val="en"/>
        </w:rPr>
        <w:t>ProDSS</w:t>
      </w:r>
      <w:proofErr w:type="spellEnd"/>
      <w:r w:rsidRPr="00C74803">
        <w:rPr>
          <w:rFonts w:eastAsia="SimSun" w:cstheme="minorHAnsi"/>
          <w:lang w:val="en"/>
        </w:rPr>
        <w:t xml:space="preserve"> with all the probes cannot be used to measure the bottle DO. By using two different probes for measuring DO, we increase the probability of systematic differences in readings because of different calibrations between the two instruments. </w:t>
      </w:r>
      <w:r w:rsidRPr="00C74803">
        <w:rPr>
          <w:rFonts w:cstheme="minorHAnsi"/>
        </w:rPr>
        <w:t>Using a single DO probe to measure both before and after deployment DO concentrations could reduce the differences in errors. The DO readings must be taken as soon as possible after removing the bottle chains from the river to ensure the concentrations remain constant. Longer bottle chain deployment durations, more bottles per bottle chain, more bottle chains, more field trips, and a longer monitoring duration could help develop more accurate models with clear trends representative of reality.</w:t>
      </w:r>
    </w:p>
    <w:p w14:paraId="0071585B" w14:textId="0C56307B" w:rsidR="004E5F8E" w:rsidRPr="00C74803" w:rsidRDefault="004E5F8E" w:rsidP="004E5F8E">
      <w:pPr>
        <w:ind w:left="578" w:hanging="578"/>
        <w:rPr>
          <w:rFonts w:eastAsia="Times New Roman" w:cstheme="minorHAnsi"/>
          <w:b/>
          <w:sz w:val="24"/>
        </w:rPr>
      </w:pPr>
      <w:r w:rsidRPr="00C74803">
        <w:rPr>
          <w:rFonts w:cstheme="minorHAnsi"/>
          <w:b/>
          <w:sz w:val="24"/>
        </w:rPr>
        <w:t xml:space="preserve">5.5 </w:t>
      </w:r>
      <w:r w:rsidRPr="00C74803">
        <w:rPr>
          <w:rFonts w:eastAsia="Times New Roman" w:cstheme="minorHAnsi"/>
          <w:b/>
          <w:sz w:val="24"/>
        </w:rPr>
        <w:t>Statistical analysis discussion</w:t>
      </w:r>
    </w:p>
    <w:p w14:paraId="17575069" w14:textId="77777777" w:rsidR="004E5F8E" w:rsidRPr="00C74803" w:rsidRDefault="004E5F8E" w:rsidP="004E5F8E">
      <w:pPr>
        <w:rPr>
          <w:rFonts w:eastAsia="SimSun" w:cstheme="minorHAnsi"/>
          <w:lang w:val="en"/>
        </w:rPr>
      </w:pPr>
      <w:r w:rsidRPr="00C74803">
        <w:rPr>
          <w:rFonts w:eastAsia="SimSun" w:cstheme="minorHAnsi"/>
          <w:lang w:val="en"/>
        </w:rPr>
        <w:t>During the statistical analysis of the nutrient levels, it could be seen that results for TP, FRP, and NOx either barely or did not meet the detection limits of the tests conducted by the Water Studies Centre, this meant that these results carried a significant error factor of as high as 50%. Other nutrient levels in the Goulburn are also quite low and this can lead to high degrees of error. Above, we noted that nutrient levels are highly correlated to each other but not to pelagic metabolism levels; a possible reason for this could be that the low nutrient values received hold a high degree of error, as such changes of 0.001 can cause a 33% change to the result. Hence this could affect pelagic metabolism correlation with nutrient levels.</w:t>
      </w:r>
    </w:p>
    <w:p w14:paraId="0BB48C37" w14:textId="77777777" w:rsidR="004E5F8E" w:rsidRPr="00C74803" w:rsidRDefault="004E5F8E" w:rsidP="004E5F8E">
      <w:pPr>
        <w:rPr>
          <w:rFonts w:eastAsia="SimSun" w:cstheme="minorHAnsi"/>
          <w:lang w:val="en"/>
        </w:rPr>
      </w:pPr>
      <w:r w:rsidRPr="00C74803">
        <w:rPr>
          <w:rFonts w:eastAsia="SimSun" w:cstheme="minorHAnsi"/>
          <w:lang w:val="en"/>
        </w:rPr>
        <w:t>The calculations for pelagic metabolism could also be improved with the use of more light data points on the deployed bottle chains or more accurately recorded metabolism rates. Light data would yield higher accuracy light vs depth equations while improved metabolism rates would create an initial model with higher accuracy. Currently, this data feeds into Figure 13, where errors in this trend will compound throughout other measurements. Hence, this report is limited by initial inaccuracy which is used to determine pelagic metabolism rates. While adding additional data points in continuation of lower Goulburn monitoring would be beneficial, it is recognized that similar projects would likely not collect more data and hence a stronger focus should be on reducing sources of error as discussed in section 5.4.</w:t>
      </w:r>
    </w:p>
    <w:p w14:paraId="2873BE36" w14:textId="618E983A" w:rsidR="004E5F8E" w:rsidRPr="00C74803" w:rsidRDefault="004E5F8E" w:rsidP="004E5F8E">
      <w:pPr>
        <w:ind w:left="578" w:hanging="578"/>
        <w:rPr>
          <w:rFonts w:eastAsia="Times New Roman" w:cstheme="minorHAnsi"/>
          <w:b/>
          <w:sz w:val="24"/>
        </w:rPr>
      </w:pPr>
      <w:r w:rsidRPr="00C74803">
        <w:rPr>
          <w:rFonts w:cstheme="minorHAnsi"/>
          <w:b/>
          <w:sz w:val="24"/>
        </w:rPr>
        <w:t xml:space="preserve">5.6 </w:t>
      </w:r>
      <w:r w:rsidRPr="00C74803">
        <w:rPr>
          <w:rFonts w:eastAsia="Times New Roman" w:cstheme="minorHAnsi"/>
          <w:b/>
          <w:sz w:val="24"/>
        </w:rPr>
        <w:t xml:space="preserve">Implications for management </w:t>
      </w:r>
    </w:p>
    <w:p w14:paraId="7B54DD7E" w14:textId="77777777" w:rsidR="004E5F8E" w:rsidRPr="00C74803" w:rsidRDefault="004E5F8E" w:rsidP="004E5F8E">
      <w:pPr>
        <w:rPr>
          <w:rFonts w:cstheme="minorHAnsi"/>
        </w:rPr>
      </w:pPr>
      <w:r w:rsidRPr="00C74803">
        <w:rPr>
          <w:rFonts w:cstheme="minorHAnsi"/>
        </w:rPr>
        <w:t xml:space="preserve">We understand that increasing the whole stream GPP could be beneficial to the local organisms as most of the metabolism is occurring benthically on the riverbed. One management action designed to increase whole stream GPP can be increasing the benthic hard surfaces on the river to ensure more metabolism happens in the riverbed. We also concluded that sunlight is a prime driver of metabolism. Therefore, ensuring a lower flow in summer can increase light penetration to the bed, thereby promoting metabolism. An inflow of water brings in a large amount of nutrients promoting primary production, but the inflow must be managed in a way that metabolism occurs in the riverbed. Reducing human interference in the river can improve benthic metabolism during low flows due to reduced turbidity and better light penetration to the riverbed. A large amount of data was collected for this project however, improvements can be made on reducing the sources of error within our existing program. </w:t>
      </w:r>
    </w:p>
    <w:p w14:paraId="2EC34AC2" w14:textId="77777777" w:rsidR="00206685" w:rsidRPr="00C74803" w:rsidRDefault="00206685" w:rsidP="004E5F8E">
      <w:pPr>
        <w:rPr>
          <w:rFonts w:cstheme="minorHAnsi"/>
        </w:rPr>
      </w:pPr>
    </w:p>
    <w:p w14:paraId="01C211FE" w14:textId="77777777" w:rsidR="004E5F8E" w:rsidRPr="00C74803" w:rsidRDefault="004E5F8E" w:rsidP="00DE6E94">
      <w:pPr>
        <w:pStyle w:val="ListParagraph"/>
        <w:numPr>
          <w:ilvl w:val="0"/>
          <w:numId w:val="93"/>
        </w:numPr>
        <w:spacing w:before="120" w:after="20" w:line="240" w:lineRule="atLeast"/>
        <w:ind w:left="357" w:hanging="357"/>
        <w:contextualSpacing/>
        <w:jc w:val="left"/>
        <w:rPr>
          <w:rFonts w:eastAsia="Times New Roman" w:cstheme="minorHAnsi"/>
          <w:b/>
          <w:sz w:val="28"/>
          <w:szCs w:val="28"/>
        </w:rPr>
      </w:pPr>
      <w:r w:rsidRPr="00C74803">
        <w:rPr>
          <w:rFonts w:eastAsia="Times New Roman" w:cstheme="minorHAnsi"/>
          <w:b/>
          <w:sz w:val="28"/>
          <w:szCs w:val="28"/>
        </w:rPr>
        <w:t>Conclusion</w:t>
      </w:r>
    </w:p>
    <w:p w14:paraId="0D38E5AA" w14:textId="77777777" w:rsidR="004E5F8E" w:rsidRPr="00C74803" w:rsidRDefault="004E5F8E" w:rsidP="004E5F8E">
      <w:pPr>
        <w:rPr>
          <w:rFonts w:cstheme="minorHAnsi"/>
          <w:lang w:val="en-US"/>
        </w:rPr>
      </w:pPr>
      <w:r w:rsidRPr="00C74803">
        <w:rPr>
          <w:rFonts w:cstheme="minorHAnsi"/>
          <w:lang w:val="en-US"/>
        </w:rPr>
        <w:t>The project was undertaken to assess the proportion of whole stream metabolism that is benthic and therefore is available to organisms in the Goulburn River. Darcy’s Track, Loch Garry, and McCoy’s Bridge were the sites used for the monitoring project. Ecosystem metabolism being a key parameter monitored as part of the MER Program, t</w:t>
      </w:r>
      <w:r w:rsidRPr="00C74803">
        <w:rPr>
          <w:rFonts w:cstheme="minorHAnsi"/>
        </w:rPr>
        <w:t xml:space="preserve">he rates of metabolism, GPP, and ER were determined by the light and dark bottle method. Using the whole stream metabolism data from the permanent loggers at the monitoring sites, pelagic and benthic metabolism were separately identified. </w:t>
      </w:r>
    </w:p>
    <w:p w14:paraId="5ACF5A90" w14:textId="77777777" w:rsidR="004E5F8E" w:rsidRPr="00C74803" w:rsidRDefault="004E5F8E" w:rsidP="004E5F8E">
      <w:pPr>
        <w:rPr>
          <w:rFonts w:cstheme="minorHAnsi"/>
        </w:rPr>
      </w:pPr>
      <w:r w:rsidRPr="00C74803">
        <w:rPr>
          <w:rFonts w:cstheme="minorHAnsi"/>
        </w:rPr>
        <w:t>The key findings after the statistical analysis are as follows:</w:t>
      </w:r>
    </w:p>
    <w:p w14:paraId="5FD232CC" w14:textId="77777777" w:rsidR="004E5F8E" w:rsidRPr="00C74803" w:rsidRDefault="004E5F8E" w:rsidP="00DE6E94">
      <w:pPr>
        <w:pStyle w:val="ListParagraph"/>
        <w:numPr>
          <w:ilvl w:val="0"/>
          <w:numId w:val="92"/>
        </w:numPr>
        <w:spacing w:after="160" w:line="256" w:lineRule="auto"/>
        <w:contextualSpacing/>
        <w:rPr>
          <w:rFonts w:cstheme="minorHAnsi"/>
        </w:rPr>
      </w:pPr>
      <w:r w:rsidRPr="00C74803">
        <w:rPr>
          <w:rFonts w:cstheme="minorHAnsi"/>
          <w:lang w:val="en"/>
        </w:rPr>
        <w:t>Metabolism in the lower Goulburn River is driven by the availability of sunlight rather than the temperature of the water body.</w:t>
      </w:r>
    </w:p>
    <w:p w14:paraId="1DF3ADA1" w14:textId="77777777" w:rsidR="004E5F8E" w:rsidRPr="00C74803" w:rsidRDefault="004E5F8E" w:rsidP="00DE6E94">
      <w:pPr>
        <w:pStyle w:val="ListParagraph"/>
        <w:numPr>
          <w:ilvl w:val="0"/>
          <w:numId w:val="92"/>
        </w:numPr>
        <w:spacing w:after="160" w:line="256" w:lineRule="auto"/>
        <w:contextualSpacing/>
        <w:rPr>
          <w:rFonts w:cstheme="minorHAnsi"/>
        </w:rPr>
      </w:pPr>
      <w:r w:rsidRPr="00C74803">
        <w:rPr>
          <w:rFonts w:cstheme="minorHAnsi"/>
          <w:lang w:val="en"/>
        </w:rPr>
        <w:t>Most of the GPP occurs at the riverbed in the benthic region, suggesting that an increase in the overall metabolism rate will result in an increased population of fish and other higher organisms.</w:t>
      </w:r>
    </w:p>
    <w:p w14:paraId="2858B415" w14:textId="77777777" w:rsidR="004E5F8E" w:rsidRPr="00C74803" w:rsidRDefault="004E5F8E" w:rsidP="00DE6E94">
      <w:pPr>
        <w:pStyle w:val="ListParagraph"/>
        <w:numPr>
          <w:ilvl w:val="0"/>
          <w:numId w:val="92"/>
        </w:numPr>
        <w:spacing w:after="160" w:line="256" w:lineRule="auto"/>
        <w:contextualSpacing/>
        <w:rPr>
          <w:rFonts w:cstheme="minorHAnsi"/>
          <w:lang w:val="en"/>
        </w:rPr>
      </w:pPr>
      <w:r w:rsidRPr="00C74803">
        <w:rPr>
          <w:rFonts w:cstheme="minorHAnsi"/>
          <w:lang w:val="en"/>
        </w:rPr>
        <w:t>There is a strong correlation between euphotic depth and pelagic metabolism.</w:t>
      </w:r>
    </w:p>
    <w:p w14:paraId="5BF99FE8" w14:textId="77777777" w:rsidR="004E5F8E" w:rsidRPr="00C74803" w:rsidRDefault="004E5F8E" w:rsidP="004E5F8E">
      <w:pPr>
        <w:spacing w:after="160" w:line="256" w:lineRule="auto"/>
        <w:rPr>
          <w:rFonts w:cstheme="minorHAnsi"/>
          <w:lang w:val="en"/>
        </w:rPr>
      </w:pPr>
      <w:r w:rsidRPr="00C74803">
        <w:rPr>
          <w:rFonts w:cstheme="minorHAnsi"/>
          <w:lang w:val="en"/>
        </w:rPr>
        <w:t>Therefore, to increase benthic metabolism rates in the lower Goulburn River it is suggested that hard surfaces be added to the river as well as the river being kept at low flows to promote light interaction with the benthic areas of the river.</w:t>
      </w:r>
    </w:p>
    <w:p w14:paraId="12787A39" w14:textId="77777777" w:rsidR="004E5F8E" w:rsidRPr="00C74803" w:rsidRDefault="004E5F8E" w:rsidP="004E5F8E">
      <w:pPr>
        <w:spacing w:after="160" w:line="256" w:lineRule="auto"/>
        <w:rPr>
          <w:rFonts w:cstheme="minorHAnsi"/>
          <w:lang w:val="en"/>
        </w:rPr>
      </w:pPr>
    </w:p>
    <w:p w14:paraId="4691016C" w14:textId="77777777" w:rsidR="004E5F8E" w:rsidRPr="00C74803" w:rsidRDefault="004E5F8E" w:rsidP="00DE6E94">
      <w:pPr>
        <w:pStyle w:val="ListParagraph"/>
        <w:numPr>
          <w:ilvl w:val="0"/>
          <w:numId w:val="93"/>
        </w:numPr>
        <w:spacing w:before="120" w:after="20" w:line="240" w:lineRule="atLeast"/>
        <w:ind w:left="357" w:hanging="357"/>
        <w:contextualSpacing/>
        <w:jc w:val="left"/>
        <w:rPr>
          <w:rFonts w:cstheme="minorHAnsi"/>
          <w:b/>
          <w:sz w:val="28"/>
          <w:szCs w:val="28"/>
        </w:rPr>
      </w:pPr>
      <w:r w:rsidRPr="00C74803">
        <w:rPr>
          <w:rFonts w:cstheme="minorHAnsi"/>
          <w:b/>
          <w:sz w:val="28"/>
          <w:szCs w:val="28"/>
        </w:rPr>
        <w:t>Acknowledgments</w:t>
      </w:r>
    </w:p>
    <w:p w14:paraId="43F057B0" w14:textId="351FE508" w:rsidR="004E5F8E" w:rsidRPr="00C74803" w:rsidRDefault="004E5F8E" w:rsidP="004E5F8E">
      <w:pPr>
        <w:rPr>
          <w:rFonts w:cstheme="minorHAnsi"/>
        </w:rPr>
      </w:pPr>
      <w:r w:rsidRPr="00C74803">
        <w:rPr>
          <w:rFonts w:cstheme="minorHAnsi"/>
        </w:rPr>
        <w:t xml:space="preserve">We sincerely thank our supervisors Angus Webb (Department of Infrastructure Engineering), Michael Grace (Water Studies Centre, Monash University), and </w:t>
      </w:r>
      <w:proofErr w:type="spellStart"/>
      <w:r w:rsidRPr="00C74803">
        <w:rPr>
          <w:rFonts w:cstheme="minorHAnsi"/>
        </w:rPr>
        <w:t>Xue</w:t>
      </w:r>
      <w:proofErr w:type="spellEnd"/>
      <w:r w:rsidRPr="00C74803">
        <w:rPr>
          <w:rFonts w:cstheme="minorHAnsi"/>
        </w:rPr>
        <w:t xml:space="preserve"> Hou (Department of Infrastructure Engineering) for their guidance throughout the project. We also acknowledge the constant help and support rendered by Elise King. A special mention to Wim </w:t>
      </w:r>
      <w:proofErr w:type="spellStart"/>
      <w:r w:rsidRPr="00C74803">
        <w:rPr>
          <w:rFonts w:cstheme="minorHAnsi"/>
        </w:rPr>
        <w:t>Bovill</w:t>
      </w:r>
      <w:proofErr w:type="spellEnd"/>
      <w:r w:rsidRPr="00C74803">
        <w:rPr>
          <w:rFonts w:cstheme="minorHAnsi"/>
        </w:rPr>
        <w:t xml:space="preserve"> and </w:t>
      </w:r>
      <w:proofErr w:type="spellStart"/>
      <w:r w:rsidRPr="00C74803">
        <w:rPr>
          <w:rFonts w:cstheme="minorHAnsi"/>
        </w:rPr>
        <w:t>Sewwandi</w:t>
      </w:r>
      <w:proofErr w:type="spellEnd"/>
      <w:r w:rsidRPr="00C74803">
        <w:rPr>
          <w:rFonts w:cstheme="minorHAnsi"/>
        </w:rPr>
        <w:t xml:space="preserve"> </w:t>
      </w:r>
      <w:r w:rsidR="006C24BD">
        <w:rPr>
          <w:rFonts w:cstheme="minorHAnsi"/>
        </w:rPr>
        <w:t>Wijesuriya</w:t>
      </w:r>
      <w:r w:rsidRPr="00C74803">
        <w:rPr>
          <w:rFonts w:cstheme="minorHAnsi"/>
        </w:rPr>
        <w:t xml:space="preserve"> for their help before and during the field trips. </w:t>
      </w:r>
    </w:p>
    <w:p w14:paraId="5A3B96C6" w14:textId="77777777" w:rsidR="00C74803" w:rsidRDefault="00C74803" w:rsidP="004E5F8E">
      <w:pPr>
        <w:spacing w:after="20" w:line="240" w:lineRule="atLeast"/>
        <w:rPr>
          <w:rFonts w:asciiTheme="minorBidi" w:hAnsiTheme="minorBidi"/>
        </w:rPr>
      </w:pPr>
    </w:p>
    <w:p w14:paraId="060AEB1E" w14:textId="3F527ABE" w:rsidR="004E5F8E" w:rsidRPr="001F146B" w:rsidRDefault="004E5F8E" w:rsidP="004E5F8E">
      <w:pPr>
        <w:spacing w:after="20" w:line="240" w:lineRule="atLeast"/>
        <w:rPr>
          <w:b/>
          <w:bCs/>
          <w:sz w:val="28"/>
          <w:szCs w:val="28"/>
        </w:rPr>
      </w:pPr>
      <w:r w:rsidRPr="001F146B">
        <w:rPr>
          <w:b/>
          <w:bCs/>
          <w:sz w:val="28"/>
          <w:szCs w:val="28"/>
        </w:rPr>
        <w:t>References</w:t>
      </w:r>
    </w:p>
    <w:p w14:paraId="6BEAA24E" w14:textId="77777777" w:rsidR="004E5F8E" w:rsidRPr="007850D7" w:rsidRDefault="004E5F8E" w:rsidP="00D77088">
      <w:r w:rsidRPr="007850D7">
        <w:t xml:space="preserve">Australian Government. (2012). </w:t>
      </w:r>
      <w:r w:rsidRPr="007850D7">
        <w:rPr>
          <w:i/>
        </w:rPr>
        <w:t xml:space="preserve">Water Act 2007 – Basin Plan 2012, Extract for the </w:t>
      </w:r>
      <w:proofErr w:type="spellStart"/>
      <w:r w:rsidRPr="007850D7">
        <w:rPr>
          <w:i/>
        </w:rPr>
        <w:t>Federalcommonwealth</w:t>
      </w:r>
      <w:proofErr w:type="spellEnd"/>
      <w:r w:rsidRPr="007850D7">
        <w:rPr>
          <w:i/>
        </w:rPr>
        <w:t xml:space="preserve"> Register of Legislative Instruments</w:t>
      </w:r>
      <w:r w:rsidRPr="007850D7">
        <w:t xml:space="preserve">. Retrieved from Canberra: Australian Government, Office of Parliamentary Counsel: </w:t>
      </w:r>
    </w:p>
    <w:p w14:paraId="23618452" w14:textId="77777777" w:rsidR="004E5F8E" w:rsidRPr="007850D7" w:rsidRDefault="004E5F8E" w:rsidP="00D77088">
      <w:r w:rsidRPr="007850D7">
        <w:t xml:space="preserve">Bernhardt, E. S., Heffernan, J. B., Grimm, N. B., Stanley, E. H., Harvey, J., </w:t>
      </w:r>
      <w:proofErr w:type="spellStart"/>
      <w:r w:rsidRPr="007850D7">
        <w:t>Arroita</w:t>
      </w:r>
      <w:proofErr w:type="spellEnd"/>
      <w:r w:rsidRPr="007850D7">
        <w:t xml:space="preserve">, M., . . . Hall Jr, R. (2018). The metabolic regimes of flowing waters. </w:t>
      </w:r>
      <w:r w:rsidRPr="007850D7">
        <w:rPr>
          <w:i/>
        </w:rPr>
        <w:t>Limnology and oceanography, 63</w:t>
      </w:r>
      <w:r w:rsidRPr="007850D7">
        <w:t xml:space="preserve">(S1), S99-S118. </w:t>
      </w:r>
    </w:p>
    <w:p w14:paraId="6F1E0C89" w14:textId="77777777" w:rsidR="004E5F8E" w:rsidRPr="007850D7" w:rsidRDefault="004E5F8E" w:rsidP="00D77088">
      <w:r w:rsidRPr="007850D7">
        <w:t xml:space="preserve">Carpenter, S. R., Cole, J. J., Pace, M. L., Van de </w:t>
      </w:r>
      <w:proofErr w:type="spellStart"/>
      <w:r w:rsidRPr="007850D7">
        <w:t>Bogert</w:t>
      </w:r>
      <w:proofErr w:type="spellEnd"/>
      <w:r w:rsidRPr="007850D7">
        <w:t xml:space="preserve">, M., Bade, D. L., </w:t>
      </w:r>
      <w:proofErr w:type="spellStart"/>
      <w:r w:rsidRPr="007850D7">
        <w:t>Bastviken</w:t>
      </w:r>
      <w:proofErr w:type="spellEnd"/>
      <w:r w:rsidRPr="007850D7">
        <w:t xml:space="preserve">, D., . . . </w:t>
      </w:r>
      <w:proofErr w:type="spellStart"/>
      <w:r w:rsidRPr="007850D7">
        <w:t>Kritzberg</w:t>
      </w:r>
      <w:proofErr w:type="spellEnd"/>
      <w:r w:rsidRPr="007850D7">
        <w:t xml:space="preserve">, E. S. (2005). Ecosystem subsidies: terrestrial support of aquatic food webs from 13C addition to contrasting lakes. </w:t>
      </w:r>
      <w:r w:rsidRPr="007850D7">
        <w:rPr>
          <w:i/>
        </w:rPr>
        <w:t>Ecology, 86</w:t>
      </w:r>
      <w:r w:rsidRPr="007850D7">
        <w:t xml:space="preserve">(10), 2737-2750. </w:t>
      </w:r>
    </w:p>
    <w:p w14:paraId="6ED3E04C" w14:textId="77777777" w:rsidR="004E5F8E" w:rsidRPr="007850D7" w:rsidRDefault="004E5F8E" w:rsidP="00D77088">
      <w:proofErr w:type="spellStart"/>
      <w:r w:rsidRPr="007850D7">
        <w:t>Desortová</w:t>
      </w:r>
      <w:proofErr w:type="spellEnd"/>
      <w:r w:rsidRPr="007850D7">
        <w:t>, B. (1981). Relationship between chlorophyll</w:t>
      </w:r>
      <w:r w:rsidRPr="007850D7">
        <w:rPr>
          <w:rFonts w:ascii="Times New Roman" w:hAnsi="Times New Roman" w:cs="Times New Roman"/>
        </w:rPr>
        <w:t>‐</w:t>
      </w:r>
      <w:r w:rsidRPr="007850D7">
        <w:rPr>
          <w:rFonts w:ascii="Georgia" w:hAnsi="Georgia" w:cs="Georgia"/>
        </w:rPr>
        <w:t>α</w:t>
      </w:r>
      <w:r w:rsidRPr="007850D7">
        <w:t xml:space="preserve"> concentration and phytoplankton biomass in several reservoirs in Czechoslovakia. </w:t>
      </w:r>
      <w:r w:rsidRPr="007850D7">
        <w:rPr>
          <w:i/>
        </w:rPr>
        <w:t xml:space="preserve">Internationale Revue der </w:t>
      </w:r>
      <w:proofErr w:type="spellStart"/>
      <w:r w:rsidRPr="007850D7">
        <w:rPr>
          <w:i/>
        </w:rPr>
        <w:t>gesamten</w:t>
      </w:r>
      <w:proofErr w:type="spellEnd"/>
      <w:r w:rsidRPr="007850D7">
        <w:rPr>
          <w:i/>
        </w:rPr>
        <w:t xml:space="preserve"> </w:t>
      </w:r>
      <w:proofErr w:type="spellStart"/>
      <w:r w:rsidRPr="007850D7">
        <w:rPr>
          <w:i/>
        </w:rPr>
        <w:t>Hydrobiologie</w:t>
      </w:r>
      <w:proofErr w:type="spellEnd"/>
      <w:r w:rsidRPr="007850D7">
        <w:rPr>
          <w:i/>
        </w:rPr>
        <w:t xml:space="preserve"> und </w:t>
      </w:r>
      <w:proofErr w:type="spellStart"/>
      <w:r w:rsidRPr="007850D7">
        <w:rPr>
          <w:i/>
        </w:rPr>
        <w:t>Hydrographie</w:t>
      </w:r>
      <w:proofErr w:type="spellEnd"/>
      <w:r w:rsidRPr="007850D7">
        <w:rPr>
          <w:i/>
        </w:rPr>
        <w:t>, 66</w:t>
      </w:r>
      <w:r w:rsidRPr="007850D7">
        <w:t xml:space="preserve">(2), 153-169. </w:t>
      </w:r>
    </w:p>
    <w:p w14:paraId="5150BF9D" w14:textId="77777777" w:rsidR="004E5F8E" w:rsidRPr="007850D7" w:rsidRDefault="004E5F8E" w:rsidP="00D77088">
      <w:r w:rsidRPr="007850D7">
        <w:t xml:space="preserve">George, G. (Producer). (1978, January 12). Reaeration in a turbulent stream system. Retrieved from </w:t>
      </w:r>
      <w:r w:rsidRPr="00DA7D15">
        <w:t>https://ir.library.oregonstate.edu/concern/graduate_thesis_or_dissertations/zg64tp14q</w:t>
      </w:r>
    </w:p>
    <w:p w14:paraId="21D3DB8E" w14:textId="77777777" w:rsidR="004E5F8E" w:rsidRPr="007850D7" w:rsidRDefault="004E5F8E" w:rsidP="00D77088">
      <w:r w:rsidRPr="007850D7">
        <w:t xml:space="preserve">Gore, J. A. (1985). Restoration of rivers and streams. </w:t>
      </w:r>
    </w:p>
    <w:p w14:paraId="579A912E" w14:textId="77777777" w:rsidR="004E5F8E" w:rsidRPr="007850D7" w:rsidRDefault="004E5F8E" w:rsidP="00D77088">
      <w:r w:rsidRPr="007850D7">
        <w:t xml:space="preserve">Grace, M., &amp; </w:t>
      </w:r>
      <w:proofErr w:type="spellStart"/>
      <w:r w:rsidRPr="007850D7">
        <w:t>Imberger</w:t>
      </w:r>
      <w:proofErr w:type="spellEnd"/>
      <w:r w:rsidRPr="007850D7">
        <w:t xml:space="preserve">, S. (2006). Stream metabolism: performing &amp; interpreting measurements. </w:t>
      </w:r>
      <w:r w:rsidRPr="007850D7">
        <w:rPr>
          <w:i/>
        </w:rPr>
        <w:t>Water Studies Centre Monash University, Murray Darling Basin Commission and New South Wales Department of Environment and Climate Change, 204</w:t>
      </w:r>
      <w:r w:rsidRPr="007850D7">
        <w:t xml:space="preserve">, 1-204. </w:t>
      </w:r>
    </w:p>
    <w:p w14:paraId="5FC06D32" w14:textId="77777777" w:rsidR="004E5F8E" w:rsidRPr="007850D7" w:rsidRDefault="004E5F8E" w:rsidP="00D77088">
      <w:r w:rsidRPr="007850D7">
        <w:t xml:space="preserve">Hart, B. T. (2016). The Australian Murray–Darling Basin Plan: challenges in its implementation (part 1). </w:t>
      </w:r>
      <w:r w:rsidRPr="007850D7">
        <w:rPr>
          <w:i/>
        </w:rPr>
        <w:t>International Journal of Water Resources Development, 32</w:t>
      </w:r>
      <w:r w:rsidRPr="007850D7">
        <w:t>(6), 819-834. doi:10.1080/07900627.2015.1083847</w:t>
      </w:r>
    </w:p>
    <w:p w14:paraId="742A0F0C" w14:textId="77777777" w:rsidR="004E5F8E" w:rsidRPr="007850D7" w:rsidRDefault="004E5F8E" w:rsidP="00D77088">
      <w:proofErr w:type="spellStart"/>
      <w:r w:rsidRPr="007850D7">
        <w:t>Hecky</w:t>
      </w:r>
      <w:proofErr w:type="spellEnd"/>
      <w:r w:rsidRPr="007850D7">
        <w:t xml:space="preserve">, R., &amp; </w:t>
      </w:r>
      <w:proofErr w:type="spellStart"/>
      <w:r w:rsidRPr="007850D7">
        <w:t>Kilham</w:t>
      </w:r>
      <w:proofErr w:type="spellEnd"/>
      <w:r w:rsidRPr="007850D7">
        <w:t xml:space="preserve">, P. (1988). Nutrient limitation of phytoplankton in freshwater and marine environments: a review of recent evidence on the effects of enrichment 1. </w:t>
      </w:r>
      <w:r w:rsidRPr="007850D7">
        <w:rPr>
          <w:i/>
        </w:rPr>
        <w:t>Limnology and oceanography, 33</w:t>
      </w:r>
      <w:r w:rsidRPr="007850D7">
        <w:t xml:space="preserve">(4part2), 796-822. </w:t>
      </w:r>
    </w:p>
    <w:p w14:paraId="0C90312E" w14:textId="77777777" w:rsidR="004E5F8E" w:rsidRPr="007850D7" w:rsidRDefault="004E5F8E" w:rsidP="00D77088">
      <w:r w:rsidRPr="007850D7">
        <w:t xml:space="preserve">Jayaweera, M., &amp; Asaeda, T. (1995). Impacts of environmental scenarios on chlorophyll-a in the management of shallow, eutrophic lakes following biomanipulation: An application of a numerical model. </w:t>
      </w:r>
      <w:r w:rsidRPr="007850D7">
        <w:rPr>
          <w:i/>
        </w:rPr>
        <w:t>Ecological engineering, 5</w:t>
      </w:r>
      <w:r w:rsidRPr="007850D7">
        <w:t xml:space="preserve">(4), 445-468. </w:t>
      </w:r>
    </w:p>
    <w:p w14:paraId="12BB61E5" w14:textId="77777777" w:rsidR="004E5F8E" w:rsidRPr="007850D7" w:rsidRDefault="004E5F8E" w:rsidP="00D77088">
      <w:r w:rsidRPr="007850D7">
        <w:t xml:space="preserve">Khanna, D., </w:t>
      </w:r>
      <w:proofErr w:type="spellStart"/>
      <w:r w:rsidRPr="007850D7">
        <w:t>Bhutiani</w:t>
      </w:r>
      <w:proofErr w:type="spellEnd"/>
      <w:r w:rsidRPr="007850D7">
        <w:t xml:space="preserve">, R., &amp; Chandra, K. S. (2009). Effect of the euphotic depth and mixing depth on phytoplanktonic growth mechanism. </w:t>
      </w:r>
    </w:p>
    <w:p w14:paraId="39A739CD" w14:textId="77777777" w:rsidR="004E5F8E" w:rsidRPr="007850D7" w:rsidRDefault="004E5F8E" w:rsidP="00D77088">
      <w:r w:rsidRPr="007850D7">
        <w:t xml:space="preserve">Kirk, J. T. (1985). Effects of </w:t>
      </w:r>
      <w:proofErr w:type="spellStart"/>
      <w:r w:rsidRPr="007850D7">
        <w:t>suspensoids</w:t>
      </w:r>
      <w:proofErr w:type="spellEnd"/>
      <w:r w:rsidRPr="007850D7">
        <w:t xml:space="preserve"> (turbidity) on penetration of solar radiation in aquatic ecosystems. </w:t>
      </w:r>
      <w:proofErr w:type="spellStart"/>
      <w:r w:rsidRPr="007850D7">
        <w:rPr>
          <w:i/>
        </w:rPr>
        <w:t>Hydrobiologia</w:t>
      </w:r>
      <w:proofErr w:type="spellEnd"/>
      <w:r w:rsidRPr="007850D7">
        <w:rPr>
          <w:i/>
        </w:rPr>
        <w:t>, 125</w:t>
      </w:r>
      <w:r w:rsidRPr="007850D7">
        <w:t xml:space="preserve">(1), 195-208. </w:t>
      </w:r>
    </w:p>
    <w:p w14:paraId="5F613C5F" w14:textId="77777777" w:rsidR="004E5F8E" w:rsidRPr="007850D7" w:rsidRDefault="004E5F8E" w:rsidP="00D77088">
      <w:r w:rsidRPr="007850D7">
        <w:t xml:space="preserve">MDBA. (2007, March 5, 2019). Murray–Darling Basin Boundary. Retrieved from </w:t>
      </w:r>
      <w:r w:rsidRPr="00DA7D15">
        <w:t>https://data.gov.au/data/dataset/4ede9aed-5620-47db-a72b-0b3aa0a3ced0/resource/a7937eb7-db0b-4f9d-9252-37eb7828353e/download/sworkingadhocjobsj4430dataoutputsmdb_boundarymurray-darling-basin-boundary-water-act-2007.pdf</w:t>
      </w:r>
    </w:p>
    <w:p w14:paraId="3055EC9E" w14:textId="77777777" w:rsidR="004E5F8E" w:rsidRPr="007850D7" w:rsidRDefault="004E5F8E" w:rsidP="00D77088">
      <w:r w:rsidRPr="007850D7">
        <w:t xml:space="preserve">MDBA. (2009). </w:t>
      </w:r>
      <w:r w:rsidRPr="007850D7">
        <w:rPr>
          <w:i/>
        </w:rPr>
        <w:t>River Murray Drought Update</w:t>
      </w:r>
      <w:r w:rsidRPr="007850D7">
        <w:t xml:space="preserve">. Retrieved from Canberra: </w:t>
      </w:r>
      <w:r w:rsidRPr="00DA7D15">
        <w:t>http://www.mdba.gov.au/sites/default/files/archived/drought-update-November-2009.pdf</w:t>
      </w:r>
    </w:p>
    <w:p w14:paraId="6B6336A6" w14:textId="77777777" w:rsidR="004E5F8E" w:rsidRPr="007850D7" w:rsidRDefault="004E5F8E" w:rsidP="00D77088">
      <w:r w:rsidRPr="007850D7">
        <w:t xml:space="preserve">MDBA. (2021). Water resource plans. Retrieved from </w:t>
      </w:r>
      <w:r w:rsidRPr="00DA7D15">
        <w:t>https://www.mdba.gov.au/basin-plan-roll-out/water-resource-plans</w:t>
      </w:r>
    </w:p>
    <w:p w14:paraId="5834628F" w14:textId="77777777" w:rsidR="004E5F8E" w:rsidRPr="007850D7" w:rsidRDefault="004E5F8E" w:rsidP="00D77088">
      <w:r w:rsidRPr="007850D7">
        <w:t xml:space="preserve">Mulholland, P. J., Houser, J. N., &amp; Maloney, K. O. (2005). Stream diurnal dissolved oxygen profiles as indicators of in-stream metabolism and disturbance effects: Fort Benning as a case study. </w:t>
      </w:r>
      <w:r w:rsidRPr="007850D7">
        <w:rPr>
          <w:i/>
        </w:rPr>
        <w:t>Ecological Indicators, 5</w:t>
      </w:r>
      <w:r w:rsidRPr="007850D7">
        <w:t xml:space="preserve">(3), 243-252. </w:t>
      </w:r>
    </w:p>
    <w:p w14:paraId="6CB5E349" w14:textId="77777777" w:rsidR="004E5F8E" w:rsidRPr="007850D7" w:rsidRDefault="004E5F8E" w:rsidP="00D77088">
      <w:proofErr w:type="spellStart"/>
      <w:r w:rsidRPr="007850D7">
        <w:t>Odum</w:t>
      </w:r>
      <w:proofErr w:type="spellEnd"/>
      <w:r w:rsidRPr="007850D7">
        <w:t xml:space="preserve">, H. T. (1956). Primary production in flowing waters 1. </w:t>
      </w:r>
      <w:r w:rsidRPr="007850D7">
        <w:rPr>
          <w:i/>
        </w:rPr>
        <w:t>Limnology and oceanography, 1</w:t>
      </w:r>
      <w:r w:rsidRPr="007850D7">
        <w:t xml:space="preserve">(2), 102-117. </w:t>
      </w:r>
    </w:p>
    <w:p w14:paraId="18DD5179" w14:textId="77777777" w:rsidR="004E5F8E" w:rsidRPr="007850D7" w:rsidRDefault="004E5F8E" w:rsidP="00D77088">
      <w:proofErr w:type="spellStart"/>
      <w:r w:rsidRPr="007850D7">
        <w:t>Pollino</w:t>
      </w:r>
      <w:proofErr w:type="spellEnd"/>
      <w:r w:rsidRPr="007850D7">
        <w:t xml:space="preserve">, C. A., Feehan, P., Grace, M. R., &amp; Hart, B. T. (2004). Fish communities and habitat changes in the highly modified Goulburn Catchment, Victoria, Australia. </w:t>
      </w:r>
      <w:r w:rsidRPr="007850D7">
        <w:rPr>
          <w:i/>
        </w:rPr>
        <w:t>Marine and Freshwater Research, 55</w:t>
      </w:r>
      <w:r w:rsidRPr="007850D7">
        <w:t xml:space="preserve">(8), 769-780. </w:t>
      </w:r>
    </w:p>
    <w:p w14:paraId="7D8B3C6F" w14:textId="77777777" w:rsidR="004E5F8E" w:rsidRPr="007850D7" w:rsidRDefault="004E5F8E" w:rsidP="00D77088">
      <w:r w:rsidRPr="007850D7">
        <w:lastRenderedPageBreak/>
        <w:t xml:space="preserve">Rapport, D. J. (1989). What constitutes ecosystem health? </w:t>
      </w:r>
      <w:r w:rsidRPr="007850D7">
        <w:rPr>
          <w:i/>
        </w:rPr>
        <w:t>Perspectives in biology and medicine, 33</w:t>
      </w:r>
      <w:r w:rsidRPr="007850D7">
        <w:t xml:space="preserve">(1), 120-132. </w:t>
      </w:r>
    </w:p>
    <w:p w14:paraId="619A7857" w14:textId="77777777" w:rsidR="004E5F8E" w:rsidRPr="007850D7" w:rsidRDefault="004E5F8E" w:rsidP="00D77088">
      <w:r w:rsidRPr="007850D7">
        <w:t>Roberts, B. J., &amp; Mulholland, P. J. (2007). In</w:t>
      </w:r>
      <w:r w:rsidRPr="007850D7">
        <w:rPr>
          <w:rFonts w:ascii="Times New Roman" w:hAnsi="Times New Roman" w:cs="Times New Roman"/>
        </w:rPr>
        <w:t>‐</w:t>
      </w:r>
      <w:r w:rsidRPr="007850D7">
        <w:t xml:space="preserve">stream biotic control on nutrient biogeochemistry in a forested stream, West Fork of Walker Branch. </w:t>
      </w:r>
      <w:r w:rsidRPr="007850D7">
        <w:rPr>
          <w:i/>
        </w:rPr>
        <w:t xml:space="preserve">Journal of Geophysical Research: </w:t>
      </w:r>
      <w:proofErr w:type="spellStart"/>
      <w:r w:rsidRPr="007850D7">
        <w:rPr>
          <w:i/>
        </w:rPr>
        <w:t>Biogeosciences</w:t>
      </w:r>
      <w:proofErr w:type="spellEnd"/>
      <w:r w:rsidRPr="007850D7">
        <w:rPr>
          <w:i/>
        </w:rPr>
        <w:t>, 112</w:t>
      </w:r>
      <w:r w:rsidRPr="007850D7">
        <w:t xml:space="preserve">(G4). </w:t>
      </w:r>
    </w:p>
    <w:p w14:paraId="7E0791EB" w14:textId="77777777" w:rsidR="004E5F8E" w:rsidRPr="007850D7" w:rsidRDefault="004E5F8E" w:rsidP="00D77088">
      <w:r w:rsidRPr="007850D7">
        <w:t xml:space="preserve">Scholz, M. (2015). </w:t>
      </w:r>
      <w:r w:rsidRPr="007850D7">
        <w:rPr>
          <w:i/>
        </w:rPr>
        <w:t>Wetland systems to control urban runoff</w:t>
      </w:r>
      <w:r w:rsidRPr="007850D7">
        <w:t>: Elsevier.</w:t>
      </w:r>
    </w:p>
    <w:p w14:paraId="0375EF4B" w14:textId="77777777" w:rsidR="004E5F8E" w:rsidRPr="007850D7" w:rsidRDefault="004E5F8E" w:rsidP="00D77088">
      <w:r w:rsidRPr="007850D7">
        <w:t xml:space="preserve">Vadeboncoeur, Y., Jeppesen, E., </w:t>
      </w:r>
      <w:proofErr w:type="spellStart"/>
      <w:r w:rsidRPr="007850D7">
        <w:t>Zanden</w:t>
      </w:r>
      <w:proofErr w:type="spellEnd"/>
      <w:r w:rsidRPr="007850D7">
        <w:t xml:space="preserve">, M. J. V., </w:t>
      </w:r>
      <w:proofErr w:type="spellStart"/>
      <w:r w:rsidRPr="007850D7">
        <w:t>Schierup</w:t>
      </w:r>
      <w:proofErr w:type="spellEnd"/>
      <w:r w:rsidRPr="007850D7">
        <w:t xml:space="preserve">, H. H., </w:t>
      </w:r>
      <w:proofErr w:type="spellStart"/>
      <w:r w:rsidRPr="007850D7">
        <w:t>Christoffersen</w:t>
      </w:r>
      <w:proofErr w:type="spellEnd"/>
      <w:r w:rsidRPr="007850D7">
        <w:t xml:space="preserve">, K., &amp; Lodge, D. M. (2003). From Greenland to green lakes: cultural eutrophication and the loss of benthic pathways in lakes. </w:t>
      </w:r>
      <w:r w:rsidRPr="007850D7">
        <w:rPr>
          <w:i/>
        </w:rPr>
        <w:t>Limnology and oceanography, 48</w:t>
      </w:r>
      <w:r w:rsidRPr="007850D7">
        <w:t xml:space="preserve">(4), 1408-1418. </w:t>
      </w:r>
    </w:p>
    <w:p w14:paraId="5E69BABB" w14:textId="77777777" w:rsidR="004E5F8E" w:rsidRPr="007850D7" w:rsidRDefault="004E5F8E" w:rsidP="00D77088">
      <w:r w:rsidRPr="007850D7">
        <w:t>Vadeboncoeur, Y., Lodge, D. M., &amp; Carpenter, S. R. (2001). Whole</w:t>
      </w:r>
      <w:r w:rsidRPr="007850D7">
        <w:rPr>
          <w:rFonts w:ascii="Times New Roman" w:hAnsi="Times New Roman" w:cs="Times New Roman"/>
        </w:rPr>
        <w:t>‐</w:t>
      </w:r>
      <w:r w:rsidRPr="007850D7">
        <w:t xml:space="preserve">lake fertilization effects on distribution of primary production between benthic and pelagic habitats. </w:t>
      </w:r>
      <w:r w:rsidRPr="007850D7">
        <w:rPr>
          <w:i/>
        </w:rPr>
        <w:t>Ecology, 82</w:t>
      </w:r>
      <w:r w:rsidRPr="007850D7">
        <w:t xml:space="preserve">(4), 1065-1077. </w:t>
      </w:r>
    </w:p>
    <w:p w14:paraId="192D7167" w14:textId="77777777" w:rsidR="004E5F8E" w:rsidRPr="007850D7" w:rsidRDefault="004E5F8E" w:rsidP="00D77088">
      <w:r w:rsidRPr="007850D7">
        <w:t xml:space="preserve">Webb, J., Guo, D., Baker, B., </w:t>
      </w:r>
      <w:proofErr w:type="spellStart"/>
      <w:r w:rsidRPr="007850D7">
        <w:t>Casanelia</w:t>
      </w:r>
      <w:proofErr w:type="spellEnd"/>
      <w:r w:rsidRPr="007850D7">
        <w:t xml:space="preserve">, S., Grace, M., Greet, J., . . . McMahon, D. (2019). Commonwealth Environmental Water Office Long Term Intervention Monitoring Project Goulburn River Selected Area Scientific Report 2018–19. </w:t>
      </w:r>
    </w:p>
    <w:p w14:paraId="7F642B3F" w14:textId="77777777" w:rsidR="004E5F8E" w:rsidRPr="007850D7" w:rsidRDefault="004E5F8E" w:rsidP="00D77088">
      <w:r w:rsidRPr="007850D7">
        <w:t xml:space="preserve">Zang, C., Huang, S., Wu, M., Du, S., Scholz, M., Gao, F., . . . Dong, Y. (2011). Comparison of relationships between pH, dissolved oxygen and chlorophyll </w:t>
      </w:r>
      <w:proofErr w:type="gramStart"/>
      <w:r w:rsidRPr="007850D7">
        <w:t>a for</w:t>
      </w:r>
      <w:proofErr w:type="gramEnd"/>
      <w:r w:rsidRPr="007850D7">
        <w:t xml:space="preserve"> aquaculture and non-aquaculture waters. </w:t>
      </w:r>
      <w:r w:rsidRPr="007850D7">
        <w:rPr>
          <w:i/>
        </w:rPr>
        <w:t>Water, Air, &amp; Soil Pollution, 219</w:t>
      </w:r>
      <w:r w:rsidRPr="007850D7">
        <w:t xml:space="preserve">(1), 157-174. </w:t>
      </w:r>
    </w:p>
    <w:p w14:paraId="40DBFDE2" w14:textId="77777777" w:rsidR="004E5F8E" w:rsidRPr="007850D7" w:rsidRDefault="004E5F8E" w:rsidP="00D77088">
      <w:r w:rsidRPr="007850D7">
        <w:t xml:space="preserve">Zhang, J.-y., Huang, J., Yan, F., &amp; Zhang, Z.-q. (2009). Preliminary Study on Characters of Dissolved Oxygen and the Relationship with pH in </w:t>
      </w:r>
      <w:proofErr w:type="spellStart"/>
      <w:r w:rsidRPr="007850D7">
        <w:t>Meiliang</w:t>
      </w:r>
      <w:proofErr w:type="spellEnd"/>
      <w:r w:rsidRPr="007850D7">
        <w:t xml:space="preserve"> Lake [J]. </w:t>
      </w:r>
      <w:r w:rsidRPr="007850D7">
        <w:rPr>
          <w:i/>
        </w:rPr>
        <w:t>Journal of Fudan University (Natural Science), 5</w:t>
      </w:r>
      <w:r w:rsidRPr="007850D7">
        <w:t xml:space="preserve">. </w:t>
      </w:r>
    </w:p>
    <w:p w14:paraId="52A79374" w14:textId="77777777" w:rsidR="004E5F8E" w:rsidRPr="007850D7" w:rsidRDefault="004E5F8E" w:rsidP="00D77088">
      <w:r w:rsidRPr="007850D7">
        <w:t xml:space="preserve">Zhou, W., Yuan, X., </w:t>
      </w:r>
      <w:proofErr w:type="spellStart"/>
      <w:r w:rsidRPr="007850D7">
        <w:t>Huo</w:t>
      </w:r>
      <w:proofErr w:type="spellEnd"/>
      <w:r w:rsidRPr="007850D7">
        <w:t xml:space="preserve">, W., &amp; Yin, K. (2004). Distribution of chlorophyll </w:t>
      </w:r>
      <w:proofErr w:type="gramStart"/>
      <w:r w:rsidRPr="007850D7">
        <w:t>a and</w:t>
      </w:r>
      <w:proofErr w:type="gramEnd"/>
      <w:r w:rsidRPr="007850D7">
        <w:t xml:space="preserve"> primary productivity in the adjacent sea area of Changjiang River Estuary. </w:t>
      </w:r>
      <w:r w:rsidRPr="007850D7">
        <w:rPr>
          <w:i/>
        </w:rPr>
        <w:t xml:space="preserve">Acta </w:t>
      </w:r>
      <w:proofErr w:type="spellStart"/>
      <w:r w:rsidRPr="007850D7">
        <w:rPr>
          <w:i/>
        </w:rPr>
        <w:t>Oceanologica</w:t>
      </w:r>
      <w:proofErr w:type="spellEnd"/>
      <w:r w:rsidRPr="007850D7">
        <w:rPr>
          <w:i/>
        </w:rPr>
        <w:t xml:space="preserve"> </w:t>
      </w:r>
      <w:proofErr w:type="spellStart"/>
      <w:r w:rsidRPr="007850D7">
        <w:rPr>
          <w:i/>
        </w:rPr>
        <w:t>Sinica</w:t>
      </w:r>
      <w:proofErr w:type="spellEnd"/>
      <w:r w:rsidRPr="007850D7">
        <w:rPr>
          <w:i/>
        </w:rPr>
        <w:t>, 26</w:t>
      </w:r>
      <w:r w:rsidRPr="007850D7">
        <w:t xml:space="preserve">(3), 143-150. </w:t>
      </w:r>
    </w:p>
    <w:p w14:paraId="01D0A681" w14:textId="77777777" w:rsidR="004E5F8E" w:rsidRPr="007E2F7C" w:rsidRDefault="004E5F8E" w:rsidP="004E5F8E">
      <w:pPr>
        <w:rPr>
          <w:rFonts w:asciiTheme="majorBidi" w:hAnsiTheme="majorBidi" w:cstheme="majorBidi"/>
        </w:rPr>
      </w:pPr>
      <w:r w:rsidRPr="007E2F7C">
        <w:rPr>
          <w:rFonts w:asciiTheme="majorBidi" w:hAnsiTheme="majorBidi" w:cstheme="majorBidi"/>
        </w:rPr>
        <w:br w:type="page"/>
      </w:r>
    </w:p>
    <w:p w14:paraId="3C9062C7" w14:textId="77777777" w:rsidR="004E5F8E" w:rsidRPr="007E2F7C" w:rsidRDefault="004E5F8E" w:rsidP="004E5F8E">
      <w:pPr>
        <w:rPr>
          <w:rFonts w:asciiTheme="majorBidi" w:hAnsiTheme="majorBidi" w:cstheme="majorBidi"/>
        </w:rPr>
        <w:sectPr w:rsidR="004E5F8E" w:rsidRPr="007E2F7C" w:rsidSect="00C47A44">
          <w:pgSz w:w="11906" w:h="16838" w:code="9"/>
          <w:pgMar w:top="567" w:right="851" w:bottom="851" w:left="1134" w:header="709" w:footer="709" w:gutter="0"/>
          <w:cols w:space="708"/>
          <w:docGrid w:linePitch="360"/>
        </w:sectPr>
      </w:pPr>
    </w:p>
    <w:p w14:paraId="0A2A43D1" w14:textId="77777777" w:rsidR="004E5F8E" w:rsidRPr="001F146B" w:rsidRDefault="004E5F8E" w:rsidP="004E5F8E">
      <w:pPr>
        <w:spacing w:after="20" w:line="240" w:lineRule="atLeast"/>
        <w:rPr>
          <w:b/>
          <w:bCs/>
          <w:sz w:val="28"/>
          <w:szCs w:val="28"/>
        </w:rPr>
      </w:pPr>
      <w:r w:rsidRPr="001F146B">
        <w:rPr>
          <w:b/>
          <w:bCs/>
          <w:sz w:val="28"/>
          <w:szCs w:val="28"/>
        </w:rPr>
        <w:lastRenderedPageBreak/>
        <w:t>Appendices</w:t>
      </w:r>
    </w:p>
    <w:p w14:paraId="1278530A" w14:textId="3672D618" w:rsidR="004E5F8E" w:rsidRPr="007E2F7C" w:rsidRDefault="004E5F8E" w:rsidP="004E5F8E">
      <w:pPr>
        <w:keepNext/>
        <w:jc w:val="center"/>
        <w:rPr>
          <w:rFonts w:asciiTheme="majorBidi" w:hAnsiTheme="majorBidi" w:cstheme="majorBidi"/>
        </w:rPr>
      </w:pPr>
      <w:r w:rsidRPr="006D30A3">
        <w:rPr>
          <w:rFonts w:asciiTheme="majorBidi" w:hAnsiTheme="majorBidi" w:cstheme="majorBidi"/>
          <w:noProof/>
          <w:lang w:val="en-GB"/>
        </w:rPr>
        <w:drawing>
          <wp:inline distT="0" distB="0" distL="0" distR="0" wp14:anchorId="37328C67" wp14:editId="2941269B">
            <wp:extent cx="4572000" cy="2743200"/>
            <wp:effectExtent l="0" t="0" r="0" b="0"/>
            <wp:docPr id="469" name="Chart 469">
              <a:extLst xmlns:a="http://schemas.openxmlformats.org/drawingml/2006/main">
                <a:ext uri="{FF2B5EF4-FFF2-40B4-BE49-F238E27FC236}">
                  <a16:creationId xmlns:a16="http://schemas.microsoft.com/office/drawing/2014/main" id="{5005D7A2-1D32-4992-BE2F-CCB02543D1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2D165D42" w14:textId="6EBDAF9D" w:rsidR="004E5F8E" w:rsidRPr="00A715BC" w:rsidRDefault="004E5F8E" w:rsidP="004E5F8E">
      <w:pPr>
        <w:pStyle w:val="Caption"/>
        <w:rPr>
          <w:rFonts w:cstheme="minorHAnsi"/>
          <w:szCs w:val="22"/>
          <w:lang w:val="en"/>
        </w:rPr>
      </w:pPr>
      <w:r w:rsidRPr="00A715BC">
        <w:rPr>
          <w:rFonts w:cstheme="minorHAnsi"/>
        </w:rPr>
        <w:t>Figure 18 Total Phosphorus vs Pelagic Metabolism</w:t>
      </w:r>
    </w:p>
    <w:p w14:paraId="4E047069" w14:textId="77777777" w:rsidR="004E5F8E" w:rsidRDefault="004E5F8E" w:rsidP="004E5F8E">
      <w:pPr>
        <w:rPr>
          <w:rFonts w:asciiTheme="majorBidi" w:hAnsiTheme="majorBidi" w:cstheme="majorBidi"/>
          <w:lang w:val="en"/>
        </w:rPr>
      </w:pPr>
    </w:p>
    <w:p w14:paraId="1B595845" w14:textId="77777777" w:rsidR="004E5F8E" w:rsidRPr="007E2F7C" w:rsidRDefault="004E5F8E" w:rsidP="004E5F8E">
      <w:pPr>
        <w:rPr>
          <w:rFonts w:asciiTheme="majorBidi" w:hAnsiTheme="majorBidi" w:cstheme="majorBidi"/>
          <w:lang w:val="en"/>
        </w:rPr>
      </w:pPr>
    </w:p>
    <w:p w14:paraId="4D9C06AA" w14:textId="6E8C1535" w:rsidR="004E5F8E" w:rsidRPr="007E2F7C" w:rsidRDefault="004E5F8E" w:rsidP="004E5F8E">
      <w:pPr>
        <w:keepNext/>
        <w:jc w:val="center"/>
        <w:rPr>
          <w:rFonts w:asciiTheme="majorBidi" w:hAnsiTheme="majorBidi" w:cstheme="majorBidi"/>
        </w:rPr>
      </w:pPr>
      <w:r w:rsidRPr="006D30A3">
        <w:rPr>
          <w:rFonts w:asciiTheme="majorBidi" w:hAnsiTheme="majorBidi" w:cstheme="majorBidi"/>
          <w:noProof/>
          <w:lang w:val="en-GB"/>
        </w:rPr>
        <w:lastRenderedPageBreak/>
        <w:drawing>
          <wp:inline distT="0" distB="0" distL="0" distR="0" wp14:anchorId="4372E452" wp14:editId="29ADF9BA">
            <wp:extent cx="4572000" cy="2743200"/>
            <wp:effectExtent l="0" t="0" r="0" b="0"/>
            <wp:docPr id="470" name="Chart 470">
              <a:extLst xmlns:a="http://schemas.openxmlformats.org/drawingml/2006/main">
                <a:ext uri="{FF2B5EF4-FFF2-40B4-BE49-F238E27FC236}">
                  <a16:creationId xmlns:a16="http://schemas.microsoft.com/office/drawing/2014/main" id="{02FC9FF2-98BC-4530-B39B-13893F763F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75B8790D" w14:textId="4078A0CD" w:rsidR="004E5F8E" w:rsidRPr="009636EC" w:rsidRDefault="004E5F8E" w:rsidP="00B11372">
      <w:pPr>
        <w:keepNext/>
        <w:jc w:val="center"/>
        <w:rPr>
          <w:rFonts w:cstheme="minorHAnsi"/>
        </w:rPr>
      </w:pPr>
      <w:r w:rsidRPr="009636EC">
        <w:rPr>
          <w:rFonts w:cstheme="minorHAnsi"/>
        </w:rPr>
        <w:t>Figure 19 Percentage of riverbed above euphotic depth vs Pelagic Metabolism</w:t>
      </w:r>
    </w:p>
    <w:p w14:paraId="0E2C1B78" w14:textId="52ACD22A" w:rsidR="004E5F8E" w:rsidRPr="007E2F7C" w:rsidRDefault="004E5F8E" w:rsidP="004E5F8E">
      <w:pPr>
        <w:keepNext/>
        <w:jc w:val="center"/>
        <w:rPr>
          <w:rFonts w:asciiTheme="majorBidi" w:hAnsiTheme="majorBidi" w:cstheme="majorBidi"/>
        </w:rPr>
      </w:pPr>
      <w:r w:rsidRPr="006D30A3">
        <w:rPr>
          <w:rFonts w:asciiTheme="majorBidi" w:hAnsiTheme="majorBidi" w:cstheme="majorBidi"/>
          <w:noProof/>
          <w:lang w:val="en-GB"/>
        </w:rPr>
        <w:drawing>
          <wp:inline distT="0" distB="0" distL="0" distR="0" wp14:anchorId="1252298B" wp14:editId="75106C38">
            <wp:extent cx="4572000" cy="2743200"/>
            <wp:effectExtent l="0" t="0" r="0" b="0"/>
            <wp:docPr id="471" name="Chart 471">
              <a:extLst xmlns:a="http://schemas.openxmlformats.org/drawingml/2006/main">
                <a:ext uri="{FF2B5EF4-FFF2-40B4-BE49-F238E27FC236}">
                  <a16:creationId xmlns:a16="http://schemas.microsoft.com/office/drawing/2014/main" id="{40126247-3B99-43A2-9D88-FFC45ED0DD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4D269479" w14:textId="56C78CFD" w:rsidR="004E5F8E" w:rsidRDefault="004E5F8E" w:rsidP="004E5F8E">
      <w:pPr>
        <w:pStyle w:val="Caption"/>
        <w:rPr>
          <w:rFonts w:asciiTheme="majorBidi" w:hAnsiTheme="majorBidi" w:cstheme="majorBidi"/>
        </w:rPr>
      </w:pPr>
      <w:bookmarkStart w:id="840" w:name="_Ref72789737"/>
      <w:r w:rsidRPr="007E2F7C">
        <w:rPr>
          <w:rFonts w:asciiTheme="majorBidi" w:hAnsiTheme="majorBidi" w:cstheme="majorBidi"/>
        </w:rPr>
        <w:t>Figure</w:t>
      </w:r>
      <w:bookmarkEnd w:id="840"/>
      <w:r>
        <w:rPr>
          <w:rFonts w:asciiTheme="majorBidi" w:hAnsiTheme="majorBidi" w:cstheme="majorBidi"/>
        </w:rPr>
        <w:t xml:space="preserve"> 20</w:t>
      </w:r>
      <w:r w:rsidRPr="007E2F7C">
        <w:rPr>
          <w:rFonts w:asciiTheme="majorBidi" w:hAnsiTheme="majorBidi" w:cstheme="majorBidi"/>
        </w:rPr>
        <w:t xml:space="preserve"> Respiration vs Pelagic Metabolism</w:t>
      </w:r>
    </w:p>
    <w:p w14:paraId="5C1AC38B" w14:textId="77777777" w:rsidR="004E5F8E" w:rsidRDefault="004E5F8E" w:rsidP="004E5F8E"/>
    <w:p w14:paraId="09CC8052" w14:textId="77777777" w:rsidR="004E5F8E" w:rsidRPr="00A670CF" w:rsidRDefault="004E5F8E" w:rsidP="004E5F8E"/>
    <w:p w14:paraId="05636E95" w14:textId="6D0C4622" w:rsidR="004E5F8E" w:rsidRDefault="004E5F8E" w:rsidP="004E5F8E">
      <w:pPr>
        <w:keepNext/>
        <w:jc w:val="center"/>
      </w:pPr>
      <w:r>
        <w:rPr>
          <w:noProof/>
          <w:lang w:val="en-GB"/>
        </w:rPr>
        <w:lastRenderedPageBreak/>
        <w:drawing>
          <wp:inline distT="0" distB="0" distL="0" distR="0" wp14:anchorId="12149F6D" wp14:editId="3C34CE79">
            <wp:extent cx="5770880" cy="2767965"/>
            <wp:effectExtent l="0" t="0" r="1270" b="13335"/>
            <wp:docPr id="57" name="Chart 57">
              <a:extLst xmlns:a="http://schemas.openxmlformats.org/drawingml/2006/main">
                <a:ext uri="{FF2B5EF4-FFF2-40B4-BE49-F238E27FC236}">
                  <a16:creationId xmlns:a16="http://schemas.microsoft.com/office/drawing/2014/main" id="{F8418F79-3D2D-4A63-B84E-56FF58494A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529604B9" w14:textId="01E20431" w:rsidR="004E5F8E" w:rsidRPr="00D358D2" w:rsidRDefault="004E5F8E" w:rsidP="00D358D2">
      <w:pPr>
        <w:keepNext/>
        <w:jc w:val="center"/>
        <w:rPr>
          <w:lang w:val="en-US"/>
        </w:rPr>
      </w:pPr>
      <w:r>
        <w:t>Figure 21</w:t>
      </w:r>
      <w:r>
        <w:rPr>
          <w:lang w:val="en-US"/>
        </w:rPr>
        <w:t xml:space="preserve"> </w:t>
      </w:r>
      <w:r w:rsidRPr="00F03543">
        <w:rPr>
          <w:lang w:val="en-US"/>
        </w:rPr>
        <w:t>Cross-section of Darcy's Track</w:t>
      </w:r>
    </w:p>
    <w:p w14:paraId="604008B1" w14:textId="0AEB6C42" w:rsidR="004E5F8E" w:rsidRDefault="004E5F8E" w:rsidP="00BD3F86">
      <w:pPr>
        <w:keepNext/>
        <w:jc w:val="center"/>
      </w:pPr>
      <w:r>
        <w:rPr>
          <w:noProof/>
          <w:lang w:val="en-GB"/>
        </w:rPr>
        <w:drawing>
          <wp:inline distT="0" distB="0" distL="0" distR="0" wp14:anchorId="50E1C26F" wp14:editId="7FED0B4A">
            <wp:extent cx="5771407" cy="2762250"/>
            <wp:effectExtent l="0" t="0" r="1270" b="0"/>
            <wp:docPr id="68" name="Chart 68">
              <a:extLst xmlns:a="http://schemas.openxmlformats.org/drawingml/2006/main">
                <a:ext uri="{FF2B5EF4-FFF2-40B4-BE49-F238E27FC236}">
                  <a16:creationId xmlns:a16="http://schemas.microsoft.com/office/drawing/2014/main" id="{5029016C-62AD-4FAF-BBD4-CE9AC76B07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139A6630" w14:textId="1EA02CC3" w:rsidR="004E5F8E" w:rsidRDefault="004E5F8E" w:rsidP="004E5F8E">
      <w:pPr>
        <w:pStyle w:val="Caption"/>
        <w:rPr>
          <w:lang w:val="en-US"/>
        </w:rPr>
      </w:pPr>
      <w:r>
        <w:t>Figure 22</w:t>
      </w:r>
      <w:r>
        <w:rPr>
          <w:lang w:val="en-US"/>
        </w:rPr>
        <w:t xml:space="preserve"> </w:t>
      </w:r>
      <w:r w:rsidRPr="006E5FE2">
        <w:rPr>
          <w:lang w:val="en-US"/>
        </w:rPr>
        <w:t>Cross-section of Loch Garry</w:t>
      </w:r>
    </w:p>
    <w:p w14:paraId="254F0AE4" w14:textId="77777777" w:rsidR="004E5F8E" w:rsidRPr="00A670CF" w:rsidRDefault="004E5F8E" w:rsidP="00BD3F86">
      <w:pPr>
        <w:jc w:val="center"/>
        <w:rPr>
          <w:lang w:val="en-US"/>
        </w:rPr>
      </w:pPr>
    </w:p>
    <w:p w14:paraId="6461A34B" w14:textId="04A4D4A8" w:rsidR="004E5F8E" w:rsidRDefault="004E5F8E" w:rsidP="00BD3F86">
      <w:pPr>
        <w:keepNext/>
        <w:jc w:val="center"/>
      </w:pPr>
      <w:r>
        <w:rPr>
          <w:noProof/>
          <w:lang w:val="en-GB"/>
        </w:rPr>
        <w:lastRenderedPageBreak/>
        <w:drawing>
          <wp:inline distT="0" distB="0" distL="0" distR="0" wp14:anchorId="43D71676" wp14:editId="2D857B05">
            <wp:extent cx="5770880" cy="2711450"/>
            <wp:effectExtent l="0" t="0" r="1270" b="12700"/>
            <wp:docPr id="472" name="Chart 472">
              <a:extLst xmlns:a="http://schemas.openxmlformats.org/drawingml/2006/main">
                <a:ext uri="{FF2B5EF4-FFF2-40B4-BE49-F238E27FC236}">
                  <a16:creationId xmlns:a16="http://schemas.microsoft.com/office/drawing/2014/main" id="{2A896C6F-3AEE-49F0-BDD3-12EFC81717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10C2659E" w14:textId="3DEBEAEC" w:rsidR="004E5F8E" w:rsidRPr="00EA7AC5" w:rsidRDefault="004E5F8E" w:rsidP="004E5F8E">
      <w:pPr>
        <w:pStyle w:val="Caption"/>
        <w:rPr>
          <w:rFonts w:asciiTheme="majorBidi" w:hAnsiTheme="majorBidi" w:cstheme="majorBidi"/>
        </w:rPr>
      </w:pPr>
      <w:r>
        <w:t>Figure 23</w:t>
      </w:r>
      <w:r>
        <w:rPr>
          <w:lang w:val="en-US"/>
        </w:rPr>
        <w:t xml:space="preserve"> </w:t>
      </w:r>
      <w:r w:rsidRPr="00A84DAB">
        <w:rPr>
          <w:lang w:val="en-US"/>
        </w:rPr>
        <w:t>Cross-section of McCoy's Bridge</w:t>
      </w:r>
    </w:p>
    <w:p w14:paraId="6E5E904D" w14:textId="77777777" w:rsidR="00670B2A" w:rsidRDefault="00670B2A" w:rsidP="00BD3F86">
      <w:pPr>
        <w:jc w:val="center"/>
        <w:rPr>
          <w:rFonts w:ascii="Georgia" w:eastAsia="SimHei" w:hAnsi="Georgia" w:cs="Times New Roman"/>
          <w:b/>
          <w:color w:val="094183"/>
          <w:sz w:val="32"/>
          <w:szCs w:val="32"/>
          <w:lang w:eastAsia="en-US"/>
        </w:rPr>
      </w:pPr>
      <w:r>
        <w:br w:type="page"/>
      </w:r>
    </w:p>
    <w:p w14:paraId="7157F123" w14:textId="40B99573" w:rsidR="00726031" w:rsidRPr="00BA2632" w:rsidRDefault="00726031" w:rsidP="001827C8">
      <w:pPr>
        <w:pStyle w:val="Heading6"/>
      </w:pPr>
      <w:bookmarkStart w:id="841" w:name="_Toc84416151"/>
      <w:bookmarkStart w:id="842" w:name="_Toc84417461"/>
      <w:r w:rsidRPr="00BA2632">
        <w:lastRenderedPageBreak/>
        <w:t>Examples of media</w:t>
      </w:r>
      <w:bookmarkEnd w:id="730"/>
      <w:r w:rsidR="009145A2" w:rsidRPr="00BA2632">
        <w:t xml:space="preserve"> communications</w:t>
      </w:r>
      <w:bookmarkEnd w:id="841"/>
      <w:bookmarkEnd w:id="842"/>
    </w:p>
    <w:p w14:paraId="51D73443" w14:textId="77777777" w:rsidR="00B171A7" w:rsidRDefault="00B171A7" w:rsidP="00B171A7">
      <w:pPr>
        <w:jc w:val="center"/>
      </w:pPr>
      <w:r w:rsidRPr="00651D97">
        <w:rPr>
          <w:noProof/>
          <w:lang w:val="en-GB"/>
        </w:rPr>
        <w:drawing>
          <wp:inline distT="0" distB="0" distL="0" distR="0" wp14:anchorId="33582C23" wp14:editId="48ED86D3">
            <wp:extent cx="5419921" cy="7498080"/>
            <wp:effectExtent l="0" t="0" r="9525" b="7620"/>
            <wp:docPr id="30" name="Picture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10;&#10;Description automatically generated"/>
                    <pic:cNvPicPr/>
                  </pic:nvPicPr>
                  <pic:blipFill>
                    <a:blip r:embed="rId204"/>
                    <a:stretch>
                      <a:fillRect/>
                    </a:stretch>
                  </pic:blipFill>
                  <pic:spPr>
                    <a:xfrm>
                      <a:off x="0" y="0"/>
                      <a:ext cx="5431163" cy="7513633"/>
                    </a:xfrm>
                    <a:prstGeom prst="rect">
                      <a:avLst/>
                    </a:prstGeom>
                  </pic:spPr>
                </pic:pic>
              </a:graphicData>
            </a:graphic>
          </wp:inline>
        </w:drawing>
      </w:r>
    </w:p>
    <w:p w14:paraId="47FCC482" w14:textId="77777777" w:rsidR="00B171A7" w:rsidRDefault="00B171A7" w:rsidP="00B171A7">
      <w:r>
        <w:t>19 May 2021 Shepparton News</w:t>
      </w:r>
    </w:p>
    <w:p w14:paraId="5A72B1F2" w14:textId="77777777" w:rsidR="00B171A7" w:rsidRDefault="00B171A7" w:rsidP="009D1846">
      <w:pPr>
        <w:jc w:val="center"/>
      </w:pPr>
      <w:r>
        <w:rPr>
          <w:rFonts w:cs="Times-Roman"/>
          <w:b/>
          <w:noProof/>
          <w:color w:val="231F20"/>
          <w:lang w:val="en-GB"/>
        </w:rPr>
        <w:lastRenderedPageBreak/>
        <w:drawing>
          <wp:inline distT="0" distB="0" distL="0" distR="0" wp14:anchorId="5C35062E" wp14:editId="09509FDA">
            <wp:extent cx="1479917" cy="8771755"/>
            <wp:effectExtent l="0" t="0" r="6350" b="0"/>
            <wp:docPr id="31" name="Picture 31" descr="A screenshot of a web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website&#10;&#10;Description automatically generated with medium confidence"/>
                    <pic:cNvPicPr/>
                  </pic:nvPicPr>
                  <pic:blipFill>
                    <a:blip r:embed="rId205" cstate="email">
                      <a:extLst>
                        <a:ext uri="{28A0092B-C50C-407E-A947-70E740481C1C}">
                          <a14:useLocalDpi xmlns:a14="http://schemas.microsoft.com/office/drawing/2010/main"/>
                        </a:ext>
                      </a:extLst>
                    </a:blip>
                    <a:stretch>
                      <a:fillRect/>
                    </a:stretch>
                  </pic:blipFill>
                  <pic:spPr>
                    <a:xfrm>
                      <a:off x="0" y="0"/>
                      <a:ext cx="1485103" cy="8802495"/>
                    </a:xfrm>
                    <a:prstGeom prst="rect">
                      <a:avLst/>
                    </a:prstGeom>
                  </pic:spPr>
                </pic:pic>
              </a:graphicData>
            </a:graphic>
          </wp:inline>
        </w:drawing>
      </w:r>
    </w:p>
    <w:p w14:paraId="4806A0CE" w14:textId="77777777" w:rsidR="00B171A7" w:rsidRDefault="00B171A7" w:rsidP="009D1846">
      <w:pPr>
        <w:jc w:val="center"/>
      </w:pPr>
      <w:r w:rsidRPr="005C2F72">
        <w:rPr>
          <w:noProof/>
          <w:lang w:val="en-GB"/>
        </w:rPr>
        <w:lastRenderedPageBreak/>
        <w:drawing>
          <wp:inline distT="0" distB="0" distL="0" distR="0" wp14:anchorId="66DEF461" wp14:editId="66CC7526">
            <wp:extent cx="5618688" cy="7292340"/>
            <wp:effectExtent l="0" t="0" r="1270" b="3810"/>
            <wp:docPr id="33" name="Picture 33" descr="A picture containing text, person,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person, hand&#10;&#10;Description automatically generated"/>
                    <pic:cNvPicPr/>
                  </pic:nvPicPr>
                  <pic:blipFill>
                    <a:blip r:embed="rId206"/>
                    <a:stretch>
                      <a:fillRect/>
                    </a:stretch>
                  </pic:blipFill>
                  <pic:spPr>
                    <a:xfrm>
                      <a:off x="0" y="0"/>
                      <a:ext cx="5623140" cy="7298118"/>
                    </a:xfrm>
                    <a:prstGeom prst="rect">
                      <a:avLst/>
                    </a:prstGeom>
                  </pic:spPr>
                </pic:pic>
              </a:graphicData>
            </a:graphic>
          </wp:inline>
        </w:drawing>
      </w:r>
    </w:p>
    <w:p w14:paraId="4153DA19" w14:textId="77777777" w:rsidR="00B171A7" w:rsidRDefault="00B171A7" w:rsidP="00B171A7"/>
    <w:p w14:paraId="48E2D410" w14:textId="77777777" w:rsidR="00B171A7" w:rsidRDefault="00B171A7" w:rsidP="00B171A7"/>
    <w:p w14:paraId="40EE41A1" w14:textId="77777777" w:rsidR="00B171A7" w:rsidRDefault="00B171A7" w:rsidP="00B171A7"/>
    <w:p w14:paraId="0F5892D6" w14:textId="77777777" w:rsidR="00B171A7" w:rsidRDefault="00B171A7" w:rsidP="0077728F">
      <w:pPr>
        <w:jc w:val="center"/>
      </w:pPr>
      <w:r w:rsidRPr="005C2F72">
        <w:rPr>
          <w:noProof/>
          <w:lang w:val="en-GB"/>
        </w:rPr>
        <w:lastRenderedPageBreak/>
        <w:drawing>
          <wp:inline distT="0" distB="0" distL="0" distR="0" wp14:anchorId="75781BCA" wp14:editId="1BCF0959">
            <wp:extent cx="4839375" cy="6449325"/>
            <wp:effectExtent l="0" t="0" r="0" b="8890"/>
            <wp:docPr id="37" name="Picture 37"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person&#10;&#10;Description automatically generated"/>
                    <pic:cNvPicPr/>
                  </pic:nvPicPr>
                  <pic:blipFill>
                    <a:blip r:embed="rId207"/>
                    <a:stretch>
                      <a:fillRect/>
                    </a:stretch>
                  </pic:blipFill>
                  <pic:spPr>
                    <a:xfrm>
                      <a:off x="0" y="0"/>
                      <a:ext cx="4839375" cy="6449325"/>
                    </a:xfrm>
                    <a:prstGeom prst="rect">
                      <a:avLst/>
                    </a:prstGeom>
                  </pic:spPr>
                </pic:pic>
              </a:graphicData>
            </a:graphic>
          </wp:inline>
        </w:drawing>
      </w:r>
    </w:p>
    <w:p w14:paraId="5405CAF2" w14:textId="77777777" w:rsidR="00B171A7" w:rsidRDefault="00B171A7" w:rsidP="0077728F">
      <w:pPr>
        <w:jc w:val="center"/>
      </w:pPr>
      <w:r w:rsidRPr="005C2F72">
        <w:rPr>
          <w:noProof/>
          <w:lang w:val="en-GB"/>
        </w:rPr>
        <w:lastRenderedPageBreak/>
        <w:drawing>
          <wp:inline distT="0" distB="0" distL="0" distR="0" wp14:anchorId="70A663A3" wp14:editId="3A4948EB">
            <wp:extent cx="5731510" cy="4211955"/>
            <wp:effectExtent l="0" t="0" r="2540" b="0"/>
            <wp:docPr id="40" name="Picture 40" descr="A picture containing text, person, screensho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person, screenshot, different&#10;&#10;Description automatically generated"/>
                    <pic:cNvPicPr/>
                  </pic:nvPicPr>
                  <pic:blipFill>
                    <a:blip r:embed="rId208" cstate="email">
                      <a:extLst>
                        <a:ext uri="{28A0092B-C50C-407E-A947-70E740481C1C}">
                          <a14:useLocalDpi xmlns:a14="http://schemas.microsoft.com/office/drawing/2010/main"/>
                        </a:ext>
                      </a:extLst>
                    </a:blip>
                    <a:stretch>
                      <a:fillRect/>
                    </a:stretch>
                  </pic:blipFill>
                  <pic:spPr>
                    <a:xfrm>
                      <a:off x="0" y="0"/>
                      <a:ext cx="5731510" cy="4211955"/>
                    </a:xfrm>
                    <a:prstGeom prst="rect">
                      <a:avLst/>
                    </a:prstGeom>
                  </pic:spPr>
                </pic:pic>
              </a:graphicData>
            </a:graphic>
          </wp:inline>
        </w:drawing>
      </w:r>
    </w:p>
    <w:p w14:paraId="7D479062" w14:textId="77777777" w:rsidR="00B171A7" w:rsidRDefault="00B171A7" w:rsidP="00B171A7"/>
    <w:p w14:paraId="3D7B0413" w14:textId="77777777" w:rsidR="00B171A7" w:rsidRDefault="00B171A7" w:rsidP="0077728F">
      <w:pPr>
        <w:jc w:val="center"/>
      </w:pPr>
      <w:r w:rsidRPr="00A125D9">
        <w:rPr>
          <w:noProof/>
          <w:lang w:val="en-GB"/>
        </w:rPr>
        <w:drawing>
          <wp:inline distT="0" distB="0" distL="0" distR="0" wp14:anchorId="287F3E02" wp14:editId="60B8EC92">
            <wp:extent cx="4701540" cy="3498638"/>
            <wp:effectExtent l="0" t="0" r="3810" b="6985"/>
            <wp:docPr id="41" name="Picture 4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10;&#10;Description automatically generated"/>
                    <pic:cNvPicPr/>
                  </pic:nvPicPr>
                  <pic:blipFill>
                    <a:blip r:embed="rId209" cstate="email">
                      <a:extLst>
                        <a:ext uri="{28A0092B-C50C-407E-A947-70E740481C1C}">
                          <a14:useLocalDpi xmlns:a14="http://schemas.microsoft.com/office/drawing/2010/main"/>
                        </a:ext>
                      </a:extLst>
                    </a:blip>
                    <a:stretch>
                      <a:fillRect/>
                    </a:stretch>
                  </pic:blipFill>
                  <pic:spPr>
                    <a:xfrm>
                      <a:off x="0" y="0"/>
                      <a:ext cx="4704232" cy="3500641"/>
                    </a:xfrm>
                    <a:prstGeom prst="rect">
                      <a:avLst/>
                    </a:prstGeom>
                  </pic:spPr>
                </pic:pic>
              </a:graphicData>
            </a:graphic>
          </wp:inline>
        </w:drawing>
      </w:r>
    </w:p>
    <w:p w14:paraId="2917F371" w14:textId="77777777" w:rsidR="00514A49" w:rsidRPr="00BA2632" w:rsidRDefault="00514A49" w:rsidP="00074A6B">
      <w:pPr>
        <w:pStyle w:val="Topleft-backpage"/>
        <w:framePr w:wrap="around"/>
      </w:pPr>
      <w:r w:rsidRPr="00BA2632">
        <w:rPr>
          <w:lang w:val="en-GB"/>
        </w:rPr>
        <w:lastRenderedPageBreak/>
        <mc:AlternateContent>
          <mc:Choice Requires="wps">
            <w:drawing>
              <wp:inline distT="0" distB="0" distL="0" distR="0" wp14:anchorId="22C855CF" wp14:editId="7A90B8EB">
                <wp:extent cx="5504180" cy="6551930"/>
                <wp:effectExtent l="0" t="0" r="1270" b="1270"/>
                <wp:docPr id="52" name="Shape-back page"/>
                <wp:cNvGraphicFramePr/>
                <a:graphic xmlns:a="http://schemas.openxmlformats.org/drawingml/2006/main">
                  <a:graphicData uri="http://schemas.microsoft.com/office/word/2010/wordprocessingShape">
                    <wps:wsp>
                      <wps:cNvSpPr/>
                      <wps:spPr>
                        <a:xfrm>
                          <a:off x="0" y="0"/>
                          <a:ext cx="5504180" cy="6551930"/>
                        </a:xfrm>
                        <a:custGeom>
                          <a:avLst/>
                          <a:gdLst>
                            <a:gd name="connsiteX0" fmla="*/ 0 w 4141470"/>
                            <a:gd name="connsiteY0" fmla="*/ 0 h 6553200"/>
                            <a:gd name="connsiteX1" fmla="*/ 4141470 w 4141470"/>
                            <a:gd name="connsiteY1" fmla="*/ 0 h 6553200"/>
                            <a:gd name="connsiteX2" fmla="*/ 4141470 w 4141470"/>
                            <a:gd name="connsiteY2" fmla="*/ 6553200 h 6553200"/>
                            <a:gd name="connsiteX3" fmla="*/ 0 w 4141470"/>
                            <a:gd name="connsiteY3" fmla="*/ 6553200 h 6553200"/>
                            <a:gd name="connsiteX4" fmla="*/ 0 w 4141470"/>
                            <a:gd name="connsiteY4" fmla="*/ 0 h 6553200"/>
                            <a:gd name="connsiteX0" fmla="*/ 0 w 5504105"/>
                            <a:gd name="connsiteY0" fmla="*/ 0 h 6553200"/>
                            <a:gd name="connsiteX1" fmla="*/ 4141470 w 5504105"/>
                            <a:gd name="connsiteY1" fmla="*/ 0 h 6553200"/>
                            <a:gd name="connsiteX2" fmla="*/ 5504105 w 5504105"/>
                            <a:gd name="connsiteY2" fmla="*/ 5060576 h 6553200"/>
                            <a:gd name="connsiteX3" fmla="*/ 0 w 5504105"/>
                            <a:gd name="connsiteY3" fmla="*/ 6553200 h 6553200"/>
                            <a:gd name="connsiteX4" fmla="*/ 0 w 5504105"/>
                            <a:gd name="connsiteY4" fmla="*/ 0 h 6553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504105" h="6553200">
                              <a:moveTo>
                                <a:pt x="0" y="0"/>
                              </a:moveTo>
                              <a:lnTo>
                                <a:pt x="4141470" y="0"/>
                              </a:lnTo>
                              <a:lnTo>
                                <a:pt x="5504105" y="5060576"/>
                              </a:lnTo>
                              <a:lnTo>
                                <a:pt x="0" y="6553200"/>
                              </a:lnTo>
                              <a:lnTo>
                                <a:pt x="0" y="0"/>
                              </a:lnTo>
                              <a:close/>
                            </a:path>
                          </a:pathLst>
                        </a:custGeom>
                        <a:blipFill dpi="0" rotWithShape="1">
                          <a:blip r:embed="rId210" cstate="email">
                            <a:extLst>
                              <a:ext uri="{28A0092B-C50C-407E-A947-70E740481C1C}">
                                <a14:useLocalDpi xmlns:a14="http://schemas.microsoft.com/office/drawing/2010/main"/>
                              </a:ext>
                            </a:extLst>
                          </a:blip>
                          <a:srcRect/>
                          <a:tile tx="0" ty="0" sx="45000" sy="45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1C794D9" id="Shape-back page" o:spid="_x0000_s1026" style="width:433.4pt;height:515.9pt;visibility:visible;mso-wrap-style:square;mso-left-percent:-10001;mso-top-percent:-10001;mso-position-horizontal:absolute;mso-position-horizontal-relative:char;mso-position-vertical:absolute;mso-position-vertical-relative:line;mso-left-percent:-10001;mso-top-percent:-10001;v-text-anchor:middle" coordsize="5504105,655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" path="m,l4141470,,5504105,5060576,,6553200,,xe" stroked="f" strokeweight="1pt">
                <v:fill r:id="rId212" o:title="" recolor="t" rotate="t" type="tile"/>
                <v:stroke joinstyle="miter"/>
                <v:path arrowok="t" o:connecttype="custom" o:connectlocs="0,0;4141526,0;5504180,5059595;0,6551930;0,0" o:connectangles="0,0,0,0,0"/>
                <w10:anchorlock/>
              </v:shape>
            </w:pict>
          </mc:Fallback>
        </mc:AlternateContent>
      </w:r>
    </w:p>
    <w:p w14:paraId="16E2FECF" w14:textId="77777777" w:rsidR="00514A49" w:rsidRPr="00BA2632" w:rsidRDefault="00514A49" w:rsidP="00282430">
      <w:r w:rsidRPr="00BA2632">
        <w:rPr>
          <w:noProof/>
          <w:lang w:val="en-GB"/>
        </w:rPr>
        <mc:AlternateContent>
          <mc:Choice Requires="wps">
            <w:drawing>
              <wp:anchor distT="0" distB="0" distL="114300" distR="114300" simplePos="0" relativeHeight="251658240" behindDoc="1" locked="0" layoutInCell="1" allowOverlap="1" wp14:anchorId="1D12FD98" wp14:editId="7C976B2F">
                <wp:simplePos x="0" y="0"/>
                <wp:positionH relativeFrom="page">
                  <wp:posOffset>-147711</wp:posOffset>
                </wp:positionH>
                <wp:positionV relativeFrom="page">
                  <wp:posOffset>-168812</wp:posOffset>
                </wp:positionV>
                <wp:extent cx="7800536" cy="10979834"/>
                <wp:effectExtent l="0" t="0" r="10160" b="12065"/>
                <wp:wrapNone/>
                <wp:docPr id="55" name="Back page BG"/>
                <wp:cNvGraphicFramePr/>
                <a:graphic xmlns:a="http://schemas.openxmlformats.org/drawingml/2006/main">
                  <a:graphicData uri="http://schemas.microsoft.com/office/word/2010/wordprocessingShape">
                    <wps:wsp>
                      <wps:cNvSpPr/>
                      <wps:spPr>
                        <a:xfrm>
                          <a:off x="0" y="0"/>
                          <a:ext cx="7800536" cy="10979834"/>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9CD14" id="Back page BG" o:spid="_x0000_s1026" style="position:absolute;margin-left:-11.65pt;margin-top:-13.3pt;width:614.2pt;height:864.5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" fillcolor="white [3212]" strokecolor="#042041 [1604]" strokeweight="1pt">
                <w10:wrap anchorx="page" anchory="page"/>
              </v:rect>
            </w:pict>
          </mc:Fallback>
        </mc:AlternateContent>
      </w:r>
    </w:p>
    <w:p w14:paraId="1D560CFD" w14:textId="77777777" w:rsidR="00514A49" w:rsidRPr="00BA2632" w:rsidRDefault="00514A49" w:rsidP="007D029B">
      <w:pPr>
        <w:pStyle w:val="Logo"/>
      </w:pPr>
      <w:r w:rsidRPr="00BA2632">
        <w:rPr>
          <w:noProof/>
          <w:lang w:val="en-GB"/>
        </w:rPr>
        <w:drawing>
          <wp:inline distT="0" distB="0" distL="0" distR="0" wp14:anchorId="57F7E867" wp14:editId="5C9B9AD9">
            <wp:extent cx="1257300" cy="1257300"/>
            <wp:effectExtent l="0" t="0" r="0" b="0"/>
            <wp:docPr id="54" name="Logo-back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257300" cy="1257300"/>
                    </a:xfrm>
                    <a:prstGeom prst="rect">
                      <a:avLst/>
                    </a:prstGeom>
                    <a:noFill/>
                    <a:ln>
                      <a:noFill/>
                    </a:ln>
                  </pic:spPr>
                </pic:pic>
              </a:graphicData>
            </a:graphic>
          </wp:inline>
        </w:drawing>
      </w:r>
    </w:p>
    <w:p w14:paraId="093D0BD2" w14:textId="77777777" w:rsidR="00514A49" w:rsidRPr="00BA2632" w:rsidRDefault="00514A49" w:rsidP="007D029B">
      <w:pPr>
        <w:pStyle w:val="Logo"/>
      </w:pPr>
    </w:p>
    <w:sdt>
      <w:sdtPr>
        <w:id w:val="-1299221664"/>
        <w:placeholder>
          <w:docPart w:val="FCABB285BFB24A53963FF9E4D76384D0"/>
        </w:placeholder>
        <w:text/>
      </w:sdtPr>
      <w:sdtEndPr/>
      <w:sdtContent>
        <w:p w14:paraId="05FB3CD4" w14:textId="35FF5F42" w:rsidR="00514A49" w:rsidRPr="00282430" w:rsidRDefault="006A5894" w:rsidP="00A16A83">
          <w:pPr>
            <w:pStyle w:val="Para0"/>
          </w:pPr>
          <w:r>
            <w:t>angus.webb@unimelb.edu.au</w:t>
          </w:r>
        </w:p>
      </w:sdtContent>
    </w:sdt>
    <w:sectPr w:rsidR="00514A49" w:rsidRPr="00282430" w:rsidSect="00C47A44">
      <w:headerReference w:type="even" r:id="rId213"/>
      <w:headerReference w:type="default" r:id="rId214"/>
      <w:footerReference w:type="even" r:id="rId215"/>
      <w:footerReference w:type="default" r:id="rId216"/>
      <w:headerReference w:type="first" r:id="rId217"/>
      <w:footerReference w:type="first" r:id="rId218"/>
      <w:pgSz w:w="11906" w:h="16838" w:code="9"/>
      <w:pgMar w:top="567" w:right="851"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E44C74" w14:textId="77777777" w:rsidR="000D303A" w:rsidRDefault="000D303A" w:rsidP="00BC71CA">
      <w:pPr>
        <w:spacing w:after="0" w:line="240" w:lineRule="auto"/>
      </w:pPr>
      <w:r>
        <w:separator/>
      </w:r>
    </w:p>
  </w:endnote>
  <w:endnote w:type="continuationSeparator" w:id="0">
    <w:p w14:paraId="7F8DA6E1" w14:textId="77777777" w:rsidR="000D303A" w:rsidRDefault="000D303A" w:rsidP="00BC71CA">
      <w:pPr>
        <w:spacing w:after="0" w:line="240" w:lineRule="auto"/>
      </w:pPr>
      <w:r>
        <w:continuationSeparator/>
      </w:r>
    </w:p>
  </w:endnote>
  <w:endnote w:type="continuationNotice" w:id="1">
    <w:p w14:paraId="7B52C02A" w14:textId="77777777" w:rsidR="000D303A" w:rsidRDefault="000D303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Jacobs Chronos">
    <w:altName w:val="Calibri"/>
    <w:charset w:val="00"/>
    <w:family w:val="swiss"/>
    <w:pitch w:val="variable"/>
    <w:sig w:usb0="A00000EF" w:usb1="0000E0EB" w:usb2="00000008"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Frutiger 45 Light">
    <w:charset w:val="00"/>
    <w:family w:val="auto"/>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imes-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5439308"/>
      <w:docPartObj>
        <w:docPartGallery w:val="Page Numbers (Bottom of Page)"/>
        <w:docPartUnique/>
      </w:docPartObj>
    </w:sdtPr>
    <w:sdtEndPr>
      <w:rPr>
        <w:noProof/>
      </w:rPr>
    </w:sdtEndPr>
    <w:sdtContent>
      <w:p w14:paraId="39CF1151" w14:textId="759B16EB" w:rsidR="000A0587" w:rsidRDefault="000A0587">
        <w:pPr>
          <w:pStyle w:val="Footer"/>
          <w:jc w:val="right"/>
        </w:pPr>
        <w:r>
          <w:fldChar w:fldCharType="begin"/>
        </w:r>
        <w:r>
          <w:instrText xml:space="preserve"> PAGE   \* MERGEFORMAT </w:instrText>
        </w:r>
        <w:r>
          <w:fldChar w:fldCharType="separate"/>
        </w:r>
        <w:r>
          <w:rPr>
            <w:noProof/>
          </w:rPr>
          <w:t>xiv</w:t>
        </w:r>
        <w:r>
          <w:rPr>
            <w:noProof/>
          </w:rPr>
          <w:fldChar w:fldCharType="end"/>
        </w:r>
      </w:p>
    </w:sdtContent>
  </w:sdt>
  <w:p w14:paraId="3D351FE9" w14:textId="77777777" w:rsidR="000A0587" w:rsidRDefault="000A058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521F2" w14:textId="77777777" w:rsidR="000A0587" w:rsidRDefault="000A0587">
    <w:pPr>
      <w:pStyle w:val="Footer"/>
      <w:framePr w:wrap="around" w:vAnchor="text" w:hAnchor="margin" w:xAlign="center" w:y="1"/>
      <w:rPr>
        <w:rStyle w:val="PageNumber"/>
        <w:rFonts w:ascii="Times New Roman" w:hAnsi="Times New Roman"/>
        <w:sz w:val="22"/>
      </w:rPr>
    </w:pPr>
    <w:r>
      <w:rPr>
        <w:rStyle w:val="PageNumber"/>
      </w:rPr>
      <w:fldChar w:fldCharType="begin"/>
    </w:r>
    <w:r>
      <w:rPr>
        <w:rStyle w:val="PageNumber"/>
      </w:rPr>
      <w:instrText xml:space="preserve">PAGE  </w:instrText>
    </w:r>
    <w:r>
      <w:rPr>
        <w:rStyle w:val="PageNumber"/>
      </w:rPr>
      <w:fldChar w:fldCharType="end"/>
    </w:r>
  </w:p>
  <w:p w14:paraId="0E63FC1C" w14:textId="77777777" w:rsidR="000A0587" w:rsidRDefault="000A0587">
    <w:pPr>
      <w:pStyle w:val="Footer"/>
    </w:pPr>
  </w:p>
  <w:p w14:paraId="680AA2A9" w14:textId="77777777" w:rsidR="000A0587" w:rsidRDefault="000A0587"/>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F6671" w14:textId="3AB8CED3" w:rsidR="000A0587" w:rsidRPr="00C35DB1" w:rsidRDefault="000A0587" w:rsidP="00E96F6D">
    <w:pPr>
      <w:pStyle w:val="Footer"/>
      <w:rPr>
        <w:rFonts w:asciiTheme="minorBidi" w:hAnsiTheme="minorBidi"/>
        <w:szCs w:val="18"/>
      </w:rPr>
    </w:pPr>
    <w:r w:rsidRPr="00C35DB1">
      <w:rPr>
        <w:rStyle w:val="PageNumber"/>
        <w:rFonts w:asciiTheme="minorBidi" w:hAnsiTheme="minorBidi"/>
      </w:rPr>
      <w:tab/>
    </w:r>
    <w:r w:rsidRPr="00C35DB1">
      <w:rPr>
        <w:rStyle w:val="PageNumber"/>
        <w:rFonts w:asciiTheme="minorBidi" w:hAnsiTheme="minorBidi"/>
      </w:rPr>
      <w:tab/>
    </w:r>
    <w:r w:rsidRPr="00C35DB1">
      <w:rPr>
        <w:rStyle w:val="PageNumber"/>
        <w:rFonts w:asciiTheme="minorBidi" w:hAnsiTheme="minorBidi"/>
      </w:rPr>
      <w:tab/>
    </w:r>
    <w:r w:rsidRPr="00C35DB1">
      <w:rPr>
        <w:rStyle w:val="PageNumber"/>
        <w:rFonts w:asciiTheme="minorBidi" w:hAnsiTheme="minorBidi"/>
      </w:rPr>
      <w:tab/>
    </w:r>
    <w:r w:rsidRPr="00C35DB1">
      <w:rPr>
        <w:rStyle w:val="PageNumber"/>
        <w:rFonts w:asciiTheme="minorBidi" w:hAnsiTheme="minorBidi"/>
      </w:rPr>
      <w:tab/>
    </w:r>
    <w:r w:rsidRPr="00C35DB1">
      <w:rPr>
        <w:rStyle w:val="PageNumber"/>
        <w:rFonts w:asciiTheme="minorBidi" w:hAnsiTheme="minorBidi"/>
      </w:rPr>
      <w:tab/>
    </w:r>
    <w:r w:rsidRPr="00C35DB1">
      <w:rPr>
        <w:rStyle w:val="PageNumber"/>
        <w:rFonts w:asciiTheme="minorBidi" w:hAnsiTheme="minorBidi"/>
      </w:rPr>
      <w:tab/>
    </w:r>
    <w:r w:rsidRPr="00C35DB1">
      <w:rPr>
        <w:rStyle w:val="PageNumber"/>
        <w:rFonts w:asciiTheme="minorBidi" w:hAnsiTheme="minorBidi"/>
      </w:rPr>
      <w:tab/>
    </w:r>
    <w:r w:rsidRPr="00C35DB1">
      <w:rPr>
        <w:rStyle w:val="PageNumber"/>
        <w:rFonts w:asciiTheme="minorBidi" w:hAnsiTheme="minorBidi"/>
      </w:rPr>
      <w:tab/>
    </w:r>
    <w:r w:rsidRPr="00C35DB1">
      <w:rPr>
        <w:rStyle w:val="PageNumber"/>
        <w:rFonts w:asciiTheme="minorBidi" w:hAnsiTheme="minorBidi"/>
      </w:rPr>
      <w:tab/>
    </w:r>
    <w:r w:rsidRPr="00C35DB1">
      <w:rPr>
        <w:rStyle w:val="PageNumber"/>
        <w:rFonts w:asciiTheme="minorBidi" w:hAnsiTheme="minorBidi"/>
      </w:rPr>
      <w:tab/>
    </w:r>
    <w:r w:rsidRPr="00C35DB1">
      <w:rPr>
        <w:rStyle w:val="PageNumber"/>
        <w:rFonts w:asciiTheme="minorBidi" w:hAnsiTheme="minorBidi"/>
      </w:rPr>
      <w:tab/>
    </w:r>
    <w:r w:rsidRPr="00C35DB1">
      <w:rPr>
        <w:rStyle w:val="PageNumber"/>
        <w:rFonts w:asciiTheme="minorBidi" w:hAnsiTheme="minorBidi"/>
      </w:rPr>
      <w:tab/>
    </w:r>
    <w:r w:rsidRPr="00C35DB1">
      <w:rPr>
        <w:rStyle w:val="PageNumber"/>
        <w:rFonts w:asciiTheme="minorBidi" w:hAnsiTheme="minorBidi"/>
      </w:rPr>
      <w:tab/>
    </w:r>
  </w:p>
  <w:sdt>
    <w:sdtPr>
      <w:id w:val="1240143221"/>
      <w:docPartObj>
        <w:docPartGallery w:val="Page Numbers (Top of Page)"/>
        <w:docPartUnique/>
      </w:docPartObj>
    </w:sdtPr>
    <w:sdtEndPr/>
    <w:sdtContent>
      <w:p w14:paraId="440FF1C4" w14:textId="01D946DB" w:rsidR="000A0587" w:rsidRDefault="000A0587" w:rsidP="00D936CA">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219</w:t>
        </w:r>
        <w:r>
          <w:rPr>
            <w:b/>
            <w:bCs/>
            <w:sz w:val="24"/>
            <w:szCs w:val="24"/>
          </w:rPr>
          <w:fldChar w:fldCharType="end"/>
        </w:r>
        <w:r>
          <w:t xml:space="preserve"> of </w:t>
        </w:r>
        <w:r>
          <w:rPr>
            <w:b/>
            <w:bCs/>
            <w:noProof/>
          </w:rPr>
          <w:t>218</w:t>
        </w:r>
      </w:p>
      <w:p w14:paraId="10136E11" w14:textId="2807C535" w:rsidR="000A0587" w:rsidRPr="00D936CA" w:rsidRDefault="004D2D53" w:rsidP="00D936CA">
        <w:pPr>
          <w:pStyle w:val="Footer"/>
          <w:jc w:val="right"/>
          <w:rPr>
            <w:color w:val="auto"/>
          </w:rPr>
        </w:pP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2131453"/>
      <w:docPartObj>
        <w:docPartGallery w:val="Page Numbers (Top of Page)"/>
        <w:docPartUnique/>
      </w:docPartObj>
    </w:sdtPr>
    <w:sdtEndPr/>
    <w:sdtContent>
      <w:p w14:paraId="72236BB1" w14:textId="684DC7BE" w:rsidR="000A0587" w:rsidRDefault="000A0587" w:rsidP="00D936CA">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210</w:t>
        </w:r>
        <w:r>
          <w:rPr>
            <w:b/>
            <w:bCs/>
            <w:sz w:val="24"/>
            <w:szCs w:val="24"/>
          </w:rPr>
          <w:fldChar w:fldCharType="end"/>
        </w:r>
        <w:r>
          <w:t xml:space="preserve"> of </w:t>
        </w:r>
        <w:r>
          <w:rPr>
            <w:b/>
            <w:bCs/>
            <w:noProof/>
          </w:rPr>
          <w:t>218</w:t>
        </w:r>
      </w:p>
      <w:p w14:paraId="49DCA8B0" w14:textId="2CE9EB55" w:rsidR="000A0587" w:rsidRPr="00D936CA" w:rsidRDefault="004D2D53" w:rsidP="00D936CA">
        <w:pPr>
          <w:pStyle w:val="Footer"/>
          <w:jc w:val="right"/>
          <w:rPr>
            <w:color w:val="auto"/>
          </w:rPr>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210937"/>
      <w:docPartObj>
        <w:docPartGallery w:val="Page Numbers (Bottom of Page)"/>
        <w:docPartUnique/>
      </w:docPartObj>
    </w:sdtPr>
    <w:sdtEndPr/>
    <w:sdtContent>
      <w:sdt>
        <w:sdtPr>
          <w:id w:val="-1253584795"/>
          <w:docPartObj>
            <w:docPartGallery w:val="Page Numbers (Top of Page)"/>
            <w:docPartUnique/>
          </w:docPartObj>
        </w:sdtPr>
        <w:sdtEndPr/>
        <w:sdtContent>
          <w:p w14:paraId="082FBB4C" w14:textId="362F5D3E" w:rsidR="000A0587" w:rsidRDefault="000A0587">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 xml:space="preserve"> </w:t>
            </w:r>
            <w:r>
              <w:rPr>
                <w:b/>
                <w:bCs/>
                <w:sz w:val="24"/>
                <w:szCs w:val="24"/>
              </w:rPr>
              <w:fldChar w:fldCharType="end"/>
            </w:r>
            <w:r>
              <w:t xml:space="preserve"> of </w:t>
            </w:r>
            <w:r w:rsidRPr="00360C86">
              <w:rPr>
                <w:b/>
                <w:bCs/>
                <w:noProof/>
              </w:rPr>
              <w:t>146</w:t>
            </w:r>
          </w:p>
        </w:sdtContent>
      </w:sdt>
    </w:sdtContent>
  </w:sdt>
  <w:p w14:paraId="55EFE8E8" w14:textId="77777777" w:rsidR="000A0587" w:rsidRPr="00984FC6" w:rsidRDefault="000A0587" w:rsidP="00984FC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7739378"/>
      <w:docPartObj>
        <w:docPartGallery w:val="Page Numbers (Bottom of Page)"/>
        <w:docPartUnique/>
      </w:docPartObj>
    </w:sdtPr>
    <w:sdtEndPr/>
    <w:sdtContent>
      <w:sdt>
        <w:sdtPr>
          <w:id w:val="-1769616900"/>
          <w:docPartObj>
            <w:docPartGallery w:val="Page Numbers (Top of Page)"/>
            <w:docPartUnique/>
          </w:docPartObj>
        </w:sdtPr>
        <w:sdtEndPr/>
        <w:sdtContent>
          <w:p w14:paraId="02DE0715" w14:textId="6D8BA547" w:rsidR="000A0587" w:rsidRDefault="000A0587">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7</w:t>
            </w:r>
            <w:r>
              <w:rPr>
                <w:b/>
                <w:bCs/>
                <w:sz w:val="24"/>
                <w:szCs w:val="24"/>
              </w:rPr>
              <w:fldChar w:fldCharType="end"/>
            </w:r>
            <w:r>
              <w:t xml:space="preserve"> of </w:t>
            </w:r>
            <w:r>
              <w:rPr>
                <w:b/>
                <w:bCs/>
                <w:noProof/>
              </w:rPr>
              <w:t>218</w:t>
            </w:r>
          </w:p>
        </w:sdtContent>
      </w:sdt>
    </w:sdtContent>
  </w:sdt>
  <w:p w14:paraId="3F7E4FD0" w14:textId="77777777" w:rsidR="000A0587" w:rsidRDefault="000A058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920095"/>
      <w:docPartObj>
        <w:docPartGallery w:val="Page Numbers (Bottom of Page)"/>
        <w:docPartUnique/>
      </w:docPartObj>
    </w:sdtPr>
    <w:sdtEndPr/>
    <w:sdtContent>
      <w:sdt>
        <w:sdtPr>
          <w:id w:val="-202627879"/>
          <w:docPartObj>
            <w:docPartGallery w:val="Page Numbers (Top of Page)"/>
            <w:docPartUnique/>
          </w:docPartObj>
        </w:sdtPr>
        <w:sdtEndPr/>
        <w:sdtContent>
          <w:p w14:paraId="1DA79DF1" w14:textId="1E1D9FCA" w:rsidR="000A0587" w:rsidRDefault="000A0587">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171</w:t>
            </w:r>
            <w:r>
              <w:rPr>
                <w:b/>
                <w:bCs/>
                <w:sz w:val="24"/>
                <w:szCs w:val="24"/>
              </w:rPr>
              <w:fldChar w:fldCharType="end"/>
            </w:r>
            <w:r>
              <w:t xml:space="preserve"> of </w:t>
            </w:r>
            <w:r>
              <w:rPr>
                <w:b/>
                <w:bCs/>
                <w:noProof/>
              </w:rPr>
              <w:t>218</w:t>
            </w:r>
          </w:p>
        </w:sdtContent>
      </w:sdt>
    </w:sdtContent>
  </w:sdt>
  <w:p w14:paraId="4262DAC7" w14:textId="77777777" w:rsidR="000A0587" w:rsidRDefault="000A058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3311102"/>
      <w:docPartObj>
        <w:docPartGallery w:val="Page Numbers (Bottom of Page)"/>
        <w:docPartUnique/>
      </w:docPartObj>
    </w:sdtPr>
    <w:sdtEndPr/>
    <w:sdtContent>
      <w:sdt>
        <w:sdtPr>
          <w:id w:val="-980844975"/>
          <w:docPartObj>
            <w:docPartGallery w:val="Page Numbers (Top of Page)"/>
            <w:docPartUnique/>
          </w:docPartObj>
        </w:sdtPr>
        <w:sdtEndPr/>
        <w:sdtContent>
          <w:p w14:paraId="0D620A48" w14:textId="4BD7EBF5" w:rsidR="000A0587" w:rsidRDefault="000A0587">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64</w:t>
            </w:r>
            <w:r>
              <w:rPr>
                <w:b/>
                <w:bCs/>
                <w:sz w:val="24"/>
                <w:szCs w:val="24"/>
              </w:rPr>
              <w:fldChar w:fldCharType="end"/>
            </w:r>
            <w:r>
              <w:t xml:space="preserve"> of </w:t>
            </w:r>
            <w:r w:rsidRPr="0005276F">
              <w:rPr>
                <w:b/>
                <w:bCs/>
                <w:noProof/>
              </w:rPr>
              <w:t>21</w:t>
            </w:r>
            <w:r>
              <w:rPr>
                <w:b/>
                <w:bCs/>
                <w:noProof/>
              </w:rPr>
              <w:t>8</w:t>
            </w:r>
          </w:p>
        </w:sdtContent>
      </w:sdt>
    </w:sdtContent>
  </w:sdt>
  <w:p w14:paraId="053117C5" w14:textId="77777777" w:rsidR="000A0587" w:rsidRPr="00984FC6" w:rsidRDefault="000A0587" w:rsidP="00984FC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3933118"/>
      <w:docPartObj>
        <w:docPartGallery w:val="Page Numbers (Bottom of Page)"/>
        <w:docPartUnique/>
      </w:docPartObj>
    </w:sdtPr>
    <w:sdtEndPr/>
    <w:sdtContent>
      <w:sdt>
        <w:sdtPr>
          <w:id w:val="2091111117"/>
          <w:docPartObj>
            <w:docPartGallery w:val="Page Numbers (Top of Page)"/>
            <w:docPartUnique/>
          </w:docPartObj>
        </w:sdtPr>
        <w:sdtEndPr/>
        <w:sdtContent>
          <w:p w14:paraId="36BD8E8D" w14:textId="02D96C6B" w:rsidR="000A0587" w:rsidRDefault="000A0587">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67</w:t>
            </w:r>
            <w:r>
              <w:rPr>
                <w:b/>
                <w:bCs/>
                <w:sz w:val="24"/>
                <w:szCs w:val="24"/>
              </w:rPr>
              <w:fldChar w:fldCharType="end"/>
            </w:r>
            <w:r>
              <w:t xml:space="preserve"> of </w:t>
            </w:r>
            <w:r>
              <w:rPr>
                <w:b/>
                <w:bCs/>
                <w:noProof/>
              </w:rPr>
              <w:t>218</w:t>
            </w:r>
          </w:p>
        </w:sdtContent>
      </w:sdt>
    </w:sdtContent>
  </w:sdt>
  <w:p w14:paraId="2112847A" w14:textId="77777777" w:rsidR="000A0587" w:rsidRPr="00984FC6" w:rsidRDefault="000A0587" w:rsidP="00984FC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6400406"/>
      <w:docPartObj>
        <w:docPartGallery w:val="Page Numbers (Bottom of Page)"/>
        <w:docPartUnique/>
      </w:docPartObj>
    </w:sdtPr>
    <w:sdtEndPr/>
    <w:sdtContent>
      <w:sdt>
        <w:sdtPr>
          <w:id w:val="849687537"/>
          <w:docPartObj>
            <w:docPartGallery w:val="Page Numbers (Top of Page)"/>
            <w:docPartUnique/>
          </w:docPartObj>
        </w:sdtPr>
        <w:sdtEndPr/>
        <w:sdtContent>
          <w:p w14:paraId="756B7F94" w14:textId="244C97F7" w:rsidR="000A0587" w:rsidRDefault="000A0587">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167</w:t>
            </w:r>
            <w:r>
              <w:rPr>
                <w:b/>
                <w:bCs/>
                <w:sz w:val="24"/>
                <w:szCs w:val="24"/>
              </w:rPr>
              <w:fldChar w:fldCharType="end"/>
            </w:r>
            <w:r>
              <w:t xml:space="preserve"> of </w:t>
            </w:r>
            <w:r>
              <w:rPr>
                <w:b/>
                <w:bCs/>
                <w:noProof/>
              </w:rPr>
              <w:t>218</w:t>
            </w:r>
          </w:p>
        </w:sdtContent>
      </w:sdt>
    </w:sdtContent>
  </w:sdt>
  <w:p w14:paraId="380A3E16" w14:textId="77777777" w:rsidR="000A0587" w:rsidRPr="00984FC6" w:rsidRDefault="000A0587" w:rsidP="00984FC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9BDDA" w14:textId="77777777" w:rsidR="000A0587" w:rsidRDefault="000A0587">
    <w:pPr>
      <w:pStyle w:val="Footer"/>
      <w:framePr w:wrap="around" w:vAnchor="text" w:hAnchor="margin" w:xAlign="center" w:y="1"/>
      <w:rPr>
        <w:rStyle w:val="PageNumber"/>
        <w:rFonts w:ascii="Times New Roman" w:eastAsiaTheme="majorEastAsia" w:hAnsi="Times New Roman"/>
        <w:sz w:val="22"/>
      </w:rPr>
    </w:pPr>
    <w:r>
      <w:rPr>
        <w:rStyle w:val="PageNumber"/>
        <w:rFonts w:eastAsiaTheme="majorEastAsia"/>
      </w:rPr>
      <w:fldChar w:fldCharType="begin"/>
    </w:r>
    <w:r>
      <w:rPr>
        <w:rStyle w:val="PageNumber"/>
        <w:rFonts w:eastAsiaTheme="majorEastAsia"/>
      </w:rPr>
      <w:instrText xml:space="preserve">PAGE  </w:instrText>
    </w:r>
    <w:r>
      <w:rPr>
        <w:rStyle w:val="PageNumber"/>
        <w:rFonts w:eastAsiaTheme="majorEastAsia"/>
      </w:rPr>
      <w:fldChar w:fldCharType="end"/>
    </w:r>
  </w:p>
  <w:p w14:paraId="64E51AED" w14:textId="77777777" w:rsidR="000A0587" w:rsidRDefault="000A0587">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0017886"/>
      <w:docPartObj>
        <w:docPartGallery w:val="Page Numbers (Bottom of Page)"/>
        <w:docPartUnique/>
      </w:docPartObj>
    </w:sdtPr>
    <w:sdtEndPr/>
    <w:sdtContent>
      <w:sdt>
        <w:sdtPr>
          <w:id w:val="-397289855"/>
          <w:docPartObj>
            <w:docPartGallery w:val="Page Numbers (Top of Page)"/>
            <w:docPartUnique/>
          </w:docPartObj>
        </w:sdtPr>
        <w:sdtEndPr/>
        <w:sdtContent>
          <w:p w14:paraId="5F1CF352" w14:textId="7AF7BAC0" w:rsidR="000A0587" w:rsidRDefault="000A0587" w:rsidP="00F300B7">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209</w:t>
            </w:r>
            <w:r>
              <w:rPr>
                <w:b/>
                <w:bCs/>
                <w:sz w:val="24"/>
                <w:szCs w:val="24"/>
              </w:rPr>
              <w:fldChar w:fldCharType="end"/>
            </w:r>
            <w:r>
              <w:t xml:space="preserve"> of </w:t>
            </w:r>
            <w:r>
              <w:rPr>
                <w:b/>
                <w:bCs/>
                <w:noProof/>
              </w:rPr>
              <w:t>218</w:t>
            </w:r>
          </w:p>
          <w:p w14:paraId="6E55DCD2" w14:textId="2EC88ED9" w:rsidR="000A0587" w:rsidRPr="00F300B7" w:rsidRDefault="004D2D53" w:rsidP="00F300B7">
            <w:pPr>
              <w:pStyle w:val="Footer"/>
              <w:jc w:val="right"/>
            </w:pP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C85E38" w14:textId="77777777" w:rsidR="000D303A" w:rsidRDefault="000D303A" w:rsidP="00BC71CA">
      <w:pPr>
        <w:spacing w:after="0" w:line="240" w:lineRule="auto"/>
      </w:pPr>
      <w:r>
        <w:separator/>
      </w:r>
    </w:p>
  </w:footnote>
  <w:footnote w:type="continuationSeparator" w:id="0">
    <w:p w14:paraId="1785FBED" w14:textId="77777777" w:rsidR="000D303A" w:rsidRDefault="000D303A" w:rsidP="00BC71CA">
      <w:pPr>
        <w:spacing w:after="0" w:line="240" w:lineRule="auto"/>
      </w:pPr>
      <w:r>
        <w:continuationSeparator/>
      </w:r>
    </w:p>
  </w:footnote>
  <w:footnote w:type="continuationNotice" w:id="1">
    <w:p w14:paraId="4F4E592A" w14:textId="77777777" w:rsidR="000D303A" w:rsidRDefault="000D303A">
      <w:pPr>
        <w:spacing w:after="0" w:line="240" w:lineRule="auto"/>
      </w:pPr>
    </w:p>
  </w:footnote>
  <w:footnote w:id="2">
    <w:p w14:paraId="5F520FA7" w14:textId="77777777" w:rsidR="000A0587" w:rsidRPr="00464F47" w:rsidRDefault="000A0587" w:rsidP="001703F5">
      <w:pPr>
        <w:rPr>
          <w:sz w:val="18"/>
          <w:szCs w:val="18"/>
        </w:rPr>
      </w:pPr>
      <w:r w:rsidRPr="00464F47">
        <w:rPr>
          <w:rStyle w:val="FootnoteReference"/>
          <w:sz w:val="18"/>
          <w:szCs w:val="18"/>
        </w:rPr>
        <w:footnoteRef/>
      </w:r>
      <w:r w:rsidRPr="00464F47">
        <w:rPr>
          <w:sz w:val="18"/>
          <w:szCs w:val="18"/>
        </w:rPr>
        <w:t xml:space="preserve"> The site at Day Rd chosen in 2015-16 to replace the Moss Rd site used in 2014-15, was in turn replaced by the site at Murchison for MER. Similarly, the Darcy’s Track site used throughout the LTIM program was replaced by the nearby Arcadia Downs site for MER. These changes were brought about due to better infrastructure and accessibility of the ‘new’ sites. As</w:t>
      </w:r>
      <w:r w:rsidRPr="00464F47" w:rsidDel="00685D14">
        <w:rPr>
          <w:sz w:val="18"/>
          <w:szCs w:val="18"/>
        </w:rPr>
        <w:t xml:space="preserve"> </w:t>
      </w:r>
      <w:r w:rsidRPr="00464F47">
        <w:rPr>
          <w:sz w:val="18"/>
          <w:szCs w:val="18"/>
        </w:rPr>
        <w:t>DO and temperature data were already being recorded at the Shepparton Golf Club site, this site was added to the program for MER.</w:t>
      </w:r>
    </w:p>
  </w:footnote>
  <w:footnote w:id="3">
    <w:p w14:paraId="66DF4003" w14:textId="77777777" w:rsidR="000A0587" w:rsidRDefault="000A0587" w:rsidP="00AE564D">
      <w:pPr>
        <w:pStyle w:val="FootnoteText"/>
      </w:pPr>
      <w:r>
        <w:rPr>
          <w:rStyle w:val="FootnoteReference"/>
        </w:rPr>
        <w:footnoteRef/>
      </w:r>
      <w:r>
        <w:t xml:space="preserve"> </w:t>
      </w:r>
      <w:r w:rsidRPr="00437F18">
        <w:rPr>
          <w:sz w:val="18"/>
          <w:szCs w:val="18"/>
        </w:rPr>
        <w:t xml:space="preserve">‘Bioavailable’ refers to those forms of nitrogen (N), carbon and phosphorus (P) most readily taken up by organisms. This typically equates to </w:t>
      </w:r>
      <w:r>
        <w:rPr>
          <w:sz w:val="18"/>
          <w:szCs w:val="18"/>
        </w:rPr>
        <w:t xml:space="preserve">‘dissolved’ or ‘filterable’ </w:t>
      </w:r>
      <w:r w:rsidRPr="00437F18">
        <w:rPr>
          <w:sz w:val="18"/>
          <w:szCs w:val="18"/>
        </w:rPr>
        <w:t>phosphate for P and the combination of ammonia, nitrate and nitrite for N.</w:t>
      </w:r>
    </w:p>
  </w:footnote>
  <w:footnote w:id="4">
    <w:p w14:paraId="369620A1" w14:textId="77777777" w:rsidR="000A0587" w:rsidRPr="006B4B25" w:rsidRDefault="000A0587" w:rsidP="00F86AA0">
      <w:pPr>
        <w:spacing w:before="60" w:after="0"/>
        <w:rPr>
          <w:rFonts w:cs="Calibri"/>
          <w:noProof/>
        </w:rPr>
      </w:pPr>
      <w:r>
        <w:rPr>
          <w:rStyle w:val="FootnoteReference"/>
        </w:rPr>
        <w:footnoteRef/>
      </w:r>
      <w:r>
        <w:t xml:space="preserve"> </w:t>
      </w:r>
      <w:r w:rsidRPr="006B4B25">
        <w:rPr>
          <w:rFonts w:cs="Calibri"/>
          <w:color w:val="000000"/>
          <w:sz w:val="18"/>
          <w:szCs w:val="18"/>
        </w:rPr>
        <w:t>Note the peak flow achievable with environmental water under current operating rules is approximately 9 500 ML/d in the lower Goulburn. The full target flow of 15 000 ML/d can however be met with unregulated tributary inflows.</w:t>
      </w:r>
    </w:p>
  </w:footnote>
  <w:footnote w:id="5">
    <w:p w14:paraId="3D9FDB8F" w14:textId="77777777" w:rsidR="000A0587" w:rsidRDefault="000A0587" w:rsidP="009859AC">
      <w:pPr>
        <w:pStyle w:val="FootnoteText"/>
      </w:pPr>
      <w:r>
        <w:rPr>
          <w:rStyle w:val="FootnoteReference"/>
        </w:rPr>
        <w:footnoteRef/>
      </w:r>
      <w:r>
        <w:t xml:space="preserve"> Data for this point was subject to large inconsistency and so should be taken with much larger error margin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C70FA" w14:textId="524E147E" w:rsidR="000A0587" w:rsidRPr="003E7F28" w:rsidRDefault="000A0587" w:rsidP="003E7F28">
    <w:pPr>
      <w:pStyle w:val="Header"/>
      <w:jc w:val="left"/>
      <w:rPr>
        <w:szCs w:val="20"/>
      </w:rPr>
    </w:pPr>
    <w:r w:rsidRPr="00E35943">
      <w:rPr>
        <w:szCs w:val="20"/>
      </w:rPr>
      <w:t xml:space="preserve">CEWO MER </w:t>
    </w:r>
    <w:r w:rsidR="001A7A58">
      <w:rPr>
        <w:szCs w:val="20"/>
      </w:rPr>
      <w:t xml:space="preserve">Program: </w:t>
    </w:r>
    <w:r w:rsidR="000A12E2">
      <w:rPr>
        <w:szCs w:val="20"/>
      </w:rPr>
      <w:t xml:space="preserve">Goulburn River Selected Area </w:t>
    </w:r>
    <w:r w:rsidRPr="00E35943">
      <w:rPr>
        <w:szCs w:val="20"/>
      </w:rPr>
      <w:t xml:space="preserve">Scientific Report </w:t>
    </w:r>
    <w:r w:rsidR="001A7A58">
      <w:rPr>
        <w:szCs w:val="20"/>
      </w:rPr>
      <w:t>2020-21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56D55" w14:textId="5BA5D9AF" w:rsidR="000A0587" w:rsidRPr="00C87E21" w:rsidRDefault="00C87E21" w:rsidP="00E053F7">
    <w:pPr>
      <w:pStyle w:val="Header"/>
      <w:jc w:val="left"/>
      <w:rPr>
        <w:szCs w:val="20"/>
      </w:rPr>
    </w:pPr>
    <w:r w:rsidRPr="00E35943">
      <w:rPr>
        <w:szCs w:val="20"/>
      </w:rPr>
      <w:t xml:space="preserve">CEWO MER </w:t>
    </w:r>
    <w:r>
      <w:rPr>
        <w:szCs w:val="20"/>
      </w:rPr>
      <w:t xml:space="preserve">Program: Goulburn River Selected Area </w:t>
    </w:r>
    <w:r w:rsidRPr="00E35943">
      <w:rPr>
        <w:szCs w:val="20"/>
      </w:rPr>
      <w:t xml:space="preserve">Scientific Report </w:t>
    </w:r>
    <w:r>
      <w:rPr>
        <w:szCs w:val="20"/>
      </w:rPr>
      <w:t>2020-21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BEE22" w14:textId="6DA288CA" w:rsidR="000A0587" w:rsidRPr="00C87E21" w:rsidRDefault="00C87E21" w:rsidP="00C87E21">
    <w:pPr>
      <w:pStyle w:val="Header"/>
      <w:jc w:val="left"/>
      <w:rPr>
        <w:szCs w:val="20"/>
      </w:rPr>
    </w:pPr>
    <w:r w:rsidRPr="00E35943">
      <w:rPr>
        <w:szCs w:val="20"/>
      </w:rPr>
      <w:t xml:space="preserve">CEWO MER </w:t>
    </w:r>
    <w:r>
      <w:rPr>
        <w:szCs w:val="20"/>
      </w:rPr>
      <w:t xml:space="preserve">Program: Goulburn River Selected Area </w:t>
    </w:r>
    <w:r w:rsidRPr="00E35943">
      <w:rPr>
        <w:szCs w:val="20"/>
      </w:rPr>
      <w:t xml:space="preserve">Scientific Report </w:t>
    </w:r>
    <w:r>
      <w:rPr>
        <w:szCs w:val="20"/>
      </w:rPr>
      <w:t>2020-21</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0F9C0" w14:textId="612F2AC2" w:rsidR="000A0587" w:rsidRPr="00C87E21" w:rsidRDefault="00C87E21" w:rsidP="005C2902">
    <w:pPr>
      <w:pStyle w:val="Header"/>
      <w:jc w:val="left"/>
      <w:rPr>
        <w:szCs w:val="20"/>
      </w:rPr>
    </w:pPr>
    <w:r w:rsidRPr="00E35943">
      <w:rPr>
        <w:szCs w:val="20"/>
      </w:rPr>
      <w:t xml:space="preserve">CEWO MER </w:t>
    </w:r>
    <w:r>
      <w:rPr>
        <w:szCs w:val="20"/>
      </w:rPr>
      <w:t xml:space="preserve">Program: Goulburn River Selected Area </w:t>
    </w:r>
    <w:r w:rsidRPr="00E35943">
      <w:rPr>
        <w:szCs w:val="20"/>
      </w:rPr>
      <w:t xml:space="preserve">Scientific Report </w:t>
    </w:r>
    <w:r>
      <w:rPr>
        <w:szCs w:val="20"/>
      </w:rPr>
      <w:t>2020-21</w:t>
    </w:r>
    <w:r w:rsidR="000A0587">
      <w:rPr>
        <w:noProof/>
        <w:lang w:val="en-GB"/>
      </w:rPr>
      <mc:AlternateContent>
        <mc:Choice Requires="wps">
          <w:drawing>
            <wp:anchor distT="0" distB="0" distL="114300" distR="114300" simplePos="0" relativeHeight="251658241" behindDoc="0" locked="0" layoutInCell="0" allowOverlap="1" wp14:anchorId="5F52401F" wp14:editId="7172D953">
              <wp:simplePos x="0" y="0"/>
              <wp:positionH relativeFrom="page">
                <wp:posOffset>0</wp:posOffset>
              </wp:positionH>
              <wp:positionV relativeFrom="page">
                <wp:posOffset>190500</wp:posOffset>
              </wp:positionV>
              <wp:extent cx="7560310" cy="273050"/>
              <wp:effectExtent l="0" t="0" r="0" b="12700"/>
              <wp:wrapNone/>
              <wp:docPr id="527" name="MSIPCM3e0e4940af90b25d8c761691" descr="{&quot;HashCode&quot;:1610746136,&quot;Height&quot;:841.0,&quot;Width&quot;:595.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3CD193A" w14:textId="77777777" w:rsidR="000A0587" w:rsidRPr="00180ABE" w:rsidRDefault="000A0587" w:rsidP="00E26D3C">
                          <w:pPr>
                            <w:spacing w:after="0"/>
                            <w:jc w:val="center"/>
                            <w:rPr>
                              <w:rFonts w:ascii="Calibri" w:hAnsi="Calibri" w:cs="Calibri"/>
                              <w:color w:val="EEDC00"/>
                              <w:sz w:val="24"/>
                            </w:rPr>
                          </w:pP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5F52401F" id="_x0000_t202" coordsize="21600,21600" o:spt="202" path="m,l,21600r21600,l21600,xe">
              <v:stroke joinstyle="miter"/>
              <v:path gradientshapeok="t" o:connecttype="rect"/>
            </v:shapetype>
            <v:shape id="MSIPCM3e0e4940af90b25d8c761691" o:spid="_x0000_s1028" type="#_x0000_t202" alt="{&quot;HashCode&quot;:1610746136,&quot;Height&quot;:841.0,&quot;Width&quot;:595.0,&quot;Placement&quot;:&quot;Header&quot;,&quot;Index&quot;:&quot;FirstPage&quot;,&quot;Section&quot;:1,&quot;Top&quot;:0.0,&quot;Left&quot;:0.0}" style="position:absolute;margin-left:0;margin-top:15pt;width:595.3pt;height:21.5pt;z-index:25165824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" o:allowincell="f" filled="f" stroked="f" strokeweight=".5pt">
              <v:textbox inset=",0,,0">
                <w:txbxContent>
                  <w:p w14:paraId="03CD193A" w14:textId="77777777" w:rsidR="000A0587" w:rsidRPr="00180ABE" w:rsidRDefault="000A0587" w:rsidP="00E26D3C">
                    <w:pPr>
                      <w:spacing w:after="0"/>
                      <w:jc w:val="center"/>
                      <w:rPr>
                        <w:rFonts w:ascii="Calibri" w:hAnsi="Calibri" w:cs="Calibri"/>
                        <w:color w:val="EEDC00"/>
                        <w:sz w:val="24"/>
                      </w:rPr>
                    </w:pP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16B0A" w14:textId="65501BB5" w:rsidR="000A0587" w:rsidRPr="00C87E21" w:rsidRDefault="00C87E21" w:rsidP="00C87E21">
    <w:pPr>
      <w:pStyle w:val="Header"/>
      <w:jc w:val="left"/>
      <w:rPr>
        <w:szCs w:val="20"/>
      </w:rPr>
    </w:pPr>
    <w:r w:rsidRPr="00E35943">
      <w:rPr>
        <w:szCs w:val="20"/>
      </w:rPr>
      <w:t xml:space="preserve">CEWO MER </w:t>
    </w:r>
    <w:r>
      <w:rPr>
        <w:szCs w:val="20"/>
      </w:rPr>
      <w:t xml:space="preserve">Program: Goulburn River Selected Area </w:t>
    </w:r>
    <w:r w:rsidRPr="00E35943">
      <w:rPr>
        <w:szCs w:val="20"/>
      </w:rPr>
      <w:t xml:space="preserve">Scientific Report </w:t>
    </w:r>
    <w:r>
      <w:rPr>
        <w:szCs w:val="20"/>
      </w:rPr>
      <w:t>2020-21</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AEA8A" w14:textId="77777777" w:rsidR="000A0587" w:rsidRDefault="000A0587">
    <w:pPr>
      <w:pStyle w:val="Header"/>
    </w:pPr>
  </w:p>
  <w:p w14:paraId="3D84B1C3" w14:textId="77777777" w:rsidR="000A0587" w:rsidRDefault="000A058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0B232" w14:textId="773DB0C8" w:rsidR="000A0587" w:rsidRDefault="000A0587" w:rsidP="00050C55">
    <w:pPr>
      <w:pStyle w:val="Header"/>
      <w:jc w:val="left"/>
      <w:rPr>
        <w:rFonts w:cs="Arial"/>
      </w:rPr>
    </w:pPr>
    <w:r w:rsidRPr="00E35943">
      <w:rPr>
        <w:szCs w:val="20"/>
      </w:rPr>
      <w:t>CEWO MER 20</w:t>
    </w:r>
    <w:r>
      <w:rPr>
        <w:szCs w:val="20"/>
      </w:rPr>
      <w:t>20</w:t>
    </w:r>
    <w:r w:rsidRPr="00E35943">
      <w:rPr>
        <w:szCs w:val="20"/>
      </w:rPr>
      <w:t>-2</w:t>
    </w:r>
    <w:r>
      <w:rPr>
        <w:szCs w:val="20"/>
      </w:rPr>
      <w:t>1</w:t>
    </w:r>
    <w:r w:rsidRPr="00E35943">
      <w:rPr>
        <w:szCs w:val="20"/>
      </w:rPr>
      <w:t xml:space="preserve"> Annual Scientific Report – Lower Goulburn River Selected Ar</w:t>
    </w:r>
    <w:r>
      <w:rPr>
        <w:rFonts w:hint="eastAsia"/>
        <w:szCs w:val="20"/>
      </w:rPr>
      <w:t>ea</w:t>
    </w:r>
  </w:p>
  <w:p w14:paraId="5F9197EB" w14:textId="77777777" w:rsidR="000A0587" w:rsidRDefault="000A058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B90F2" w14:textId="77777777" w:rsidR="000A0587" w:rsidRDefault="000A05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321C8"/>
    <w:multiLevelType w:val="hybridMultilevel"/>
    <w:tmpl w:val="60E6B4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301DFC"/>
    <w:multiLevelType w:val="hybridMultilevel"/>
    <w:tmpl w:val="C3B0CDD2"/>
    <w:lvl w:ilvl="0" w:tplc="8CDC3628">
      <w:start w:val="1"/>
      <w:numFmt w:val="bullet"/>
      <w:pStyle w:val="Pull-outBullets"/>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D00E14"/>
    <w:multiLevelType w:val="hybridMultilevel"/>
    <w:tmpl w:val="348EA36E"/>
    <w:lvl w:ilvl="0" w:tplc="78364FDA">
      <w:start w:val="1"/>
      <w:numFmt w:val="decimal"/>
      <w:pStyle w:val="Tablenumber"/>
      <w:lvlText w:val="%1."/>
      <w:lvlJc w:val="left"/>
      <w:pPr>
        <w:ind w:left="284" w:hanging="284"/>
      </w:pPr>
    </w:lvl>
    <w:lvl w:ilvl="1" w:tplc="E4145014">
      <w:start w:val="1"/>
      <w:numFmt w:val="lowerLetter"/>
      <w:lvlText w:val="%2)"/>
      <w:lvlJc w:val="left"/>
      <w:pPr>
        <w:ind w:left="567" w:hanging="283"/>
      </w:pPr>
    </w:lvl>
    <w:lvl w:ilvl="2" w:tplc="6E40202A">
      <w:start w:val="1"/>
      <w:numFmt w:val="none"/>
      <w:lvlText w:val=""/>
      <w:lvlJc w:val="left"/>
      <w:pPr>
        <w:ind w:left="567" w:hanging="283"/>
      </w:pPr>
    </w:lvl>
    <w:lvl w:ilvl="3" w:tplc="3F644E0A">
      <w:start w:val="1"/>
      <w:numFmt w:val="none"/>
      <w:lvlRestart w:val="2"/>
      <w:lvlText w:val=""/>
      <w:lvlJc w:val="left"/>
      <w:pPr>
        <w:ind w:left="567" w:hanging="283"/>
      </w:pPr>
    </w:lvl>
    <w:lvl w:ilvl="4" w:tplc="279CFF0A">
      <w:start w:val="1"/>
      <w:numFmt w:val="none"/>
      <w:lvlRestart w:val="2"/>
      <w:lvlText w:val=""/>
      <w:lvlJc w:val="left"/>
      <w:pPr>
        <w:ind w:left="567" w:hanging="283"/>
      </w:pPr>
    </w:lvl>
    <w:lvl w:ilvl="5" w:tplc="C2DAAF54">
      <w:start w:val="1"/>
      <w:numFmt w:val="none"/>
      <w:lvlRestart w:val="2"/>
      <w:lvlText w:val=""/>
      <w:lvlJc w:val="left"/>
      <w:pPr>
        <w:ind w:left="567" w:hanging="283"/>
      </w:pPr>
    </w:lvl>
    <w:lvl w:ilvl="6" w:tplc="9B5478BE">
      <w:start w:val="1"/>
      <w:numFmt w:val="none"/>
      <w:lvlRestart w:val="2"/>
      <w:lvlText w:val=""/>
      <w:lvlJc w:val="left"/>
      <w:pPr>
        <w:ind w:left="567" w:hanging="283"/>
      </w:pPr>
    </w:lvl>
    <w:lvl w:ilvl="7" w:tplc="9C54DECA">
      <w:start w:val="1"/>
      <w:numFmt w:val="none"/>
      <w:lvlRestart w:val="2"/>
      <w:lvlText w:val=""/>
      <w:lvlJc w:val="left"/>
      <w:pPr>
        <w:ind w:left="567" w:hanging="283"/>
      </w:pPr>
    </w:lvl>
    <w:lvl w:ilvl="8" w:tplc="A68A9630">
      <w:start w:val="1"/>
      <w:numFmt w:val="none"/>
      <w:lvlRestart w:val="2"/>
      <w:lvlText w:val=""/>
      <w:lvlJc w:val="left"/>
      <w:pPr>
        <w:tabs>
          <w:tab w:val="num" w:pos="2835"/>
        </w:tabs>
        <w:ind w:left="567" w:firstLine="2268"/>
      </w:pPr>
    </w:lvl>
  </w:abstractNum>
  <w:abstractNum w:abstractNumId="3" w15:restartNumberingAfterBreak="0">
    <w:nsid w:val="0327187F"/>
    <w:multiLevelType w:val="hybridMultilevel"/>
    <w:tmpl w:val="DECCC98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3C25D3A"/>
    <w:multiLevelType w:val="hybridMultilevel"/>
    <w:tmpl w:val="713C9A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55D67FB"/>
    <w:multiLevelType w:val="hybridMultilevel"/>
    <w:tmpl w:val="8D7AE8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5D44D75"/>
    <w:multiLevelType w:val="hybridMultilevel"/>
    <w:tmpl w:val="F474C104"/>
    <w:lvl w:ilvl="0" w:tplc="889AEDBA">
      <w:start w:val="1"/>
      <w:numFmt w:val="lowerLetter"/>
      <w:pStyle w:val="Para0letter"/>
      <w:lvlText w:val="%1)"/>
      <w:lvlJc w:val="left"/>
      <w:pPr>
        <w:ind w:left="425" w:hanging="425"/>
      </w:pPr>
    </w:lvl>
    <w:lvl w:ilvl="1" w:tplc="AAD2B8A4">
      <w:start w:val="1"/>
      <w:numFmt w:val="lowerRoman"/>
      <w:lvlText w:val="%2."/>
      <w:lvlJc w:val="left"/>
      <w:pPr>
        <w:ind w:left="851" w:hanging="426"/>
      </w:pPr>
    </w:lvl>
    <w:lvl w:ilvl="2" w:tplc="E0B2C474">
      <w:start w:val="1"/>
      <w:numFmt w:val="none"/>
      <w:lvlRestart w:val="0"/>
      <w:lvlText w:val=""/>
      <w:lvlJc w:val="left"/>
      <w:pPr>
        <w:ind w:left="851" w:hanging="426"/>
      </w:pPr>
    </w:lvl>
    <w:lvl w:ilvl="3" w:tplc="1486C59E">
      <w:start w:val="1"/>
      <w:numFmt w:val="none"/>
      <w:lvlRestart w:val="0"/>
      <w:lvlText w:val=""/>
      <w:lvlJc w:val="left"/>
      <w:pPr>
        <w:ind w:left="851" w:hanging="426"/>
      </w:pPr>
    </w:lvl>
    <w:lvl w:ilvl="4" w:tplc="D222EE66">
      <w:start w:val="1"/>
      <w:numFmt w:val="none"/>
      <w:lvlRestart w:val="0"/>
      <w:lvlText w:val=""/>
      <w:lvlJc w:val="left"/>
      <w:pPr>
        <w:ind w:left="851" w:hanging="426"/>
      </w:pPr>
    </w:lvl>
    <w:lvl w:ilvl="5" w:tplc="4B80F998">
      <w:start w:val="1"/>
      <w:numFmt w:val="none"/>
      <w:lvlRestart w:val="0"/>
      <w:lvlText w:val=""/>
      <w:lvlJc w:val="left"/>
      <w:pPr>
        <w:ind w:left="851" w:hanging="426"/>
      </w:pPr>
    </w:lvl>
    <w:lvl w:ilvl="6" w:tplc="D08E6AB4">
      <w:start w:val="1"/>
      <w:numFmt w:val="none"/>
      <w:lvlRestart w:val="0"/>
      <w:lvlText w:val=""/>
      <w:lvlJc w:val="left"/>
      <w:pPr>
        <w:ind w:left="851" w:hanging="426"/>
      </w:pPr>
    </w:lvl>
    <w:lvl w:ilvl="7" w:tplc="F996AEF8">
      <w:start w:val="1"/>
      <w:numFmt w:val="none"/>
      <w:lvlRestart w:val="0"/>
      <w:lvlText w:val=""/>
      <w:lvlJc w:val="left"/>
      <w:pPr>
        <w:ind w:left="851" w:hanging="426"/>
      </w:pPr>
    </w:lvl>
    <w:lvl w:ilvl="8" w:tplc="EF644EB0">
      <w:start w:val="1"/>
      <w:numFmt w:val="none"/>
      <w:lvlRestart w:val="0"/>
      <w:lvlText w:val=""/>
      <w:lvlJc w:val="left"/>
      <w:pPr>
        <w:ind w:left="851" w:hanging="426"/>
      </w:pPr>
    </w:lvl>
  </w:abstractNum>
  <w:abstractNum w:abstractNumId="7" w15:restartNumberingAfterBreak="0">
    <w:nsid w:val="07B01871"/>
    <w:multiLevelType w:val="hybridMultilevel"/>
    <w:tmpl w:val="B79C8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7B02B10"/>
    <w:multiLevelType w:val="hybridMultilevel"/>
    <w:tmpl w:val="4D92313A"/>
    <w:styleLink w:val="SKMTableNumberedList2"/>
    <w:lvl w:ilvl="0" w:tplc="1596A018">
      <w:start w:val="1"/>
      <w:numFmt w:val="bullet"/>
      <w:pStyle w:val="Sidebarbullet"/>
      <w:lvlText w:val=""/>
      <w:lvlJc w:val="left"/>
      <w:pPr>
        <w:ind w:left="284" w:hanging="171"/>
      </w:pPr>
      <w:rPr>
        <w:rFonts w:ascii="Symbol" w:hAnsi="Symbol" w:hint="default"/>
        <w:color w:val="auto"/>
        <w:sz w:val="14"/>
      </w:rPr>
    </w:lvl>
    <w:lvl w:ilvl="1" w:tplc="54D2806E">
      <w:numFmt w:val="none"/>
      <w:lvlRestart w:val="0"/>
      <w:lvlText w:val=""/>
      <w:lvlJc w:val="left"/>
      <w:pPr>
        <w:ind w:left="284" w:hanging="284"/>
      </w:pPr>
    </w:lvl>
    <w:lvl w:ilvl="2" w:tplc="9C7E370E">
      <w:numFmt w:val="none"/>
      <w:lvlRestart w:val="0"/>
      <w:lvlText w:val=""/>
      <w:lvlJc w:val="left"/>
      <w:pPr>
        <w:ind w:left="284" w:hanging="284"/>
      </w:pPr>
    </w:lvl>
    <w:lvl w:ilvl="3" w:tplc="7D048E82">
      <w:numFmt w:val="none"/>
      <w:lvlRestart w:val="0"/>
      <w:lvlText w:val=""/>
      <w:lvlJc w:val="left"/>
      <w:pPr>
        <w:ind w:left="284" w:hanging="284"/>
      </w:pPr>
    </w:lvl>
    <w:lvl w:ilvl="4" w:tplc="92683792">
      <w:numFmt w:val="none"/>
      <w:lvlRestart w:val="0"/>
      <w:lvlText w:val=""/>
      <w:lvlJc w:val="left"/>
      <w:pPr>
        <w:ind w:left="284" w:hanging="284"/>
      </w:pPr>
    </w:lvl>
    <w:lvl w:ilvl="5" w:tplc="5CF6AC4A">
      <w:numFmt w:val="none"/>
      <w:lvlRestart w:val="0"/>
      <w:lvlText w:val=""/>
      <w:lvlJc w:val="left"/>
      <w:pPr>
        <w:ind w:left="284" w:hanging="284"/>
      </w:pPr>
    </w:lvl>
    <w:lvl w:ilvl="6" w:tplc="0BEA5ED0">
      <w:numFmt w:val="none"/>
      <w:lvlRestart w:val="0"/>
      <w:lvlText w:val=""/>
      <w:lvlJc w:val="left"/>
      <w:pPr>
        <w:ind w:left="284" w:hanging="284"/>
      </w:pPr>
    </w:lvl>
    <w:lvl w:ilvl="7" w:tplc="EDB4CC74">
      <w:numFmt w:val="none"/>
      <w:lvlRestart w:val="0"/>
      <w:lvlText w:val=""/>
      <w:lvlJc w:val="left"/>
      <w:pPr>
        <w:ind w:left="284" w:hanging="284"/>
      </w:pPr>
    </w:lvl>
    <w:lvl w:ilvl="8" w:tplc="045EFB9A">
      <w:start w:val="1"/>
      <w:numFmt w:val="none"/>
      <w:lvlRestart w:val="0"/>
      <w:lvlText w:val=""/>
      <w:lvlJc w:val="left"/>
      <w:pPr>
        <w:ind w:left="284" w:hanging="284"/>
      </w:pPr>
    </w:lvl>
  </w:abstractNum>
  <w:abstractNum w:abstractNumId="9" w15:restartNumberingAfterBreak="0">
    <w:nsid w:val="08CB7CF9"/>
    <w:multiLevelType w:val="hybridMultilevel"/>
    <w:tmpl w:val="51C69C10"/>
    <w:lvl w:ilvl="0" w:tplc="04090001">
      <w:start w:val="1"/>
      <w:numFmt w:val="bullet"/>
      <w:pStyle w:val="Para1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093038C8"/>
    <w:multiLevelType w:val="multilevel"/>
    <w:tmpl w:val="B0A2C476"/>
    <w:styleLink w:val="NumberedLists"/>
    <w:lvl w:ilvl="0">
      <w:start w:val="1"/>
      <w:numFmt w:val="decimal"/>
      <w:pStyle w:val="ListNumber"/>
      <w:lvlText w:val="%1."/>
      <w:lvlJc w:val="left"/>
      <w:pPr>
        <w:ind w:left="340" w:hanging="340"/>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1021" w:hanging="1021"/>
      </w:pPr>
      <w:rPr>
        <w:rFonts w:hint="default"/>
      </w:rPr>
    </w:lvl>
    <w:lvl w:ilvl="3">
      <w:start w:val="1"/>
      <w:numFmt w:val="decimal"/>
      <w:pStyle w:val="ListNumber4"/>
      <w:lvlText w:val="%1.%2.%3.%4."/>
      <w:lvlJc w:val="left"/>
      <w:pPr>
        <w:ind w:left="1361" w:hanging="1361"/>
      </w:pPr>
      <w:rPr>
        <w:rFonts w:hint="default"/>
      </w:rPr>
    </w:lvl>
    <w:lvl w:ilvl="4">
      <w:start w:val="1"/>
      <w:numFmt w:val="decimal"/>
      <w:pStyle w:val="ListNumber5"/>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09CF0B20"/>
    <w:multiLevelType w:val="hybridMultilevel"/>
    <w:tmpl w:val="54BADBDC"/>
    <w:lvl w:ilvl="0" w:tplc="092C556A">
      <w:start w:val="1"/>
      <w:numFmt w:val="bullet"/>
      <w:pStyle w:val="ContentBulletsArrow"/>
      <w:lvlText w:val="&gt;"/>
      <w:lvlJc w:val="left"/>
      <w:pPr>
        <w:ind w:left="4298" w:hanging="851"/>
      </w:pPr>
      <w:rPr>
        <w:rFonts w:ascii="Arial" w:hAnsi="Arial" w:hint="default"/>
      </w:rPr>
    </w:lvl>
    <w:lvl w:ilvl="1" w:tplc="04090003" w:tentative="1">
      <w:start w:val="1"/>
      <w:numFmt w:val="bullet"/>
      <w:lvlText w:val="o"/>
      <w:lvlJc w:val="left"/>
      <w:pPr>
        <w:ind w:left="5171" w:hanging="360"/>
      </w:pPr>
      <w:rPr>
        <w:rFonts w:ascii="Courier New" w:hAnsi="Courier New" w:hint="default"/>
      </w:rPr>
    </w:lvl>
    <w:lvl w:ilvl="2" w:tplc="04090005" w:tentative="1">
      <w:start w:val="1"/>
      <w:numFmt w:val="bullet"/>
      <w:lvlText w:val=""/>
      <w:lvlJc w:val="left"/>
      <w:pPr>
        <w:ind w:left="5891" w:hanging="360"/>
      </w:pPr>
      <w:rPr>
        <w:rFonts w:ascii="Wingdings" w:hAnsi="Wingdings" w:hint="default"/>
      </w:rPr>
    </w:lvl>
    <w:lvl w:ilvl="3" w:tplc="04090001" w:tentative="1">
      <w:start w:val="1"/>
      <w:numFmt w:val="bullet"/>
      <w:lvlText w:val=""/>
      <w:lvlJc w:val="left"/>
      <w:pPr>
        <w:ind w:left="6611" w:hanging="360"/>
      </w:pPr>
      <w:rPr>
        <w:rFonts w:ascii="Symbol" w:hAnsi="Symbol" w:hint="default"/>
      </w:rPr>
    </w:lvl>
    <w:lvl w:ilvl="4" w:tplc="04090003" w:tentative="1">
      <w:start w:val="1"/>
      <w:numFmt w:val="bullet"/>
      <w:lvlText w:val="o"/>
      <w:lvlJc w:val="left"/>
      <w:pPr>
        <w:ind w:left="7331" w:hanging="360"/>
      </w:pPr>
      <w:rPr>
        <w:rFonts w:ascii="Courier New" w:hAnsi="Courier New" w:hint="default"/>
      </w:rPr>
    </w:lvl>
    <w:lvl w:ilvl="5" w:tplc="04090005" w:tentative="1">
      <w:start w:val="1"/>
      <w:numFmt w:val="bullet"/>
      <w:lvlText w:val=""/>
      <w:lvlJc w:val="left"/>
      <w:pPr>
        <w:ind w:left="8051" w:hanging="360"/>
      </w:pPr>
      <w:rPr>
        <w:rFonts w:ascii="Wingdings" w:hAnsi="Wingdings" w:hint="default"/>
      </w:rPr>
    </w:lvl>
    <w:lvl w:ilvl="6" w:tplc="04090001" w:tentative="1">
      <w:start w:val="1"/>
      <w:numFmt w:val="bullet"/>
      <w:lvlText w:val=""/>
      <w:lvlJc w:val="left"/>
      <w:pPr>
        <w:ind w:left="8771" w:hanging="360"/>
      </w:pPr>
      <w:rPr>
        <w:rFonts w:ascii="Symbol" w:hAnsi="Symbol" w:hint="default"/>
      </w:rPr>
    </w:lvl>
    <w:lvl w:ilvl="7" w:tplc="04090003" w:tentative="1">
      <w:start w:val="1"/>
      <w:numFmt w:val="bullet"/>
      <w:lvlText w:val="o"/>
      <w:lvlJc w:val="left"/>
      <w:pPr>
        <w:ind w:left="9491" w:hanging="360"/>
      </w:pPr>
      <w:rPr>
        <w:rFonts w:ascii="Courier New" w:hAnsi="Courier New" w:hint="default"/>
      </w:rPr>
    </w:lvl>
    <w:lvl w:ilvl="8" w:tplc="04090005" w:tentative="1">
      <w:start w:val="1"/>
      <w:numFmt w:val="bullet"/>
      <w:lvlText w:val=""/>
      <w:lvlJc w:val="left"/>
      <w:pPr>
        <w:ind w:left="10211" w:hanging="360"/>
      </w:pPr>
      <w:rPr>
        <w:rFonts w:ascii="Wingdings" w:hAnsi="Wingdings" w:hint="default"/>
      </w:rPr>
    </w:lvl>
  </w:abstractNum>
  <w:abstractNum w:abstractNumId="12" w15:restartNumberingAfterBreak="0">
    <w:nsid w:val="09E53B47"/>
    <w:multiLevelType w:val="hybridMultilevel"/>
    <w:tmpl w:val="255CAABC"/>
    <w:lvl w:ilvl="0" w:tplc="14CC1B92">
      <w:start w:val="1"/>
      <w:numFmt w:val="bullet"/>
      <w:pStyle w:val="ContentBulletsDash"/>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0FBC4AC1"/>
    <w:multiLevelType w:val="hybridMultilevel"/>
    <w:tmpl w:val="F29613D6"/>
    <w:styleLink w:val="Appendix"/>
    <w:lvl w:ilvl="0" w:tplc="1FB4917A">
      <w:start w:val="1"/>
      <w:numFmt w:val="decimal"/>
      <w:pStyle w:val="AppendixTitle"/>
      <w:lvlText w:val="Appendix %1:"/>
      <w:lvlJc w:val="left"/>
      <w:pPr>
        <w:tabs>
          <w:tab w:val="num" w:pos="1985"/>
        </w:tabs>
        <w:ind w:left="0" w:firstLine="0"/>
      </w:pPr>
      <w:rPr>
        <w:rFonts w:hint="default"/>
      </w:rPr>
    </w:lvl>
    <w:lvl w:ilvl="1" w:tplc="87984AD4">
      <w:start w:val="1"/>
      <w:numFmt w:val="lowerLetter"/>
      <w:lvlText w:val="%2)"/>
      <w:lvlJc w:val="left"/>
      <w:pPr>
        <w:ind w:left="720" w:hanging="360"/>
      </w:pPr>
      <w:rPr>
        <w:rFonts w:hint="default"/>
      </w:rPr>
    </w:lvl>
    <w:lvl w:ilvl="2" w:tplc="09265AE0">
      <w:start w:val="1"/>
      <w:numFmt w:val="lowerRoman"/>
      <w:lvlText w:val="%3)"/>
      <w:lvlJc w:val="left"/>
      <w:pPr>
        <w:ind w:left="1080" w:hanging="360"/>
      </w:pPr>
      <w:rPr>
        <w:rFonts w:hint="default"/>
      </w:rPr>
    </w:lvl>
    <w:lvl w:ilvl="3" w:tplc="95CA03A0">
      <w:start w:val="1"/>
      <w:numFmt w:val="decimal"/>
      <w:lvlText w:val="(%4)"/>
      <w:lvlJc w:val="left"/>
      <w:pPr>
        <w:ind w:left="1440" w:hanging="360"/>
      </w:pPr>
      <w:rPr>
        <w:rFonts w:hint="default"/>
      </w:rPr>
    </w:lvl>
    <w:lvl w:ilvl="4" w:tplc="70502DD6">
      <w:start w:val="1"/>
      <w:numFmt w:val="lowerLetter"/>
      <w:lvlText w:val="(%5)"/>
      <w:lvlJc w:val="left"/>
      <w:pPr>
        <w:ind w:left="1800" w:hanging="360"/>
      </w:pPr>
      <w:rPr>
        <w:rFonts w:hint="default"/>
      </w:rPr>
    </w:lvl>
    <w:lvl w:ilvl="5" w:tplc="E7B24DEC">
      <w:start w:val="1"/>
      <w:numFmt w:val="lowerRoman"/>
      <w:lvlText w:val="(%6)"/>
      <w:lvlJc w:val="left"/>
      <w:pPr>
        <w:ind w:left="2160" w:hanging="360"/>
      </w:pPr>
      <w:rPr>
        <w:rFonts w:hint="default"/>
      </w:rPr>
    </w:lvl>
    <w:lvl w:ilvl="6" w:tplc="DDA464A0">
      <w:start w:val="1"/>
      <w:numFmt w:val="decimal"/>
      <w:lvlText w:val="%7."/>
      <w:lvlJc w:val="left"/>
      <w:pPr>
        <w:ind w:left="2520" w:hanging="360"/>
      </w:pPr>
      <w:rPr>
        <w:rFonts w:hint="default"/>
      </w:rPr>
    </w:lvl>
    <w:lvl w:ilvl="7" w:tplc="C196121E">
      <w:start w:val="1"/>
      <w:numFmt w:val="lowerLetter"/>
      <w:lvlText w:val="%8."/>
      <w:lvlJc w:val="left"/>
      <w:pPr>
        <w:ind w:left="2880" w:hanging="360"/>
      </w:pPr>
      <w:rPr>
        <w:rFonts w:hint="default"/>
      </w:rPr>
    </w:lvl>
    <w:lvl w:ilvl="8" w:tplc="6D584B0C">
      <w:start w:val="1"/>
      <w:numFmt w:val="lowerRoman"/>
      <w:lvlText w:val="%9."/>
      <w:lvlJc w:val="left"/>
      <w:pPr>
        <w:ind w:left="3240" w:hanging="360"/>
      </w:pPr>
      <w:rPr>
        <w:rFonts w:hint="default"/>
      </w:rPr>
    </w:lvl>
  </w:abstractNum>
  <w:abstractNum w:abstractNumId="14" w15:restartNumberingAfterBreak="0">
    <w:nsid w:val="13D220C7"/>
    <w:multiLevelType w:val="hybridMultilevel"/>
    <w:tmpl w:val="3CACEBD0"/>
    <w:lvl w:ilvl="0" w:tplc="00ACFD70">
      <w:start w:val="1"/>
      <w:numFmt w:val="bullet"/>
      <w:lvlText w:val="§"/>
      <w:lvlJc w:val="left"/>
      <w:pPr>
        <w:ind w:left="283" w:hanging="283"/>
      </w:pPr>
      <w:rPr>
        <w:rFonts w:ascii="Wingdings" w:hAnsi="Wingdings" w:hint="default"/>
        <w:color w:val="auto"/>
      </w:rPr>
    </w:lvl>
    <w:lvl w:ilvl="1" w:tplc="4878710E">
      <w:start w:val="1"/>
      <w:numFmt w:val="none"/>
      <w:lvlText w:val=""/>
      <w:lvlJc w:val="left"/>
      <w:pPr>
        <w:ind w:left="284" w:hanging="284"/>
      </w:pPr>
      <w:rPr>
        <w:rFonts w:hint="default"/>
      </w:rPr>
    </w:lvl>
    <w:lvl w:ilvl="2" w:tplc="886AB1DA">
      <w:start w:val="1"/>
      <w:numFmt w:val="none"/>
      <w:lvlRestart w:val="1"/>
      <w:lvlText w:val=""/>
      <w:lvlJc w:val="left"/>
      <w:pPr>
        <w:ind w:left="284" w:hanging="284"/>
      </w:pPr>
      <w:rPr>
        <w:rFonts w:hint="default"/>
      </w:rPr>
    </w:lvl>
    <w:lvl w:ilvl="3" w:tplc="7C96283C">
      <w:start w:val="1"/>
      <w:numFmt w:val="none"/>
      <w:lvlRestart w:val="1"/>
      <w:lvlText w:val=""/>
      <w:lvlJc w:val="left"/>
      <w:pPr>
        <w:ind w:left="284" w:hanging="284"/>
      </w:pPr>
      <w:rPr>
        <w:rFonts w:hint="default"/>
      </w:rPr>
    </w:lvl>
    <w:lvl w:ilvl="4" w:tplc="119E1DA0">
      <w:start w:val="1"/>
      <w:numFmt w:val="none"/>
      <w:lvlRestart w:val="1"/>
      <w:lvlText w:val=""/>
      <w:lvlJc w:val="left"/>
      <w:pPr>
        <w:ind w:left="284" w:hanging="284"/>
      </w:pPr>
      <w:rPr>
        <w:rFonts w:hint="default"/>
      </w:rPr>
    </w:lvl>
    <w:lvl w:ilvl="5" w:tplc="E51A95B4">
      <w:start w:val="1"/>
      <w:numFmt w:val="none"/>
      <w:lvlRestart w:val="1"/>
      <w:lvlText w:val=""/>
      <w:lvlJc w:val="left"/>
      <w:pPr>
        <w:ind w:left="284" w:hanging="284"/>
      </w:pPr>
      <w:rPr>
        <w:rFonts w:hint="default"/>
      </w:rPr>
    </w:lvl>
    <w:lvl w:ilvl="6" w:tplc="BC12B8D0">
      <w:start w:val="1"/>
      <w:numFmt w:val="none"/>
      <w:lvlRestart w:val="1"/>
      <w:lvlText w:val=""/>
      <w:lvlJc w:val="left"/>
      <w:pPr>
        <w:ind w:left="284" w:hanging="284"/>
      </w:pPr>
      <w:rPr>
        <w:rFonts w:hint="default"/>
      </w:rPr>
    </w:lvl>
    <w:lvl w:ilvl="7" w:tplc="81508242">
      <w:start w:val="1"/>
      <w:numFmt w:val="none"/>
      <w:lvlRestart w:val="1"/>
      <w:lvlText w:val=""/>
      <w:lvlJc w:val="left"/>
      <w:pPr>
        <w:ind w:left="284" w:hanging="284"/>
      </w:pPr>
      <w:rPr>
        <w:rFonts w:hint="default"/>
      </w:rPr>
    </w:lvl>
    <w:lvl w:ilvl="8" w:tplc="9C6EB82C">
      <w:start w:val="1"/>
      <w:numFmt w:val="none"/>
      <w:lvlRestart w:val="1"/>
      <w:lvlText w:val=""/>
      <w:lvlJc w:val="left"/>
      <w:pPr>
        <w:ind w:left="284" w:hanging="284"/>
      </w:pPr>
      <w:rPr>
        <w:rFonts w:hint="default"/>
      </w:rPr>
    </w:lvl>
  </w:abstractNum>
  <w:abstractNum w:abstractNumId="15" w15:restartNumberingAfterBreak="0">
    <w:nsid w:val="15156EB2"/>
    <w:multiLevelType w:val="hybridMultilevel"/>
    <w:tmpl w:val="BD3067A6"/>
    <w:lvl w:ilvl="0" w:tplc="1502764A">
      <w:start w:val="1"/>
      <w:numFmt w:val="lowerRoman"/>
      <w:pStyle w:val="Para0roman"/>
      <w:lvlText w:val="%1."/>
      <w:lvlJc w:val="left"/>
      <w:pPr>
        <w:ind w:left="425" w:hanging="425"/>
      </w:pPr>
    </w:lvl>
    <w:lvl w:ilvl="1" w:tplc="53C2C146">
      <w:start w:val="1"/>
      <w:numFmt w:val="none"/>
      <w:lvlRestart w:val="0"/>
      <w:lvlText w:val=""/>
      <w:lvlJc w:val="left"/>
      <w:pPr>
        <w:ind w:left="425" w:hanging="425"/>
      </w:pPr>
    </w:lvl>
    <w:lvl w:ilvl="2" w:tplc="517203AE">
      <w:start w:val="1"/>
      <w:numFmt w:val="none"/>
      <w:lvlRestart w:val="0"/>
      <w:lvlText w:val=""/>
      <w:lvlJc w:val="left"/>
      <w:pPr>
        <w:ind w:left="425" w:hanging="425"/>
      </w:pPr>
    </w:lvl>
    <w:lvl w:ilvl="3" w:tplc="A538D910">
      <w:start w:val="1"/>
      <w:numFmt w:val="none"/>
      <w:lvlRestart w:val="0"/>
      <w:lvlText w:val=""/>
      <w:lvlJc w:val="left"/>
      <w:pPr>
        <w:ind w:left="425" w:hanging="425"/>
      </w:pPr>
    </w:lvl>
    <w:lvl w:ilvl="4" w:tplc="BACC95D4">
      <w:start w:val="1"/>
      <w:numFmt w:val="none"/>
      <w:lvlRestart w:val="0"/>
      <w:lvlText w:val=""/>
      <w:lvlJc w:val="left"/>
      <w:pPr>
        <w:ind w:left="425" w:hanging="425"/>
      </w:pPr>
    </w:lvl>
    <w:lvl w:ilvl="5" w:tplc="7EA4BBE2">
      <w:start w:val="1"/>
      <w:numFmt w:val="none"/>
      <w:lvlRestart w:val="0"/>
      <w:lvlText w:val=""/>
      <w:lvlJc w:val="left"/>
      <w:pPr>
        <w:ind w:left="425" w:hanging="425"/>
      </w:pPr>
    </w:lvl>
    <w:lvl w:ilvl="6" w:tplc="4D58BFFE">
      <w:start w:val="1"/>
      <w:numFmt w:val="none"/>
      <w:lvlRestart w:val="0"/>
      <w:lvlText w:val=""/>
      <w:lvlJc w:val="left"/>
      <w:pPr>
        <w:ind w:left="425" w:hanging="425"/>
      </w:pPr>
    </w:lvl>
    <w:lvl w:ilvl="7" w:tplc="11DC7326">
      <w:start w:val="1"/>
      <w:numFmt w:val="none"/>
      <w:lvlRestart w:val="0"/>
      <w:lvlText w:val=""/>
      <w:lvlJc w:val="left"/>
      <w:pPr>
        <w:ind w:left="425" w:hanging="425"/>
      </w:pPr>
    </w:lvl>
    <w:lvl w:ilvl="8" w:tplc="FA5E9486">
      <w:start w:val="1"/>
      <w:numFmt w:val="none"/>
      <w:lvlRestart w:val="0"/>
      <w:lvlText w:val=""/>
      <w:lvlJc w:val="left"/>
      <w:pPr>
        <w:ind w:left="425" w:hanging="425"/>
      </w:pPr>
    </w:lvl>
  </w:abstractNum>
  <w:abstractNum w:abstractNumId="16" w15:restartNumberingAfterBreak="0">
    <w:nsid w:val="15E5380E"/>
    <w:multiLevelType w:val="multilevel"/>
    <w:tmpl w:val="B0A2C476"/>
    <w:numStyleLink w:val="NumberedLists"/>
  </w:abstractNum>
  <w:abstractNum w:abstractNumId="17" w15:restartNumberingAfterBreak="0">
    <w:nsid w:val="16BA0F16"/>
    <w:multiLevelType w:val="hybridMultilevel"/>
    <w:tmpl w:val="EC262C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7C10C25"/>
    <w:multiLevelType w:val="hybridMultilevel"/>
    <w:tmpl w:val="080ABF0C"/>
    <w:lvl w:ilvl="0" w:tplc="64F447A6">
      <w:start w:val="1"/>
      <w:numFmt w:val="bullet"/>
      <w:lvlText w:val=""/>
      <w:lvlJc w:val="left"/>
      <w:pPr>
        <w:ind w:left="425" w:hanging="425"/>
      </w:pPr>
      <w:rPr>
        <w:rFonts w:ascii="Symbol" w:hAnsi="Symbol" w:hint="default"/>
        <w:color w:val="auto"/>
        <w:sz w:val="18"/>
      </w:rPr>
    </w:lvl>
    <w:lvl w:ilvl="1" w:tplc="3D68135A">
      <w:start w:val="1"/>
      <w:numFmt w:val="bullet"/>
      <w:lvlText w:val="-"/>
      <w:lvlJc w:val="left"/>
      <w:pPr>
        <w:ind w:left="851" w:hanging="426"/>
      </w:pPr>
      <w:rPr>
        <w:rFonts w:ascii="Arial" w:hAnsi="Arial" w:hint="default"/>
        <w:color w:val="000000" w:themeColor="text1"/>
        <w:sz w:val="18"/>
      </w:rPr>
    </w:lvl>
    <w:lvl w:ilvl="2" w:tplc="C854B2B4">
      <w:start w:val="1"/>
      <w:numFmt w:val="none"/>
      <w:lvlRestart w:val="0"/>
      <w:lvlText w:val=""/>
      <w:lvlJc w:val="left"/>
      <w:pPr>
        <w:ind w:left="851" w:hanging="426"/>
      </w:pPr>
      <w:rPr>
        <w:rFonts w:hint="default"/>
      </w:rPr>
    </w:lvl>
    <w:lvl w:ilvl="3" w:tplc="2174D912">
      <w:start w:val="1"/>
      <w:numFmt w:val="none"/>
      <w:lvlRestart w:val="0"/>
      <w:lvlText w:val=""/>
      <w:lvlJc w:val="left"/>
      <w:pPr>
        <w:ind w:left="851" w:hanging="426"/>
      </w:pPr>
      <w:rPr>
        <w:rFonts w:hint="default"/>
      </w:rPr>
    </w:lvl>
    <w:lvl w:ilvl="4" w:tplc="2C6CB9E4">
      <w:start w:val="1"/>
      <w:numFmt w:val="none"/>
      <w:lvlRestart w:val="0"/>
      <w:lvlText w:val=""/>
      <w:lvlJc w:val="left"/>
      <w:pPr>
        <w:ind w:left="851" w:hanging="426"/>
      </w:pPr>
      <w:rPr>
        <w:rFonts w:hint="default"/>
      </w:rPr>
    </w:lvl>
    <w:lvl w:ilvl="5" w:tplc="F664DFE6">
      <w:start w:val="1"/>
      <w:numFmt w:val="none"/>
      <w:lvlRestart w:val="0"/>
      <w:lvlText w:val=""/>
      <w:lvlJc w:val="left"/>
      <w:pPr>
        <w:ind w:left="851" w:hanging="426"/>
      </w:pPr>
      <w:rPr>
        <w:rFonts w:hint="default"/>
      </w:rPr>
    </w:lvl>
    <w:lvl w:ilvl="6" w:tplc="1724419E">
      <w:start w:val="1"/>
      <w:numFmt w:val="none"/>
      <w:lvlRestart w:val="0"/>
      <w:lvlText w:val=""/>
      <w:lvlJc w:val="left"/>
      <w:pPr>
        <w:ind w:left="851" w:hanging="426"/>
      </w:pPr>
      <w:rPr>
        <w:rFonts w:hint="default"/>
      </w:rPr>
    </w:lvl>
    <w:lvl w:ilvl="7" w:tplc="983E2190">
      <w:start w:val="1"/>
      <w:numFmt w:val="none"/>
      <w:lvlRestart w:val="0"/>
      <w:lvlText w:val=""/>
      <w:lvlJc w:val="left"/>
      <w:pPr>
        <w:ind w:left="851" w:hanging="426"/>
      </w:pPr>
      <w:rPr>
        <w:rFonts w:hint="default"/>
      </w:rPr>
    </w:lvl>
    <w:lvl w:ilvl="8" w:tplc="1A127BF6">
      <w:start w:val="1"/>
      <w:numFmt w:val="none"/>
      <w:lvlRestart w:val="0"/>
      <w:lvlText w:val=""/>
      <w:lvlJc w:val="left"/>
      <w:pPr>
        <w:ind w:left="851" w:hanging="426"/>
      </w:pPr>
      <w:rPr>
        <w:rFonts w:hint="default"/>
      </w:rPr>
    </w:lvl>
  </w:abstractNum>
  <w:abstractNum w:abstractNumId="19" w15:restartNumberingAfterBreak="0">
    <w:nsid w:val="18647185"/>
    <w:multiLevelType w:val="hybridMultilevel"/>
    <w:tmpl w:val="786660E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 w15:restartNumberingAfterBreak="0">
    <w:nsid w:val="193F486F"/>
    <w:multiLevelType w:val="hybridMultilevel"/>
    <w:tmpl w:val="38B0FF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9D25293"/>
    <w:multiLevelType w:val="hybridMultilevel"/>
    <w:tmpl w:val="26A4C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AAF62F5"/>
    <w:multiLevelType w:val="hybridMultilevel"/>
    <w:tmpl w:val="5FE2F0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B734245"/>
    <w:multiLevelType w:val="hybridMultilevel"/>
    <w:tmpl w:val="7AD4B26A"/>
    <w:lvl w:ilvl="0" w:tplc="C52E0142">
      <w:start w:val="1"/>
      <w:numFmt w:val="bullet"/>
      <w:lvlText w:val=""/>
      <w:lvlJc w:val="left"/>
      <w:pPr>
        <w:ind w:left="425" w:hanging="425"/>
      </w:pPr>
      <w:rPr>
        <w:rFonts w:ascii="Symbol" w:hAnsi="Symbol" w:hint="default"/>
        <w:color w:val="auto"/>
        <w:sz w:val="18"/>
      </w:rPr>
    </w:lvl>
    <w:lvl w:ilvl="1" w:tplc="AC385FD4">
      <w:start w:val="1"/>
      <w:numFmt w:val="bullet"/>
      <w:pStyle w:val="Para1dash"/>
      <w:lvlText w:val="-"/>
      <w:lvlJc w:val="left"/>
      <w:pPr>
        <w:ind w:left="851" w:hanging="426"/>
      </w:pPr>
      <w:rPr>
        <w:rFonts w:ascii="Arial" w:hAnsi="Arial" w:cs="Times New Roman" w:hint="default"/>
        <w:color w:val="000000" w:themeColor="text1"/>
        <w:sz w:val="18"/>
      </w:rPr>
    </w:lvl>
    <w:lvl w:ilvl="2" w:tplc="D3CCB890">
      <w:start w:val="1"/>
      <w:numFmt w:val="none"/>
      <w:lvlRestart w:val="0"/>
      <w:lvlText w:val=""/>
      <w:lvlJc w:val="left"/>
      <w:pPr>
        <w:ind w:left="851" w:hanging="426"/>
      </w:pPr>
    </w:lvl>
    <w:lvl w:ilvl="3" w:tplc="ECFC10F6">
      <w:start w:val="1"/>
      <w:numFmt w:val="none"/>
      <w:lvlRestart w:val="0"/>
      <w:lvlText w:val=""/>
      <w:lvlJc w:val="left"/>
      <w:pPr>
        <w:ind w:left="851" w:hanging="426"/>
      </w:pPr>
    </w:lvl>
    <w:lvl w:ilvl="4" w:tplc="17E62570">
      <w:start w:val="1"/>
      <w:numFmt w:val="none"/>
      <w:lvlRestart w:val="0"/>
      <w:lvlText w:val=""/>
      <w:lvlJc w:val="left"/>
      <w:pPr>
        <w:ind w:left="851" w:hanging="426"/>
      </w:pPr>
    </w:lvl>
    <w:lvl w:ilvl="5" w:tplc="87A2B8A4">
      <w:start w:val="1"/>
      <w:numFmt w:val="none"/>
      <w:lvlRestart w:val="0"/>
      <w:lvlText w:val=""/>
      <w:lvlJc w:val="left"/>
      <w:pPr>
        <w:ind w:left="851" w:hanging="426"/>
      </w:pPr>
    </w:lvl>
    <w:lvl w:ilvl="6" w:tplc="F0AEDDA4">
      <w:start w:val="1"/>
      <w:numFmt w:val="none"/>
      <w:lvlRestart w:val="0"/>
      <w:lvlText w:val=""/>
      <w:lvlJc w:val="left"/>
      <w:pPr>
        <w:ind w:left="851" w:hanging="426"/>
      </w:pPr>
    </w:lvl>
    <w:lvl w:ilvl="7" w:tplc="6664969C">
      <w:start w:val="1"/>
      <w:numFmt w:val="none"/>
      <w:lvlRestart w:val="0"/>
      <w:lvlText w:val=""/>
      <w:lvlJc w:val="left"/>
      <w:pPr>
        <w:ind w:left="851" w:hanging="426"/>
      </w:pPr>
    </w:lvl>
    <w:lvl w:ilvl="8" w:tplc="6BD09CC2">
      <w:start w:val="1"/>
      <w:numFmt w:val="none"/>
      <w:lvlRestart w:val="0"/>
      <w:lvlText w:val=""/>
      <w:lvlJc w:val="left"/>
      <w:pPr>
        <w:ind w:left="851" w:hanging="426"/>
      </w:pPr>
    </w:lvl>
  </w:abstractNum>
  <w:abstractNum w:abstractNumId="24" w15:restartNumberingAfterBreak="0">
    <w:nsid w:val="20A93BB0"/>
    <w:multiLevelType w:val="hybridMultilevel"/>
    <w:tmpl w:val="403A3D04"/>
    <w:styleLink w:val="SKMBulletList1"/>
    <w:lvl w:ilvl="0" w:tplc="35F69662">
      <w:start w:val="1"/>
      <w:numFmt w:val="decimal"/>
      <w:pStyle w:val="Para0number"/>
      <w:lvlText w:val="%1)"/>
      <w:lvlJc w:val="left"/>
      <w:pPr>
        <w:ind w:left="425" w:hanging="425"/>
      </w:pPr>
    </w:lvl>
    <w:lvl w:ilvl="1" w:tplc="95960C86">
      <w:start w:val="1"/>
      <w:numFmt w:val="lowerLetter"/>
      <w:pStyle w:val="Para1letter"/>
      <w:lvlText w:val="%2)"/>
      <w:lvlJc w:val="left"/>
      <w:pPr>
        <w:ind w:left="851" w:hanging="426"/>
      </w:pPr>
    </w:lvl>
    <w:lvl w:ilvl="2" w:tplc="EE48C878">
      <w:start w:val="1"/>
      <w:numFmt w:val="lowerRoman"/>
      <w:pStyle w:val="Para2roman"/>
      <w:lvlText w:val="%3."/>
      <w:lvlJc w:val="left"/>
      <w:pPr>
        <w:ind w:left="1276" w:hanging="425"/>
      </w:pPr>
    </w:lvl>
    <w:lvl w:ilvl="3" w:tplc="3FAC1304">
      <w:start w:val="1"/>
      <w:numFmt w:val="none"/>
      <w:lvlRestart w:val="0"/>
      <w:lvlText w:val=""/>
      <w:lvlJc w:val="left"/>
      <w:pPr>
        <w:ind w:left="1276" w:hanging="425"/>
      </w:pPr>
    </w:lvl>
    <w:lvl w:ilvl="4" w:tplc="DFE629EA">
      <w:start w:val="1"/>
      <w:numFmt w:val="none"/>
      <w:lvlRestart w:val="0"/>
      <w:lvlText w:val=""/>
      <w:lvlJc w:val="left"/>
      <w:pPr>
        <w:ind w:left="1276" w:hanging="425"/>
      </w:pPr>
    </w:lvl>
    <w:lvl w:ilvl="5" w:tplc="38FCA044">
      <w:start w:val="1"/>
      <w:numFmt w:val="none"/>
      <w:lvlRestart w:val="0"/>
      <w:lvlText w:val=""/>
      <w:lvlJc w:val="left"/>
      <w:pPr>
        <w:ind w:left="1276" w:hanging="425"/>
      </w:pPr>
    </w:lvl>
    <w:lvl w:ilvl="6" w:tplc="F282F18E">
      <w:start w:val="1"/>
      <w:numFmt w:val="none"/>
      <w:lvlRestart w:val="0"/>
      <w:lvlText w:val=""/>
      <w:lvlJc w:val="left"/>
      <w:pPr>
        <w:ind w:left="1276" w:hanging="425"/>
      </w:pPr>
    </w:lvl>
    <w:lvl w:ilvl="7" w:tplc="98BCE5BC">
      <w:start w:val="1"/>
      <w:numFmt w:val="none"/>
      <w:lvlRestart w:val="0"/>
      <w:lvlText w:val=""/>
      <w:lvlJc w:val="left"/>
      <w:pPr>
        <w:ind w:left="1276" w:hanging="425"/>
      </w:pPr>
    </w:lvl>
    <w:lvl w:ilvl="8" w:tplc="FC9C93CA">
      <w:start w:val="1"/>
      <w:numFmt w:val="none"/>
      <w:lvlRestart w:val="0"/>
      <w:lvlText w:val=""/>
      <w:lvlJc w:val="left"/>
      <w:pPr>
        <w:ind w:left="1276" w:hanging="425"/>
      </w:pPr>
    </w:lvl>
  </w:abstractNum>
  <w:abstractNum w:abstractNumId="25" w15:restartNumberingAfterBreak="0">
    <w:nsid w:val="20B90F76"/>
    <w:multiLevelType w:val="hybridMultilevel"/>
    <w:tmpl w:val="96D053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2F540A4"/>
    <w:multiLevelType w:val="hybridMultilevel"/>
    <w:tmpl w:val="0C4AB2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319309A"/>
    <w:multiLevelType w:val="multilevel"/>
    <w:tmpl w:val="6098423A"/>
    <w:lvl w:ilvl="0">
      <w:start w:val="1"/>
      <w:numFmt w:val="decimal"/>
      <w:pStyle w:val="Tablesmallitem"/>
      <w:suff w:val="nothing"/>
      <w:lvlText w:val="%1"/>
      <w:lvlJc w:val="left"/>
      <w:pPr>
        <w:ind w:left="0" w:firstLine="0"/>
      </w:pPr>
    </w:lvl>
    <w:lvl w:ilvl="1">
      <w:start w:val="1"/>
      <w:numFmt w:val="decimal"/>
      <w:suff w:val="nothing"/>
      <w:lvlText w:val="%1.%2"/>
      <w:lvlJc w:val="left"/>
      <w:pPr>
        <w:ind w:left="0" w:firstLine="0"/>
      </w:pPr>
    </w:lvl>
    <w:lvl w:ilvl="2">
      <w:start w:val="1"/>
      <w:numFmt w:val="decimal"/>
      <w:suff w:val="nothing"/>
      <w:lvlText w:val="%1.%2.%3"/>
      <w:lvlJc w:val="left"/>
      <w:pPr>
        <w:ind w:left="0" w:firstLine="0"/>
      </w:pPr>
    </w:lvl>
    <w:lvl w:ilvl="3">
      <w:start w:val="1"/>
      <w:numFmt w:val="decimal"/>
      <w:suff w:val="nothing"/>
      <w:lvlText w:val="%1.%2.%3.%4"/>
      <w:lvlJc w:val="left"/>
      <w:pPr>
        <w:ind w:left="0" w:firstLine="0"/>
      </w:pPr>
    </w:lvl>
    <w:lvl w:ilvl="4">
      <w:start w:val="1"/>
      <w:numFmt w:val="decimal"/>
      <w:suff w:val="nothing"/>
      <w:lvlText w:val="%1.%2.%3.%4.%5"/>
      <w:lvlJc w:val="left"/>
      <w:pPr>
        <w:ind w:left="0" w:firstLine="0"/>
      </w:pPr>
    </w:lvl>
    <w:lvl w:ilvl="5">
      <w:start w:val="1"/>
      <w:numFmt w:val="decimal"/>
      <w:suff w:val="nothing"/>
      <w:lvlText w:val="%1.%2.%3.%4.%5.%6"/>
      <w:lvlJc w:val="left"/>
      <w:pPr>
        <w:ind w:left="0" w:firstLine="0"/>
      </w:pPr>
    </w:lvl>
    <w:lvl w:ilvl="6">
      <w:start w:val="1"/>
      <w:numFmt w:val="decimal"/>
      <w:suff w:val="nothing"/>
      <w:lvlText w:val="%1.%2.%3.%4.%5.%6.%7"/>
      <w:lvlJc w:val="left"/>
      <w:pPr>
        <w:ind w:left="0" w:firstLine="0"/>
      </w:pPr>
    </w:lvl>
    <w:lvl w:ilvl="7">
      <w:start w:val="1"/>
      <w:numFmt w:val="decimal"/>
      <w:suff w:val="nothing"/>
      <w:lvlText w:val="%1.%2.%3.%4.%5.%6.%7.%8"/>
      <w:lvlJc w:val="left"/>
      <w:pPr>
        <w:ind w:left="0" w:firstLine="0"/>
      </w:pPr>
    </w:lvl>
    <w:lvl w:ilvl="8">
      <w:start w:val="1"/>
      <w:numFmt w:val="decimal"/>
      <w:suff w:val="nothing"/>
      <w:lvlText w:val="%1.%2.%3.%4.%5.%6.%7.%8.%9"/>
      <w:lvlJc w:val="left"/>
      <w:pPr>
        <w:ind w:left="0" w:firstLine="0"/>
      </w:pPr>
    </w:lvl>
  </w:abstractNum>
  <w:abstractNum w:abstractNumId="28" w15:restartNumberingAfterBreak="0">
    <w:nsid w:val="23F77A76"/>
    <w:multiLevelType w:val="hybridMultilevel"/>
    <w:tmpl w:val="8CD67896"/>
    <w:lvl w:ilvl="0" w:tplc="3D68135A">
      <w:start w:val="1"/>
      <w:numFmt w:val="bullet"/>
      <w:lvlText w:val="-"/>
      <w:lvlJc w:val="left"/>
      <w:pPr>
        <w:ind w:left="1003" w:hanging="360"/>
      </w:pPr>
      <w:rPr>
        <w:rFonts w:ascii="Arial" w:hAnsi="Arial" w:hint="default"/>
        <w:color w:val="000000" w:themeColor="text1"/>
        <w:sz w:val="18"/>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29" w15:restartNumberingAfterBreak="0">
    <w:nsid w:val="244C2EDA"/>
    <w:multiLevelType w:val="hybridMultilevel"/>
    <w:tmpl w:val="42C051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5B8443A"/>
    <w:multiLevelType w:val="hybridMultilevel"/>
    <w:tmpl w:val="309C58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5FF6CFE"/>
    <w:multiLevelType w:val="hybridMultilevel"/>
    <w:tmpl w:val="D084D38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9027F2D"/>
    <w:multiLevelType w:val="hybridMultilevel"/>
    <w:tmpl w:val="6BF2C108"/>
    <w:lvl w:ilvl="0" w:tplc="D8B8BBBA">
      <w:start w:val="1"/>
      <w:numFmt w:val="bullet"/>
      <w:lvlText w:val="•"/>
      <w:lvlJc w:val="left"/>
      <w:pPr>
        <w:tabs>
          <w:tab w:val="num" w:pos="720"/>
        </w:tabs>
        <w:ind w:left="720" w:hanging="360"/>
      </w:pPr>
      <w:rPr>
        <w:rFonts w:ascii="Arial" w:hAnsi="Arial" w:hint="default"/>
      </w:rPr>
    </w:lvl>
    <w:lvl w:ilvl="1" w:tplc="5A165690" w:tentative="1">
      <w:start w:val="1"/>
      <w:numFmt w:val="bullet"/>
      <w:lvlText w:val="•"/>
      <w:lvlJc w:val="left"/>
      <w:pPr>
        <w:tabs>
          <w:tab w:val="num" w:pos="1440"/>
        </w:tabs>
        <w:ind w:left="1440" w:hanging="360"/>
      </w:pPr>
      <w:rPr>
        <w:rFonts w:ascii="Arial" w:hAnsi="Arial" w:hint="default"/>
      </w:rPr>
    </w:lvl>
    <w:lvl w:ilvl="2" w:tplc="3120E06A" w:tentative="1">
      <w:start w:val="1"/>
      <w:numFmt w:val="bullet"/>
      <w:lvlText w:val="•"/>
      <w:lvlJc w:val="left"/>
      <w:pPr>
        <w:tabs>
          <w:tab w:val="num" w:pos="2160"/>
        </w:tabs>
        <w:ind w:left="2160" w:hanging="360"/>
      </w:pPr>
      <w:rPr>
        <w:rFonts w:ascii="Arial" w:hAnsi="Arial" w:hint="default"/>
      </w:rPr>
    </w:lvl>
    <w:lvl w:ilvl="3" w:tplc="02F491CC" w:tentative="1">
      <w:start w:val="1"/>
      <w:numFmt w:val="bullet"/>
      <w:lvlText w:val="•"/>
      <w:lvlJc w:val="left"/>
      <w:pPr>
        <w:tabs>
          <w:tab w:val="num" w:pos="2880"/>
        </w:tabs>
        <w:ind w:left="2880" w:hanging="360"/>
      </w:pPr>
      <w:rPr>
        <w:rFonts w:ascii="Arial" w:hAnsi="Arial" w:hint="default"/>
      </w:rPr>
    </w:lvl>
    <w:lvl w:ilvl="4" w:tplc="B2EA5ABE" w:tentative="1">
      <w:start w:val="1"/>
      <w:numFmt w:val="bullet"/>
      <w:lvlText w:val="•"/>
      <w:lvlJc w:val="left"/>
      <w:pPr>
        <w:tabs>
          <w:tab w:val="num" w:pos="3600"/>
        </w:tabs>
        <w:ind w:left="3600" w:hanging="360"/>
      </w:pPr>
      <w:rPr>
        <w:rFonts w:ascii="Arial" w:hAnsi="Arial" w:hint="default"/>
      </w:rPr>
    </w:lvl>
    <w:lvl w:ilvl="5" w:tplc="AD7ABE08" w:tentative="1">
      <w:start w:val="1"/>
      <w:numFmt w:val="bullet"/>
      <w:lvlText w:val="•"/>
      <w:lvlJc w:val="left"/>
      <w:pPr>
        <w:tabs>
          <w:tab w:val="num" w:pos="4320"/>
        </w:tabs>
        <w:ind w:left="4320" w:hanging="360"/>
      </w:pPr>
      <w:rPr>
        <w:rFonts w:ascii="Arial" w:hAnsi="Arial" w:hint="default"/>
      </w:rPr>
    </w:lvl>
    <w:lvl w:ilvl="6" w:tplc="B43AA7DC" w:tentative="1">
      <w:start w:val="1"/>
      <w:numFmt w:val="bullet"/>
      <w:lvlText w:val="•"/>
      <w:lvlJc w:val="left"/>
      <w:pPr>
        <w:tabs>
          <w:tab w:val="num" w:pos="5040"/>
        </w:tabs>
        <w:ind w:left="5040" w:hanging="360"/>
      </w:pPr>
      <w:rPr>
        <w:rFonts w:ascii="Arial" w:hAnsi="Arial" w:hint="default"/>
      </w:rPr>
    </w:lvl>
    <w:lvl w:ilvl="7" w:tplc="0F708936" w:tentative="1">
      <w:start w:val="1"/>
      <w:numFmt w:val="bullet"/>
      <w:lvlText w:val="•"/>
      <w:lvlJc w:val="left"/>
      <w:pPr>
        <w:tabs>
          <w:tab w:val="num" w:pos="5760"/>
        </w:tabs>
        <w:ind w:left="5760" w:hanging="360"/>
      </w:pPr>
      <w:rPr>
        <w:rFonts w:ascii="Arial" w:hAnsi="Arial" w:hint="default"/>
      </w:rPr>
    </w:lvl>
    <w:lvl w:ilvl="8" w:tplc="4E72D054"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297D5DDB"/>
    <w:multiLevelType w:val="hybridMultilevel"/>
    <w:tmpl w:val="E8662322"/>
    <w:lvl w:ilvl="0" w:tplc="BF84D762">
      <w:start w:val="1"/>
      <w:numFmt w:val="bullet"/>
      <w:pStyle w:val="Para0arrow"/>
      <w:lvlText w:val=""/>
      <w:lvlJc w:val="left"/>
      <w:pPr>
        <w:ind w:left="425" w:hanging="425"/>
      </w:pPr>
      <w:rPr>
        <w:rFonts w:ascii="Symbol" w:hAnsi="Symbol" w:hint="default"/>
        <w:color w:val="auto"/>
      </w:rPr>
    </w:lvl>
    <w:lvl w:ilvl="1" w:tplc="434C4BFA">
      <w:start w:val="1"/>
      <w:numFmt w:val="none"/>
      <w:lvlText w:val=""/>
      <w:lvlJc w:val="left"/>
      <w:pPr>
        <w:ind w:left="425" w:hanging="425"/>
      </w:pPr>
    </w:lvl>
    <w:lvl w:ilvl="2" w:tplc="29644982">
      <w:start w:val="1"/>
      <w:numFmt w:val="none"/>
      <w:lvlRestart w:val="1"/>
      <w:lvlText w:val=""/>
      <w:lvlJc w:val="left"/>
      <w:pPr>
        <w:ind w:left="425" w:hanging="425"/>
      </w:pPr>
    </w:lvl>
    <w:lvl w:ilvl="3" w:tplc="5B2AAF5E">
      <w:start w:val="1"/>
      <w:numFmt w:val="none"/>
      <w:lvlRestart w:val="1"/>
      <w:lvlText w:val=""/>
      <w:lvlJc w:val="left"/>
      <w:pPr>
        <w:ind w:left="425" w:hanging="425"/>
      </w:pPr>
    </w:lvl>
    <w:lvl w:ilvl="4" w:tplc="16AAF232">
      <w:start w:val="1"/>
      <w:numFmt w:val="none"/>
      <w:lvlRestart w:val="1"/>
      <w:lvlText w:val=""/>
      <w:lvlJc w:val="left"/>
      <w:pPr>
        <w:ind w:left="425" w:hanging="425"/>
      </w:pPr>
    </w:lvl>
    <w:lvl w:ilvl="5" w:tplc="FB8811FA">
      <w:start w:val="1"/>
      <w:numFmt w:val="none"/>
      <w:lvlRestart w:val="1"/>
      <w:lvlText w:val=""/>
      <w:lvlJc w:val="left"/>
      <w:pPr>
        <w:ind w:left="425" w:hanging="425"/>
      </w:pPr>
    </w:lvl>
    <w:lvl w:ilvl="6" w:tplc="F562509E">
      <w:start w:val="1"/>
      <w:numFmt w:val="none"/>
      <w:lvlRestart w:val="1"/>
      <w:lvlText w:val=""/>
      <w:lvlJc w:val="left"/>
      <w:pPr>
        <w:ind w:left="425" w:hanging="425"/>
      </w:pPr>
    </w:lvl>
    <w:lvl w:ilvl="7" w:tplc="0EDEA816">
      <w:start w:val="1"/>
      <w:numFmt w:val="none"/>
      <w:lvlRestart w:val="1"/>
      <w:lvlText w:val=""/>
      <w:lvlJc w:val="left"/>
      <w:pPr>
        <w:ind w:left="425" w:hanging="425"/>
      </w:pPr>
    </w:lvl>
    <w:lvl w:ilvl="8" w:tplc="F780A436">
      <w:start w:val="1"/>
      <w:numFmt w:val="none"/>
      <w:lvlRestart w:val="1"/>
      <w:lvlText w:val=""/>
      <w:lvlJc w:val="left"/>
      <w:pPr>
        <w:ind w:left="425" w:hanging="425"/>
      </w:pPr>
    </w:lvl>
  </w:abstractNum>
  <w:abstractNum w:abstractNumId="34" w15:restartNumberingAfterBreak="0">
    <w:nsid w:val="2AFC3193"/>
    <w:multiLevelType w:val="hybridMultilevel"/>
    <w:tmpl w:val="AC8AB024"/>
    <w:lvl w:ilvl="0" w:tplc="A02EA252">
      <w:start w:val="1"/>
      <w:numFmt w:val="lowerLetter"/>
      <w:pStyle w:val="ContentBulletsLetter"/>
      <w:lvlText w:val="%1)"/>
      <w:lvlJc w:val="left"/>
      <w:pPr>
        <w:ind w:left="1418" w:hanging="851"/>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2B7E3D29"/>
    <w:multiLevelType w:val="hybridMultilevel"/>
    <w:tmpl w:val="08609D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C3112BA"/>
    <w:multiLevelType w:val="hybridMultilevel"/>
    <w:tmpl w:val="26249CB6"/>
    <w:lvl w:ilvl="0" w:tplc="0C090001">
      <w:start w:val="1"/>
      <w:numFmt w:val="bullet"/>
      <w:pStyle w:val="Para2letter"/>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C42273E"/>
    <w:multiLevelType w:val="hybridMultilevel"/>
    <w:tmpl w:val="68505C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D846B17"/>
    <w:multiLevelType w:val="multilevel"/>
    <w:tmpl w:val="27B8075E"/>
    <w:lvl w:ilvl="0">
      <w:start w:val="1"/>
      <w:numFmt w:val="decimal"/>
      <w:pStyle w:val="UoMCHeadingAttachmentLvl1UoM"/>
      <w:lvlText w:val="Attachment %1"/>
      <w:lvlJc w:val="left"/>
      <w:pPr>
        <w:tabs>
          <w:tab w:val="num" w:pos="720"/>
        </w:tabs>
        <w:ind w:left="0" w:firstLine="0"/>
      </w:pPr>
    </w:lvl>
    <w:lvl w:ilvl="1">
      <w:start w:val="1"/>
      <w:numFmt w:val="decimal"/>
      <w:pStyle w:val="UoMCHeadingAttachmentsLvl2UoM"/>
      <w:lvlText w:val="Attachment %1.%2"/>
      <w:lvlJc w:val="left"/>
      <w:pPr>
        <w:tabs>
          <w:tab w:val="num" w:pos="72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pStyle w:val="UoMCHeadingAttachmentLvl1UoM"/>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39" w15:restartNumberingAfterBreak="0">
    <w:nsid w:val="2E61760F"/>
    <w:multiLevelType w:val="hybridMultilevel"/>
    <w:tmpl w:val="D45C52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EF47A25"/>
    <w:multiLevelType w:val="hybridMultilevel"/>
    <w:tmpl w:val="8BC81D84"/>
    <w:lvl w:ilvl="0" w:tplc="C6A41476">
      <w:start w:val="1"/>
      <w:numFmt w:val="lowerLetter"/>
      <w:pStyle w:val="Tablesmallletter"/>
      <w:lvlText w:val="%1)"/>
      <w:lvlJc w:val="left"/>
      <w:pPr>
        <w:ind w:left="284" w:hanging="284"/>
      </w:pPr>
    </w:lvl>
    <w:lvl w:ilvl="1" w:tplc="33EC46A4">
      <w:start w:val="1"/>
      <w:numFmt w:val="none"/>
      <w:lvlText w:val=""/>
      <w:lvlJc w:val="left"/>
      <w:pPr>
        <w:ind w:left="284" w:hanging="284"/>
      </w:pPr>
    </w:lvl>
    <w:lvl w:ilvl="2" w:tplc="86D89336">
      <w:start w:val="1"/>
      <w:numFmt w:val="none"/>
      <w:lvlRestart w:val="1"/>
      <w:lvlText w:val=""/>
      <w:lvlJc w:val="left"/>
      <w:pPr>
        <w:ind w:left="284" w:hanging="284"/>
      </w:pPr>
    </w:lvl>
    <w:lvl w:ilvl="3" w:tplc="178CA248">
      <w:start w:val="1"/>
      <w:numFmt w:val="none"/>
      <w:lvlRestart w:val="1"/>
      <w:lvlText w:val=""/>
      <w:lvlJc w:val="left"/>
      <w:pPr>
        <w:ind w:left="284" w:hanging="284"/>
      </w:pPr>
    </w:lvl>
    <w:lvl w:ilvl="4" w:tplc="28803DDA">
      <w:start w:val="1"/>
      <w:numFmt w:val="none"/>
      <w:lvlRestart w:val="1"/>
      <w:lvlText w:val=""/>
      <w:lvlJc w:val="left"/>
      <w:pPr>
        <w:ind w:left="284" w:hanging="284"/>
      </w:pPr>
    </w:lvl>
    <w:lvl w:ilvl="5" w:tplc="2C342CD8">
      <w:start w:val="1"/>
      <w:numFmt w:val="none"/>
      <w:lvlRestart w:val="1"/>
      <w:lvlText w:val=""/>
      <w:lvlJc w:val="left"/>
      <w:pPr>
        <w:ind w:left="284" w:hanging="284"/>
      </w:pPr>
    </w:lvl>
    <w:lvl w:ilvl="6" w:tplc="DABA9BEC">
      <w:start w:val="1"/>
      <w:numFmt w:val="none"/>
      <w:lvlRestart w:val="1"/>
      <w:lvlText w:val=""/>
      <w:lvlJc w:val="left"/>
      <w:pPr>
        <w:ind w:left="284" w:hanging="284"/>
      </w:pPr>
    </w:lvl>
    <w:lvl w:ilvl="7" w:tplc="5B482D98">
      <w:start w:val="1"/>
      <w:numFmt w:val="none"/>
      <w:lvlRestart w:val="1"/>
      <w:lvlText w:val=""/>
      <w:lvlJc w:val="left"/>
      <w:pPr>
        <w:ind w:left="284" w:hanging="284"/>
      </w:pPr>
    </w:lvl>
    <w:lvl w:ilvl="8" w:tplc="90AA6A26">
      <w:start w:val="1"/>
      <w:numFmt w:val="none"/>
      <w:lvlRestart w:val="1"/>
      <w:lvlText w:val=""/>
      <w:lvlJc w:val="left"/>
      <w:pPr>
        <w:ind w:left="284" w:hanging="284"/>
      </w:pPr>
    </w:lvl>
  </w:abstractNum>
  <w:abstractNum w:abstractNumId="41" w15:restartNumberingAfterBreak="0">
    <w:nsid w:val="2F7D02AA"/>
    <w:multiLevelType w:val="hybridMultilevel"/>
    <w:tmpl w:val="A0881B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2F8C3D0C"/>
    <w:multiLevelType w:val="hybridMultilevel"/>
    <w:tmpl w:val="5E9C1A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0F43EAC"/>
    <w:multiLevelType w:val="hybridMultilevel"/>
    <w:tmpl w:val="13700E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4555BA7"/>
    <w:multiLevelType w:val="hybridMultilevel"/>
    <w:tmpl w:val="1BB093FC"/>
    <w:styleLink w:val="SKMSmallTableNumberedList2"/>
    <w:lvl w:ilvl="0" w:tplc="F8EE6AEA">
      <w:start w:val="1"/>
      <w:numFmt w:val="lowerRoman"/>
      <w:pStyle w:val="ContentBulletsRomanNumeral"/>
      <w:lvlText w:val="%1."/>
      <w:lvlJc w:val="left"/>
      <w:pPr>
        <w:ind w:left="1418" w:hanging="851"/>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5" w15:restartNumberingAfterBreak="0">
    <w:nsid w:val="34991E09"/>
    <w:multiLevelType w:val="multilevel"/>
    <w:tmpl w:val="C62C2DAC"/>
    <w:styleLink w:val="NumberedHeadings"/>
    <w:lvl w:ilvl="0">
      <w:start w:val="1"/>
      <w:numFmt w:val="decimal"/>
      <w:lvlText w:val="%1."/>
      <w:lvlJc w:val="left"/>
      <w:pPr>
        <w:ind w:left="1757" w:hanging="34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1021" w:hanging="102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35D44C21"/>
    <w:multiLevelType w:val="multilevel"/>
    <w:tmpl w:val="981E2BB0"/>
    <w:numStyleLink w:val="MERHeadings"/>
  </w:abstractNum>
  <w:abstractNum w:abstractNumId="47" w15:restartNumberingAfterBreak="0">
    <w:nsid w:val="387B07DA"/>
    <w:multiLevelType w:val="hybridMultilevel"/>
    <w:tmpl w:val="544675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A0056B5"/>
    <w:multiLevelType w:val="hybridMultilevel"/>
    <w:tmpl w:val="F29613D6"/>
    <w:numStyleLink w:val="Appendix"/>
  </w:abstractNum>
  <w:abstractNum w:abstractNumId="49" w15:restartNumberingAfterBreak="0">
    <w:nsid w:val="3AD53A78"/>
    <w:multiLevelType w:val="hybridMultilevel"/>
    <w:tmpl w:val="BA422C3C"/>
    <w:lvl w:ilvl="0" w:tplc="01C8CC56">
      <w:start w:val="1"/>
      <w:numFmt w:val="decimal"/>
      <w:pStyle w:val="ContentBulletsNumber"/>
      <w:lvlText w:val="%1."/>
      <w:lvlJc w:val="left"/>
      <w:pPr>
        <w:ind w:left="1418" w:hanging="851"/>
      </w:pPr>
      <w:rPr>
        <w:rFonts w:ascii="Arial" w:hAnsi="Arial" w:cs="Times New Roman" w:hint="default"/>
        <w:b w:val="0"/>
        <w:bCs w:val="0"/>
        <w:i w:val="0"/>
        <w:iCs w:val="0"/>
        <w:color w:val="auto"/>
        <w:sz w:val="20"/>
        <w:szCs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15:restartNumberingAfterBreak="0">
    <w:nsid w:val="3AD824DC"/>
    <w:multiLevelType w:val="hybridMultilevel"/>
    <w:tmpl w:val="46942A6C"/>
    <w:lvl w:ilvl="0" w:tplc="C786F44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1" w15:restartNumberingAfterBreak="0">
    <w:nsid w:val="3AE11B3C"/>
    <w:multiLevelType w:val="hybridMultilevel"/>
    <w:tmpl w:val="D81EA8BC"/>
    <w:lvl w:ilvl="0" w:tplc="159433C8">
      <w:start w:val="3"/>
      <w:numFmt w:val="bullet"/>
      <w:pStyle w:val="Para3dash"/>
      <w:lvlText w:val="-"/>
      <w:lvlJc w:val="left"/>
      <w:pPr>
        <w:ind w:left="720" w:hanging="360"/>
      </w:pPr>
      <w:rPr>
        <w:rFonts w:ascii="Jacobs Chronos" w:eastAsiaTheme="minorEastAsia" w:hAnsi="Jacobs Chronos" w:cs="Jacobs Chrono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C206A96"/>
    <w:multiLevelType w:val="hybridMultilevel"/>
    <w:tmpl w:val="DD98B5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 w15:restartNumberingAfterBreak="0">
    <w:nsid w:val="3D116354"/>
    <w:multiLevelType w:val="hybridMultilevel"/>
    <w:tmpl w:val="F5AC586E"/>
    <w:styleLink w:val="SKMNumberedList2"/>
    <w:lvl w:ilvl="0" w:tplc="3C866496">
      <w:start w:val="1"/>
      <w:numFmt w:val="bullet"/>
      <w:pStyle w:val="Para0dash"/>
      <w:lvlText w:val="-"/>
      <w:lvlJc w:val="left"/>
      <w:pPr>
        <w:ind w:left="425" w:hanging="425"/>
      </w:pPr>
      <w:rPr>
        <w:rFonts w:ascii="Arial" w:hAnsi="Arial" w:cs="Times New Roman" w:hint="default"/>
        <w:color w:val="000000" w:themeColor="text1"/>
      </w:rPr>
    </w:lvl>
    <w:lvl w:ilvl="1" w:tplc="4F46B2E6">
      <w:start w:val="1"/>
      <w:numFmt w:val="none"/>
      <w:lvlRestart w:val="0"/>
      <w:lvlText w:val=""/>
      <w:lvlJc w:val="left"/>
      <w:pPr>
        <w:ind w:left="425" w:hanging="425"/>
      </w:pPr>
    </w:lvl>
    <w:lvl w:ilvl="2" w:tplc="A2E25330">
      <w:start w:val="1"/>
      <w:numFmt w:val="none"/>
      <w:lvlRestart w:val="0"/>
      <w:lvlText w:val=""/>
      <w:lvlJc w:val="left"/>
      <w:pPr>
        <w:ind w:left="425" w:hanging="425"/>
      </w:pPr>
    </w:lvl>
    <w:lvl w:ilvl="3" w:tplc="A9F007BE">
      <w:start w:val="1"/>
      <w:numFmt w:val="none"/>
      <w:lvlRestart w:val="0"/>
      <w:lvlText w:val=""/>
      <w:lvlJc w:val="left"/>
      <w:pPr>
        <w:ind w:left="425" w:hanging="425"/>
      </w:pPr>
    </w:lvl>
    <w:lvl w:ilvl="4" w:tplc="4F9C97B4">
      <w:start w:val="1"/>
      <w:numFmt w:val="none"/>
      <w:lvlRestart w:val="0"/>
      <w:lvlText w:val=""/>
      <w:lvlJc w:val="left"/>
      <w:pPr>
        <w:ind w:left="425" w:hanging="425"/>
      </w:pPr>
    </w:lvl>
    <w:lvl w:ilvl="5" w:tplc="7D607324">
      <w:start w:val="1"/>
      <w:numFmt w:val="none"/>
      <w:lvlRestart w:val="0"/>
      <w:lvlText w:val=""/>
      <w:lvlJc w:val="left"/>
      <w:pPr>
        <w:ind w:left="425" w:hanging="425"/>
      </w:pPr>
    </w:lvl>
    <w:lvl w:ilvl="6" w:tplc="BCC6A39C">
      <w:start w:val="1"/>
      <w:numFmt w:val="none"/>
      <w:lvlRestart w:val="0"/>
      <w:lvlText w:val=""/>
      <w:lvlJc w:val="left"/>
      <w:pPr>
        <w:ind w:left="425" w:hanging="425"/>
      </w:pPr>
    </w:lvl>
    <w:lvl w:ilvl="7" w:tplc="16BED2DA">
      <w:start w:val="1"/>
      <w:numFmt w:val="none"/>
      <w:lvlRestart w:val="0"/>
      <w:lvlText w:val=""/>
      <w:lvlJc w:val="left"/>
      <w:pPr>
        <w:ind w:left="425" w:hanging="425"/>
      </w:pPr>
    </w:lvl>
    <w:lvl w:ilvl="8" w:tplc="9250871E">
      <w:start w:val="1"/>
      <w:numFmt w:val="none"/>
      <w:lvlRestart w:val="0"/>
      <w:lvlText w:val=""/>
      <w:lvlJc w:val="left"/>
      <w:pPr>
        <w:ind w:left="425" w:hanging="425"/>
      </w:pPr>
    </w:lvl>
  </w:abstractNum>
  <w:abstractNum w:abstractNumId="54" w15:restartNumberingAfterBreak="0">
    <w:nsid w:val="3E8F4615"/>
    <w:multiLevelType w:val="hybridMultilevel"/>
    <w:tmpl w:val="E8FC96F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5" w15:restartNumberingAfterBreak="0">
    <w:nsid w:val="42D76D76"/>
    <w:multiLevelType w:val="hybridMultilevel"/>
    <w:tmpl w:val="4AEE2348"/>
    <w:lvl w:ilvl="0" w:tplc="1980A9B8">
      <w:start w:val="1"/>
      <w:numFmt w:val="bullet"/>
      <w:pStyle w:val="Tablesmallbullet"/>
      <w:lvlText w:val=""/>
      <w:lvlJc w:val="left"/>
      <w:pPr>
        <w:ind w:left="284" w:hanging="284"/>
      </w:pPr>
      <w:rPr>
        <w:rFonts w:ascii="Symbol" w:hAnsi="Symbol" w:hint="default"/>
        <w:color w:val="auto"/>
      </w:rPr>
    </w:lvl>
    <w:lvl w:ilvl="1" w:tplc="802219EE">
      <w:start w:val="1"/>
      <w:numFmt w:val="none"/>
      <w:lvlText w:val=""/>
      <w:lvlJc w:val="left"/>
      <w:pPr>
        <w:ind w:left="284" w:hanging="284"/>
      </w:pPr>
    </w:lvl>
    <w:lvl w:ilvl="2" w:tplc="04769740">
      <w:start w:val="1"/>
      <w:numFmt w:val="none"/>
      <w:lvlRestart w:val="1"/>
      <w:lvlText w:val=""/>
      <w:lvlJc w:val="left"/>
      <w:pPr>
        <w:ind w:left="284" w:hanging="284"/>
      </w:pPr>
    </w:lvl>
    <w:lvl w:ilvl="3" w:tplc="07606E0C">
      <w:start w:val="1"/>
      <w:numFmt w:val="none"/>
      <w:lvlRestart w:val="1"/>
      <w:lvlText w:val=""/>
      <w:lvlJc w:val="left"/>
      <w:pPr>
        <w:ind w:left="284" w:hanging="284"/>
      </w:pPr>
    </w:lvl>
    <w:lvl w:ilvl="4" w:tplc="45961EE6">
      <w:start w:val="1"/>
      <w:numFmt w:val="none"/>
      <w:lvlRestart w:val="1"/>
      <w:lvlText w:val=""/>
      <w:lvlJc w:val="left"/>
      <w:pPr>
        <w:ind w:left="284" w:hanging="284"/>
      </w:pPr>
    </w:lvl>
    <w:lvl w:ilvl="5" w:tplc="C2B06F60">
      <w:start w:val="1"/>
      <w:numFmt w:val="none"/>
      <w:lvlRestart w:val="1"/>
      <w:lvlText w:val=""/>
      <w:lvlJc w:val="left"/>
      <w:pPr>
        <w:ind w:left="284" w:hanging="284"/>
      </w:pPr>
    </w:lvl>
    <w:lvl w:ilvl="6" w:tplc="2D4AE518">
      <w:start w:val="1"/>
      <w:numFmt w:val="none"/>
      <w:lvlRestart w:val="1"/>
      <w:lvlText w:val=""/>
      <w:lvlJc w:val="left"/>
      <w:pPr>
        <w:ind w:left="284" w:hanging="284"/>
      </w:pPr>
    </w:lvl>
    <w:lvl w:ilvl="7" w:tplc="72AE0E84">
      <w:start w:val="1"/>
      <w:numFmt w:val="none"/>
      <w:lvlRestart w:val="1"/>
      <w:lvlText w:val=""/>
      <w:lvlJc w:val="left"/>
      <w:pPr>
        <w:ind w:left="284" w:hanging="284"/>
      </w:pPr>
    </w:lvl>
    <w:lvl w:ilvl="8" w:tplc="2F24C024">
      <w:start w:val="1"/>
      <w:numFmt w:val="none"/>
      <w:lvlRestart w:val="1"/>
      <w:lvlText w:val=""/>
      <w:lvlJc w:val="left"/>
      <w:pPr>
        <w:ind w:left="284" w:hanging="284"/>
      </w:pPr>
    </w:lvl>
  </w:abstractNum>
  <w:abstractNum w:abstractNumId="56" w15:restartNumberingAfterBreak="0">
    <w:nsid w:val="44437547"/>
    <w:multiLevelType w:val="hybridMultilevel"/>
    <w:tmpl w:val="D2F8EC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4814311"/>
    <w:multiLevelType w:val="hybridMultilevel"/>
    <w:tmpl w:val="4DAC2D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6D23207"/>
    <w:multiLevelType w:val="hybridMultilevel"/>
    <w:tmpl w:val="418611DC"/>
    <w:styleLink w:val="SKMNarrowList"/>
    <w:lvl w:ilvl="0" w:tplc="68B20800">
      <w:start w:val="1"/>
      <w:numFmt w:val="bullet"/>
      <w:lvlText w:val=""/>
      <w:lvlJc w:val="left"/>
      <w:pPr>
        <w:ind w:left="284" w:hanging="171"/>
      </w:pPr>
      <w:rPr>
        <w:rFonts w:ascii="Wingdings" w:hAnsi="Wingdings" w:hint="default"/>
        <w:color w:val="auto"/>
        <w:sz w:val="14"/>
      </w:rPr>
    </w:lvl>
    <w:lvl w:ilvl="1" w:tplc="578AE264">
      <w:numFmt w:val="none"/>
      <w:lvlRestart w:val="0"/>
      <w:lvlText w:val=""/>
      <w:lvlJc w:val="left"/>
      <w:pPr>
        <w:ind w:left="284" w:hanging="284"/>
      </w:pPr>
    </w:lvl>
    <w:lvl w:ilvl="2" w:tplc="BEB4A576">
      <w:numFmt w:val="none"/>
      <w:lvlRestart w:val="0"/>
      <w:lvlText w:val=""/>
      <w:lvlJc w:val="left"/>
      <w:pPr>
        <w:ind w:left="284" w:hanging="284"/>
      </w:pPr>
    </w:lvl>
    <w:lvl w:ilvl="3" w:tplc="3C6C7206">
      <w:numFmt w:val="none"/>
      <w:lvlRestart w:val="0"/>
      <w:lvlText w:val=""/>
      <w:lvlJc w:val="left"/>
      <w:pPr>
        <w:ind w:left="284" w:hanging="284"/>
      </w:pPr>
    </w:lvl>
    <w:lvl w:ilvl="4" w:tplc="B2C6085E">
      <w:numFmt w:val="none"/>
      <w:lvlRestart w:val="0"/>
      <w:lvlText w:val=""/>
      <w:lvlJc w:val="left"/>
      <w:pPr>
        <w:ind w:left="284" w:hanging="284"/>
      </w:pPr>
    </w:lvl>
    <w:lvl w:ilvl="5" w:tplc="3F900518">
      <w:numFmt w:val="none"/>
      <w:lvlRestart w:val="0"/>
      <w:lvlText w:val=""/>
      <w:lvlJc w:val="left"/>
      <w:pPr>
        <w:ind w:left="284" w:hanging="284"/>
      </w:pPr>
    </w:lvl>
    <w:lvl w:ilvl="6" w:tplc="A1ACEACA">
      <w:numFmt w:val="none"/>
      <w:lvlRestart w:val="0"/>
      <w:lvlText w:val=""/>
      <w:lvlJc w:val="left"/>
      <w:pPr>
        <w:ind w:left="284" w:hanging="284"/>
      </w:pPr>
    </w:lvl>
    <w:lvl w:ilvl="7" w:tplc="E760DC14">
      <w:numFmt w:val="none"/>
      <w:lvlRestart w:val="0"/>
      <w:lvlText w:val=""/>
      <w:lvlJc w:val="left"/>
      <w:pPr>
        <w:ind w:left="284" w:hanging="284"/>
      </w:pPr>
    </w:lvl>
    <w:lvl w:ilvl="8" w:tplc="808CE492">
      <w:start w:val="1"/>
      <w:numFmt w:val="none"/>
      <w:lvlRestart w:val="0"/>
      <w:lvlText w:val=""/>
      <w:lvlJc w:val="left"/>
      <w:pPr>
        <w:ind w:left="284" w:hanging="284"/>
      </w:pPr>
    </w:lvl>
  </w:abstractNum>
  <w:abstractNum w:abstractNumId="59" w15:restartNumberingAfterBreak="0">
    <w:nsid w:val="46EB76C9"/>
    <w:multiLevelType w:val="hybridMultilevel"/>
    <w:tmpl w:val="08609D38"/>
    <w:styleLink w:val="SKMBulletList3"/>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83B4EBB"/>
    <w:multiLevelType w:val="hybridMultilevel"/>
    <w:tmpl w:val="4DCAA3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99D423A"/>
    <w:multiLevelType w:val="hybridMultilevel"/>
    <w:tmpl w:val="7C3460B6"/>
    <w:styleLink w:val="Bullets"/>
    <w:lvl w:ilvl="0" w:tplc="D9F63ECE">
      <w:start w:val="1"/>
      <w:numFmt w:val="bullet"/>
      <w:lvlText w:val=""/>
      <w:lvlJc w:val="left"/>
      <w:pPr>
        <w:ind w:left="340" w:hanging="340"/>
      </w:pPr>
      <w:rPr>
        <w:rFonts w:ascii="Symbol" w:hAnsi="Symbol" w:hint="default"/>
      </w:rPr>
    </w:lvl>
    <w:lvl w:ilvl="1" w:tplc="B0D44CAC">
      <w:start w:val="1"/>
      <w:numFmt w:val="bullet"/>
      <w:lvlText w:val="–"/>
      <w:lvlJc w:val="left"/>
      <w:pPr>
        <w:ind w:left="680" w:hanging="340"/>
      </w:pPr>
      <w:rPr>
        <w:rFonts w:ascii="Calibri" w:hAnsi="Calibri" w:hint="default"/>
      </w:rPr>
    </w:lvl>
    <w:lvl w:ilvl="2" w:tplc="F30E188A">
      <w:start w:val="1"/>
      <w:numFmt w:val="bullet"/>
      <w:pStyle w:val="ListBullet3"/>
      <w:lvlText w:val=""/>
      <w:lvlJc w:val="left"/>
      <w:pPr>
        <w:ind w:left="1021" w:hanging="341"/>
      </w:pPr>
      <w:rPr>
        <w:rFonts w:ascii="Symbol" w:hAnsi="Symbol" w:hint="default"/>
      </w:rPr>
    </w:lvl>
    <w:lvl w:ilvl="3" w:tplc="BB484062">
      <w:start w:val="1"/>
      <w:numFmt w:val="bullet"/>
      <w:pStyle w:val="ListBullet4"/>
      <w:lvlText w:val="–"/>
      <w:lvlJc w:val="left"/>
      <w:pPr>
        <w:ind w:left="1361" w:hanging="340"/>
      </w:pPr>
      <w:rPr>
        <w:rFonts w:ascii="Times New Roman" w:hAnsi="Times New Roman" w:cs="Times New Roman" w:hint="default"/>
      </w:rPr>
    </w:lvl>
    <w:lvl w:ilvl="4" w:tplc="806AE264">
      <w:start w:val="1"/>
      <w:numFmt w:val="bullet"/>
      <w:lvlText w:val="o"/>
      <w:lvlJc w:val="left"/>
      <w:pPr>
        <w:ind w:left="3600" w:hanging="360"/>
      </w:pPr>
      <w:rPr>
        <w:rFonts w:ascii="Courier New" w:hAnsi="Courier New" w:cs="Courier New" w:hint="default"/>
      </w:rPr>
    </w:lvl>
    <w:lvl w:ilvl="5" w:tplc="CCA6966A">
      <w:start w:val="1"/>
      <w:numFmt w:val="bullet"/>
      <w:lvlText w:val=""/>
      <w:lvlJc w:val="left"/>
      <w:pPr>
        <w:ind w:left="4320" w:hanging="360"/>
      </w:pPr>
      <w:rPr>
        <w:rFonts w:ascii="Wingdings" w:hAnsi="Wingdings" w:hint="default"/>
      </w:rPr>
    </w:lvl>
    <w:lvl w:ilvl="6" w:tplc="FC805886">
      <w:start w:val="1"/>
      <w:numFmt w:val="bullet"/>
      <w:lvlText w:val=""/>
      <w:lvlJc w:val="left"/>
      <w:pPr>
        <w:ind w:left="5040" w:hanging="360"/>
      </w:pPr>
      <w:rPr>
        <w:rFonts w:ascii="Symbol" w:hAnsi="Symbol" w:hint="default"/>
      </w:rPr>
    </w:lvl>
    <w:lvl w:ilvl="7" w:tplc="8D208784">
      <w:start w:val="1"/>
      <w:numFmt w:val="bullet"/>
      <w:lvlText w:val="o"/>
      <w:lvlJc w:val="left"/>
      <w:pPr>
        <w:ind w:left="5760" w:hanging="360"/>
      </w:pPr>
      <w:rPr>
        <w:rFonts w:ascii="Courier New" w:hAnsi="Courier New" w:cs="Courier New" w:hint="default"/>
      </w:rPr>
    </w:lvl>
    <w:lvl w:ilvl="8" w:tplc="5AAC15AE">
      <w:start w:val="1"/>
      <w:numFmt w:val="bullet"/>
      <w:lvlText w:val=""/>
      <w:lvlJc w:val="left"/>
      <w:pPr>
        <w:ind w:left="6480" w:hanging="360"/>
      </w:pPr>
      <w:rPr>
        <w:rFonts w:ascii="Wingdings" w:hAnsi="Wingdings" w:hint="default"/>
      </w:rPr>
    </w:lvl>
  </w:abstractNum>
  <w:abstractNum w:abstractNumId="62" w15:restartNumberingAfterBreak="0">
    <w:nsid w:val="4A4922AC"/>
    <w:multiLevelType w:val="hybridMultilevel"/>
    <w:tmpl w:val="9C04D0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B930821"/>
    <w:multiLevelType w:val="hybridMultilevel"/>
    <w:tmpl w:val="108E8A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4DFC06EE"/>
    <w:multiLevelType w:val="hybridMultilevel"/>
    <w:tmpl w:val="1264D9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F3C7B84"/>
    <w:multiLevelType w:val="hybridMultilevel"/>
    <w:tmpl w:val="B322A1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F581AC7"/>
    <w:multiLevelType w:val="hybridMultilevel"/>
    <w:tmpl w:val="E6F291E0"/>
    <w:lvl w:ilvl="0" w:tplc="B8E4A890">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pStyle w:val="Para3roman"/>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50215521"/>
    <w:multiLevelType w:val="hybridMultilevel"/>
    <w:tmpl w:val="989644F2"/>
    <w:lvl w:ilvl="0" w:tplc="82D236FA">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07E32E8"/>
    <w:multiLevelType w:val="hybridMultilevel"/>
    <w:tmpl w:val="776A9F38"/>
    <w:lvl w:ilvl="0" w:tplc="F940D1D6">
      <w:start w:val="1"/>
      <w:numFmt w:val="bullet"/>
      <w:pStyle w:val="Para2dash"/>
      <w:lvlText w:val="-"/>
      <w:lvlJc w:val="left"/>
      <w:pPr>
        <w:ind w:left="1211" w:hanging="360"/>
      </w:pPr>
      <w:rPr>
        <w:rFonts w:ascii="Arial" w:hAnsi="Arial" w:hint="default"/>
        <w:sz w:val="18"/>
      </w:rPr>
    </w:lvl>
    <w:lvl w:ilvl="1" w:tplc="0C090003">
      <w:start w:val="1"/>
      <w:numFmt w:val="bullet"/>
      <w:pStyle w:val="Para2dash"/>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69" w15:restartNumberingAfterBreak="0">
    <w:nsid w:val="51725741"/>
    <w:multiLevelType w:val="hybridMultilevel"/>
    <w:tmpl w:val="1A06A688"/>
    <w:styleLink w:val="ListLetters"/>
    <w:lvl w:ilvl="0" w:tplc="24D67000">
      <w:start w:val="1"/>
      <w:numFmt w:val="lowerLetter"/>
      <w:lvlText w:val="%1."/>
      <w:lvlJc w:val="left"/>
      <w:pPr>
        <w:ind w:left="340" w:hanging="340"/>
      </w:pPr>
      <w:rPr>
        <w:rFonts w:hint="default"/>
      </w:rPr>
    </w:lvl>
    <w:lvl w:ilvl="1" w:tplc="0D085558">
      <w:start w:val="1"/>
      <w:numFmt w:val="lowerRoman"/>
      <w:lvlText w:val="%2."/>
      <w:lvlJc w:val="left"/>
      <w:pPr>
        <w:ind w:left="340" w:hanging="340"/>
      </w:pPr>
      <w:rPr>
        <w:rFonts w:hint="default"/>
      </w:rPr>
    </w:lvl>
    <w:lvl w:ilvl="2" w:tplc="69765C5A">
      <w:start w:val="1"/>
      <w:numFmt w:val="lowerRoman"/>
      <w:lvlText w:val="%3)"/>
      <w:lvlJc w:val="left"/>
      <w:pPr>
        <w:ind w:left="1080" w:hanging="360"/>
      </w:pPr>
      <w:rPr>
        <w:rFonts w:hint="default"/>
      </w:rPr>
    </w:lvl>
    <w:lvl w:ilvl="3" w:tplc="82C42EB0">
      <w:start w:val="1"/>
      <w:numFmt w:val="decimal"/>
      <w:lvlText w:val="(%4)"/>
      <w:lvlJc w:val="left"/>
      <w:pPr>
        <w:ind w:left="1440" w:hanging="360"/>
      </w:pPr>
      <w:rPr>
        <w:rFonts w:hint="default"/>
      </w:rPr>
    </w:lvl>
    <w:lvl w:ilvl="4" w:tplc="860AA756">
      <w:start w:val="1"/>
      <w:numFmt w:val="lowerLetter"/>
      <w:lvlText w:val="(%5)"/>
      <w:lvlJc w:val="left"/>
      <w:pPr>
        <w:ind w:left="1800" w:hanging="360"/>
      </w:pPr>
      <w:rPr>
        <w:rFonts w:hint="default"/>
      </w:rPr>
    </w:lvl>
    <w:lvl w:ilvl="5" w:tplc="1EB43F20">
      <w:start w:val="1"/>
      <w:numFmt w:val="lowerRoman"/>
      <w:lvlText w:val="(%6)"/>
      <w:lvlJc w:val="left"/>
      <w:pPr>
        <w:ind w:left="2160" w:hanging="360"/>
      </w:pPr>
      <w:rPr>
        <w:rFonts w:hint="default"/>
      </w:rPr>
    </w:lvl>
    <w:lvl w:ilvl="6" w:tplc="06706846">
      <w:start w:val="1"/>
      <w:numFmt w:val="decimal"/>
      <w:lvlText w:val="%7."/>
      <w:lvlJc w:val="left"/>
      <w:pPr>
        <w:ind w:left="2520" w:hanging="360"/>
      </w:pPr>
      <w:rPr>
        <w:rFonts w:hint="default"/>
      </w:rPr>
    </w:lvl>
    <w:lvl w:ilvl="7" w:tplc="C6B252B0">
      <w:start w:val="1"/>
      <w:numFmt w:val="lowerLetter"/>
      <w:lvlText w:val="%8."/>
      <w:lvlJc w:val="left"/>
      <w:pPr>
        <w:ind w:left="2880" w:hanging="360"/>
      </w:pPr>
      <w:rPr>
        <w:rFonts w:hint="default"/>
      </w:rPr>
    </w:lvl>
    <w:lvl w:ilvl="8" w:tplc="B4BC28A0">
      <w:start w:val="1"/>
      <w:numFmt w:val="lowerRoman"/>
      <w:lvlText w:val="%9."/>
      <w:lvlJc w:val="left"/>
      <w:pPr>
        <w:ind w:left="3240" w:hanging="360"/>
      </w:pPr>
      <w:rPr>
        <w:rFonts w:hint="default"/>
      </w:rPr>
    </w:lvl>
  </w:abstractNum>
  <w:abstractNum w:abstractNumId="70" w15:restartNumberingAfterBreak="0">
    <w:nsid w:val="524900D1"/>
    <w:multiLevelType w:val="hybridMultilevel"/>
    <w:tmpl w:val="872C42E4"/>
    <w:lvl w:ilvl="0" w:tplc="8B5E044C">
      <w:start w:val="1"/>
      <w:numFmt w:val="decimal"/>
      <w:pStyle w:val="Normalnumbered"/>
      <w:lvlText w:val="%1."/>
      <w:lvlJc w:val="left"/>
      <w:pPr>
        <w:ind w:left="360" w:hanging="360"/>
      </w:pPr>
      <w:rPr>
        <w:rFonts w:asciiTheme="minorHAnsi" w:hAnsiTheme="minorHAnsi" w:cs="Times New Roman" w:hint="default"/>
        <w:b/>
        <w:bCs/>
        <w:sz w:val="22"/>
        <w:szCs w:val="22"/>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71" w15:restartNumberingAfterBreak="0">
    <w:nsid w:val="540B6F25"/>
    <w:multiLevelType w:val="hybridMultilevel"/>
    <w:tmpl w:val="CB563A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54C5592F"/>
    <w:multiLevelType w:val="hybridMultilevel"/>
    <w:tmpl w:val="7472C072"/>
    <w:styleLink w:val="SKMTableNumberedList1"/>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55BE2A3C"/>
    <w:multiLevelType w:val="hybridMultilevel"/>
    <w:tmpl w:val="0FDE1E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57441F1E"/>
    <w:multiLevelType w:val="multilevel"/>
    <w:tmpl w:val="07F22186"/>
    <w:styleLink w:val="SKMTableItem"/>
    <w:lvl w:ilvl="0">
      <w:start w:val="1"/>
      <w:numFmt w:val="decimal"/>
      <w:pStyle w:val="Tableitem"/>
      <w:suff w:val="nothing"/>
      <w:lvlText w:val="%1"/>
      <w:lvlJc w:val="left"/>
      <w:pPr>
        <w:ind w:left="0" w:firstLine="0"/>
      </w:pPr>
    </w:lvl>
    <w:lvl w:ilvl="1">
      <w:start w:val="1"/>
      <w:numFmt w:val="decimal"/>
      <w:lvlText w:val="%1.%2"/>
      <w:lvlJc w:val="left"/>
      <w:pPr>
        <w:ind w:left="0" w:firstLine="0"/>
      </w:pPr>
    </w:lvl>
    <w:lvl w:ilvl="2">
      <w:start w:val="1"/>
      <w:numFmt w:val="decimal"/>
      <w:suff w:val="nothing"/>
      <w:lvlText w:val="%1.%2.%3"/>
      <w:lvlJc w:val="left"/>
      <w:pPr>
        <w:ind w:left="0" w:firstLine="0"/>
      </w:pPr>
    </w:lvl>
    <w:lvl w:ilvl="3">
      <w:start w:val="1"/>
      <w:numFmt w:val="decimal"/>
      <w:suff w:val="nothing"/>
      <w:lvlText w:val="%1.%2.%3.%4"/>
      <w:lvlJc w:val="left"/>
      <w:pPr>
        <w:ind w:left="0" w:firstLine="0"/>
      </w:pPr>
    </w:lvl>
    <w:lvl w:ilvl="4">
      <w:start w:val="1"/>
      <w:numFmt w:val="decimal"/>
      <w:suff w:val="nothing"/>
      <w:lvlText w:val="%1.%2.%3.%4.%5"/>
      <w:lvlJc w:val="left"/>
      <w:pPr>
        <w:ind w:left="0" w:firstLine="0"/>
      </w:pPr>
    </w:lvl>
    <w:lvl w:ilvl="5">
      <w:start w:val="1"/>
      <w:numFmt w:val="decimal"/>
      <w:suff w:val="nothing"/>
      <w:lvlText w:val="%1.%2.%3.%4.%5.%6"/>
      <w:lvlJc w:val="left"/>
      <w:pPr>
        <w:ind w:left="0" w:firstLine="0"/>
      </w:pPr>
    </w:lvl>
    <w:lvl w:ilvl="6">
      <w:start w:val="1"/>
      <w:numFmt w:val="decimal"/>
      <w:suff w:val="nothing"/>
      <w:lvlText w:val="%1.%2.%3.%4.%5.%6.%7"/>
      <w:lvlJc w:val="left"/>
      <w:pPr>
        <w:ind w:left="0" w:firstLine="0"/>
      </w:pPr>
    </w:lvl>
    <w:lvl w:ilvl="7">
      <w:start w:val="1"/>
      <w:numFmt w:val="decimal"/>
      <w:suff w:val="nothing"/>
      <w:lvlText w:val="%1.%2.%3.%4.%5.%6.%8.%7"/>
      <w:lvlJc w:val="left"/>
      <w:pPr>
        <w:ind w:left="0" w:firstLine="0"/>
      </w:pPr>
    </w:lvl>
    <w:lvl w:ilvl="8">
      <w:start w:val="1"/>
      <w:numFmt w:val="decimal"/>
      <w:suff w:val="nothing"/>
      <w:lvlText w:val="%1.%2.%3.%4.%5.%6.%7.%8.%9"/>
      <w:lvlJc w:val="left"/>
      <w:pPr>
        <w:ind w:left="0" w:firstLine="0"/>
      </w:pPr>
    </w:lvl>
  </w:abstractNum>
  <w:abstractNum w:abstractNumId="75" w15:restartNumberingAfterBreak="0">
    <w:nsid w:val="5AF65CC5"/>
    <w:multiLevelType w:val="hybridMultilevel"/>
    <w:tmpl w:val="8B7EE0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6" w15:restartNumberingAfterBreak="0">
    <w:nsid w:val="5C143293"/>
    <w:multiLevelType w:val="hybridMultilevel"/>
    <w:tmpl w:val="7C3460B6"/>
    <w:numStyleLink w:val="Bullets"/>
  </w:abstractNum>
  <w:abstractNum w:abstractNumId="77" w15:restartNumberingAfterBreak="0">
    <w:nsid w:val="5C347B96"/>
    <w:multiLevelType w:val="hybridMultilevel"/>
    <w:tmpl w:val="D3D2B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E053799"/>
    <w:multiLevelType w:val="multilevel"/>
    <w:tmpl w:val="981E2BB0"/>
    <w:styleLink w:val="MERHeadings"/>
    <w:lvl w:ilvl="0">
      <w:start w:val="1"/>
      <w:numFmt w:val="decimal"/>
      <w:pStyle w:val="Heading1"/>
      <w:lvlText w:val="%1."/>
      <w:lvlJc w:val="left"/>
      <w:pPr>
        <w:ind w:left="432" w:hanging="432"/>
      </w:pPr>
      <w:rPr>
        <w:rFonts w:ascii="Georgia" w:hAnsi="Georgia" w:hint="default"/>
        <w:b/>
        <w:i w:val="0"/>
        <w:color w:val="094183" w:themeColor="text2"/>
        <w:sz w:val="32"/>
      </w:rPr>
    </w:lvl>
    <w:lvl w:ilvl="1">
      <w:start w:val="1"/>
      <w:numFmt w:val="decimal"/>
      <w:pStyle w:val="Heading2"/>
      <w:lvlText w:val="%1.%2."/>
      <w:lvlJc w:val="left"/>
      <w:pPr>
        <w:ind w:left="576" w:hanging="576"/>
      </w:pPr>
      <w:rPr>
        <w:rFonts w:ascii="Georgia" w:hAnsi="Georgia" w:hint="default"/>
        <w:b/>
        <w:i w:val="0"/>
        <w:color w:val="auto"/>
        <w:sz w:val="24"/>
      </w:rPr>
    </w:lvl>
    <w:lvl w:ilvl="2">
      <w:start w:val="1"/>
      <w:numFmt w:val="decimal"/>
      <w:pStyle w:val="Heading3"/>
      <w:lvlText w:val="%1.%2.%3."/>
      <w:lvlJc w:val="left"/>
      <w:pPr>
        <w:ind w:left="720" w:hanging="720"/>
      </w:pPr>
      <w:rPr>
        <w:rFonts w:ascii="Georgia" w:hAnsi="Georgia" w:hint="default"/>
        <w:color w:val="094183" w:themeColor="text2"/>
        <w:sz w:val="2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upperLetter"/>
      <w:pStyle w:val="Heading6"/>
      <w:lvlText w:val="Appendix %6:"/>
      <w:lvlJc w:val="left"/>
      <w:pPr>
        <w:ind w:left="0" w:firstLine="0"/>
      </w:pPr>
      <w:rPr>
        <w:rFonts w:ascii="Georgia" w:hAnsi="Georgia" w:hint="default"/>
        <w:b/>
        <w:i w:val="0"/>
        <w:color w:val="094183" w:themeColor="text2"/>
        <w:sz w:val="32"/>
      </w:rPr>
    </w:lvl>
    <w:lvl w:ilvl="6">
      <w:start w:val="1"/>
      <w:numFmt w:val="none"/>
      <w:pStyle w:val="Heading7"/>
      <w:suff w:val="nothing"/>
      <w:lvlText w:val="%61 - "/>
      <w:lvlJc w:val="left"/>
      <w:pPr>
        <w:ind w:left="1296" w:hanging="1296"/>
      </w:pPr>
      <w:rPr>
        <w:rFonts w:ascii="Georgia" w:hAnsi="Georgia" w:hint="default"/>
        <w:color w:val="094183" w:themeColor="text2"/>
        <w:sz w:val="24"/>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9" w15:restartNumberingAfterBreak="0">
    <w:nsid w:val="5E4B2B49"/>
    <w:multiLevelType w:val="hybridMultilevel"/>
    <w:tmpl w:val="7F24EE8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0" w15:restartNumberingAfterBreak="0">
    <w:nsid w:val="5E7F74CD"/>
    <w:multiLevelType w:val="hybridMultilevel"/>
    <w:tmpl w:val="698465C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60E1502C"/>
    <w:multiLevelType w:val="hybridMultilevel"/>
    <w:tmpl w:val="813A2DA6"/>
    <w:styleLink w:val="Bullets1"/>
    <w:lvl w:ilvl="0" w:tplc="BDB8C3C8">
      <w:start w:val="1"/>
      <w:numFmt w:val="bullet"/>
      <w:lvlText w:val=""/>
      <w:lvlJc w:val="left"/>
      <w:pPr>
        <w:ind w:left="284" w:hanging="284"/>
      </w:pPr>
      <w:rPr>
        <w:rFonts w:ascii="Symbol" w:hAnsi="Symbol" w:cs="Times New Roman" w:hint="default"/>
        <w:color w:val="auto"/>
      </w:rPr>
    </w:lvl>
    <w:lvl w:ilvl="1" w:tplc="82D0F1DC">
      <w:start w:val="1"/>
      <w:numFmt w:val="bullet"/>
      <w:lvlText w:val="–"/>
      <w:lvlJc w:val="left"/>
      <w:pPr>
        <w:ind w:left="567" w:hanging="283"/>
      </w:pPr>
      <w:rPr>
        <w:rFonts w:ascii="Arial" w:hAnsi="Arial" w:cs="Calibri" w:hint="default"/>
        <w:color w:val="auto"/>
      </w:rPr>
    </w:lvl>
    <w:lvl w:ilvl="2" w:tplc="4E1053A2">
      <w:start w:val="1"/>
      <w:numFmt w:val="bullet"/>
      <w:lvlText w:val="–"/>
      <w:lvlJc w:val="left"/>
      <w:pPr>
        <w:ind w:left="851" w:hanging="284"/>
      </w:pPr>
      <w:rPr>
        <w:rFonts w:ascii="Calibri" w:hAnsi="Calibri" w:cs="Calibri" w:hint="default"/>
        <w:color w:val="auto"/>
      </w:rPr>
    </w:lvl>
    <w:lvl w:ilvl="3" w:tplc="C70246A4">
      <w:start w:val="1"/>
      <w:numFmt w:val="bullet"/>
      <w:lvlText w:val="–"/>
      <w:lvlJc w:val="left"/>
      <w:pPr>
        <w:ind w:left="284" w:hanging="284"/>
      </w:pPr>
      <w:rPr>
        <w:rFonts w:ascii="Arial" w:hAnsi="Arial" w:cs="Times New Roman" w:hint="default"/>
      </w:rPr>
    </w:lvl>
    <w:lvl w:ilvl="4" w:tplc="5C6E7D88">
      <w:start w:val="1"/>
      <w:numFmt w:val="bullet"/>
      <w:lvlText w:val="–"/>
      <w:lvlJc w:val="left"/>
      <w:pPr>
        <w:ind w:left="284" w:hanging="284"/>
      </w:pPr>
      <w:rPr>
        <w:rFonts w:ascii="Calibri" w:hAnsi="Calibri" w:cs="Times New Roman" w:hint="default"/>
        <w:color w:val="auto"/>
      </w:rPr>
    </w:lvl>
    <w:lvl w:ilvl="5" w:tplc="6108E1BE">
      <w:start w:val="1"/>
      <w:numFmt w:val="bullet"/>
      <w:lvlText w:val="–"/>
      <w:lvlJc w:val="left"/>
      <w:pPr>
        <w:ind w:left="284" w:hanging="284"/>
      </w:pPr>
      <w:rPr>
        <w:rFonts w:ascii="Calibri" w:hAnsi="Calibri" w:cs="Times New Roman" w:hint="default"/>
        <w:color w:val="auto"/>
      </w:rPr>
    </w:lvl>
    <w:lvl w:ilvl="6" w:tplc="C9DC964A">
      <w:start w:val="1"/>
      <w:numFmt w:val="bullet"/>
      <w:lvlText w:val="–"/>
      <w:lvlJc w:val="left"/>
      <w:pPr>
        <w:ind w:left="284" w:hanging="284"/>
      </w:pPr>
      <w:rPr>
        <w:rFonts w:ascii="Calibri" w:hAnsi="Calibri" w:cs="Times New Roman" w:hint="default"/>
        <w:color w:val="auto"/>
      </w:rPr>
    </w:lvl>
    <w:lvl w:ilvl="7" w:tplc="2BE087FA">
      <w:start w:val="1"/>
      <w:numFmt w:val="bullet"/>
      <w:lvlText w:val="–"/>
      <w:lvlJc w:val="left"/>
      <w:pPr>
        <w:ind w:left="284" w:hanging="284"/>
      </w:pPr>
      <w:rPr>
        <w:rFonts w:ascii="Calibri" w:hAnsi="Calibri" w:cs="Times New Roman" w:hint="default"/>
        <w:color w:val="auto"/>
      </w:rPr>
    </w:lvl>
    <w:lvl w:ilvl="8" w:tplc="133C53BA">
      <w:start w:val="1"/>
      <w:numFmt w:val="bullet"/>
      <w:lvlText w:val="–"/>
      <w:lvlJc w:val="left"/>
      <w:pPr>
        <w:ind w:left="284" w:hanging="284"/>
      </w:pPr>
      <w:rPr>
        <w:rFonts w:ascii="Calibri" w:hAnsi="Calibri" w:cs="Times New Roman" w:hint="default"/>
        <w:color w:val="auto"/>
      </w:rPr>
    </w:lvl>
  </w:abstractNum>
  <w:abstractNum w:abstractNumId="82" w15:restartNumberingAfterBreak="0">
    <w:nsid w:val="6144297B"/>
    <w:multiLevelType w:val="hybridMultilevel"/>
    <w:tmpl w:val="A0F0A9F0"/>
    <w:styleLink w:val="SKMSmallTableList1"/>
    <w:lvl w:ilvl="0" w:tplc="CCC8BB6A">
      <w:start w:val="1"/>
      <w:numFmt w:val="bullet"/>
      <w:lvlText w:val=""/>
      <w:lvlJc w:val="left"/>
      <w:pPr>
        <w:ind w:left="955" w:hanging="360"/>
      </w:pPr>
      <w:rPr>
        <w:rFonts w:ascii="Wingdings" w:hAnsi="Wingdings" w:hint="default"/>
        <w:color w:val="000000"/>
        <w:sz w:val="16"/>
      </w:rPr>
    </w:lvl>
    <w:lvl w:ilvl="1" w:tplc="0C090003">
      <w:start w:val="1"/>
      <w:numFmt w:val="bullet"/>
      <w:lvlText w:val="o"/>
      <w:lvlJc w:val="left"/>
      <w:pPr>
        <w:ind w:left="1675" w:hanging="360"/>
      </w:pPr>
      <w:rPr>
        <w:rFonts w:ascii="Courier New" w:hAnsi="Courier New" w:cs="Courier New" w:hint="default"/>
      </w:rPr>
    </w:lvl>
    <w:lvl w:ilvl="2" w:tplc="0C090005">
      <w:start w:val="1"/>
      <w:numFmt w:val="bullet"/>
      <w:lvlText w:val=""/>
      <w:lvlJc w:val="left"/>
      <w:pPr>
        <w:ind w:left="2395" w:hanging="360"/>
      </w:pPr>
      <w:rPr>
        <w:rFonts w:ascii="Wingdings" w:hAnsi="Wingdings" w:hint="default"/>
      </w:rPr>
    </w:lvl>
    <w:lvl w:ilvl="3" w:tplc="0C090001">
      <w:start w:val="1"/>
      <w:numFmt w:val="bullet"/>
      <w:lvlText w:val=""/>
      <w:lvlJc w:val="left"/>
      <w:pPr>
        <w:ind w:left="3115" w:hanging="360"/>
      </w:pPr>
      <w:rPr>
        <w:rFonts w:ascii="Symbol" w:hAnsi="Symbol" w:hint="default"/>
      </w:rPr>
    </w:lvl>
    <w:lvl w:ilvl="4" w:tplc="0C090003">
      <w:start w:val="1"/>
      <w:numFmt w:val="bullet"/>
      <w:lvlText w:val="o"/>
      <w:lvlJc w:val="left"/>
      <w:pPr>
        <w:ind w:left="3835" w:hanging="360"/>
      </w:pPr>
      <w:rPr>
        <w:rFonts w:ascii="Courier New" w:hAnsi="Courier New" w:cs="Courier New" w:hint="default"/>
      </w:rPr>
    </w:lvl>
    <w:lvl w:ilvl="5" w:tplc="0C090005">
      <w:start w:val="1"/>
      <w:numFmt w:val="bullet"/>
      <w:lvlText w:val=""/>
      <w:lvlJc w:val="left"/>
      <w:pPr>
        <w:ind w:left="4555" w:hanging="360"/>
      </w:pPr>
      <w:rPr>
        <w:rFonts w:ascii="Wingdings" w:hAnsi="Wingdings" w:hint="default"/>
      </w:rPr>
    </w:lvl>
    <w:lvl w:ilvl="6" w:tplc="0C090001">
      <w:start w:val="1"/>
      <w:numFmt w:val="bullet"/>
      <w:lvlText w:val=""/>
      <w:lvlJc w:val="left"/>
      <w:pPr>
        <w:ind w:left="5275" w:hanging="360"/>
      </w:pPr>
      <w:rPr>
        <w:rFonts w:ascii="Symbol" w:hAnsi="Symbol" w:hint="default"/>
      </w:rPr>
    </w:lvl>
    <w:lvl w:ilvl="7" w:tplc="0C090003">
      <w:start w:val="1"/>
      <w:numFmt w:val="bullet"/>
      <w:lvlText w:val="o"/>
      <w:lvlJc w:val="left"/>
      <w:pPr>
        <w:ind w:left="5995" w:hanging="360"/>
      </w:pPr>
      <w:rPr>
        <w:rFonts w:ascii="Courier New" w:hAnsi="Courier New" w:cs="Courier New" w:hint="default"/>
      </w:rPr>
    </w:lvl>
    <w:lvl w:ilvl="8" w:tplc="0C090005">
      <w:start w:val="1"/>
      <w:numFmt w:val="bullet"/>
      <w:lvlText w:val=""/>
      <w:lvlJc w:val="left"/>
      <w:pPr>
        <w:ind w:left="6715" w:hanging="360"/>
      </w:pPr>
      <w:rPr>
        <w:rFonts w:ascii="Wingdings" w:hAnsi="Wingdings" w:hint="default"/>
      </w:rPr>
    </w:lvl>
  </w:abstractNum>
  <w:abstractNum w:abstractNumId="83" w15:restartNumberingAfterBreak="0">
    <w:nsid w:val="617B6F63"/>
    <w:multiLevelType w:val="hybridMultilevel"/>
    <w:tmpl w:val="13AE7FF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4" w15:restartNumberingAfterBreak="0">
    <w:nsid w:val="633D6386"/>
    <w:multiLevelType w:val="multilevel"/>
    <w:tmpl w:val="8C1ED4FC"/>
    <w:lvl w:ilvl="0">
      <w:start w:val="2"/>
      <w:numFmt w:val="upperLetter"/>
      <w:suff w:val="space"/>
      <w:lvlText w:val="Appendix %1."/>
      <w:lvlJc w:val="left"/>
      <w:pPr>
        <w:ind w:left="360" w:hanging="360"/>
      </w:pPr>
      <w:rPr>
        <w:rFonts w:ascii="Arial" w:hAnsi="Arial" w:cs="Times New Roman" w:hint="default"/>
        <w:b/>
        <w:i w:val="0"/>
        <w:sz w:val="32"/>
      </w:rPr>
    </w:lvl>
    <w:lvl w:ilvl="1">
      <w:start w:val="1"/>
      <w:numFmt w:val="decimal"/>
      <w:pStyle w:val="Appendixsubheading1"/>
      <w:lvlText w:val="%1.%2"/>
      <w:lvlJc w:val="left"/>
      <w:pPr>
        <w:ind w:left="851" w:hanging="851"/>
      </w:pPr>
      <w:rPr>
        <w:rFonts w:ascii="Arial" w:hAnsi="Arial" w:cs="Times New Roman" w:hint="default"/>
        <w:b/>
        <w:i w:val="0"/>
        <w:sz w:val="24"/>
      </w:rPr>
    </w:lvl>
    <w:lvl w:ilvl="2">
      <w:start w:val="1"/>
      <w:numFmt w:val="decimal"/>
      <w:pStyle w:val="Appendixsubheading2"/>
      <w:lvlText w:val="%1.%2.%3"/>
      <w:lvlJc w:val="left"/>
      <w:pPr>
        <w:ind w:left="851" w:hanging="851"/>
      </w:pPr>
      <w:rPr>
        <w:rFonts w:ascii="Arial" w:hAnsi="Arial" w:cs="Times New Roman" w:hint="default"/>
        <w:b/>
        <w:i w:val="0"/>
        <w:sz w:val="20"/>
      </w:rPr>
    </w:lvl>
    <w:lvl w:ilvl="3">
      <w:start w:val="1"/>
      <w:numFmt w:val="decimal"/>
      <w:pStyle w:val="Appendixsubheading3"/>
      <w:lvlText w:val="%1.%2.%3.%4"/>
      <w:lvlJc w:val="left"/>
      <w:pPr>
        <w:ind w:left="851" w:hanging="851"/>
      </w:pPr>
      <w:rPr>
        <w:rFonts w:ascii="Arial" w:hAnsi="Arial" w:cs="Times New Roman" w:hint="default"/>
        <w:b/>
        <w:i w:val="0"/>
        <w:sz w:val="20"/>
      </w:rPr>
    </w:lvl>
    <w:lvl w:ilvl="4">
      <w:numFmt w:val="none"/>
      <w:lvlRestart w:val="0"/>
      <w:suff w:val="nothing"/>
      <w:lvlText w:val=""/>
      <w:lvlJc w:val="left"/>
      <w:pPr>
        <w:ind w:left="-32767" w:firstLine="32767"/>
      </w:pPr>
      <w:rPr>
        <w:rFonts w:ascii="Arial Narrow" w:hAnsi="Arial Narrow" w:hint="default"/>
        <w:b/>
        <w:i w:val="0"/>
        <w:sz w:val="20"/>
      </w:rPr>
    </w:lvl>
    <w:lvl w:ilvl="5">
      <w:numFmt w:val="none"/>
      <w:lvlRestart w:val="0"/>
      <w:suff w:val="nothing"/>
      <w:lvlText w:val=""/>
      <w:lvlJc w:val="left"/>
      <w:pPr>
        <w:ind w:left="-32767" w:firstLine="0"/>
      </w:pPr>
    </w:lvl>
    <w:lvl w:ilvl="6">
      <w:numFmt w:val="none"/>
      <w:lvlRestart w:val="0"/>
      <w:suff w:val="nothing"/>
      <w:lvlText w:val=""/>
      <w:lvlJc w:val="left"/>
      <w:pPr>
        <w:ind w:left="-32767" w:firstLine="0"/>
      </w:pPr>
    </w:lvl>
    <w:lvl w:ilvl="7">
      <w:numFmt w:val="none"/>
      <w:lvlRestart w:val="0"/>
      <w:suff w:val="nothing"/>
      <w:lvlText w:val=""/>
      <w:lvlJc w:val="left"/>
      <w:pPr>
        <w:ind w:left="-32767" w:firstLine="0"/>
      </w:pPr>
    </w:lvl>
    <w:lvl w:ilvl="8">
      <w:numFmt w:val="none"/>
      <w:lvlRestart w:val="0"/>
      <w:suff w:val="nothing"/>
      <w:lvlText w:val=""/>
      <w:lvlJc w:val="left"/>
      <w:pPr>
        <w:ind w:left="-32767" w:firstLine="0"/>
      </w:pPr>
    </w:lvl>
  </w:abstractNum>
  <w:abstractNum w:abstractNumId="85" w15:restartNumberingAfterBreak="0">
    <w:nsid w:val="64A01B1A"/>
    <w:multiLevelType w:val="hybridMultilevel"/>
    <w:tmpl w:val="BE5209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65054A09"/>
    <w:multiLevelType w:val="hybridMultilevel"/>
    <w:tmpl w:val="DDDCD9F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7" w15:restartNumberingAfterBreak="0">
    <w:nsid w:val="65275923"/>
    <w:multiLevelType w:val="hybridMultilevel"/>
    <w:tmpl w:val="CD942C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654D7DF2"/>
    <w:multiLevelType w:val="hybridMultilevel"/>
    <w:tmpl w:val="995CDFBA"/>
    <w:lvl w:ilvl="0" w:tplc="0C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9" w15:restartNumberingAfterBreak="0">
    <w:nsid w:val="66063904"/>
    <w:multiLevelType w:val="hybridMultilevel"/>
    <w:tmpl w:val="12C0CF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66B7464D"/>
    <w:multiLevelType w:val="hybridMultilevel"/>
    <w:tmpl w:val="8ECE1A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1" w15:restartNumberingAfterBreak="0">
    <w:nsid w:val="67503144"/>
    <w:multiLevelType w:val="hybridMultilevel"/>
    <w:tmpl w:val="865016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DFC1BF4"/>
    <w:multiLevelType w:val="hybridMultilevel"/>
    <w:tmpl w:val="238887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048575A"/>
    <w:multiLevelType w:val="hybridMultilevel"/>
    <w:tmpl w:val="57CE1544"/>
    <w:lvl w:ilvl="0" w:tplc="37C6F9C2">
      <w:start w:val="1"/>
      <w:numFmt w:val="bullet"/>
      <w:pStyle w:val="ListBullet"/>
      <w:lvlText w:val=""/>
      <w:lvlJc w:val="left"/>
      <w:pPr>
        <w:ind w:left="730" w:hanging="360"/>
      </w:pPr>
      <w:rPr>
        <w:rFonts w:ascii="Symbol" w:hAnsi="Symbol" w:hint="default"/>
      </w:rPr>
    </w:lvl>
    <w:lvl w:ilvl="1" w:tplc="0C090003">
      <w:start w:val="1"/>
      <w:numFmt w:val="bullet"/>
      <w:lvlText w:val="o"/>
      <w:lvlJc w:val="left"/>
      <w:pPr>
        <w:ind w:left="1450" w:hanging="360"/>
      </w:pPr>
      <w:rPr>
        <w:rFonts w:ascii="Courier New" w:hAnsi="Courier New" w:cs="Courier New" w:hint="default"/>
      </w:rPr>
    </w:lvl>
    <w:lvl w:ilvl="2" w:tplc="0C090005">
      <w:start w:val="1"/>
      <w:numFmt w:val="bullet"/>
      <w:lvlText w:val=""/>
      <w:lvlJc w:val="left"/>
      <w:pPr>
        <w:ind w:left="2170" w:hanging="360"/>
      </w:pPr>
      <w:rPr>
        <w:rFonts w:ascii="Wingdings" w:hAnsi="Wingdings" w:hint="default"/>
      </w:rPr>
    </w:lvl>
    <w:lvl w:ilvl="3" w:tplc="0C090001" w:tentative="1">
      <w:start w:val="1"/>
      <w:numFmt w:val="bullet"/>
      <w:lvlText w:val=""/>
      <w:lvlJc w:val="left"/>
      <w:pPr>
        <w:ind w:left="2890" w:hanging="360"/>
      </w:pPr>
      <w:rPr>
        <w:rFonts w:ascii="Symbol" w:hAnsi="Symbol" w:hint="default"/>
      </w:rPr>
    </w:lvl>
    <w:lvl w:ilvl="4" w:tplc="0C090003" w:tentative="1">
      <w:start w:val="1"/>
      <w:numFmt w:val="bullet"/>
      <w:lvlText w:val="o"/>
      <w:lvlJc w:val="left"/>
      <w:pPr>
        <w:ind w:left="3610" w:hanging="360"/>
      </w:pPr>
      <w:rPr>
        <w:rFonts w:ascii="Courier New" w:hAnsi="Courier New" w:cs="Courier New" w:hint="default"/>
      </w:rPr>
    </w:lvl>
    <w:lvl w:ilvl="5" w:tplc="0C090005" w:tentative="1">
      <w:start w:val="1"/>
      <w:numFmt w:val="bullet"/>
      <w:lvlText w:val=""/>
      <w:lvlJc w:val="left"/>
      <w:pPr>
        <w:ind w:left="4330" w:hanging="360"/>
      </w:pPr>
      <w:rPr>
        <w:rFonts w:ascii="Wingdings" w:hAnsi="Wingdings" w:hint="default"/>
      </w:rPr>
    </w:lvl>
    <w:lvl w:ilvl="6" w:tplc="0C090001" w:tentative="1">
      <w:start w:val="1"/>
      <w:numFmt w:val="bullet"/>
      <w:lvlText w:val=""/>
      <w:lvlJc w:val="left"/>
      <w:pPr>
        <w:ind w:left="5050" w:hanging="360"/>
      </w:pPr>
      <w:rPr>
        <w:rFonts w:ascii="Symbol" w:hAnsi="Symbol" w:hint="default"/>
      </w:rPr>
    </w:lvl>
    <w:lvl w:ilvl="7" w:tplc="0C090003" w:tentative="1">
      <w:start w:val="1"/>
      <w:numFmt w:val="bullet"/>
      <w:lvlText w:val="o"/>
      <w:lvlJc w:val="left"/>
      <w:pPr>
        <w:ind w:left="5770" w:hanging="360"/>
      </w:pPr>
      <w:rPr>
        <w:rFonts w:ascii="Courier New" w:hAnsi="Courier New" w:cs="Courier New" w:hint="default"/>
      </w:rPr>
    </w:lvl>
    <w:lvl w:ilvl="8" w:tplc="0C090005" w:tentative="1">
      <w:start w:val="1"/>
      <w:numFmt w:val="bullet"/>
      <w:lvlText w:val=""/>
      <w:lvlJc w:val="left"/>
      <w:pPr>
        <w:ind w:left="6490" w:hanging="360"/>
      </w:pPr>
      <w:rPr>
        <w:rFonts w:ascii="Wingdings" w:hAnsi="Wingdings" w:hint="default"/>
      </w:rPr>
    </w:lvl>
  </w:abstractNum>
  <w:abstractNum w:abstractNumId="94" w15:restartNumberingAfterBreak="0">
    <w:nsid w:val="730544C4"/>
    <w:multiLevelType w:val="hybridMultilevel"/>
    <w:tmpl w:val="8710D5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733B6855"/>
    <w:multiLevelType w:val="hybridMultilevel"/>
    <w:tmpl w:val="68F296FE"/>
    <w:lvl w:ilvl="0" w:tplc="6B6C78CA">
      <w:start w:val="1"/>
      <w:numFmt w:val="bullet"/>
      <w:pStyle w:val="ContentBulletsRound"/>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96" w15:restartNumberingAfterBreak="0">
    <w:nsid w:val="740651A0"/>
    <w:multiLevelType w:val="hybridMultilevel"/>
    <w:tmpl w:val="72FCA2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74DF507F"/>
    <w:multiLevelType w:val="multilevel"/>
    <w:tmpl w:val="9E9A2322"/>
    <w:styleLink w:val="SKMNumberedList1"/>
    <w:lvl w:ilvl="0">
      <w:start w:val="1"/>
      <w:numFmt w:val="decimal"/>
      <w:lvlText w:val="%1."/>
      <w:lvlJc w:val="left"/>
      <w:pPr>
        <w:ind w:left="360" w:hanging="360"/>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8" w15:restartNumberingAfterBreak="0">
    <w:nsid w:val="758C6003"/>
    <w:multiLevelType w:val="hybridMultilevel"/>
    <w:tmpl w:val="1DA486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77FC4D75"/>
    <w:multiLevelType w:val="multilevel"/>
    <w:tmpl w:val="61C06B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0" w15:restartNumberingAfterBreak="0">
    <w:nsid w:val="7D12637D"/>
    <w:multiLevelType w:val="hybridMultilevel"/>
    <w:tmpl w:val="17F69F8C"/>
    <w:styleLink w:val="SKMTablesmallitem"/>
    <w:lvl w:ilvl="0" w:tplc="3FE4669E">
      <w:start w:val="1"/>
      <w:numFmt w:val="decimal"/>
      <w:lvlText w:val="%1)"/>
      <w:lvlJc w:val="left"/>
      <w:pPr>
        <w:ind w:left="1145" w:hanging="360"/>
      </w:pPr>
    </w:lvl>
    <w:lvl w:ilvl="1" w:tplc="0C090019">
      <w:start w:val="1"/>
      <w:numFmt w:val="lowerLetter"/>
      <w:lvlText w:val="%2."/>
      <w:lvlJc w:val="left"/>
      <w:pPr>
        <w:ind w:left="1865" w:hanging="360"/>
      </w:pPr>
    </w:lvl>
    <w:lvl w:ilvl="2" w:tplc="0C09001B">
      <w:start w:val="1"/>
      <w:numFmt w:val="lowerRoman"/>
      <w:lvlText w:val="%3."/>
      <w:lvlJc w:val="right"/>
      <w:pPr>
        <w:ind w:left="2585" w:hanging="180"/>
      </w:pPr>
    </w:lvl>
    <w:lvl w:ilvl="3" w:tplc="0C09000F">
      <w:start w:val="1"/>
      <w:numFmt w:val="decimal"/>
      <w:lvlText w:val="%4."/>
      <w:lvlJc w:val="left"/>
      <w:pPr>
        <w:ind w:left="3305" w:hanging="360"/>
      </w:pPr>
    </w:lvl>
    <w:lvl w:ilvl="4" w:tplc="0C090019">
      <w:start w:val="1"/>
      <w:numFmt w:val="lowerLetter"/>
      <w:lvlText w:val="%5."/>
      <w:lvlJc w:val="left"/>
      <w:pPr>
        <w:ind w:left="4025" w:hanging="360"/>
      </w:pPr>
    </w:lvl>
    <w:lvl w:ilvl="5" w:tplc="0C09001B">
      <w:start w:val="1"/>
      <w:numFmt w:val="lowerRoman"/>
      <w:lvlText w:val="%6."/>
      <w:lvlJc w:val="right"/>
      <w:pPr>
        <w:ind w:left="4745" w:hanging="180"/>
      </w:pPr>
    </w:lvl>
    <w:lvl w:ilvl="6" w:tplc="0C09000F">
      <w:start w:val="1"/>
      <w:numFmt w:val="decimal"/>
      <w:lvlText w:val="%7."/>
      <w:lvlJc w:val="left"/>
      <w:pPr>
        <w:ind w:left="5465" w:hanging="360"/>
      </w:pPr>
    </w:lvl>
    <w:lvl w:ilvl="7" w:tplc="0C090019">
      <w:start w:val="1"/>
      <w:numFmt w:val="lowerLetter"/>
      <w:lvlText w:val="%8."/>
      <w:lvlJc w:val="left"/>
      <w:pPr>
        <w:ind w:left="6185" w:hanging="360"/>
      </w:pPr>
    </w:lvl>
    <w:lvl w:ilvl="8" w:tplc="0C09001B">
      <w:start w:val="1"/>
      <w:numFmt w:val="lowerRoman"/>
      <w:lvlText w:val="%9."/>
      <w:lvlJc w:val="right"/>
      <w:pPr>
        <w:ind w:left="6905" w:hanging="180"/>
      </w:pPr>
    </w:lvl>
  </w:abstractNum>
  <w:abstractNum w:abstractNumId="101" w15:restartNumberingAfterBreak="0">
    <w:nsid w:val="7E6D7FF6"/>
    <w:multiLevelType w:val="hybridMultilevel"/>
    <w:tmpl w:val="99FCD3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7F1944CE"/>
    <w:multiLevelType w:val="hybridMultilevel"/>
    <w:tmpl w:val="CC94CD9C"/>
    <w:lvl w:ilvl="0" w:tplc="0C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61"/>
  </w:num>
  <w:num w:numId="2">
    <w:abstractNumId w:val="10"/>
  </w:num>
  <w:num w:numId="3">
    <w:abstractNumId w:val="45"/>
  </w:num>
  <w:num w:numId="4">
    <w:abstractNumId w:val="13"/>
  </w:num>
  <w:num w:numId="5">
    <w:abstractNumId w:val="69"/>
  </w:num>
  <w:num w:numId="6">
    <w:abstractNumId w:val="1"/>
  </w:num>
  <w:num w:numId="7">
    <w:abstractNumId w:val="48"/>
  </w:num>
  <w:num w:numId="8">
    <w:abstractNumId w:val="81"/>
  </w:num>
  <w:num w:numId="9">
    <w:abstractNumId w:val="76"/>
  </w:num>
  <w:num w:numId="10">
    <w:abstractNumId w:val="2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4"/>
  </w:num>
  <w:num w:numId="12">
    <w:abstractNumId w:val="18"/>
  </w:num>
  <w:num w:numId="1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6"/>
  </w:num>
  <w:num w:numId="15">
    <w:abstractNumId w:val="68"/>
  </w:num>
  <w:num w:numId="16">
    <w:abstractNumId w:val="14"/>
  </w:num>
  <w:num w:numId="17">
    <w:abstractNumId w:val="51"/>
  </w:num>
  <w:num w:numId="18">
    <w:abstractNumId w:val="11"/>
  </w:num>
  <w:num w:numId="19">
    <w:abstractNumId w:val="41"/>
  </w:num>
  <w:num w:numId="20">
    <w:abstractNumId w:val="50"/>
  </w:num>
  <w:num w:numId="21">
    <w:abstractNumId w:val="36"/>
  </w:num>
  <w:num w:numId="22">
    <w:abstractNumId w:val="47"/>
  </w:num>
  <w:num w:numId="23">
    <w:abstractNumId w:val="9"/>
  </w:num>
  <w:num w:numId="24">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5"/>
  </w:num>
  <w:num w:numId="26">
    <w:abstractNumId w:val="102"/>
  </w:num>
  <w:num w:numId="27">
    <w:abstractNumId w:val="88"/>
  </w:num>
  <w:num w:numId="28">
    <w:abstractNumId w:val="90"/>
  </w:num>
  <w:num w:numId="29">
    <w:abstractNumId w:val="52"/>
  </w:num>
  <w:num w:numId="30">
    <w:abstractNumId w:val="54"/>
  </w:num>
  <w:num w:numId="31">
    <w:abstractNumId w:val="19"/>
  </w:num>
  <w:num w:numId="32">
    <w:abstractNumId w:val="79"/>
  </w:num>
  <w:num w:numId="33">
    <w:abstractNumId w:val="84"/>
    <w:lvlOverride w:ilvl="0">
      <w:startOverride w:val="2"/>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3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5"/>
  </w:num>
  <w:num w:numId="3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num>
  <w:num w:numId="38">
    <w:abstractNumId w:val="40"/>
  </w:num>
  <w:num w:numId="39">
    <w:abstractNumId w:val="33"/>
  </w:num>
  <w:num w:numId="40">
    <w:abstractNumId w:val="53"/>
  </w:num>
  <w:num w:numId="41">
    <w:abstractNumId w:val="15"/>
  </w:num>
  <w:num w:numId="42">
    <w:abstractNumId w:val="6"/>
  </w:num>
  <w:num w:numId="43">
    <w:abstractNumId w:val="82"/>
  </w:num>
  <w:num w:numId="44">
    <w:abstractNumId w:val="2"/>
  </w:num>
  <w:num w:numId="45">
    <w:abstractNumId w:val="27"/>
  </w:num>
  <w:num w:numId="46">
    <w:abstractNumId w:val="55"/>
  </w:num>
  <w:num w:numId="47">
    <w:abstractNumId w:val="74"/>
  </w:num>
  <w:num w:numId="48">
    <w:abstractNumId w:val="20"/>
  </w:num>
  <w:num w:numId="49">
    <w:abstractNumId w:val="16"/>
  </w:num>
  <w:num w:numId="50">
    <w:abstractNumId w:val="73"/>
  </w:num>
  <w:num w:numId="51">
    <w:abstractNumId w:val="17"/>
  </w:num>
  <w:num w:numId="52">
    <w:abstractNumId w:val="43"/>
  </w:num>
  <w:num w:numId="53">
    <w:abstractNumId w:val="60"/>
  </w:num>
  <w:num w:numId="54">
    <w:abstractNumId w:val="57"/>
  </w:num>
  <w:num w:numId="55">
    <w:abstractNumId w:val="7"/>
  </w:num>
  <w:num w:numId="56">
    <w:abstractNumId w:val="42"/>
  </w:num>
  <w:num w:numId="57">
    <w:abstractNumId w:val="31"/>
  </w:num>
  <w:num w:numId="58">
    <w:abstractNumId w:val="21"/>
  </w:num>
  <w:num w:numId="59">
    <w:abstractNumId w:val="67"/>
  </w:num>
  <w:num w:numId="60">
    <w:abstractNumId w:val="63"/>
  </w:num>
  <w:num w:numId="61">
    <w:abstractNumId w:val="65"/>
  </w:num>
  <w:num w:numId="62">
    <w:abstractNumId w:val="92"/>
  </w:num>
  <w:num w:numId="63">
    <w:abstractNumId w:val="91"/>
  </w:num>
  <w:num w:numId="64">
    <w:abstractNumId w:val="77"/>
  </w:num>
  <w:num w:numId="65">
    <w:abstractNumId w:val="83"/>
  </w:num>
  <w:num w:numId="66">
    <w:abstractNumId w:val="56"/>
  </w:num>
  <w:num w:numId="67">
    <w:abstractNumId w:val="25"/>
  </w:num>
  <w:num w:numId="68">
    <w:abstractNumId w:val="30"/>
  </w:num>
  <w:num w:numId="69">
    <w:abstractNumId w:val="32"/>
  </w:num>
  <w:num w:numId="70">
    <w:abstractNumId w:val="85"/>
  </w:num>
  <w:num w:numId="71">
    <w:abstractNumId w:val="64"/>
  </w:num>
  <w:num w:numId="72">
    <w:abstractNumId w:val="4"/>
  </w:num>
  <w:num w:numId="73">
    <w:abstractNumId w:val="22"/>
  </w:num>
  <w:num w:numId="74">
    <w:abstractNumId w:val="101"/>
  </w:num>
  <w:num w:numId="75">
    <w:abstractNumId w:val="96"/>
  </w:num>
  <w:num w:numId="76">
    <w:abstractNumId w:val="89"/>
  </w:num>
  <w:num w:numId="77">
    <w:abstractNumId w:val="62"/>
  </w:num>
  <w:num w:numId="78">
    <w:abstractNumId w:val="5"/>
  </w:num>
  <w:num w:numId="79">
    <w:abstractNumId w:val="87"/>
  </w:num>
  <w:num w:numId="80">
    <w:abstractNumId w:val="39"/>
  </w:num>
  <w:num w:numId="81">
    <w:abstractNumId w:val="98"/>
  </w:num>
  <w:num w:numId="82">
    <w:abstractNumId w:val="29"/>
  </w:num>
  <w:num w:numId="83">
    <w:abstractNumId w:val="93"/>
  </w:num>
  <w:num w:numId="84">
    <w:abstractNumId w:val="71"/>
  </w:num>
  <w:num w:numId="85">
    <w:abstractNumId w:val="35"/>
  </w:num>
  <w:num w:numId="86">
    <w:abstractNumId w:val="37"/>
  </w:num>
  <w:num w:numId="87">
    <w:abstractNumId w:val="72"/>
  </w:num>
  <w:num w:numId="88">
    <w:abstractNumId w:val="80"/>
  </w:num>
  <w:num w:numId="89">
    <w:abstractNumId w:val="59"/>
  </w:num>
  <w:num w:numId="90">
    <w:abstractNumId w:val="97"/>
  </w:num>
  <w:num w:numId="91">
    <w:abstractNumId w:val="44"/>
  </w:num>
  <w:num w:numId="92">
    <w:abstractNumId w:val="86"/>
  </w:num>
  <w:num w:numId="93">
    <w:abstractNumId w:val="3"/>
  </w:num>
  <w:num w:numId="94">
    <w:abstractNumId w:val="8"/>
  </w:num>
  <w:num w:numId="95">
    <w:abstractNumId w:val="58"/>
  </w:num>
  <w:num w:numId="96">
    <w:abstractNumId w:val="76"/>
  </w:num>
  <w:num w:numId="97">
    <w:abstractNumId w:val="0"/>
  </w:num>
  <w:num w:numId="98">
    <w:abstractNumId w:val="100"/>
  </w:num>
  <w:num w:numId="9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99"/>
  </w:num>
  <w:num w:numId="101">
    <w:abstractNumId w:val="26"/>
  </w:num>
  <w:num w:numId="102">
    <w:abstractNumId w:val="94"/>
  </w:num>
  <w:num w:numId="103">
    <w:abstractNumId w:val="78"/>
  </w:num>
  <w:num w:numId="104">
    <w:abstractNumId w:val="46"/>
  </w:num>
  <w:num w:numId="105">
    <w:abstractNumId w:val="28"/>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Author-Date&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0rw555pbtf5sre0fe652f5f05rxex52ttpt&quot;&gt;MER&lt;record-ids&gt;&lt;item&gt;1&lt;/item&gt;&lt;item&gt;2&lt;/item&gt;&lt;item&gt;3&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8&lt;/item&gt;&lt;item&gt;39&lt;/item&gt;&lt;item&gt;40&lt;/item&gt;&lt;item&gt;41&lt;/item&gt;&lt;item&gt;42&lt;/item&gt;&lt;item&gt;43&lt;/item&gt;&lt;item&gt;44&lt;/item&gt;&lt;item&gt;45&lt;/item&gt;&lt;item&gt;46&lt;/item&gt;&lt;item&gt;47&lt;/item&gt;&lt;item&gt;48&lt;/item&gt;&lt;item&gt;49&lt;/item&gt;&lt;item&gt;50&lt;/item&gt;&lt;item&gt;51&lt;/item&gt;&lt;item&gt;53&lt;/item&gt;&lt;item&gt;54&lt;/item&gt;&lt;item&gt;55&lt;/item&gt;&lt;item&gt;60&lt;/item&gt;&lt;item&gt;61&lt;/item&gt;&lt;item&gt;62&lt;/item&gt;&lt;item&gt;63&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0732C6"/>
    <w:rsid w:val="0000025E"/>
    <w:rsid w:val="00001731"/>
    <w:rsid w:val="00002446"/>
    <w:rsid w:val="0000262E"/>
    <w:rsid w:val="0000321C"/>
    <w:rsid w:val="00003254"/>
    <w:rsid w:val="000040E1"/>
    <w:rsid w:val="00004C2C"/>
    <w:rsid w:val="00004F63"/>
    <w:rsid w:val="00006CAB"/>
    <w:rsid w:val="000070C7"/>
    <w:rsid w:val="00007426"/>
    <w:rsid w:val="000077FF"/>
    <w:rsid w:val="0001018C"/>
    <w:rsid w:val="000101FC"/>
    <w:rsid w:val="000115C6"/>
    <w:rsid w:val="000120E0"/>
    <w:rsid w:val="000127F9"/>
    <w:rsid w:val="00013310"/>
    <w:rsid w:val="00013F8A"/>
    <w:rsid w:val="000146B6"/>
    <w:rsid w:val="00015EC3"/>
    <w:rsid w:val="00017646"/>
    <w:rsid w:val="000217C0"/>
    <w:rsid w:val="00022134"/>
    <w:rsid w:val="000228B3"/>
    <w:rsid w:val="00022B6A"/>
    <w:rsid w:val="0002360D"/>
    <w:rsid w:val="00024136"/>
    <w:rsid w:val="00024DFC"/>
    <w:rsid w:val="00026A0E"/>
    <w:rsid w:val="00026BC7"/>
    <w:rsid w:val="00026BD8"/>
    <w:rsid w:val="00032475"/>
    <w:rsid w:val="0003262C"/>
    <w:rsid w:val="0003320C"/>
    <w:rsid w:val="00033632"/>
    <w:rsid w:val="00033F28"/>
    <w:rsid w:val="0003427D"/>
    <w:rsid w:val="000344C8"/>
    <w:rsid w:val="000355CC"/>
    <w:rsid w:val="00035CD4"/>
    <w:rsid w:val="00036D7F"/>
    <w:rsid w:val="00037617"/>
    <w:rsid w:val="00037860"/>
    <w:rsid w:val="00037A12"/>
    <w:rsid w:val="00040F75"/>
    <w:rsid w:val="00041286"/>
    <w:rsid w:val="00041BBD"/>
    <w:rsid w:val="0004243D"/>
    <w:rsid w:val="00044867"/>
    <w:rsid w:val="00046065"/>
    <w:rsid w:val="00046517"/>
    <w:rsid w:val="000466CC"/>
    <w:rsid w:val="00047367"/>
    <w:rsid w:val="00050896"/>
    <w:rsid w:val="00050C55"/>
    <w:rsid w:val="0005144E"/>
    <w:rsid w:val="0005276F"/>
    <w:rsid w:val="00053CFC"/>
    <w:rsid w:val="00054BC7"/>
    <w:rsid w:val="00054DB3"/>
    <w:rsid w:val="00054EF9"/>
    <w:rsid w:val="00055DA7"/>
    <w:rsid w:val="00056DA7"/>
    <w:rsid w:val="00056F3A"/>
    <w:rsid w:val="00057767"/>
    <w:rsid w:val="00060555"/>
    <w:rsid w:val="0006134D"/>
    <w:rsid w:val="0006156B"/>
    <w:rsid w:val="000615C9"/>
    <w:rsid w:val="00061EE0"/>
    <w:rsid w:val="000622E9"/>
    <w:rsid w:val="000632AF"/>
    <w:rsid w:val="000635CE"/>
    <w:rsid w:val="00063B0F"/>
    <w:rsid w:val="00064109"/>
    <w:rsid w:val="00065365"/>
    <w:rsid w:val="00065439"/>
    <w:rsid w:val="000656CB"/>
    <w:rsid w:val="00066D98"/>
    <w:rsid w:val="000676A3"/>
    <w:rsid w:val="00070748"/>
    <w:rsid w:val="0007137C"/>
    <w:rsid w:val="000729C1"/>
    <w:rsid w:val="00072D1B"/>
    <w:rsid w:val="00072E9B"/>
    <w:rsid w:val="000732C6"/>
    <w:rsid w:val="00074020"/>
    <w:rsid w:val="00074134"/>
    <w:rsid w:val="00074788"/>
    <w:rsid w:val="00074A6B"/>
    <w:rsid w:val="00075527"/>
    <w:rsid w:val="00075A36"/>
    <w:rsid w:val="00075BA4"/>
    <w:rsid w:val="00075C85"/>
    <w:rsid w:val="00075DED"/>
    <w:rsid w:val="0007637D"/>
    <w:rsid w:val="000764F1"/>
    <w:rsid w:val="00076562"/>
    <w:rsid w:val="00076B3D"/>
    <w:rsid w:val="000771F7"/>
    <w:rsid w:val="0008059C"/>
    <w:rsid w:val="000812D8"/>
    <w:rsid w:val="000814B4"/>
    <w:rsid w:val="00081571"/>
    <w:rsid w:val="0008173B"/>
    <w:rsid w:val="00081BA1"/>
    <w:rsid w:val="00081BEC"/>
    <w:rsid w:val="00081C0D"/>
    <w:rsid w:val="00082828"/>
    <w:rsid w:val="00082EA7"/>
    <w:rsid w:val="000845E5"/>
    <w:rsid w:val="00084C34"/>
    <w:rsid w:val="00085090"/>
    <w:rsid w:val="000858FD"/>
    <w:rsid w:val="00085C7F"/>
    <w:rsid w:val="00085EBE"/>
    <w:rsid w:val="0008627B"/>
    <w:rsid w:val="0008654A"/>
    <w:rsid w:val="00086BFA"/>
    <w:rsid w:val="00090616"/>
    <w:rsid w:val="00091EDF"/>
    <w:rsid w:val="0009369A"/>
    <w:rsid w:val="00093AE2"/>
    <w:rsid w:val="000942CC"/>
    <w:rsid w:val="00094909"/>
    <w:rsid w:val="0009492E"/>
    <w:rsid w:val="00094962"/>
    <w:rsid w:val="00095A1E"/>
    <w:rsid w:val="000962AB"/>
    <w:rsid w:val="00096691"/>
    <w:rsid w:val="0009794B"/>
    <w:rsid w:val="000979AB"/>
    <w:rsid w:val="000A0587"/>
    <w:rsid w:val="000A12E2"/>
    <w:rsid w:val="000A2222"/>
    <w:rsid w:val="000A3C76"/>
    <w:rsid w:val="000A4675"/>
    <w:rsid w:val="000A4CA2"/>
    <w:rsid w:val="000A57FB"/>
    <w:rsid w:val="000A5A22"/>
    <w:rsid w:val="000A750C"/>
    <w:rsid w:val="000A7BBA"/>
    <w:rsid w:val="000B03AF"/>
    <w:rsid w:val="000B15BA"/>
    <w:rsid w:val="000B1B20"/>
    <w:rsid w:val="000B256F"/>
    <w:rsid w:val="000B267B"/>
    <w:rsid w:val="000B27DB"/>
    <w:rsid w:val="000B32B0"/>
    <w:rsid w:val="000B35DB"/>
    <w:rsid w:val="000B3776"/>
    <w:rsid w:val="000B3AF2"/>
    <w:rsid w:val="000B5DB1"/>
    <w:rsid w:val="000B6408"/>
    <w:rsid w:val="000B6D47"/>
    <w:rsid w:val="000B6F60"/>
    <w:rsid w:val="000B6FA4"/>
    <w:rsid w:val="000B7221"/>
    <w:rsid w:val="000B75AF"/>
    <w:rsid w:val="000C0EF4"/>
    <w:rsid w:val="000C1033"/>
    <w:rsid w:val="000C109E"/>
    <w:rsid w:val="000C1933"/>
    <w:rsid w:val="000C2784"/>
    <w:rsid w:val="000C332A"/>
    <w:rsid w:val="000C3981"/>
    <w:rsid w:val="000C3D46"/>
    <w:rsid w:val="000C4414"/>
    <w:rsid w:val="000C4BFC"/>
    <w:rsid w:val="000C5CB7"/>
    <w:rsid w:val="000C6990"/>
    <w:rsid w:val="000C6DCF"/>
    <w:rsid w:val="000C7568"/>
    <w:rsid w:val="000C7B8B"/>
    <w:rsid w:val="000C7C65"/>
    <w:rsid w:val="000C7D19"/>
    <w:rsid w:val="000D257F"/>
    <w:rsid w:val="000D2BEB"/>
    <w:rsid w:val="000D303A"/>
    <w:rsid w:val="000D3357"/>
    <w:rsid w:val="000D3601"/>
    <w:rsid w:val="000D400B"/>
    <w:rsid w:val="000D4C7C"/>
    <w:rsid w:val="000D5086"/>
    <w:rsid w:val="000D5235"/>
    <w:rsid w:val="000D5396"/>
    <w:rsid w:val="000D7CB2"/>
    <w:rsid w:val="000D7E75"/>
    <w:rsid w:val="000E0411"/>
    <w:rsid w:val="000E150E"/>
    <w:rsid w:val="000E2466"/>
    <w:rsid w:val="000E247A"/>
    <w:rsid w:val="000E251B"/>
    <w:rsid w:val="000E2EAD"/>
    <w:rsid w:val="000E3799"/>
    <w:rsid w:val="000E38BF"/>
    <w:rsid w:val="000E3B61"/>
    <w:rsid w:val="000E432C"/>
    <w:rsid w:val="000E4B3B"/>
    <w:rsid w:val="000E5133"/>
    <w:rsid w:val="000E5E00"/>
    <w:rsid w:val="000E6DA1"/>
    <w:rsid w:val="000E7826"/>
    <w:rsid w:val="000E78EF"/>
    <w:rsid w:val="000E7B5D"/>
    <w:rsid w:val="000F0C5C"/>
    <w:rsid w:val="000F1663"/>
    <w:rsid w:val="000F1670"/>
    <w:rsid w:val="000F1ABE"/>
    <w:rsid w:val="000F2F71"/>
    <w:rsid w:val="000F3592"/>
    <w:rsid w:val="000F3A26"/>
    <w:rsid w:val="000F3B0D"/>
    <w:rsid w:val="000F554F"/>
    <w:rsid w:val="000F5BEE"/>
    <w:rsid w:val="000F67FE"/>
    <w:rsid w:val="00100175"/>
    <w:rsid w:val="001009B7"/>
    <w:rsid w:val="00100AFF"/>
    <w:rsid w:val="001010BF"/>
    <w:rsid w:val="00101C0F"/>
    <w:rsid w:val="00103CEA"/>
    <w:rsid w:val="001054C4"/>
    <w:rsid w:val="001058F3"/>
    <w:rsid w:val="00105FBB"/>
    <w:rsid w:val="00106004"/>
    <w:rsid w:val="00106C80"/>
    <w:rsid w:val="0010769F"/>
    <w:rsid w:val="00107947"/>
    <w:rsid w:val="001079A9"/>
    <w:rsid w:val="00107E76"/>
    <w:rsid w:val="001108AF"/>
    <w:rsid w:val="0011108E"/>
    <w:rsid w:val="001116AD"/>
    <w:rsid w:val="00111A60"/>
    <w:rsid w:val="00111D92"/>
    <w:rsid w:val="00112948"/>
    <w:rsid w:val="0011301C"/>
    <w:rsid w:val="001132AE"/>
    <w:rsid w:val="00113732"/>
    <w:rsid w:val="00113FCA"/>
    <w:rsid w:val="001142FD"/>
    <w:rsid w:val="00114425"/>
    <w:rsid w:val="00115533"/>
    <w:rsid w:val="00115733"/>
    <w:rsid w:val="00115B1C"/>
    <w:rsid w:val="001166F3"/>
    <w:rsid w:val="00116946"/>
    <w:rsid w:val="0011695F"/>
    <w:rsid w:val="00117194"/>
    <w:rsid w:val="0011758B"/>
    <w:rsid w:val="00120015"/>
    <w:rsid w:val="00120397"/>
    <w:rsid w:val="00120784"/>
    <w:rsid w:val="00120AB0"/>
    <w:rsid w:val="00120B7D"/>
    <w:rsid w:val="00120F11"/>
    <w:rsid w:val="00121115"/>
    <w:rsid w:val="001218EA"/>
    <w:rsid w:val="0012262B"/>
    <w:rsid w:val="00122B62"/>
    <w:rsid w:val="0012340D"/>
    <w:rsid w:val="001236F5"/>
    <w:rsid w:val="00123E7F"/>
    <w:rsid w:val="001240DF"/>
    <w:rsid w:val="00124A72"/>
    <w:rsid w:val="00124E1D"/>
    <w:rsid w:val="0012571F"/>
    <w:rsid w:val="0013088F"/>
    <w:rsid w:val="00131559"/>
    <w:rsid w:val="00131DC1"/>
    <w:rsid w:val="00132250"/>
    <w:rsid w:val="00132690"/>
    <w:rsid w:val="00132AEE"/>
    <w:rsid w:val="00132B52"/>
    <w:rsid w:val="001332C5"/>
    <w:rsid w:val="001332F3"/>
    <w:rsid w:val="00133374"/>
    <w:rsid w:val="00133892"/>
    <w:rsid w:val="00133971"/>
    <w:rsid w:val="00134347"/>
    <w:rsid w:val="0013566C"/>
    <w:rsid w:val="00135DA9"/>
    <w:rsid w:val="001361E3"/>
    <w:rsid w:val="001362C3"/>
    <w:rsid w:val="00136443"/>
    <w:rsid w:val="001367DA"/>
    <w:rsid w:val="001369D4"/>
    <w:rsid w:val="00136A4C"/>
    <w:rsid w:val="00137AB2"/>
    <w:rsid w:val="00137DCD"/>
    <w:rsid w:val="00140DCD"/>
    <w:rsid w:val="001410F0"/>
    <w:rsid w:val="001416CE"/>
    <w:rsid w:val="00141713"/>
    <w:rsid w:val="00141EB9"/>
    <w:rsid w:val="001425F0"/>
    <w:rsid w:val="00142D6D"/>
    <w:rsid w:val="00143AA0"/>
    <w:rsid w:val="00144D07"/>
    <w:rsid w:val="00145F42"/>
    <w:rsid w:val="00146172"/>
    <w:rsid w:val="0014622F"/>
    <w:rsid w:val="001479A8"/>
    <w:rsid w:val="00147A68"/>
    <w:rsid w:val="00147C91"/>
    <w:rsid w:val="00150215"/>
    <w:rsid w:val="0015133A"/>
    <w:rsid w:val="00153112"/>
    <w:rsid w:val="001535D1"/>
    <w:rsid w:val="00153DEE"/>
    <w:rsid w:val="00154578"/>
    <w:rsid w:val="001545D8"/>
    <w:rsid w:val="001554CA"/>
    <w:rsid w:val="00155BCF"/>
    <w:rsid w:val="00155FEF"/>
    <w:rsid w:val="001560AA"/>
    <w:rsid w:val="00160167"/>
    <w:rsid w:val="00160838"/>
    <w:rsid w:val="00160C61"/>
    <w:rsid w:val="00161B5B"/>
    <w:rsid w:val="00161EC5"/>
    <w:rsid w:val="00162078"/>
    <w:rsid w:val="0016231D"/>
    <w:rsid w:val="00162F3E"/>
    <w:rsid w:val="001634B9"/>
    <w:rsid w:val="001636F3"/>
    <w:rsid w:val="00163936"/>
    <w:rsid w:val="00164B44"/>
    <w:rsid w:val="00164D76"/>
    <w:rsid w:val="00164F1A"/>
    <w:rsid w:val="001661BD"/>
    <w:rsid w:val="00166493"/>
    <w:rsid w:val="00166915"/>
    <w:rsid w:val="00166B4E"/>
    <w:rsid w:val="00166B86"/>
    <w:rsid w:val="00167BB8"/>
    <w:rsid w:val="00167E99"/>
    <w:rsid w:val="001702B3"/>
    <w:rsid w:val="001703F5"/>
    <w:rsid w:val="00171286"/>
    <w:rsid w:val="00171C6D"/>
    <w:rsid w:val="00172023"/>
    <w:rsid w:val="00172414"/>
    <w:rsid w:val="0017256B"/>
    <w:rsid w:val="00172EDD"/>
    <w:rsid w:val="001735B4"/>
    <w:rsid w:val="00173E2F"/>
    <w:rsid w:val="00174247"/>
    <w:rsid w:val="0017449B"/>
    <w:rsid w:val="0017454B"/>
    <w:rsid w:val="001745A4"/>
    <w:rsid w:val="001745D2"/>
    <w:rsid w:val="0017479C"/>
    <w:rsid w:val="0017518C"/>
    <w:rsid w:val="00175F58"/>
    <w:rsid w:val="001763A1"/>
    <w:rsid w:val="001776C0"/>
    <w:rsid w:val="00180449"/>
    <w:rsid w:val="0018098B"/>
    <w:rsid w:val="00180AB0"/>
    <w:rsid w:val="00181312"/>
    <w:rsid w:val="0018148C"/>
    <w:rsid w:val="0018167D"/>
    <w:rsid w:val="00181901"/>
    <w:rsid w:val="00181F6A"/>
    <w:rsid w:val="001827C8"/>
    <w:rsid w:val="00182D89"/>
    <w:rsid w:val="00183009"/>
    <w:rsid w:val="001833C7"/>
    <w:rsid w:val="00183C7D"/>
    <w:rsid w:val="00184158"/>
    <w:rsid w:val="00184191"/>
    <w:rsid w:val="0018467D"/>
    <w:rsid w:val="00184E27"/>
    <w:rsid w:val="00185003"/>
    <w:rsid w:val="0018540E"/>
    <w:rsid w:val="00185761"/>
    <w:rsid w:val="00185962"/>
    <w:rsid w:val="0018653A"/>
    <w:rsid w:val="00186EDC"/>
    <w:rsid w:val="001874ED"/>
    <w:rsid w:val="00187983"/>
    <w:rsid w:val="00187EDB"/>
    <w:rsid w:val="00190A69"/>
    <w:rsid w:val="00195209"/>
    <w:rsid w:val="001952B3"/>
    <w:rsid w:val="00196B63"/>
    <w:rsid w:val="00196BA1"/>
    <w:rsid w:val="00196F91"/>
    <w:rsid w:val="001975FF"/>
    <w:rsid w:val="001979A8"/>
    <w:rsid w:val="001A0D77"/>
    <w:rsid w:val="001A0D87"/>
    <w:rsid w:val="001A0E3B"/>
    <w:rsid w:val="001A124A"/>
    <w:rsid w:val="001A1790"/>
    <w:rsid w:val="001A20C6"/>
    <w:rsid w:val="001A303C"/>
    <w:rsid w:val="001A3539"/>
    <w:rsid w:val="001A3BD1"/>
    <w:rsid w:val="001A456E"/>
    <w:rsid w:val="001A466B"/>
    <w:rsid w:val="001A603C"/>
    <w:rsid w:val="001A7A58"/>
    <w:rsid w:val="001B08AF"/>
    <w:rsid w:val="001B08DE"/>
    <w:rsid w:val="001B08E8"/>
    <w:rsid w:val="001B17A3"/>
    <w:rsid w:val="001B19CA"/>
    <w:rsid w:val="001B2BF3"/>
    <w:rsid w:val="001B2CD9"/>
    <w:rsid w:val="001B354D"/>
    <w:rsid w:val="001B37C9"/>
    <w:rsid w:val="001B3C13"/>
    <w:rsid w:val="001B52A7"/>
    <w:rsid w:val="001B65BC"/>
    <w:rsid w:val="001B6BE5"/>
    <w:rsid w:val="001B76B4"/>
    <w:rsid w:val="001B7A8B"/>
    <w:rsid w:val="001B7CEB"/>
    <w:rsid w:val="001C0076"/>
    <w:rsid w:val="001C086B"/>
    <w:rsid w:val="001C13D9"/>
    <w:rsid w:val="001C2309"/>
    <w:rsid w:val="001C263A"/>
    <w:rsid w:val="001C2AC4"/>
    <w:rsid w:val="001C3131"/>
    <w:rsid w:val="001C33FD"/>
    <w:rsid w:val="001C3657"/>
    <w:rsid w:val="001C41AD"/>
    <w:rsid w:val="001C53B2"/>
    <w:rsid w:val="001C639B"/>
    <w:rsid w:val="001C6A52"/>
    <w:rsid w:val="001C7E86"/>
    <w:rsid w:val="001D0BD7"/>
    <w:rsid w:val="001D0D30"/>
    <w:rsid w:val="001D2622"/>
    <w:rsid w:val="001D2D91"/>
    <w:rsid w:val="001D32A2"/>
    <w:rsid w:val="001D433E"/>
    <w:rsid w:val="001D50E5"/>
    <w:rsid w:val="001D575E"/>
    <w:rsid w:val="001D5CDE"/>
    <w:rsid w:val="001D60A8"/>
    <w:rsid w:val="001D6594"/>
    <w:rsid w:val="001D6A04"/>
    <w:rsid w:val="001D7C57"/>
    <w:rsid w:val="001D7C82"/>
    <w:rsid w:val="001E0269"/>
    <w:rsid w:val="001E05F9"/>
    <w:rsid w:val="001E1654"/>
    <w:rsid w:val="001E182C"/>
    <w:rsid w:val="001E1DD7"/>
    <w:rsid w:val="001E2EB3"/>
    <w:rsid w:val="001E2EF3"/>
    <w:rsid w:val="001E351C"/>
    <w:rsid w:val="001E3F57"/>
    <w:rsid w:val="001E4099"/>
    <w:rsid w:val="001E48BD"/>
    <w:rsid w:val="001E5454"/>
    <w:rsid w:val="001E5E42"/>
    <w:rsid w:val="001E69F0"/>
    <w:rsid w:val="001F0659"/>
    <w:rsid w:val="001F0B9C"/>
    <w:rsid w:val="001F0ECD"/>
    <w:rsid w:val="001F1C90"/>
    <w:rsid w:val="001F23B2"/>
    <w:rsid w:val="001F356B"/>
    <w:rsid w:val="001F374F"/>
    <w:rsid w:val="001F4449"/>
    <w:rsid w:val="001F446D"/>
    <w:rsid w:val="001F4B2E"/>
    <w:rsid w:val="001F51CD"/>
    <w:rsid w:val="001F55ED"/>
    <w:rsid w:val="001F5B39"/>
    <w:rsid w:val="001F63C5"/>
    <w:rsid w:val="001F6568"/>
    <w:rsid w:val="001F65AB"/>
    <w:rsid w:val="001F6749"/>
    <w:rsid w:val="00200169"/>
    <w:rsid w:val="002012B2"/>
    <w:rsid w:val="0020131E"/>
    <w:rsid w:val="002015D6"/>
    <w:rsid w:val="00201A9B"/>
    <w:rsid w:val="0020203B"/>
    <w:rsid w:val="00202048"/>
    <w:rsid w:val="0020232C"/>
    <w:rsid w:val="00202833"/>
    <w:rsid w:val="00204202"/>
    <w:rsid w:val="00205987"/>
    <w:rsid w:val="00205DBC"/>
    <w:rsid w:val="0020646B"/>
    <w:rsid w:val="00206685"/>
    <w:rsid w:val="00206830"/>
    <w:rsid w:val="0021067B"/>
    <w:rsid w:val="002108F3"/>
    <w:rsid w:val="00210DD7"/>
    <w:rsid w:val="00211821"/>
    <w:rsid w:val="0021246C"/>
    <w:rsid w:val="00212664"/>
    <w:rsid w:val="00212D3F"/>
    <w:rsid w:val="00212FB6"/>
    <w:rsid w:val="002132D1"/>
    <w:rsid w:val="002132EA"/>
    <w:rsid w:val="0021472E"/>
    <w:rsid w:val="00214D89"/>
    <w:rsid w:val="00215066"/>
    <w:rsid w:val="002166DE"/>
    <w:rsid w:val="002168DA"/>
    <w:rsid w:val="00216C19"/>
    <w:rsid w:val="00216E4D"/>
    <w:rsid w:val="00217E22"/>
    <w:rsid w:val="00217E4A"/>
    <w:rsid w:val="00220469"/>
    <w:rsid w:val="00220B82"/>
    <w:rsid w:val="0022292A"/>
    <w:rsid w:val="00222AEA"/>
    <w:rsid w:val="00222EFD"/>
    <w:rsid w:val="00223149"/>
    <w:rsid w:val="002232B0"/>
    <w:rsid w:val="00225125"/>
    <w:rsid w:val="0022574F"/>
    <w:rsid w:val="0022607F"/>
    <w:rsid w:val="0022622A"/>
    <w:rsid w:val="00226480"/>
    <w:rsid w:val="00226905"/>
    <w:rsid w:val="00226999"/>
    <w:rsid w:val="00230359"/>
    <w:rsid w:val="00230E3F"/>
    <w:rsid w:val="00231432"/>
    <w:rsid w:val="00231C0D"/>
    <w:rsid w:val="002330E4"/>
    <w:rsid w:val="002334F1"/>
    <w:rsid w:val="00234A30"/>
    <w:rsid w:val="0023578E"/>
    <w:rsid w:val="00235986"/>
    <w:rsid w:val="0023662E"/>
    <w:rsid w:val="00236A3D"/>
    <w:rsid w:val="0023798D"/>
    <w:rsid w:val="00237C8A"/>
    <w:rsid w:val="0024017F"/>
    <w:rsid w:val="00241B25"/>
    <w:rsid w:val="00242271"/>
    <w:rsid w:val="002423D6"/>
    <w:rsid w:val="002425DA"/>
    <w:rsid w:val="00242672"/>
    <w:rsid w:val="00242A8E"/>
    <w:rsid w:val="00242EBA"/>
    <w:rsid w:val="00243191"/>
    <w:rsid w:val="002431E0"/>
    <w:rsid w:val="002433A5"/>
    <w:rsid w:val="00243FE7"/>
    <w:rsid w:val="0024509A"/>
    <w:rsid w:val="00245718"/>
    <w:rsid w:val="00245AC7"/>
    <w:rsid w:val="00245E45"/>
    <w:rsid w:val="00246067"/>
    <w:rsid w:val="002460B7"/>
    <w:rsid w:val="00246189"/>
    <w:rsid w:val="00246AE1"/>
    <w:rsid w:val="00246AEB"/>
    <w:rsid w:val="00246E13"/>
    <w:rsid w:val="00247338"/>
    <w:rsid w:val="0025033E"/>
    <w:rsid w:val="00250F7C"/>
    <w:rsid w:val="00252B85"/>
    <w:rsid w:val="0025451E"/>
    <w:rsid w:val="00255397"/>
    <w:rsid w:val="00256982"/>
    <w:rsid w:val="00257E85"/>
    <w:rsid w:val="00260484"/>
    <w:rsid w:val="00260EB8"/>
    <w:rsid w:val="0026392E"/>
    <w:rsid w:val="0026514A"/>
    <w:rsid w:val="002652EB"/>
    <w:rsid w:val="002660B1"/>
    <w:rsid w:val="002660CE"/>
    <w:rsid w:val="0026614C"/>
    <w:rsid w:val="00266590"/>
    <w:rsid w:val="002677C6"/>
    <w:rsid w:val="00267EF1"/>
    <w:rsid w:val="0027016C"/>
    <w:rsid w:val="00270F50"/>
    <w:rsid w:val="00271BF8"/>
    <w:rsid w:val="00272A33"/>
    <w:rsid w:val="00272C90"/>
    <w:rsid w:val="00272D2E"/>
    <w:rsid w:val="00273405"/>
    <w:rsid w:val="0027439F"/>
    <w:rsid w:val="00275823"/>
    <w:rsid w:val="002769E5"/>
    <w:rsid w:val="00276B46"/>
    <w:rsid w:val="00276F29"/>
    <w:rsid w:val="00276FA3"/>
    <w:rsid w:val="0027777C"/>
    <w:rsid w:val="002778BE"/>
    <w:rsid w:val="002778EF"/>
    <w:rsid w:val="00280712"/>
    <w:rsid w:val="002807EC"/>
    <w:rsid w:val="0028137F"/>
    <w:rsid w:val="00281993"/>
    <w:rsid w:val="0028218E"/>
    <w:rsid w:val="002821C9"/>
    <w:rsid w:val="00282430"/>
    <w:rsid w:val="00282D92"/>
    <w:rsid w:val="00284360"/>
    <w:rsid w:val="00284EC6"/>
    <w:rsid w:val="00284FF8"/>
    <w:rsid w:val="00285451"/>
    <w:rsid w:val="0028576A"/>
    <w:rsid w:val="00287488"/>
    <w:rsid w:val="00287700"/>
    <w:rsid w:val="00287AC6"/>
    <w:rsid w:val="0029141C"/>
    <w:rsid w:val="00291A36"/>
    <w:rsid w:val="00292631"/>
    <w:rsid w:val="00292BFC"/>
    <w:rsid w:val="00293086"/>
    <w:rsid w:val="0029355E"/>
    <w:rsid w:val="00294069"/>
    <w:rsid w:val="002947E2"/>
    <w:rsid w:val="002953FA"/>
    <w:rsid w:val="00295DBF"/>
    <w:rsid w:val="00295FF9"/>
    <w:rsid w:val="00296071"/>
    <w:rsid w:val="0029641C"/>
    <w:rsid w:val="0029677F"/>
    <w:rsid w:val="0029746D"/>
    <w:rsid w:val="002A13FE"/>
    <w:rsid w:val="002A1DF7"/>
    <w:rsid w:val="002A1FEB"/>
    <w:rsid w:val="002A3ABE"/>
    <w:rsid w:val="002A3B68"/>
    <w:rsid w:val="002A457C"/>
    <w:rsid w:val="002A472A"/>
    <w:rsid w:val="002A48C7"/>
    <w:rsid w:val="002A4F99"/>
    <w:rsid w:val="002A669E"/>
    <w:rsid w:val="002A6CD4"/>
    <w:rsid w:val="002A7896"/>
    <w:rsid w:val="002A7F0D"/>
    <w:rsid w:val="002B037E"/>
    <w:rsid w:val="002B100C"/>
    <w:rsid w:val="002B17FB"/>
    <w:rsid w:val="002B1BAD"/>
    <w:rsid w:val="002B1C58"/>
    <w:rsid w:val="002B3B1C"/>
    <w:rsid w:val="002B3F0D"/>
    <w:rsid w:val="002B4693"/>
    <w:rsid w:val="002B495E"/>
    <w:rsid w:val="002B5C12"/>
    <w:rsid w:val="002B5FDF"/>
    <w:rsid w:val="002B61F5"/>
    <w:rsid w:val="002B6735"/>
    <w:rsid w:val="002B74D3"/>
    <w:rsid w:val="002C096D"/>
    <w:rsid w:val="002C0EF6"/>
    <w:rsid w:val="002C15B5"/>
    <w:rsid w:val="002C2423"/>
    <w:rsid w:val="002C2465"/>
    <w:rsid w:val="002C2498"/>
    <w:rsid w:val="002C3213"/>
    <w:rsid w:val="002C35A3"/>
    <w:rsid w:val="002C38AF"/>
    <w:rsid w:val="002C395D"/>
    <w:rsid w:val="002C39D6"/>
    <w:rsid w:val="002C47BA"/>
    <w:rsid w:val="002C4F2C"/>
    <w:rsid w:val="002C63A8"/>
    <w:rsid w:val="002C65CD"/>
    <w:rsid w:val="002C6A8D"/>
    <w:rsid w:val="002C6B39"/>
    <w:rsid w:val="002D091A"/>
    <w:rsid w:val="002D1FF5"/>
    <w:rsid w:val="002D31DA"/>
    <w:rsid w:val="002D36AE"/>
    <w:rsid w:val="002D4A79"/>
    <w:rsid w:val="002D4FF1"/>
    <w:rsid w:val="002D5AA2"/>
    <w:rsid w:val="002D5FA7"/>
    <w:rsid w:val="002D6B23"/>
    <w:rsid w:val="002D721D"/>
    <w:rsid w:val="002D7C2D"/>
    <w:rsid w:val="002D7DCC"/>
    <w:rsid w:val="002E05D2"/>
    <w:rsid w:val="002E0661"/>
    <w:rsid w:val="002E0FB6"/>
    <w:rsid w:val="002E13B4"/>
    <w:rsid w:val="002E21D9"/>
    <w:rsid w:val="002E2ABA"/>
    <w:rsid w:val="002E5064"/>
    <w:rsid w:val="002E51D9"/>
    <w:rsid w:val="002E5653"/>
    <w:rsid w:val="002E67C0"/>
    <w:rsid w:val="002E711B"/>
    <w:rsid w:val="002E7638"/>
    <w:rsid w:val="002E76EC"/>
    <w:rsid w:val="002E7A57"/>
    <w:rsid w:val="002E7B50"/>
    <w:rsid w:val="002F02C0"/>
    <w:rsid w:val="002F07EA"/>
    <w:rsid w:val="002F1015"/>
    <w:rsid w:val="002F135F"/>
    <w:rsid w:val="002F1AC1"/>
    <w:rsid w:val="002F258A"/>
    <w:rsid w:val="002F3125"/>
    <w:rsid w:val="002F36B8"/>
    <w:rsid w:val="002F4A1E"/>
    <w:rsid w:val="002F5232"/>
    <w:rsid w:val="002F5501"/>
    <w:rsid w:val="002F6167"/>
    <w:rsid w:val="002F75E9"/>
    <w:rsid w:val="002F7F07"/>
    <w:rsid w:val="003001C0"/>
    <w:rsid w:val="00300B06"/>
    <w:rsid w:val="00301397"/>
    <w:rsid w:val="00303361"/>
    <w:rsid w:val="0030431E"/>
    <w:rsid w:val="00304482"/>
    <w:rsid w:val="00304881"/>
    <w:rsid w:val="003051A5"/>
    <w:rsid w:val="0030576D"/>
    <w:rsid w:val="0030653B"/>
    <w:rsid w:val="003068E0"/>
    <w:rsid w:val="003070B7"/>
    <w:rsid w:val="003079E0"/>
    <w:rsid w:val="00307A6D"/>
    <w:rsid w:val="00307DFF"/>
    <w:rsid w:val="00312FE5"/>
    <w:rsid w:val="00313A63"/>
    <w:rsid w:val="00313E8D"/>
    <w:rsid w:val="00313F96"/>
    <w:rsid w:val="00314CFB"/>
    <w:rsid w:val="00314EBF"/>
    <w:rsid w:val="0031570C"/>
    <w:rsid w:val="0031649F"/>
    <w:rsid w:val="00316658"/>
    <w:rsid w:val="00321CE7"/>
    <w:rsid w:val="00322549"/>
    <w:rsid w:val="00323924"/>
    <w:rsid w:val="003239F0"/>
    <w:rsid w:val="00323FD2"/>
    <w:rsid w:val="00325331"/>
    <w:rsid w:val="00325783"/>
    <w:rsid w:val="00325973"/>
    <w:rsid w:val="003261AA"/>
    <w:rsid w:val="0032702C"/>
    <w:rsid w:val="00327391"/>
    <w:rsid w:val="00327F9C"/>
    <w:rsid w:val="00331323"/>
    <w:rsid w:val="00331972"/>
    <w:rsid w:val="00331A5A"/>
    <w:rsid w:val="00331E01"/>
    <w:rsid w:val="00332039"/>
    <w:rsid w:val="0033229F"/>
    <w:rsid w:val="0033312A"/>
    <w:rsid w:val="003332E0"/>
    <w:rsid w:val="00333A88"/>
    <w:rsid w:val="00333B1D"/>
    <w:rsid w:val="00334803"/>
    <w:rsid w:val="00335B3E"/>
    <w:rsid w:val="00336011"/>
    <w:rsid w:val="00337790"/>
    <w:rsid w:val="00337E7A"/>
    <w:rsid w:val="00340AA0"/>
    <w:rsid w:val="00340B18"/>
    <w:rsid w:val="00340BB4"/>
    <w:rsid w:val="00341517"/>
    <w:rsid w:val="003415A4"/>
    <w:rsid w:val="00342318"/>
    <w:rsid w:val="003423DB"/>
    <w:rsid w:val="00342440"/>
    <w:rsid w:val="003432FF"/>
    <w:rsid w:val="00343976"/>
    <w:rsid w:val="00343A25"/>
    <w:rsid w:val="003441F2"/>
    <w:rsid w:val="0034446F"/>
    <w:rsid w:val="00346362"/>
    <w:rsid w:val="0034680A"/>
    <w:rsid w:val="003477C4"/>
    <w:rsid w:val="003478F9"/>
    <w:rsid w:val="00350457"/>
    <w:rsid w:val="003505F3"/>
    <w:rsid w:val="00350621"/>
    <w:rsid w:val="00350B77"/>
    <w:rsid w:val="0035104C"/>
    <w:rsid w:val="00352CE8"/>
    <w:rsid w:val="00353535"/>
    <w:rsid w:val="00354A7B"/>
    <w:rsid w:val="003554C5"/>
    <w:rsid w:val="0035594E"/>
    <w:rsid w:val="0035612F"/>
    <w:rsid w:val="003561CC"/>
    <w:rsid w:val="003562E8"/>
    <w:rsid w:val="003571D4"/>
    <w:rsid w:val="00357311"/>
    <w:rsid w:val="003575BD"/>
    <w:rsid w:val="00357C53"/>
    <w:rsid w:val="003601FB"/>
    <w:rsid w:val="00360C86"/>
    <w:rsid w:val="00360EA3"/>
    <w:rsid w:val="003614B0"/>
    <w:rsid w:val="00361692"/>
    <w:rsid w:val="00362FD1"/>
    <w:rsid w:val="00363082"/>
    <w:rsid w:val="00364ACD"/>
    <w:rsid w:val="00366009"/>
    <w:rsid w:val="003666B1"/>
    <w:rsid w:val="003676D3"/>
    <w:rsid w:val="00367A8A"/>
    <w:rsid w:val="003709C1"/>
    <w:rsid w:val="0037141C"/>
    <w:rsid w:val="00371C50"/>
    <w:rsid w:val="00372AD8"/>
    <w:rsid w:val="003730FC"/>
    <w:rsid w:val="0037666C"/>
    <w:rsid w:val="00376C77"/>
    <w:rsid w:val="0037721D"/>
    <w:rsid w:val="00377AE8"/>
    <w:rsid w:val="00377D1D"/>
    <w:rsid w:val="00380936"/>
    <w:rsid w:val="003812D8"/>
    <w:rsid w:val="00383B42"/>
    <w:rsid w:val="00383CA1"/>
    <w:rsid w:val="0038456E"/>
    <w:rsid w:val="003851CC"/>
    <w:rsid w:val="003853BA"/>
    <w:rsid w:val="0038542F"/>
    <w:rsid w:val="00385D73"/>
    <w:rsid w:val="0038788A"/>
    <w:rsid w:val="00387BB2"/>
    <w:rsid w:val="00390A82"/>
    <w:rsid w:val="00390AAD"/>
    <w:rsid w:val="00391416"/>
    <w:rsid w:val="00391C30"/>
    <w:rsid w:val="0039493F"/>
    <w:rsid w:val="0039589C"/>
    <w:rsid w:val="00395C88"/>
    <w:rsid w:val="003961B9"/>
    <w:rsid w:val="00396287"/>
    <w:rsid w:val="00396994"/>
    <w:rsid w:val="00397286"/>
    <w:rsid w:val="00397875"/>
    <w:rsid w:val="00397990"/>
    <w:rsid w:val="003A083A"/>
    <w:rsid w:val="003A1B42"/>
    <w:rsid w:val="003A1D3E"/>
    <w:rsid w:val="003A2439"/>
    <w:rsid w:val="003A3A6D"/>
    <w:rsid w:val="003A4214"/>
    <w:rsid w:val="003A4CCF"/>
    <w:rsid w:val="003A5661"/>
    <w:rsid w:val="003A5AAA"/>
    <w:rsid w:val="003A5C44"/>
    <w:rsid w:val="003A6112"/>
    <w:rsid w:val="003A62A1"/>
    <w:rsid w:val="003A6373"/>
    <w:rsid w:val="003A64D8"/>
    <w:rsid w:val="003A7C75"/>
    <w:rsid w:val="003B0004"/>
    <w:rsid w:val="003B048A"/>
    <w:rsid w:val="003B22C9"/>
    <w:rsid w:val="003B2967"/>
    <w:rsid w:val="003B2C8F"/>
    <w:rsid w:val="003B2DCB"/>
    <w:rsid w:val="003B2E1B"/>
    <w:rsid w:val="003B57A1"/>
    <w:rsid w:val="003B5D90"/>
    <w:rsid w:val="003B6779"/>
    <w:rsid w:val="003B73CD"/>
    <w:rsid w:val="003B75A8"/>
    <w:rsid w:val="003B764A"/>
    <w:rsid w:val="003B7B46"/>
    <w:rsid w:val="003B7C68"/>
    <w:rsid w:val="003B7D5F"/>
    <w:rsid w:val="003C05D5"/>
    <w:rsid w:val="003C0F4D"/>
    <w:rsid w:val="003C16D1"/>
    <w:rsid w:val="003C1717"/>
    <w:rsid w:val="003C312E"/>
    <w:rsid w:val="003C58EF"/>
    <w:rsid w:val="003C6871"/>
    <w:rsid w:val="003C6BF4"/>
    <w:rsid w:val="003C6EF8"/>
    <w:rsid w:val="003D01F4"/>
    <w:rsid w:val="003D1EA3"/>
    <w:rsid w:val="003D23A3"/>
    <w:rsid w:val="003D352D"/>
    <w:rsid w:val="003D3A63"/>
    <w:rsid w:val="003D3E53"/>
    <w:rsid w:val="003D4112"/>
    <w:rsid w:val="003D4281"/>
    <w:rsid w:val="003D4C4C"/>
    <w:rsid w:val="003D5856"/>
    <w:rsid w:val="003D6029"/>
    <w:rsid w:val="003D61C9"/>
    <w:rsid w:val="003D6D55"/>
    <w:rsid w:val="003E1E71"/>
    <w:rsid w:val="003E230B"/>
    <w:rsid w:val="003E32F7"/>
    <w:rsid w:val="003E38CA"/>
    <w:rsid w:val="003E4B77"/>
    <w:rsid w:val="003E6DA4"/>
    <w:rsid w:val="003E7432"/>
    <w:rsid w:val="003E793B"/>
    <w:rsid w:val="003E7CF1"/>
    <w:rsid w:val="003E7D28"/>
    <w:rsid w:val="003E7F28"/>
    <w:rsid w:val="003F113F"/>
    <w:rsid w:val="003F164E"/>
    <w:rsid w:val="003F31DA"/>
    <w:rsid w:val="003F3A5E"/>
    <w:rsid w:val="003F4062"/>
    <w:rsid w:val="003F55E4"/>
    <w:rsid w:val="003F5C3C"/>
    <w:rsid w:val="003F697A"/>
    <w:rsid w:val="003F6B6C"/>
    <w:rsid w:val="003F73D1"/>
    <w:rsid w:val="00400202"/>
    <w:rsid w:val="0040080B"/>
    <w:rsid w:val="00401071"/>
    <w:rsid w:val="004019FF"/>
    <w:rsid w:val="00401B30"/>
    <w:rsid w:val="0040260E"/>
    <w:rsid w:val="004029B6"/>
    <w:rsid w:val="004029EE"/>
    <w:rsid w:val="004046DD"/>
    <w:rsid w:val="004052D9"/>
    <w:rsid w:val="00405995"/>
    <w:rsid w:val="00405D4B"/>
    <w:rsid w:val="00407A28"/>
    <w:rsid w:val="00407E88"/>
    <w:rsid w:val="004100A3"/>
    <w:rsid w:val="00410803"/>
    <w:rsid w:val="0041117A"/>
    <w:rsid w:val="00412681"/>
    <w:rsid w:val="004134CC"/>
    <w:rsid w:val="00415089"/>
    <w:rsid w:val="004152D6"/>
    <w:rsid w:val="004158C7"/>
    <w:rsid w:val="00416C5C"/>
    <w:rsid w:val="00416E38"/>
    <w:rsid w:val="0041708B"/>
    <w:rsid w:val="00420089"/>
    <w:rsid w:val="00420617"/>
    <w:rsid w:val="00420BF7"/>
    <w:rsid w:val="0042103E"/>
    <w:rsid w:val="004211F2"/>
    <w:rsid w:val="004212D3"/>
    <w:rsid w:val="0042195A"/>
    <w:rsid w:val="00421E88"/>
    <w:rsid w:val="00422618"/>
    <w:rsid w:val="00424E70"/>
    <w:rsid w:val="00426C7B"/>
    <w:rsid w:val="004272D4"/>
    <w:rsid w:val="004276FC"/>
    <w:rsid w:val="00430523"/>
    <w:rsid w:val="0043111E"/>
    <w:rsid w:val="0043158D"/>
    <w:rsid w:val="00433FE6"/>
    <w:rsid w:val="00434FC0"/>
    <w:rsid w:val="004363AA"/>
    <w:rsid w:val="00436EDC"/>
    <w:rsid w:val="00437555"/>
    <w:rsid w:val="004405C7"/>
    <w:rsid w:val="0044065B"/>
    <w:rsid w:val="004411AA"/>
    <w:rsid w:val="00442B3E"/>
    <w:rsid w:val="00443699"/>
    <w:rsid w:val="004441D7"/>
    <w:rsid w:val="00444DD1"/>
    <w:rsid w:val="00445AB9"/>
    <w:rsid w:val="00446450"/>
    <w:rsid w:val="004476FE"/>
    <w:rsid w:val="00447729"/>
    <w:rsid w:val="004479E3"/>
    <w:rsid w:val="00447B2B"/>
    <w:rsid w:val="00447D2C"/>
    <w:rsid w:val="00447E5C"/>
    <w:rsid w:val="004503C3"/>
    <w:rsid w:val="004506D6"/>
    <w:rsid w:val="00451B0F"/>
    <w:rsid w:val="00451DFB"/>
    <w:rsid w:val="004523D2"/>
    <w:rsid w:val="00453254"/>
    <w:rsid w:val="004538ED"/>
    <w:rsid w:val="00454293"/>
    <w:rsid w:val="004543BF"/>
    <w:rsid w:val="00454A84"/>
    <w:rsid w:val="00454FE0"/>
    <w:rsid w:val="00456164"/>
    <w:rsid w:val="0045630B"/>
    <w:rsid w:val="00456F8A"/>
    <w:rsid w:val="00457EAE"/>
    <w:rsid w:val="00460059"/>
    <w:rsid w:val="004606D9"/>
    <w:rsid w:val="00460CCD"/>
    <w:rsid w:val="00460D3D"/>
    <w:rsid w:val="004618B0"/>
    <w:rsid w:val="00461FB1"/>
    <w:rsid w:val="00463773"/>
    <w:rsid w:val="00463AFA"/>
    <w:rsid w:val="00464588"/>
    <w:rsid w:val="004646EB"/>
    <w:rsid w:val="00464784"/>
    <w:rsid w:val="00464F47"/>
    <w:rsid w:val="00465083"/>
    <w:rsid w:val="0046515D"/>
    <w:rsid w:val="00465FE3"/>
    <w:rsid w:val="004702F2"/>
    <w:rsid w:val="004703AB"/>
    <w:rsid w:val="004720F2"/>
    <w:rsid w:val="00472A2A"/>
    <w:rsid w:val="00472C4D"/>
    <w:rsid w:val="00473049"/>
    <w:rsid w:val="00473F1B"/>
    <w:rsid w:val="00474AAF"/>
    <w:rsid w:val="00476615"/>
    <w:rsid w:val="0047680A"/>
    <w:rsid w:val="004771FF"/>
    <w:rsid w:val="0047778D"/>
    <w:rsid w:val="00477878"/>
    <w:rsid w:val="00477925"/>
    <w:rsid w:val="0048004B"/>
    <w:rsid w:val="0048052E"/>
    <w:rsid w:val="00480B48"/>
    <w:rsid w:val="00480F90"/>
    <w:rsid w:val="004819AA"/>
    <w:rsid w:val="004819B8"/>
    <w:rsid w:val="00482F33"/>
    <w:rsid w:val="0048318E"/>
    <w:rsid w:val="00483E8E"/>
    <w:rsid w:val="004847AF"/>
    <w:rsid w:val="004849D9"/>
    <w:rsid w:val="00484A8B"/>
    <w:rsid w:val="00484C59"/>
    <w:rsid w:val="00484CE1"/>
    <w:rsid w:val="004854CD"/>
    <w:rsid w:val="00485DFF"/>
    <w:rsid w:val="0048611A"/>
    <w:rsid w:val="004866AF"/>
    <w:rsid w:val="00486E54"/>
    <w:rsid w:val="0048756D"/>
    <w:rsid w:val="00487D78"/>
    <w:rsid w:val="004901AD"/>
    <w:rsid w:val="004912D0"/>
    <w:rsid w:val="00491E67"/>
    <w:rsid w:val="00492D62"/>
    <w:rsid w:val="00492F1C"/>
    <w:rsid w:val="00493305"/>
    <w:rsid w:val="00495AB0"/>
    <w:rsid w:val="004965D1"/>
    <w:rsid w:val="00496DE0"/>
    <w:rsid w:val="004971BB"/>
    <w:rsid w:val="00497891"/>
    <w:rsid w:val="004A0264"/>
    <w:rsid w:val="004A0A79"/>
    <w:rsid w:val="004A1D32"/>
    <w:rsid w:val="004A312D"/>
    <w:rsid w:val="004A3C59"/>
    <w:rsid w:val="004A43B6"/>
    <w:rsid w:val="004A4CB7"/>
    <w:rsid w:val="004A57BE"/>
    <w:rsid w:val="004A60B2"/>
    <w:rsid w:val="004A6F04"/>
    <w:rsid w:val="004A6FFF"/>
    <w:rsid w:val="004A79C0"/>
    <w:rsid w:val="004B0A52"/>
    <w:rsid w:val="004B0D99"/>
    <w:rsid w:val="004B161A"/>
    <w:rsid w:val="004B1B25"/>
    <w:rsid w:val="004B2772"/>
    <w:rsid w:val="004B409D"/>
    <w:rsid w:val="004B4B12"/>
    <w:rsid w:val="004B6064"/>
    <w:rsid w:val="004B73F7"/>
    <w:rsid w:val="004B743A"/>
    <w:rsid w:val="004B77AD"/>
    <w:rsid w:val="004B7968"/>
    <w:rsid w:val="004B7ABD"/>
    <w:rsid w:val="004B7C84"/>
    <w:rsid w:val="004C1A34"/>
    <w:rsid w:val="004C1B39"/>
    <w:rsid w:val="004C1D0C"/>
    <w:rsid w:val="004C214E"/>
    <w:rsid w:val="004C219A"/>
    <w:rsid w:val="004C27E6"/>
    <w:rsid w:val="004C2AC8"/>
    <w:rsid w:val="004C3278"/>
    <w:rsid w:val="004C4204"/>
    <w:rsid w:val="004C4558"/>
    <w:rsid w:val="004C4606"/>
    <w:rsid w:val="004C4963"/>
    <w:rsid w:val="004C49F8"/>
    <w:rsid w:val="004C5D33"/>
    <w:rsid w:val="004C6382"/>
    <w:rsid w:val="004C63FE"/>
    <w:rsid w:val="004C6962"/>
    <w:rsid w:val="004C74AB"/>
    <w:rsid w:val="004D042E"/>
    <w:rsid w:val="004D097F"/>
    <w:rsid w:val="004D0BEE"/>
    <w:rsid w:val="004D13ED"/>
    <w:rsid w:val="004D2322"/>
    <w:rsid w:val="004D2963"/>
    <w:rsid w:val="004D2C5A"/>
    <w:rsid w:val="004D2D53"/>
    <w:rsid w:val="004D32A6"/>
    <w:rsid w:val="004D32B3"/>
    <w:rsid w:val="004D3822"/>
    <w:rsid w:val="004D43A0"/>
    <w:rsid w:val="004D45D3"/>
    <w:rsid w:val="004D4CE7"/>
    <w:rsid w:val="004D592A"/>
    <w:rsid w:val="004D5A37"/>
    <w:rsid w:val="004D5D53"/>
    <w:rsid w:val="004D6464"/>
    <w:rsid w:val="004D6F0F"/>
    <w:rsid w:val="004D7650"/>
    <w:rsid w:val="004D7BB5"/>
    <w:rsid w:val="004E0D3F"/>
    <w:rsid w:val="004E17FC"/>
    <w:rsid w:val="004E1E53"/>
    <w:rsid w:val="004E24F8"/>
    <w:rsid w:val="004E28C6"/>
    <w:rsid w:val="004E3526"/>
    <w:rsid w:val="004E3B65"/>
    <w:rsid w:val="004E5C90"/>
    <w:rsid w:val="004E5F8E"/>
    <w:rsid w:val="004E5FAC"/>
    <w:rsid w:val="004E6123"/>
    <w:rsid w:val="004E6FD4"/>
    <w:rsid w:val="004E7281"/>
    <w:rsid w:val="004E72B7"/>
    <w:rsid w:val="004E765E"/>
    <w:rsid w:val="004E7AB5"/>
    <w:rsid w:val="004F138F"/>
    <w:rsid w:val="004F15D8"/>
    <w:rsid w:val="004F29DE"/>
    <w:rsid w:val="004F361D"/>
    <w:rsid w:val="004F4000"/>
    <w:rsid w:val="004F421C"/>
    <w:rsid w:val="004F5AB4"/>
    <w:rsid w:val="004F6BF0"/>
    <w:rsid w:val="004F7870"/>
    <w:rsid w:val="005002EC"/>
    <w:rsid w:val="00501F4E"/>
    <w:rsid w:val="00502BB1"/>
    <w:rsid w:val="00503AE0"/>
    <w:rsid w:val="00503C0D"/>
    <w:rsid w:val="00503E79"/>
    <w:rsid w:val="00504C94"/>
    <w:rsid w:val="005051E8"/>
    <w:rsid w:val="00505581"/>
    <w:rsid w:val="005063BC"/>
    <w:rsid w:val="0050642C"/>
    <w:rsid w:val="005074E8"/>
    <w:rsid w:val="00507CD6"/>
    <w:rsid w:val="005103C2"/>
    <w:rsid w:val="005122F8"/>
    <w:rsid w:val="005127FA"/>
    <w:rsid w:val="00512CE6"/>
    <w:rsid w:val="00513803"/>
    <w:rsid w:val="00513F44"/>
    <w:rsid w:val="005141D0"/>
    <w:rsid w:val="00514A49"/>
    <w:rsid w:val="0051561C"/>
    <w:rsid w:val="00515C47"/>
    <w:rsid w:val="005200D5"/>
    <w:rsid w:val="00520361"/>
    <w:rsid w:val="00520960"/>
    <w:rsid w:val="00521321"/>
    <w:rsid w:val="00521EE3"/>
    <w:rsid w:val="005220F4"/>
    <w:rsid w:val="0052260E"/>
    <w:rsid w:val="00523D70"/>
    <w:rsid w:val="0052500C"/>
    <w:rsid w:val="005259A9"/>
    <w:rsid w:val="0052648B"/>
    <w:rsid w:val="0052682B"/>
    <w:rsid w:val="00526AA0"/>
    <w:rsid w:val="00526FD4"/>
    <w:rsid w:val="005273BE"/>
    <w:rsid w:val="00527D16"/>
    <w:rsid w:val="00530858"/>
    <w:rsid w:val="005309CF"/>
    <w:rsid w:val="00530FCD"/>
    <w:rsid w:val="00532280"/>
    <w:rsid w:val="005322E1"/>
    <w:rsid w:val="005323D4"/>
    <w:rsid w:val="00532A2E"/>
    <w:rsid w:val="00532E04"/>
    <w:rsid w:val="00533092"/>
    <w:rsid w:val="00535848"/>
    <w:rsid w:val="005366D3"/>
    <w:rsid w:val="005368ED"/>
    <w:rsid w:val="005369FC"/>
    <w:rsid w:val="00536A69"/>
    <w:rsid w:val="00536A87"/>
    <w:rsid w:val="005376E1"/>
    <w:rsid w:val="00537D0D"/>
    <w:rsid w:val="00540FC2"/>
    <w:rsid w:val="005411C1"/>
    <w:rsid w:val="00541DDD"/>
    <w:rsid w:val="00541ECD"/>
    <w:rsid w:val="00542B47"/>
    <w:rsid w:val="00542DE6"/>
    <w:rsid w:val="005430BF"/>
    <w:rsid w:val="0054317F"/>
    <w:rsid w:val="005439F9"/>
    <w:rsid w:val="00543D88"/>
    <w:rsid w:val="00544569"/>
    <w:rsid w:val="0054479C"/>
    <w:rsid w:val="00544A44"/>
    <w:rsid w:val="00544E73"/>
    <w:rsid w:val="005458DD"/>
    <w:rsid w:val="00546342"/>
    <w:rsid w:val="00546408"/>
    <w:rsid w:val="00546493"/>
    <w:rsid w:val="00546B3B"/>
    <w:rsid w:val="00546E31"/>
    <w:rsid w:val="005471B6"/>
    <w:rsid w:val="005471DD"/>
    <w:rsid w:val="0054795C"/>
    <w:rsid w:val="00547EF7"/>
    <w:rsid w:val="00547FE5"/>
    <w:rsid w:val="00550F4A"/>
    <w:rsid w:val="00552456"/>
    <w:rsid w:val="00553069"/>
    <w:rsid w:val="00554CD4"/>
    <w:rsid w:val="005552A0"/>
    <w:rsid w:val="00555612"/>
    <w:rsid w:val="00555911"/>
    <w:rsid w:val="0055648F"/>
    <w:rsid w:val="005569A9"/>
    <w:rsid w:val="00556D6B"/>
    <w:rsid w:val="005577DF"/>
    <w:rsid w:val="005577F8"/>
    <w:rsid w:val="00557ACB"/>
    <w:rsid w:val="00560F82"/>
    <w:rsid w:val="00561570"/>
    <w:rsid w:val="005627CE"/>
    <w:rsid w:val="00562E2D"/>
    <w:rsid w:val="005638F0"/>
    <w:rsid w:val="00563A75"/>
    <w:rsid w:val="00563C35"/>
    <w:rsid w:val="00564384"/>
    <w:rsid w:val="0056456F"/>
    <w:rsid w:val="0056588D"/>
    <w:rsid w:val="00566073"/>
    <w:rsid w:val="0056720D"/>
    <w:rsid w:val="00567E22"/>
    <w:rsid w:val="00570367"/>
    <w:rsid w:val="00570967"/>
    <w:rsid w:val="00570C0E"/>
    <w:rsid w:val="00572502"/>
    <w:rsid w:val="005732D7"/>
    <w:rsid w:val="00573417"/>
    <w:rsid w:val="00573DF3"/>
    <w:rsid w:val="00574357"/>
    <w:rsid w:val="005761E9"/>
    <w:rsid w:val="00576473"/>
    <w:rsid w:val="005769EA"/>
    <w:rsid w:val="00576BFF"/>
    <w:rsid w:val="00577617"/>
    <w:rsid w:val="00577A92"/>
    <w:rsid w:val="0058066B"/>
    <w:rsid w:val="00580C0A"/>
    <w:rsid w:val="00580C30"/>
    <w:rsid w:val="00582900"/>
    <w:rsid w:val="00582B09"/>
    <w:rsid w:val="0058369E"/>
    <w:rsid w:val="00583D2B"/>
    <w:rsid w:val="0058416E"/>
    <w:rsid w:val="00585574"/>
    <w:rsid w:val="00586877"/>
    <w:rsid w:val="00586BF5"/>
    <w:rsid w:val="00586EB0"/>
    <w:rsid w:val="005902CD"/>
    <w:rsid w:val="0059034C"/>
    <w:rsid w:val="00590768"/>
    <w:rsid w:val="00590D42"/>
    <w:rsid w:val="00590FF2"/>
    <w:rsid w:val="00591B18"/>
    <w:rsid w:val="005926B9"/>
    <w:rsid w:val="005940EC"/>
    <w:rsid w:val="00594272"/>
    <w:rsid w:val="005944B4"/>
    <w:rsid w:val="00594A76"/>
    <w:rsid w:val="00594D79"/>
    <w:rsid w:val="00595430"/>
    <w:rsid w:val="00595941"/>
    <w:rsid w:val="0059797C"/>
    <w:rsid w:val="00597B54"/>
    <w:rsid w:val="005A0427"/>
    <w:rsid w:val="005A2F4B"/>
    <w:rsid w:val="005A2F97"/>
    <w:rsid w:val="005A344F"/>
    <w:rsid w:val="005A3BBC"/>
    <w:rsid w:val="005A4095"/>
    <w:rsid w:val="005A4A6F"/>
    <w:rsid w:val="005A64C4"/>
    <w:rsid w:val="005A6A87"/>
    <w:rsid w:val="005A6B2B"/>
    <w:rsid w:val="005A6EDD"/>
    <w:rsid w:val="005A71A6"/>
    <w:rsid w:val="005A7516"/>
    <w:rsid w:val="005A78BF"/>
    <w:rsid w:val="005A7CB6"/>
    <w:rsid w:val="005A7FE5"/>
    <w:rsid w:val="005B00AD"/>
    <w:rsid w:val="005B068F"/>
    <w:rsid w:val="005B17A5"/>
    <w:rsid w:val="005B19AB"/>
    <w:rsid w:val="005B1AAE"/>
    <w:rsid w:val="005B2098"/>
    <w:rsid w:val="005B2E59"/>
    <w:rsid w:val="005B4893"/>
    <w:rsid w:val="005B5FDE"/>
    <w:rsid w:val="005B67A0"/>
    <w:rsid w:val="005B7A48"/>
    <w:rsid w:val="005C05CF"/>
    <w:rsid w:val="005C14EF"/>
    <w:rsid w:val="005C1DE6"/>
    <w:rsid w:val="005C2902"/>
    <w:rsid w:val="005C2B94"/>
    <w:rsid w:val="005C426E"/>
    <w:rsid w:val="005C452C"/>
    <w:rsid w:val="005C48CF"/>
    <w:rsid w:val="005C566C"/>
    <w:rsid w:val="005C6671"/>
    <w:rsid w:val="005C677E"/>
    <w:rsid w:val="005C6D65"/>
    <w:rsid w:val="005C6F4C"/>
    <w:rsid w:val="005C726D"/>
    <w:rsid w:val="005D0297"/>
    <w:rsid w:val="005D075D"/>
    <w:rsid w:val="005D131B"/>
    <w:rsid w:val="005D1CBE"/>
    <w:rsid w:val="005D1F33"/>
    <w:rsid w:val="005D4284"/>
    <w:rsid w:val="005D46E3"/>
    <w:rsid w:val="005D5B25"/>
    <w:rsid w:val="005D60FD"/>
    <w:rsid w:val="005D641E"/>
    <w:rsid w:val="005D66AC"/>
    <w:rsid w:val="005D6BFA"/>
    <w:rsid w:val="005D6E2A"/>
    <w:rsid w:val="005D7465"/>
    <w:rsid w:val="005E06F9"/>
    <w:rsid w:val="005E2286"/>
    <w:rsid w:val="005E287F"/>
    <w:rsid w:val="005E28AE"/>
    <w:rsid w:val="005E45EC"/>
    <w:rsid w:val="005E470E"/>
    <w:rsid w:val="005E5C57"/>
    <w:rsid w:val="005E6500"/>
    <w:rsid w:val="005E7174"/>
    <w:rsid w:val="005E74F1"/>
    <w:rsid w:val="005E780F"/>
    <w:rsid w:val="005E7A0E"/>
    <w:rsid w:val="005E7D6E"/>
    <w:rsid w:val="005F0398"/>
    <w:rsid w:val="005F0888"/>
    <w:rsid w:val="005F0DD2"/>
    <w:rsid w:val="005F0DFA"/>
    <w:rsid w:val="005F1C21"/>
    <w:rsid w:val="005F2DAD"/>
    <w:rsid w:val="005F320B"/>
    <w:rsid w:val="005F4220"/>
    <w:rsid w:val="005F443E"/>
    <w:rsid w:val="005F5203"/>
    <w:rsid w:val="005F5219"/>
    <w:rsid w:val="005F54D3"/>
    <w:rsid w:val="005F64AF"/>
    <w:rsid w:val="005F6500"/>
    <w:rsid w:val="005F66CC"/>
    <w:rsid w:val="005F6AC7"/>
    <w:rsid w:val="005F70DF"/>
    <w:rsid w:val="005F743A"/>
    <w:rsid w:val="005F7486"/>
    <w:rsid w:val="006000FE"/>
    <w:rsid w:val="006001A8"/>
    <w:rsid w:val="00600247"/>
    <w:rsid w:val="00600E6D"/>
    <w:rsid w:val="006018E6"/>
    <w:rsid w:val="00601E2F"/>
    <w:rsid w:val="006020FF"/>
    <w:rsid w:val="00602647"/>
    <w:rsid w:val="0060379B"/>
    <w:rsid w:val="00603B68"/>
    <w:rsid w:val="00603C11"/>
    <w:rsid w:val="00603F81"/>
    <w:rsid w:val="00604145"/>
    <w:rsid w:val="0060499A"/>
    <w:rsid w:val="00604D1D"/>
    <w:rsid w:val="0060688C"/>
    <w:rsid w:val="0060753A"/>
    <w:rsid w:val="00607642"/>
    <w:rsid w:val="006079A1"/>
    <w:rsid w:val="00607EBB"/>
    <w:rsid w:val="00611329"/>
    <w:rsid w:val="00612186"/>
    <w:rsid w:val="0061351E"/>
    <w:rsid w:val="00613786"/>
    <w:rsid w:val="00613DDA"/>
    <w:rsid w:val="00613FE4"/>
    <w:rsid w:val="006146FD"/>
    <w:rsid w:val="006157A5"/>
    <w:rsid w:val="00615CD6"/>
    <w:rsid w:val="006164C8"/>
    <w:rsid w:val="00617188"/>
    <w:rsid w:val="00617A78"/>
    <w:rsid w:val="00617C2B"/>
    <w:rsid w:val="0062026A"/>
    <w:rsid w:val="00620770"/>
    <w:rsid w:val="006208F4"/>
    <w:rsid w:val="00620D79"/>
    <w:rsid w:val="00621064"/>
    <w:rsid w:val="00621191"/>
    <w:rsid w:val="0062173F"/>
    <w:rsid w:val="00622905"/>
    <w:rsid w:val="00622C69"/>
    <w:rsid w:val="006233CD"/>
    <w:rsid w:val="00623DD5"/>
    <w:rsid w:val="006245BB"/>
    <w:rsid w:val="00624D58"/>
    <w:rsid w:val="00625268"/>
    <w:rsid w:val="0062565E"/>
    <w:rsid w:val="006256B5"/>
    <w:rsid w:val="00625CFC"/>
    <w:rsid w:val="00626891"/>
    <w:rsid w:val="0062718F"/>
    <w:rsid w:val="006276BF"/>
    <w:rsid w:val="0063015D"/>
    <w:rsid w:val="00630715"/>
    <w:rsid w:val="00630E47"/>
    <w:rsid w:val="006314AD"/>
    <w:rsid w:val="0063170D"/>
    <w:rsid w:val="00632AD4"/>
    <w:rsid w:val="00632E92"/>
    <w:rsid w:val="006330FA"/>
    <w:rsid w:val="006336A5"/>
    <w:rsid w:val="00633F80"/>
    <w:rsid w:val="0063420F"/>
    <w:rsid w:val="006342D8"/>
    <w:rsid w:val="006347D0"/>
    <w:rsid w:val="00635317"/>
    <w:rsid w:val="00635734"/>
    <w:rsid w:val="00635D69"/>
    <w:rsid w:val="006369C0"/>
    <w:rsid w:val="00636E01"/>
    <w:rsid w:val="00637170"/>
    <w:rsid w:val="0063763C"/>
    <w:rsid w:val="006401DE"/>
    <w:rsid w:val="00640655"/>
    <w:rsid w:val="00640FB7"/>
    <w:rsid w:val="006423FA"/>
    <w:rsid w:val="0064326C"/>
    <w:rsid w:val="00643662"/>
    <w:rsid w:val="00643F7A"/>
    <w:rsid w:val="00644656"/>
    <w:rsid w:val="006448C1"/>
    <w:rsid w:val="00644B49"/>
    <w:rsid w:val="00644BB7"/>
    <w:rsid w:val="00645105"/>
    <w:rsid w:val="00645683"/>
    <w:rsid w:val="00645964"/>
    <w:rsid w:val="0064606D"/>
    <w:rsid w:val="00646805"/>
    <w:rsid w:val="00647DBA"/>
    <w:rsid w:val="00650567"/>
    <w:rsid w:val="00651935"/>
    <w:rsid w:val="006531B9"/>
    <w:rsid w:val="0065343C"/>
    <w:rsid w:val="00653DCC"/>
    <w:rsid w:val="006544A8"/>
    <w:rsid w:val="006547B4"/>
    <w:rsid w:val="00656BDE"/>
    <w:rsid w:val="006578EC"/>
    <w:rsid w:val="0066077A"/>
    <w:rsid w:val="0066104E"/>
    <w:rsid w:val="00661BC3"/>
    <w:rsid w:val="00663C8C"/>
    <w:rsid w:val="006650A7"/>
    <w:rsid w:val="0066599C"/>
    <w:rsid w:val="0066637F"/>
    <w:rsid w:val="00666429"/>
    <w:rsid w:val="006667C6"/>
    <w:rsid w:val="00666846"/>
    <w:rsid w:val="006671ED"/>
    <w:rsid w:val="00667694"/>
    <w:rsid w:val="00670506"/>
    <w:rsid w:val="00670ADF"/>
    <w:rsid w:val="00670B2A"/>
    <w:rsid w:val="0067158B"/>
    <w:rsid w:val="00671F53"/>
    <w:rsid w:val="0067266C"/>
    <w:rsid w:val="00672983"/>
    <w:rsid w:val="00672FFC"/>
    <w:rsid w:val="006732FF"/>
    <w:rsid w:val="00673606"/>
    <w:rsid w:val="00673F8C"/>
    <w:rsid w:val="00674C59"/>
    <w:rsid w:val="00674DAD"/>
    <w:rsid w:val="006752A7"/>
    <w:rsid w:val="00675C05"/>
    <w:rsid w:val="00676175"/>
    <w:rsid w:val="0067635B"/>
    <w:rsid w:val="0067736F"/>
    <w:rsid w:val="006823F4"/>
    <w:rsid w:val="0068295B"/>
    <w:rsid w:val="0068303E"/>
    <w:rsid w:val="006838A7"/>
    <w:rsid w:val="00683DE2"/>
    <w:rsid w:val="006856B8"/>
    <w:rsid w:val="006858FF"/>
    <w:rsid w:val="00685D14"/>
    <w:rsid w:val="00686A0B"/>
    <w:rsid w:val="00686ABE"/>
    <w:rsid w:val="00687245"/>
    <w:rsid w:val="00690174"/>
    <w:rsid w:val="00690978"/>
    <w:rsid w:val="00690C8C"/>
    <w:rsid w:val="00690F41"/>
    <w:rsid w:val="00690FBF"/>
    <w:rsid w:val="00691496"/>
    <w:rsid w:val="00693BE0"/>
    <w:rsid w:val="00694046"/>
    <w:rsid w:val="0069416D"/>
    <w:rsid w:val="00694334"/>
    <w:rsid w:val="00694703"/>
    <w:rsid w:val="006947A1"/>
    <w:rsid w:val="00694B7B"/>
    <w:rsid w:val="00695166"/>
    <w:rsid w:val="00695C43"/>
    <w:rsid w:val="00696F3A"/>
    <w:rsid w:val="006A0589"/>
    <w:rsid w:val="006A0BD8"/>
    <w:rsid w:val="006A14C0"/>
    <w:rsid w:val="006A1588"/>
    <w:rsid w:val="006A21C5"/>
    <w:rsid w:val="006A2E5B"/>
    <w:rsid w:val="006A2FBF"/>
    <w:rsid w:val="006A32D3"/>
    <w:rsid w:val="006A3E97"/>
    <w:rsid w:val="006A43E6"/>
    <w:rsid w:val="006A4979"/>
    <w:rsid w:val="006A527E"/>
    <w:rsid w:val="006A56EE"/>
    <w:rsid w:val="006A5894"/>
    <w:rsid w:val="006A637E"/>
    <w:rsid w:val="006A639C"/>
    <w:rsid w:val="006A66C9"/>
    <w:rsid w:val="006A6A97"/>
    <w:rsid w:val="006A6CF6"/>
    <w:rsid w:val="006A6E9B"/>
    <w:rsid w:val="006A79BB"/>
    <w:rsid w:val="006B00A4"/>
    <w:rsid w:val="006B0AB7"/>
    <w:rsid w:val="006B230F"/>
    <w:rsid w:val="006B358D"/>
    <w:rsid w:val="006B3C57"/>
    <w:rsid w:val="006B58A5"/>
    <w:rsid w:val="006B61BF"/>
    <w:rsid w:val="006B6890"/>
    <w:rsid w:val="006B73B2"/>
    <w:rsid w:val="006C009B"/>
    <w:rsid w:val="006C03B7"/>
    <w:rsid w:val="006C0ED2"/>
    <w:rsid w:val="006C0FA1"/>
    <w:rsid w:val="006C1939"/>
    <w:rsid w:val="006C2463"/>
    <w:rsid w:val="006C24BD"/>
    <w:rsid w:val="006C276A"/>
    <w:rsid w:val="006C291F"/>
    <w:rsid w:val="006C3510"/>
    <w:rsid w:val="006C3540"/>
    <w:rsid w:val="006C3587"/>
    <w:rsid w:val="006C3633"/>
    <w:rsid w:val="006C3658"/>
    <w:rsid w:val="006C39A7"/>
    <w:rsid w:val="006C3EB2"/>
    <w:rsid w:val="006C4D94"/>
    <w:rsid w:val="006C59B4"/>
    <w:rsid w:val="006C6D7B"/>
    <w:rsid w:val="006C7F23"/>
    <w:rsid w:val="006D0524"/>
    <w:rsid w:val="006D0B2F"/>
    <w:rsid w:val="006D1496"/>
    <w:rsid w:val="006D15F0"/>
    <w:rsid w:val="006D1633"/>
    <w:rsid w:val="006D2223"/>
    <w:rsid w:val="006D37B9"/>
    <w:rsid w:val="006D3F2F"/>
    <w:rsid w:val="006D44B6"/>
    <w:rsid w:val="006D5076"/>
    <w:rsid w:val="006D5557"/>
    <w:rsid w:val="006D6EBB"/>
    <w:rsid w:val="006D750A"/>
    <w:rsid w:val="006E0154"/>
    <w:rsid w:val="006E02FF"/>
    <w:rsid w:val="006E0448"/>
    <w:rsid w:val="006E0941"/>
    <w:rsid w:val="006E1321"/>
    <w:rsid w:val="006E18AB"/>
    <w:rsid w:val="006E1DF4"/>
    <w:rsid w:val="006E1F1F"/>
    <w:rsid w:val="006E3536"/>
    <w:rsid w:val="006E3B14"/>
    <w:rsid w:val="006E3BEA"/>
    <w:rsid w:val="006E4F40"/>
    <w:rsid w:val="006E62DE"/>
    <w:rsid w:val="006E76B2"/>
    <w:rsid w:val="006F0167"/>
    <w:rsid w:val="006F0177"/>
    <w:rsid w:val="006F0817"/>
    <w:rsid w:val="006F0CD9"/>
    <w:rsid w:val="006F11CB"/>
    <w:rsid w:val="006F1A86"/>
    <w:rsid w:val="006F1B02"/>
    <w:rsid w:val="006F2343"/>
    <w:rsid w:val="006F28C8"/>
    <w:rsid w:val="006F323D"/>
    <w:rsid w:val="006F3A4F"/>
    <w:rsid w:val="006F3DEF"/>
    <w:rsid w:val="006F4437"/>
    <w:rsid w:val="006F4DD7"/>
    <w:rsid w:val="006F531B"/>
    <w:rsid w:val="006F54E5"/>
    <w:rsid w:val="006F58ED"/>
    <w:rsid w:val="006F6D13"/>
    <w:rsid w:val="006F7305"/>
    <w:rsid w:val="006F7ABD"/>
    <w:rsid w:val="00700441"/>
    <w:rsid w:val="00700E50"/>
    <w:rsid w:val="00700E82"/>
    <w:rsid w:val="00700EF1"/>
    <w:rsid w:val="00701268"/>
    <w:rsid w:val="00701AA5"/>
    <w:rsid w:val="00701EAE"/>
    <w:rsid w:val="00702623"/>
    <w:rsid w:val="00702FD5"/>
    <w:rsid w:val="0070339A"/>
    <w:rsid w:val="007035B0"/>
    <w:rsid w:val="00703E90"/>
    <w:rsid w:val="007041A4"/>
    <w:rsid w:val="0070708D"/>
    <w:rsid w:val="007079E4"/>
    <w:rsid w:val="00711243"/>
    <w:rsid w:val="00713CAC"/>
    <w:rsid w:val="00714488"/>
    <w:rsid w:val="007161F9"/>
    <w:rsid w:val="00717310"/>
    <w:rsid w:val="00720CB2"/>
    <w:rsid w:val="00721A94"/>
    <w:rsid w:val="00722F5A"/>
    <w:rsid w:val="007232AC"/>
    <w:rsid w:val="0072383B"/>
    <w:rsid w:val="00724381"/>
    <w:rsid w:val="00724760"/>
    <w:rsid w:val="0072517D"/>
    <w:rsid w:val="00725847"/>
    <w:rsid w:val="00726031"/>
    <w:rsid w:val="0072629B"/>
    <w:rsid w:val="00730640"/>
    <w:rsid w:val="00730AFD"/>
    <w:rsid w:val="00730BE3"/>
    <w:rsid w:val="00730ECB"/>
    <w:rsid w:val="00732758"/>
    <w:rsid w:val="00732B44"/>
    <w:rsid w:val="00732DF1"/>
    <w:rsid w:val="00733497"/>
    <w:rsid w:val="0073393B"/>
    <w:rsid w:val="00733C11"/>
    <w:rsid w:val="007355F5"/>
    <w:rsid w:val="0073717A"/>
    <w:rsid w:val="00737851"/>
    <w:rsid w:val="00737FED"/>
    <w:rsid w:val="0074087A"/>
    <w:rsid w:val="00741EC4"/>
    <w:rsid w:val="007429E5"/>
    <w:rsid w:val="00744351"/>
    <w:rsid w:val="00746449"/>
    <w:rsid w:val="00747AF0"/>
    <w:rsid w:val="00747DC2"/>
    <w:rsid w:val="00750B93"/>
    <w:rsid w:val="00750EC1"/>
    <w:rsid w:val="0075156D"/>
    <w:rsid w:val="007517E4"/>
    <w:rsid w:val="00751B74"/>
    <w:rsid w:val="00752209"/>
    <w:rsid w:val="00754259"/>
    <w:rsid w:val="007548E0"/>
    <w:rsid w:val="00755146"/>
    <w:rsid w:val="00756292"/>
    <w:rsid w:val="007567C8"/>
    <w:rsid w:val="00756C02"/>
    <w:rsid w:val="00756DDA"/>
    <w:rsid w:val="0075751C"/>
    <w:rsid w:val="007577F2"/>
    <w:rsid w:val="00757F7F"/>
    <w:rsid w:val="00757F88"/>
    <w:rsid w:val="00760016"/>
    <w:rsid w:val="0076089C"/>
    <w:rsid w:val="00761710"/>
    <w:rsid w:val="0076205A"/>
    <w:rsid w:val="007623EC"/>
    <w:rsid w:val="00762688"/>
    <w:rsid w:val="00763217"/>
    <w:rsid w:val="00764675"/>
    <w:rsid w:val="00764D53"/>
    <w:rsid w:val="007650E8"/>
    <w:rsid w:val="0076620C"/>
    <w:rsid w:val="00766978"/>
    <w:rsid w:val="007671E1"/>
    <w:rsid w:val="0077174F"/>
    <w:rsid w:val="00771A81"/>
    <w:rsid w:val="007724F1"/>
    <w:rsid w:val="007725AC"/>
    <w:rsid w:val="00773C68"/>
    <w:rsid w:val="00773F36"/>
    <w:rsid w:val="00773F5B"/>
    <w:rsid w:val="00774DA2"/>
    <w:rsid w:val="007759C8"/>
    <w:rsid w:val="00775B5C"/>
    <w:rsid w:val="0077728F"/>
    <w:rsid w:val="00780971"/>
    <w:rsid w:val="0078134A"/>
    <w:rsid w:val="00781A8B"/>
    <w:rsid w:val="00782B8C"/>
    <w:rsid w:val="00784A66"/>
    <w:rsid w:val="00784EA6"/>
    <w:rsid w:val="00786281"/>
    <w:rsid w:val="007862A9"/>
    <w:rsid w:val="00786CDF"/>
    <w:rsid w:val="00790090"/>
    <w:rsid w:val="00790782"/>
    <w:rsid w:val="00790A2E"/>
    <w:rsid w:val="00790AC0"/>
    <w:rsid w:val="00790E99"/>
    <w:rsid w:val="0079113B"/>
    <w:rsid w:val="0079153D"/>
    <w:rsid w:val="007915A6"/>
    <w:rsid w:val="00792073"/>
    <w:rsid w:val="00792617"/>
    <w:rsid w:val="00792DB2"/>
    <w:rsid w:val="0079354B"/>
    <w:rsid w:val="00793699"/>
    <w:rsid w:val="0079598E"/>
    <w:rsid w:val="00796100"/>
    <w:rsid w:val="007963B2"/>
    <w:rsid w:val="0079696D"/>
    <w:rsid w:val="00796C19"/>
    <w:rsid w:val="007970EE"/>
    <w:rsid w:val="00797100"/>
    <w:rsid w:val="0079758C"/>
    <w:rsid w:val="007976A1"/>
    <w:rsid w:val="00797D1F"/>
    <w:rsid w:val="007A0329"/>
    <w:rsid w:val="007A35A0"/>
    <w:rsid w:val="007A3F4C"/>
    <w:rsid w:val="007A44BD"/>
    <w:rsid w:val="007A48B2"/>
    <w:rsid w:val="007A5380"/>
    <w:rsid w:val="007A587C"/>
    <w:rsid w:val="007A58AE"/>
    <w:rsid w:val="007A6935"/>
    <w:rsid w:val="007A7611"/>
    <w:rsid w:val="007A76A6"/>
    <w:rsid w:val="007A778D"/>
    <w:rsid w:val="007A7C48"/>
    <w:rsid w:val="007A7F7B"/>
    <w:rsid w:val="007B13C3"/>
    <w:rsid w:val="007B1970"/>
    <w:rsid w:val="007B23C9"/>
    <w:rsid w:val="007B313B"/>
    <w:rsid w:val="007B40BD"/>
    <w:rsid w:val="007B44F3"/>
    <w:rsid w:val="007B62F0"/>
    <w:rsid w:val="007B668A"/>
    <w:rsid w:val="007B6DD2"/>
    <w:rsid w:val="007B71DC"/>
    <w:rsid w:val="007B7A23"/>
    <w:rsid w:val="007B7DB0"/>
    <w:rsid w:val="007C084E"/>
    <w:rsid w:val="007C0987"/>
    <w:rsid w:val="007C126D"/>
    <w:rsid w:val="007C1384"/>
    <w:rsid w:val="007C145C"/>
    <w:rsid w:val="007C1E6A"/>
    <w:rsid w:val="007C232F"/>
    <w:rsid w:val="007C236E"/>
    <w:rsid w:val="007C2A2C"/>
    <w:rsid w:val="007C2AE0"/>
    <w:rsid w:val="007C3CAC"/>
    <w:rsid w:val="007C41EA"/>
    <w:rsid w:val="007C66D0"/>
    <w:rsid w:val="007C67F9"/>
    <w:rsid w:val="007C6C2C"/>
    <w:rsid w:val="007C771A"/>
    <w:rsid w:val="007C78AC"/>
    <w:rsid w:val="007C7A85"/>
    <w:rsid w:val="007C7C0F"/>
    <w:rsid w:val="007D029B"/>
    <w:rsid w:val="007D0472"/>
    <w:rsid w:val="007D18D3"/>
    <w:rsid w:val="007D1A1B"/>
    <w:rsid w:val="007D1D54"/>
    <w:rsid w:val="007D1D8F"/>
    <w:rsid w:val="007D2847"/>
    <w:rsid w:val="007D2F7B"/>
    <w:rsid w:val="007D33AB"/>
    <w:rsid w:val="007D3460"/>
    <w:rsid w:val="007D427A"/>
    <w:rsid w:val="007D4B6C"/>
    <w:rsid w:val="007D4B9D"/>
    <w:rsid w:val="007D4CB7"/>
    <w:rsid w:val="007D5BDE"/>
    <w:rsid w:val="007D65D4"/>
    <w:rsid w:val="007D6AA1"/>
    <w:rsid w:val="007D73F0"/>
    <w:rsid w:val="007E1831"/>
    <w:rsid w:val="007E1F94"/>
    <w:rsid w:val="007E2737"/>
    <w:rsid w:val="007E2858"/>
    <w:rsid w:val="007E2CD5"/>
    <w:rsid w:val="007E30C3"/>
    <w:rsid w:val="007E4D59"/>
    <w:rsid w:val="007E522D"/>
    <w:rsid w:val="007E5356"/>
    <w:rsid w:val="007E53AF"/>
    <w:rsid w:val="007E55C0"/>
    <w:rsid w:val="007E6623"/>
    <w:rsid w:val="007F0070"/>
    <w:rsid w:val="007F04E1"/>
    <w:rsid w:val="007F04EC"/>
    <w:rsid w:val="007F07F1"/>
    <w:rsid w:val="007F0C18"/>
    <w:rsid w:val="007F10AA"/>
    <w:rsid w:val="007F1B2F"/>
    <w:rsid w:val="007F2D44"/>
    <w:rsid w:val="007F33A8"/>
    <w:rsid w:val="007F358E"/>
    <w:rsid w:val="007F42A7"/>
    <w:rsid w:val="007F49AC"/>
    <w:rsid w:val="007F4C4A"/>
    <w:rsid w:val="007F5AAD"/>
    <w:rsid w:val="007F5BC2"/>
    <w:rsid w:val="007F70EA"/>
    <w:rsid w:val="007F7135"/>
    <w:rsid w:val="007F77C7"/>
    <w:rsid w:val="00800863"/>
    <w:rsid w:val="00801CB4"/>
    <w:rsid w:val="00803167"/>
    <w:rsid w:val="00803287"/>
    <w:rsid w:val="0080525B"/>
    <w:rsid w:val="00805436"/>
    <w:rsid w:val="00806155"/>
    <w:rsid w:val="008063AE"/>
    <w:rsid w:val="008067F5"/>
    <w:rsid w:val="00806DA6"/>
    <w:rsid w:val="00807B39"/>
    <w:rsid w:val="008110B8"/>
    <w:rsid w:val="00811A2A"/>
    <w:rsid w:val="00811C4C"/>
    <w:rsid w:val="00811DEA"/>
    <w:rsid w:val="00812F81"/>
    <w:rsid w:val="00813303"/>
    <w:rsid w:val="00813A34"/>
    <w:rsid w:val="00815BB1"/>
    <w:rsid w:val="008166F8"/>
    <w:rsid w:val="00816F03"/>
    <w:rsid w:val="00817251"/>
    <w:rsid w:val="00817309"/>
    <w:rsid w:val="00817694"/>
    <w:rsid w:val="00820B8D"/>
    <w:rsid w:val="0082130D"/>
    <w:rsid w:val="008224A8"/>
    <w:rsid w:val="0082537F"/>
    <w:rsid w:val="008253BE"/>
    <w:rsid w:val="00826803"/>
    <w:rsid w:val="00826C1A"/>
    <w:rsid w:val="00827093"/>
    <w:rsid w:val="00827F75"/>
    <w:rsid w:val="0083011A"/>
    <w:rsid w:val="00831EB0"/>
    <w:rsid w:val="00831F0F"/>
    <w:rsid w:val="00831FEF"/>
    <w:rsid w:val="00833237"/>
    <w:rsid w:val="00833692"/>
    <w:rsid w:val="008343C5"/>
    <w:rsid w:val="008345DA"/>
    <w:rsid w:val="0083477B"/>
    <w:rsid w:val="008349A8"/>
    <w:rsid w:val="00837F62"/>
    <w:rsid w:val="0084091D"/>
    <w:rsid w:val="008419EE"/>
    <w:rsid w:val="00841EA1"/>
    <w:rsid w:val="00843177"/>
    <w:rsid w:val="00843622"/>
    <w:rsid w:val="0084475A"/>
    <w:rsid w:val="00844A57"/>
    <w:rsid w:val="00845759"/>
    <w:rsid w:val="00845973"/>
    <w:rsid w:val="00845E17"/>
    <w:rsid w:val="00846887"/>
    <w:rsid w:val="008468F7"/>
    <w:rsid w:val="00846BE9"/>
    <w:rsid w:val="00847294"/>
    <w:rsid w:val="008476BD"/>
    <w:rsid w:val="008501FC"/>
    <w:rsid w:val="0085037B"/>
    <w:rsid w:val="00850AA8"/>
    <w:rsid w:val="00850E86"/>
    <w:rsid w:val="00851548"/>
    <w:rsid w:val="0085175E"/>
    <w:rsid w:val="00851995"/>
    <w:rsid w:val="00851FA9"/>
    <w:rsid w:val="00853373"/>
    <w:rsid w:val="008536BE"/>
    <w:rsid w:val="008536D5"/>
    <w:rsid w:val="0085395C"/>
    <w:rsid w:val="00854D1D"/>
    <w:rsid w:val="008551E5"/>
    <w:rsid w:val="008553E3"/>
    <w:rsid w:val="008558BB"/>
    <w:rsid w:val="008573B1"/>
    <w:rsid w:val="008575E2"/>
    <w:rsid w:val="00857FC7"/>
    <w:rsid w:val="0086041C"/>
    <w:rsid w:val="008605D3"/>
    <w:rsid w:val="0086069B"/>
    <w:rsid w:val="00860DEA"/>
    <w:rsid w:val="008610BA"/>
    <w:rsid w:val="008610EB"/>
    <w:rsid w:val="0086177E"/>
    <w:rsid w:val="008618E3"/>
    <w:rsid w:val="0086193C"/>
    <w:rsid w:val="0086234A"/>
    <w:rsid w:val="00863016"/>
    <w:rsid w:val="00863301"/>
    <w:rsid w:val="00863404"/>
    <w:rsid w:val="008639B2"/>
    <w:rsid w:val="0086451A"/>
    <w:rsid w:val="008645BF"/>
    <w:rsid w:val="008649E9"/>
    <w:rsid w:val="0086524A"/>
    <w:rsid w:val="00865623"/>
    <w:rsid w:val="00865A91"/>
    <w:rsid w:val="00866FBC"/>
    <w:rsid w:val="00867D64"/>
    <w:rsid w:val="0087188F"/>
    <w:rsid w:val="00871A4E"/>
    <w:rsid w:val="008725AB"/>
    <w:rsid w:val="0087337F"/>
    <w:rsid w:val="0087434E"/>
    <w:rsid w:val="008755E6"/>
    <w:rsid w:val="00875D2B"/>
    <w:rsid w:val="0087674A"/>
    <w:rsid w:val="00877F79"/>
    <w:rsid w:val="00880C00"/>
    <w:rsid w:val="00880CDA"/>
    <w:rsid w:val="00883223"/>
    <w:rsid w:val="008838D4"/>
    <w:rsid w:val="008840BF"/>
    <w:rsid w:val="008848EB"/>
    <w:rsid w:val="008857F6"/>
    <w:rsid w:val="00886D21"/>
    <w:rsid w:val="00887E7D"/>
    <w:rsid w:val="008902B6"/>
    <w:rsid w:val="00890C4D"/>
    <w:rsid w:val="00890DA7"/>
    <w:rsid w:val="00891246"/>
    <w:rsid w:val="00891C5E"/>
    <w:rsid w:val="00893A10"/>
    <w:rsid w:val="00893D06"/>
    <w:rsid w:val="008943C0"/>
    <w:rsid w:val="008969B8"/>
    <w:rsid w:val="00896ACF"/>
    <w:rsid w:val="008974EE"/>
    <w:rsid w:val="008978EC"/>
    <w:rsid w:val="008A01AD"/>
    <w:rsid w:val="008A031F"/>
    <w:rsid w:val="008A0527"/>
    <w:rsid w:val="008A09E4"/>
    <w:rsid w:val="008A0E2C"/>
    <w:rsid w:val="008A19BE"/>
    <w:rsid w:val="008A24E6"/>
    <w:rsid w:val="008A289F"/>
    <w:rsid w:val="008A34AC"/>
    <w:rsid w:val="008A37A2"/>
    <w:rsid w:val="008A37CC"/>
    <w:rsid w:val="008A3DA5"/>
    <w:rsid w:val="008A44E0"/>
    <w:rsid w:val="008A510A"/>
    <w:rsid w:val="008A549B"/>
    <w:rsid w:val="008A5548"/>
    <w:rsid w:val="008A5A94"/>
    <w:rsid w:val="008A5E08"/>
    <w:rsid w:val="008A63BD"/>
    <w:rsid w:val="008A6575"/>
    <w:rsid w:val="008A7DFE"/>
    <w:rsid w:val="008B05EE"/>
    <w:rsid w:val="008B06B6"/>
    <w:rsid w:val="008B075E"/>
    <w:rsid w:val="008B19B0"/>
    <w:rsid w:val="008B277D"/>
    <w:rsid w:val="008B2B4C"/>
    <w:rsid w:val="008B3786"/>
    <w:rsid w:val="008B3E93"/>
    <w:rsid w:val="008B498B"/>
    <w:rsid w:val="008B4DC0"/>
    <w:rsid w:val="008B61F4"/>
    <w:rsid w:val="008B66EB"/>
    <w:rsid w:val="008B7171"/>
    <w:rsid w:val="008B71F2"/>
    <w:rsid w:val="008C09DD"/>
    <w:rsid w:val="008C1964"/>
    <w:rsid w:val="008C1F22"/>
    <w:rsid w:val="008C1F8C"/>
    <w:rsid w:val="008C258A"/>
    <w:rsid w:val="008C2D5A"/>
    <w:rsid w:val="008C359E"/>
    <w:rsid w:val="008C3BE6"/>
    <w:rsid w:val="008C557B"/>
    <w:rsid w:val="008C680B"/>
    <w:rsid w:val="008C74E0"/>
    <w:rsid w:val="008C7A2E"/>
    <w:rsid w:val="008D0127"/>
    <w:rsid w:val="008D01B6"/>
    <w:rsid w:val="008D0549"/>
    <w:rsid w:val="008D0577"/>
    <w:rsid w:val="008D1001"/>
    <w:rsid w:val="008D1121"/>
    <w:rsid w:val="008D1D9C"/>
    <w:rsid w:val="008D2882"/>
    <w:rsid w:val="008D2930"/>
    <w:rsid w:val="008D31D8"/>
    <w:rsid w:val="008D350A"/>
    <w:rsid w:val="008D3701"/>
    <w:rsid w:val="008D3A23"/>
    <w:rsid w:val="008D4AAA"/>
    <w:rsid w:val="008D5309"/>
    <w:rsid w:val="008D53C8"/>
    <w:rsid w:val="008D54F8"/>
    <w:rsid w:val="008D5CA0"/>
    <w:rsid w:val="008D6290"/>
    <w:rsid w:val="008D6C9A"/>
    <w:rsid w:val="008E036C"/>
    <w:rsid w:val="008E0CC8"/>
    <w:rsid w:val="008E0E8A"/>
    <w:rsid w:val="008E236F"/>
    <w:rsid w:val="008E3756"/>
    <w:rsid w:val="008E3E7D"/>
    <w:rsid w:val="008E4405"/>
    <w:rsid w:val="008E4793"/>
    <w:rsid w:val="008E503E"/>
    <w:rsid w:val="008E609D"/>
    <w:rsid w:val="008F0B4B"/>
    <w:rsid w:val="008F2190"/>
    <w:rsid w:val="008F2AFE"/>
    <w:rsid w:val="008F2FB6"/>
    <w:rsid w:val="008F31ED"/>
    <w:rsid w:val="008F3AD4"/>
    <w:rsid w:val="008F3D0B"/>
    <w:rsid w:val="008F486F"/>
    <w:rsid w:val="008F5FE4"/>
    <w:rsid w:val="008F60CA"/>
    <w:rsid w:val="008F63D5"/>
    <w:rsid w:val="008F6879"/>
    <w:rsid w:val="008F6B06"/>
    <w:rsid w:val="008F755A"/>
    <w:rsid w:val="008F7707"/>
    <w:rsid w:val="008F7985"/>
    <w:rsid w:val="00900EB1"/>
    <w:rsid w:val="00901654"/>
    <w:rsid w:val="0090278F"/>
    <w:rsid w:val="009037C7"/>
    <w:rsid w:val="00903945"/>
    <w:rsid w:val="009040D4"/>
    <w:rsid w:val="0090493F"/>
    <w:rsid w:val="00905528"/>
    <w:rsid w:val="009056D6"/>
    <w:rsid w:val="00905733"/>
    <w:rsid w:val="00906A99"/>
    <w:rsid w:val="0090702F"/>
    <w:rsid w:val="00907510"/>
    <w:rsid w:val="00907A44"/>
    <w:rsid w:val="009105B3"/>
    <w:rsid w:val="0091063F"/>
    <w:rsid w:val="0091076B"/>
    <w:rsid w:val="0091221A"/>
    <w:rsid w:val="009129CA"/>
    <w:rsid w:val="0091459A"/>
    <w:rsid w:val="009145A2"/>
    <w:rsid w:val="00914AD7"/>
    <w:rsid w:val="00914B4A"/>
    <w:rsid w:val="00914BC4"/>
    <w:rsid w:val="0091500A"/>
    <w:rsid w:val="0091574D"/>
    <w:rsid w:val="00916063"/>
    <w:rsid w:val="009162DF"/>
    <w:rsid w:val="0091637D"/>
    <w:rsid w:val="0091758A"/>
    <w:rsid w:val="00917EEE"/>
    <w:rsid w:val="00920341"/>
    <w:rsid w:val="009218C1"/>
    <w:rsid w:val="00922553"/>
    <w:rsid w:val="009226E2"/>
    <w:rsid w:val="00922E5D"/>
    <w:rsid w:val="00922F68"/>
    <w:rsid w:val="00923858"/>
    <w:rsid w:val="00923BD3"/>
    <w:rsid w:val="0092517F"/>
    <w:rsid w:val="00927B23"/>
    <w:rsid w:val="00931159"/>
    <w:rsid w:val="00931441"/>
    <w:rsid w:val="00931D27"/>
    <w:rsid w:val="009347A0"/>
    <w:rsid w:val="00934E93"/>
    <w:rsid w:val="00935182"/>
    <w:rsid w:val="0093529E"/>
    <w:rsid w:val="00935A18"/>
    <w:rsid w:val="00935F37"/>
    <w:rsid w:val="00936068"/>
    <w:rsid w:val="00937AEE"/>
    <w:rsid w:val="009403E2"/>
    <w:rsid w:val="00940662"/>
    <w:rsid w:val="00940976"/>
    <w:rsid w:val="00940E14"/>
    <w:rsid w:val="0094171A"/>
    <w:rsid w:val="00942478"/>
    <w:rsid w:val="009425EA"/>
    <w:rsid w:val="00942A8B"/>
    <w:rsid w:val="009437DD"/>
    <w:rsid w:val="00943ABE"/>
    <w:rsid w:val="0094530D"/>
    <w:rsid w:val="009456D2"/>
    <w:rsid w:val="00946134"/>
    <w:rsid w:val="0094653B"/>
    <w:rsid w:val="00946B7E"/>
    <w:rsid w:val="009507B1"/>
    <w:rsid w:val="00952F04"/>
    <w:rsid w:val="0095349A"/>
    <w:rsid w:val="0095398E"/>
    <w:rsid w:val="00953AF4"/>
    <w:rsid w:val="00953F91"/>
    <w:rsid w:val="0095495A"/>
    <w:rsid w:val="00955F17"/>
    <w:rsid w:val="009568CB"/>
    <w:rsid w:val="00956DA7"/>
    <w:rsid w:val="00956F4D"/>
    <w:rsid w:val="009579FA"/>
    <w:rsid w:val="00957F50"/>
    <w:rsid w:val="0096107E"/>
    <w:rsid w:val="009615D4"/>
    <w:rsid w:val="00962D62"/>
    <w:rsid w:val="009636EC"/>
    <w:rsid w:val="009637DD"/>
    <w:rsid w:val="009640D5"/>
    <w:rsid w:val="00964166"/>
    <w:rsid w:val="00964525"/>
    <w:rsid w:val="009667C5"/>
    <w:rsid w:val="009668BA"/>
    <w:rsid w:val="00967404"/>
    <w:rsid w:val="009675E4"/>
    <w:rsid w:val="0097000A"/>
    <w:rsid w:val="00970D7B"/>
    <w:rsid w:val="00971FFD"/>
    <w:rsid w:val="00972206"/>
    <w:rsid w:val="009724CF"/>
    <w:rsid w:val="009730D3"/>
    <w:rsid w:val="009731B6"/>
    <w:rsid w:val="009736F4"/>
    <w:rsid w:val="00973AFC"/>
    <w:rsid w:val="009751A7"/>
    <w:rsid w:val="00975B3D"/>
    <w:rsid w:val="009764DA"/>
    <w:rsid w:val="00976CF0"/>
    <w:rsid w:val="00976D26"/>
    <w:rsid w:val="00976EAE"/>
    <w:rsid w:val="0097756A"/>
    <w:rsid w:val="00977F52"/>
    <w:rsid w:val="009802A4"/>
    <w:rsid w:val="00980841"/>
    <w:rsid w:val="00980E22"/>
    <w:rsid w:val="009810E1"/>
    <w:rsid w:val="00981751"/>
    <w:rsid w:val="0098204D"/>
    <w:rsid w:val="009822C7"/>
    <w:rsid w:val="00983081"/>
    <w:rsid w:val="00983A3F"/>
    <w:rsid w:val="00983F3C"/>
    <w:rsid w:val="00984FC6"/>
    <w:rsid w:val="0098505B"/>
    <w:rsid w:val="0098596D"/>
    <w:rsid w:val="009859AC"/>
    <w:rsid w:val="00986835"/>
    <w:rsid w:val="00987A44"/>
    <w:rsid w:val="00987C98"/>
    <w:rsid w:val="0099021D"/>
    <w:rsid w:val="009908A9"/>
    <w:rsid w:val="00990E9A"/>
    <w:rsid w:val="00990F1D"/>
    <w:rsid w:val="0099170C"/>
    <w:rsid w:val="009920BC"/>
    <w:rsid w:val="00993AEE"/>
    <w:rsid w:val="0099449F"/>
    <w:rsid w:val="009949F9"/>
    <w:rsid w:val="009959DA"/>
    <w:rsid w:val="009971D1"/>
    <w:rsid w:val="009974EE"/>
    <w:rsid w:val="00997904"/>
    <w:rsid w:val="009A1AF7"/>
    <w:rsid w:val="009A29AD"/>
    <w:rsid w:val="009A2D7F"/>
    <w:rsid w:val="009A2F17"/>
    <w:rsid w:val="009A317F"/>
    <w:rsid w:val="009A3909"/>
    <w:rsid w:val="009A5274"/>
    <w:rsid w:val="009A59A7"/>
    <w:rsid w:val="009A62F1"/>
    <w:rsid w:val="009A6C65"/>
    <w:rsid w:val="009A6FAC"/>
    <w:rsid w:val="009A7194"/>
    <w:rsid w:val="009A7573"/>
    <w:rsid w:val="009A79D5"/>
    <w:rsid w:val="009B06CE"/>
    <w:rsid w:val="009B10F9"/>
    <w:rsid w:val="009B1539"/>
    <w:rsid w:val="009B163B"/>
    <w:rsid w:val="009B201F"/>
    <w:rsid w:val="009B28E9"/>
    <w:rsid w:val="009B2D7B"/>
    <w:rsid w:val="009B3CFB"/>
    <w:rsid w:val="009B4368"/>
    <w:rsid w:val="009B4945"/>
    <w:rsid w:val="009B4BC0"/>
    <w:rsid w:val="009B4E75"/>
    <w:rsid w:val="009B5151"/>
    <w:rsid w:val="009B5430"/>
    <w:rsid w:val="009B5575"/>
    <w:rsid w:val="009B66D8"/>
    <w:rsid w:val="009B6E0C"/>
    <w:rsid w:val="009C053D"/>
    <w:rsid w:val="009C05A3"/>
    <w:rsid w:val="009C05C0"/>
    <w:rsid w:val="009C1357"/>
    <w:rsid w:val="009C2A38"/>
    <w:rsid w:val="009C335B"/>
    <w:rsid w:val="009C40EA"/>
    <w:rsid w:val="009C52BA"/>
    <w:rsid w:val="009C5474"/>
    <w:rsid w:val="009C54C1"/>
    <w:rsid w:val="009C5D91"/>
    <w:rsid w:val="009C70B8"/>
    <w:rsid w:val="009C7EC1"/>
    <w:rsid w:val="009D1036"/>
    <w:rsid w:val="009D14EC"/>
    <w:rsid w:val="009D1846"/>
    <w:rsid w:val="009D1B5C"/>
    <w:rsid w:val="009D200D"/>
    <w:rsid w:val="009D2761"/>
    <w:rsid w:val="009D2B78"/>
    <w:rsid w:val="009D3135"/>
    <w:rsid w:val="009D3D70"/>
    <w:rsid w:val="009D3FE7"/>
    <w:rsid w:val="009D4162"/>
    <w:rsid w:val="009D436D"/>
    <w:rsid w:val="009D44AD"/>
    <w:rsid w:val="009D50C5"/>
    <w:rsid w:val="009D5E51"/>
    <w:rsid w:val="009D6A99"/>
    <w:rsid w:val="009E01F6"/>
    <w:rsid w:val="009E02ED"/>
    <w:rsid w:val="009E0769"/>
    <w:rsid w:val="009E0A37"/>
    <w:rsid w:val="009E0D31"/>
    <w:rsid w:val="009E0E6F"/>
    <w:rsid w:val="009E12FD"/>
    <w:rsid w:val="009E1F26"/>
    <w:rsid w:val="009E26FD"/>
    <w:rsid w:val="009E28E5"/>
    <w:rsid w:val="009E29FC"/>
    <w:rsid w:val="009E3ACC"/>
    <w:rsid w:val="009E5421"/>
    <w:rsid w:val="009E5D2A"/>
    <w:rsid w:val="009E5E5D"/>
    <w:rsid w:val="009E6AC1"/>
    <w:rsid w:val="009E759F"/>
    <w:rsid w:val="009E7861"/>
    <w:rsid w:val="009E7C49"/>
    <w:rsid w:val="009E7C83"/>
    <w:rsid w:val="009F0118"/>
    <w:rsid w:val="009F0A36"/>
    <w:rsid w:val="009F1E98"/>
    <w:rsid w:val="009F2B1D"/>
    <w:rsid w:val="009F34E2"/>
    <w:rsid w:val="009F37E5"/>
    <w:rsid w:val="009F5011"/>
    <w:rsid w:val="009F5688"/>
    <w:rsid w:val="009F5E7E"/>
    <w:rsid w:val="009F621C"/>
    <w:rsid w:val="009F6795"/>
    <w:rsid w:val="009F67A7"/>
    <w:rsid w:val="009F6E10"/>
    <w:rsid w:val="009F7948"/>
    <w:rsid w:val="009F7C3A"/>
    <w:rsid w:val="009F7F55"/>
    <w:rsid w:val="00A00748"/>
    <w:rsid w:val="00A01207"/>
    <w:rsid w:val="00A01283"/>
    <w:rsid w:val="00A015FF"/>
    <w:rsid w:val="00A02E4C"/>
    <w:rsid w:val="00A033D8"/>
    <w:rsid w:val="00A036AE"/>
    <w:rsid w:val="00A03BF2"/>
    <w:rsid w:val="00A041AE"/>
    <w:rsid w:val="00A042C2"/>
    <w:rsid w:val="00A057C9"/>
    <w:rsid w:val="00A06202"/>
    <w:rsid w:val="00A0669A"/>
    <w:rsid w:val="00A07312"/>
    <w:rsid w:val="00A07326"/>
    <w:rsid w:val="00A07633"/>
    <w:rsid w:val="00A10307"/>
    <w:rsid w:val="00A10F4E"/>
    <w:rsid w:val="00A11706"/>
    <w:rsid w:val="00A117F5"/>
    <w:rsid w:val="00A11C14"/>
    <w:rsid w:val="00A12257"/>
    <w:rsid w:val="00A135E6"/>
    <w:rsid w:val="00A146AA"/>
    <w:rsid w:val="00A14800"/>
    <w:rsid w:val="00A14811"/>
    <w:rsid w:val="00A16A83"/>
    <w:rsid w:val="00A170A9"/>
    <w:rsid w:val="00A171C5"/>
    <w:rsid w:val="00A17E06"/>
    <w:rsid w:val="00A213F3"/>
    <w:rsid w:val="00A21590"/>
    <w:rsid w:val="00A21601"/>
    <w:rsid w:val="00A22253"/>
    <w:rsid w:val="00A2248F"/>
    <w:rsid w:val="00A2259E"/>
    <w:rsid w:val="00A22A68"/>
    <w:rsid w:val="00A22ED8"/>
    <w:rsid w:val="00A23F96"/>
    <w:rsid w:val="00A25292"/>
    <w:rsid w:val="00A267B6"/>
    <w:rsid w:val="00A26A4B"/>
    <w:rsid w:val="00A26B07"/>
    <w:rsid w:val="00A274E3"/>
    <w:rsid w:val="00A277CC"/>
    <w:rsid w:val="00A30E90"/>
    <w:rsid w:val="00A3131D"/>
    <w:rsid w:val="00A32078"/>
    <w:rsid w:val="00A32669"/>
    <w:rsid w:val="00A34C4A"/>
    <w:rsid w:val="00A34D2F"/>
    <w:rsid w:val="00A35202"/>
    <w:rsid w:val="00A35712"/>
    <w:rsid w:val="00A35B48"/>
    <w:rsid w:val="00A3684D"/>
    <w:rsid w:val="00A371EB"/>
    <w:rsid w:val="00A37D30"/>
    <w:rsid w:val="00A405C4"/>
    <w:rsid w:val="00A4135F"/>
    <w:rsid w:val="00A41494"/>
    <w:rsid w:val="00A41FCF"/>
    <w:rsid w:val="00A43795"/>
    <w:rsid w:val="00A4398A"/>
    <w:rsid w:val="00A43D4F"/>
    <w:rsid w:val="00A448F7"/>
    <w:rsid w:val="00A46B20"/>
    <w:rsid w:val="00A46D53"/>
    <w:rsid w:val="00A47339"/>
    <w:rsid w:val="00A47B96"/>
    <w:rsid w:val="00A507A6"/>
    <w:rsid w:val="00A50963"/>
    <w:rsid w:val="00A5213E"/>
    <w:rsid w:val="00A545FE"/>
    <w:rsid w:val="00A54F65"/>
    <w:rsid w:val="00A5666D"/>
    <w:rsid w:val="00A568E7"/>
    <w:rsid w:val="00A57D0F"/>
    <w:rsid w:val="00A60C67"/>
    <w:rsid w:val="00A62093"/>
    <w:rsid w:val="00A62327"/>
    <w:rsid w:val="00A6273D"/>
    <w:rsid w:val="00A6321B"/>
    <w:rsid w:val="00A63B47"/>
    <w:rsid w:val="00A70F46"/>
    <w:rsid w:val="00A715BC"/>
    <w:rsid w:val="00A739DC"/>
    <w:rsid w:val="00A7401F"/>
    <w:rsid w:val="00A74060"/>
    <w:rsid w:val="00A74B55"/>
    <w:rsid w:val="00A74C6D"/>
    <w:rsid w:val="00A75221"/>
    <w:rsid w:val="00A75738"/>
    <w:rsid w:val="00A75BB7"/>
    <w:rsid w:val="00A7617A"/>
    <w:rsid w:val="00A7634E"/>
    <w:rsid w:val="00A76D1C"/>
    <w:rsid w:val="00A77409"/>
    <w:rsid w:val="00A802C8"/>
    <w:rsid w:val="00A8175B"/>
    <w:rsid w:val="00A81834"/>
    <w:rsid w:val="00A81942"/>
    <w:rsid w:val="00A81B31"/>
    <w:rsid w:val="00A83BC3"/>
    <w:rsid w:val="00A83F0C"/>
    <w:rsid w:val="00A849F9"/>
    <w:rsid w:val="00A859A5"/>
    <w:rsid w:val="00A86544"/>
    <w:rsid w:val="00A86952"/>
    <w:rsid w:val="00A86D4E"/>
    <w:rsid w:val="00A87034"/>
    <w:rsid w:val="00A87491"/>
    <w:rsid w:val="00A87A02"/>
    <w:rsid w:val="00A87DAC"/>
    <w:rsid w:val="00A901A4"/>
    <w:rsid w:val="00A907CA"/>
    <w:rsid w:val="00A908D8"/>
    <w:rsid w:val="00A91F17"/>
    <w:rsid w:val="00A92120"/>
    <w:rsid w:val="00A936C8"/>
    <w:rsid w:val="00A93C74"/>
    <w:rsid w:val="00A94720"/>
    <w:rsid w:val="00A94A22"/>
    <w:rsid w:val="00A956BB"/>
    <w:rsid w:val="00A96015"/>
    <w:rsid w:val="00A96055"/>
    <w:rsid w:val="00A97CFE"/>
    <w:rsid w:val="00A97F18"/>
    <w:rsid w:val="00AA03BA"/>
    <w:rsid w:val="00AA0438"/>
    <w:rsid w:val="00AA0AF1"/>
    <w:rsid w:val="00AA0D74"/>
    <w:rsid w:val="00AA3617"/>
    <w:rsid w:val="00AA3E2B"/>
    <w:rsid w:val="00AA428E"/>
    <w:rsid w:val="00AA45C0"/>
    <w:rsid w:val="00AA48EB"/>
    <w:rsid w:val="00AA4AB8"/>
    <w:rsid w:val="00AA4CDB"/>
    <w:rsid w:val="00AA4F14"/>
    <w:rsid w:val="00AA71EC"/>
    <w:rsid w:val="00AA795C"/>
    <w:rsid w:val="00AA7ABA"/>
    <w:rsid w:val="00AB1001"/>
    <w:rsid w:val="00AB111D"/>
    <w:rsid w:val="00AB13B9"/>
    <w:rsid w:val="00AB1A75"/>
    <w:rsid w:val="00AB1B67"/>
    <w:rsid w:val="00AB29F1"/>
    <w:rsid w:val="00AB2EC6"/>
    <w:rsid w:val="00AB3256"/>
    <w:rsid w:val="00AB3315"/>
    <w:rsid w:val="00AB380A"/>
    <w:rsid w:val="00AB3985"/>
    <w:rsid w:val="00AB3D7A"/>
    <w:rsid w:val="00AB4126"/>
    <w:rsid w:val="00AB48C0"/>
    <w:rsid w:val="00AB4A48"/>
    <w:rsid w:val="00AB5EF5"/>
    <w:rsid w:val="00AB6E04"/>
    <w:rsid w:val="00AC0FE8"/>
    <w:rsid w:val="00AC1C05"/>
    <w:rsid w:val="00AC28F3"/>
    <w:rsid w:val="00AC2955"/>
    <w:rsid w:val="00AC2D8F"/>
    <w:rsid w:val="00AC31F2"/>
    <w:rsid w:val="00AC34AD"/>
    <w:rsid w:val="00AC34E7"/>
    <w:rsid w:val="00AC3DB7"/>
    <w:rsid w:val="00AC410C"/>
    <w:rsid w:val="00AC4195"/>
    <w:rsid w:val="00AC42F0"/>
    <w:rsid w:val="00AC64EF"/>
    <w:rsid w:val="00AC7407"/>
    <w:rsid w:val="00AC79C3"/>
    <w:rsid w:val="00AD08A9"/>
    <w:rsid w:val="00AD242A"/>
    <w:rsid w:val="00AD2442"/>
    <w:rsid w:val="00AD2658"/>
    <w:rsid w:val="00AD266B"/>
    <w:rsid w:val="00AD2EE7"/>
    <w:rsid w:val="00AD314F"/>
    <w:rsid w:val="00AD3240"/>
    <w:rsid w:val="00AD4D42"/>
    <w:rsid w:val="00AD502B"/>
    <w:rsid w:val="00AD57CC"/>
    <w:rsid w:val="00AD5D6A"/>
    <w:rsid w:val="00AD7144"/>
    <w:rsid w:val="00AD783C"/>
    <w:rsid w:val="00AE334E"/>
    <w:rsid w:val="00AE3BCC"/>
    <w:rsid w:val="00AE3CC8"/>
    <w:rsid w:val="00AE4DF1"/>
    <w:rsid w:val="00AE4E5D"/>
    <w:rsid w:val="00AE564D"/>
    <w:rsid w:val="00AE6033"/>
    <w:rsid w:val="00AE6598"/>
    <w:rsid w:val="00AE6980"/>
    <w:rsid w:val="00AE6E83"/>
    <w:rsid w:val="00AE713A"/>
    <w:rsid w:val="00AE7509"/>
    <w:rsid w:val="00AE7DD8"/>
    <w:rsid w:val="00AF0257"/>
    <w:rsid w:val="00AF1295"/>
    <w:rsid w:val="00AF1D3F"/>
    <w:rsid w:val="00AF1F39"/>
    <w:rsid w:val="00AF474A"/>
    <w:rsid w:val="00AF4866"/>
    <w:rsid w:val="00AF4C4D"/>
    <w:rsid w:val="00AF4CB9"/>
    <w:rsid w:val="00AF5775"/>
    <w:rsid w:val="00AF66AE"/>
    <w:rsid w:val="00AF672A"/>
    <w:rsid w:val="00AF7119"/>
    <w:rsid w:val="00AF7976"/>
    <w:rsid w:val="00AF7A6E"/>
    <w:rsid w:val="00B02F02"/>
    <w:rsid w:val="00B0324E"/>
    <w:rsid w:val="00B033D1"/>
    <w:rsid w:val="00B03AE9"/>
    <w:rsid w:val="00B043E5"/>
    <w:rsid w:val="00B057EE"/>
    <w:rsid w:val="00B06061"/>
    <w:rsid w:val="00B07DBD"/>
    <w:rsid w:val="00B07DDF"/>
    <w:rsid w:val="00B07E49"/>
    <w:rsid w:val="00B07F74"/>
    <w:rsid w:val="00B10BD8"/>
    <w:rsid w:val="00B11372"/>
    <w:rsid w:val="00B119BF"/>
    <w:rsid w:val="00B12D3D"/>
    <w:rsid w:val="00B13BA0"/>
    <w:rsid w:val="00B13F7A"/>
    <w:rsid w:val="00B14465"/>
    <w:rsid w:val="00B146C4"/>
    <w:rsid w:val="00B14868"/>
    <w:rsid w:val="00B15C26"/>
    <w:rsid w:val="00B171A7"/>
    <w:rsid w:val="00B20E6B"/>
    <w:rsid w:val="00B2102D"/>
    <w:rsid w:val="00B210FA"/>
    <w:rsid w:val="00B21BC5"/>
    <w:rsid w:val="00B21CDF"/>
    <w:rsid w:val="00B220A1"/>
    <w:rsid w:val="00B2253F"/>
    <w:rsid w:val="00B22582"/>
    <w:rsid w:val="00B22CDE"/>
    <w:rsid w:val="00B2332F"/>
    <w:rsid w:val="00B23510"/>
    <w:rsid w:val="00B236D3"/>
    <w:rsid w:val="00B23912"/>
    <w:rsid w:val="00B242E4"/>
    <w:rsid w:val="00B24B0E"/>
    <w:rsid w:val="00B25CBA"/>
    <w:rsid w:val="00B264BD"/>
    <w:rsid w:val="00B26D28"/>
    <w:rsid w:val="00B272B8"/>
    <w:rsid w:val="00B30B5C"/>
    <w:rsid w:val="00B33F34"/>
    <w:rsid w:val="00B346BC"/>
    <w:rsid w:val="00B346E8"/>
    <w:rsid w:val="00B3531F"/>
    <w:rsid w:val="00B35FC8"/>
    <w:rsid w:val="00B3605A"/>
    <w:rsid w:val="00B36626"/>
    <w:rsid w:val="00B36ACD"/>
    <w:rsid w:val="00B36E2A"/>
    <w:rsid w:val="00B36FB1"/>
    <w:rsid w:val="00B3766E"/>
    <w:rsid w:val="00B40A07"/>
    <w:rsid w:val="00B4338F"/>
    <w:rsid w:val="00B43446"/>
    <w:rsid w:val="00B44014"/>
    <w:rsid w:val="00B44301"/>
    <w:rsid w:val="00B448E7"/>
    <w:rsid w:val="00B45736"/>
    <w:rsid w:val="00B46721"/>
    <w:rsid w:val="00B476C3"/>
    <w:rsid w:val="00B47AC0"/>
    <w:rsid w:val="00B504E7"/>
    <w:rsid w:val="00B5123C"/>
    <w:rsid w:val="00B51270"/>
    <w:rsid w:val="00B516DB"/>
    <w:rsid w:val="00B51F28"/>
    <w:rsid w:val="00B52DDF"/>
    <w:rsid w:val="00B530B9"/>
    <w:rsid w:val="00B53268"/>
    <w:rsid w:val="00B541A3"/>
    <w:rsid w:val="00B54662"/>
    <w:rsid w:val="00B547D0"/>
    <w:rsid w:val="00B54886"/>
    <w:rsid w:val="00B55069"/>
    <w:rsid w:val="00B55083"/>
    <w:rsid w:val="00B551B8"/>
    <w:rsid w:val="00B5700B"/>
    <w:rsid w:val="00B61060"/>
    <w:rsid w:val="00B6194B"/>
    <w:rsid w:val="00B61EB6"/>
    <w:rsid w:val="00B64590"/>
    <w:rsid w:val="00B64DE5"/>
    <w:rsid w:val="00B64EAF"/>
    <w:rsid w:val="00B6513F"/>
    <w:rsid w:val="00B6515C"/>
    <w:rsid w:val="00B6668E"/>
    <w:rsid w:val="00B66B28"/>
    <w:rsid w:val="00B66B2F"/>
    <w:rsid w:val="00B673DC"/>
    <w:rsid w:val="00B67774"/>
    <w:rsid w:val="00B67BAA"/>
    <w:rsid w:val="00B67D7B"/>
    <w:rsid w:val="00B711BE"/>
    <w:rsid w:val="00B71C9A"/>
    <w:rsid w:val="00B7242F"/>
    <w:rsid w:val="00B7289C"/>
    <w:rsid w:val="00B730B2"/>
    <w:rsid w:val="00B73169"/>
    <w:rsid w:val="00B73C0F"/>
    <w:rsid w:val="00B757AC"/>
    <w:rsid w:val="00B75ED6"/>
    <w:rsid w:val="00B76F83"/>
    <w:rsid w:val="00B76FF3"/>
    <w:rsid w:val="00B77BC1"/>
    <w:rsid w:val="00B80618"/>
    <w:rsid w:val="00B80802"/>
    <w:rsid w:val="00B80F7E"/>
    <w:rsid w:val="00B8138D"/>
    <w:rsid w:val="00B829CE"/>
    <w:rsid w:val="00B82B5A"/>
    <w:rsid w:val="00B82E77"/>
    <w:rsid w:val="00B82EE4"/>
    <w:rsid w:val="00B84674"/>
    <w:rsid w:val="00B84A80"/>
    <w:rsid w:val="00B84C56"/>
    <w:rsid w:val="00B85158"/>
    <w:rsid w:val="00B85238"/>
    <w:rsid w:val="00B86FAB"/>
    <w:rsid w:val="00B8704A"/>
    <w:rsid w:val="00B87357"/>
    <w:rsid w:val="00B87859"/>
    <w:rsid w:val="00B87BDB"/>
    <w:rsid w:val="00B87ECD"/>
    <w:rsid w:val="00B90C5A"/>
    <w:rsid w:val="00B90DF7"/>
    <w:rsid w:val="00B91CD3"/>
    <w:rsid w:val="00B91D20"/>
    <w:rsid w:val="00B921CE"/>
    <w:rsid w:val="00B92535"/>
    <w:rsid w:val="00B925F4"/>
    <w:rsid w:val="00B927FD"/>
    <w:rsid w:val="00B9382E"/>
    <w:rsid w:val="00B94175"/>
    <w:rsid w:val="00B9432C"/>
    <w:rsid w:val="00B944B9"/>
    <w:rsid w:val="00B94880"/>
    <w:rsid w:val="00B94A40"/>
    <w:rsid w:val="00B94BA5"/>
    <w:rsid w:val="00B95347"/>
    <w:rsid w:val="00B95A1B"/>
    <w:rsid w:val="00B97B57"/>
    <w:rsid w:val="00B97D51"/>
    <w:rsid w:val="00B97E23"/>
    <w:rsid w:val="00B97F3C"/>
    <w:rsid w:val="00BA0B94"/>
    <w:rsid w:val="00BA0E9D"/>
    <w:rsid w:val="00BA2162"/>
    <w:rsid w:val="00BA2632"/>
    <w:rsid w:val="00BA36A8"/>
    <w:rsid w:val="00BA3944"/>
    <w:rsid w:val="00BA3B70"/>
    <w:rsid w:val="00BA4317"/>
    <w:rsid w:val="00BA4948"/>
    <w:rsid w:val="00BA54A2"/>
    <w:rsid w:val="00BA5719"/>
    <w:rsid w:val="00BA6550"/>
    <w:rsid w:val="00BA7623"/>
    <w:rsid w:val="00BA7AF3"/>
    <w:rsid w:val="00BB0013"/>
    <w:rsid w:val="00BB0712"/>
    <w:rsid w:val="00BB0778"/>
    <w:rsid w:val="00BB0B4F"/>
    <w:rsid w:val="00BB0FE3"/>
    <w:rsid w:val="00BB10DE"/>
    <w:rsid w:val="00BB21DC"/>
    <w:rsid w:val="00BB243A"/>
    <w:rsid w:val="00BB25ED"/>
    <w:rsid w:val="00BB28B9"/>
    <w:rsid w:val="00BB3398"/>
    <w:rsid w:val="00BB3C3F"/>
    <w:rsid w:val="00BB3F0C"/>
    <w:rsid w:val="00BB47C8"/>
    <w:rsid w:val="00BB4F7B"/>
    <w:rsid w:val="00BB50C3"/>
    <w:rsid w:val="00BB5254"/>
    <w:rsid w:val="00BB5D67"/>
    <w:rsid w:val="00BB5EAB"/>
    <w:rsid w:val="00BB6258"/>
    <w:rsid w:val="00BB6419"/>
    <w:rsid w:val="00BB6B69"/>
    <w:rsid w:val="00BB6F6E"/>
    <w:rsid w:val="00BB72D8"/>
    <w:rsid w:val="00BB7669"/>
    <w:rsid w:val="00BB76C0"/>
    <w:rsid w:val="00BC0983"/>
    <w:rsid w:val="00BC0A63"/>
    <w:rsid w:val="00BC10D6"/>
    <w:rsid w:val="00BC132D"/>
    <w:rsid w:val="00BC1FBC"/>
    <w:rsid w:val="00BC282E"/>
    <w:rsid w:val="00BC4712"/>
    <w:rsid w:val="00BC56A2"/>
    <w:rsid w:val="00BC5E9D"/>
    <w:rsid w:val="00BC6289"/>
    <w:rsid w:val="00BC71CA"/>
    <w:rsid w:val="00BC726A"/>
    <w:rsid w:val="00BD027A"/>
    <w:rsid w:val="00BD061E"/>
    <w:rsid w:val="00BD12E0"/>
    <w:rsid w:val="00BD136F"/>
    <w:rsid w:val="00BD19BF"/>
    <w:rsid w:val="00BD1B2F"/>
    <w:rsid w:val="00BD1F95"/>
    <w:rsid w:val="00BD2FE0"/>
    <w:rsid w:val="00BD3431"/>
    <w:rsid w:val="00BD376D"/>
    <w:rsid w:val="00BD3A0F"/>
    <w:rsid w:val="00BD3C5D"/>
    <w:rsid w:val="00BD3EE3"/>
    <w:rsid w:val="00BD3F86"/>
    <w:rsid w:val="00BD5266"/>
    <w:rsid w:val="00BD5456"/>
    <w:rsid w:val="00BD54C3"/>
    <w:rsid w:val="00BD5C4D"/>
    <w:rsid w:val="00BD5F78"/>
    <w:rsid w:val="00BD66D0"/>
    <w:rsid w:val="00BD7A71"/>
    <w:rsid w:val="00BD7B26"/>
    <w:rsid w:val="00BD7B3C"/>
    <w:rsid w:val="00BD7DB6"/>
    <w:rsid w:val="00BE0240"/>
    <w:rsid w:val="00BE0B38"/>
    <w:rsid w:val="00BE0F65"/>
    <w:rsid w:val="00BE101C"/>
    <w:rsid w:val="00BE237E"/>
    <w:rsid w:val="00BE27D7"/>
    <w:rsid w:val="00BE2A49"/>
    <w:rsid w:val="00BE3021"/>
    <w:rsid w:val="00BE32F5"/>
    <w:rsid w:val="00BE3B12"/>
    <w:rsid w:val="00BE4F69"/>
    <w:rsid w:val="00BE59F1"/>
    <w:rsid w:val="00BE5C2F"/>
    <w:rsid w:val="00BE64F3"/>
    <w:rsid w:val="00BE78EE"/>
    <w:rsid w:val="00BE7B97"/>
    <w:rsid w:val="00BE7D55"/>
    <w:rsid w:val="00BF0524"/>
    <w:rsid w:val="00BF0A4C"/>
    <w:rsid w:val="00BF0EC7"/>
    <w:rsid w:val="00BF1224"/>
    <w:rsid w:val="00BF2D54"/>
    <w:rsid w:val="00BF3116"/>
    <w:rsid w:val="00BF3167"/>
    <w:rsid w:val="00BF3A40"/>
    <w:rsid w:val="00BF3E24"/>
    <w:rsid w:val="00BF4061"/>
    <w:rsid w:val="00BF522C"/>
    <w:rsid w:val="00BF58FB"/>
    <w:rsid w:val="00C001C5"/>
    <w:rsid w:val="00C00589"/>
    <w:rsid w:val="00C011BE"/>
    <w:rsid w:val="00C015E9"/>
    <w:rsid w:val="00C019CA"/>
    <w:rsid w:val="00C01E68"/>
    <w:rsid w:val="00C01E8F"/>
    <w:rsid w:val="00C02DA7"/>
    <w:rsid w:val="00C036D0"/>
    <w:rsid w:val="00C03992"/>
    <w:rsid w:val="00C062A4"/>
    <w:rsid w:val="00C07923"/>
    <w:rsid w:val="00C07AA0"/>
    <w:rsid w:val="00C07C3B"/>
    <w:rsid w:val="00C07FD9"/>
    <w:rsid w:val="00C10086"/>
    <w:rsid w:val="00C117E2"/>
    <w:rsid w:val="00C122D6"/>
    <w:rsid w:val="00C13F49"/>
    <w:rsid w:val="00C142A7"/>
    <w:rsid w:val="00C14D3A"/>
    <w:rsid w:val="00C15803"/>
    <w:rsid w:val="00C15C12"/>
    <w:rsid w:val="00C15E0B"/>
    <w:rsid w:val="00C1607B"/>
    <w:rsid w:val="00C16230"/>
    <w:rsid w:val="00C1787A"/>
    <w:rsid w:val="00C20053"/>
    <w:rsid w:val="00C20207"/>
    <w:rsid w:val="00C2118E"/>
    <w:rsid w:val="00C21660"/>
    <w:rsid w:val="00C222DC"/>
    <w:rsid w:val="00C226E3"/>
    <w:rsid w:val="00C227C7"/>
    <w:rsid w:val="00C22E6B"/>
    <w:rsid w:val="00C23337"/>
    <w:rsid w:val="00C23B80"/>
    <w:rsid w:val="00C23F8E"/>
    <w:rsid w:val="00C241DF"/>
    <w:rsid w:val="00C24856"/>
    <w:rsid w:val="00C252E3"/>
    <w:rsid w:val="00C271DD"/>
    <w:rsid w:val="00C27710"/>
    <w:rsid w:val="00C27F05"/>
    <w:rsid w:val="00C3028C"/>
    <w:rsid w:val="00C30B0D"/>
    <w:rsid w:val="00C30B39"/>
    <w:rsid w:val="00C315A5"/>
    <w:rsid w:val="00C31AB7"/>
    <w:rsid w:val="00C31D0F"/>
    <w:rsid w:val="00C32A30"/>
    <w:rsid w:val="00C32FBD"/>
    <w:rsid w:val="00C331B6"/>
    <w:rsid w:val="00C33605"/>
    <w:rsid w:val="00C3523C"/>
    <w:rsid w:val="00C37707"/>
    <w:rsid w:val="00C37717"/>
    <w:rsid w:val="00C378B2"/>
    <w:rsid w:val="00C4012F"/>
    <w:rsid w:val="00C401FA"/>
    <w:rsid w:val="00C4099B"/>
    <w:rsid w:val="00C40AC1"/>
    <w:rsid w:val="00C41955"/>
    <w:rsid w:val="00C41AC7"/>
    <w:rsid w:val="00C423F8"/>
    <w:rsid w:val="00C42A11"/>
    <w:rsid w:val="00C42F9D"/>
    <w:rsid w:val="00C44E19"/>
    <w:rsid w:val="00C44F8C"/>
    <w:rsid w:val="00C454B9"/>
    <w:rsid w:val="00C4604F"/>
    <w:rsid w:val="00C46665"/>
    <w:rsid w:val="00C46970"/>
    <w:rsid w:val="00C47A44"/>
    <w:rsid w:val="00C502D9"/>
    <w:rsid w:val="00C505F8"/>
    <w:rsid w:val="00C50B01"/>
    <w:rsid w:val="00C5136E"/>
    <w:rsid w:val="00C51BB7"/>
    <w:rsid w:val="00C521EA"/>
    <w:rsid w:val="00C5220E"/>
    <w:rsid w:val="00C52565"/>
    <w:rsid w:val="00C52664"/>
    <w:rsid w:val="00C52AE6"/>
    <w:rsid w:val="00C52D34"/>
    <w:rsid w:val="00C539CE"/>
    <w:rsid w:val="00C53BD9"/>
    <w:rsid w:val="00C55D11"/>
    <w:rsid w:val="00C55EEB"/>
    <w:rsid w:val="00C56A50"/>
    <w:rsid w:val="00C56D31"/>
    <w:rsid w:val="00C57461"/>
    <w:rsid w:val="00C57EED"/>
    <w:rsid w:val="00C6039D"/>
    <w:rsid w:val="00C6383C"/>
    <w:rsid w:val="00C63886"/>
    <w:rsid w:val="00C63FD8"/>
    <w:rsid w:val="00C65423"/>
    <w:rsid w:val="00C65455"/>
    <w:rsid w:val="00C6595B"/>
    <w:rsid w:val="00C6602C"/>
    <w:rsid w:val="00C66BAF"/>
    <w:rsid w:val="00C674AA"/>
    <w:rsid w:val="00C70A2A"/>
    <w:rsid w:val="00C70C9E"/>
    <w:rsid w:val="00C720A7"/>
    <w:rsid w:val="00C7268E"/>
    <w:rsid w:val="00C72A5F"/>
    <w:rsid w:val="00C72F11"/>
    <w:rsid w:val="00C742BB"/>
    <w:rsid w:val="00C74803"/>
    <w:rsid w:val="00C74824"/>
    <w:rsid w:val="00C74C53"/>
    <w:rsid w:val="00C768B4"/>
    <w:rsid w:val="00C769AB"/>
    <w:rsid w:val="00C7730E"/>
    <w:rsid w:val="00C77FB3"/>
    <w:rsid w:val="00C80553"/>
    <w:rsid w:val="00C81CAC"/>
    <w:rsid w:val="00C81D06"/>
    <w:rsid w:val="00C825F7"/>
    <w:rsid w:val="00C83246"/>
    <w:rsid w:val="00C838B9"/>
    <w:rsid w:val="00C8436E"/>
    <w:rsid w:val="00C8497A"/>
    <w:rsid w:val="00C85070"/>
    <w:rsid w:val="00C8566B"/>
    <w:rsid w:val="00C8682C"/>
    <w:rsid w:val="00C86918"/>
    <w:rsid w:val="00C86E39"/>
    <w:rsid w:val="00C87E21"/>
    <w:rsid w:val="00C92357"/>
    <w:rsid w:val="00C9258A"/>
    <w:rsid w:val="00C9260C"/>
    <w:rsid w:val="00C92680"/>
    <w:rsid w:val="00C931A1"/>
    <w:rsid w:val="00C9383C"/>
    <w:rsid w:val="00C94D20"/>
    <w:rsid w:val="00C9564F"/>
    <w:rsid w:val="00C95C27"/>
    <w:rsid w:val="00C9656E"/>
    <w:rsid w:val="00C96F32"/>
    <w:rsid w:val="00C974BD"/>
    <w:rsid w:val="00C97D36"/>
    <w:rsid w:val="00C97E88"/>
    <w:rsid w:val="00CA0144"/>
    <w:rsid w:val="00CA0687"/>
    <w:rsid w:val="00CA15E2"/>
    <w:rsid w:val="00CA1CDB"/>
    <w:rsid w:val="00CA1E0C"/>
    <w:rsid w:val="00CA2B3B"/>
    <w:rsid w:val="00CA3080"/>
    <w:rsid w:val="00CA33CC"/>
    <w:rsid w:val="00CA3BD3"/>
    <w:rsid w:val="00CA3EBC"/>
    <w:rsid w:val="00CA4401"/>
    <w:rsid w:val="00CA4868"/>
    <w:rsid w:val="00CA54A2"/>
    <w:rsid w:val="00CA58DE"/>
    <w:rsid w:val="00CA5C96"/>
    <w:rsid w:val="00CA6680"/>
    <w:rsid w:val="00CA6DA7"/>
    <w:rsid w:val="00CA7973"/>
    <w:rsid w:val="00CB022F"/>
    <w:rsid w:val="00CB03C4"/>
    <w:rsid w:val="00CB0514"/>
    <w:rsid w:val="00CB063C"/>
    <w:rsid w:val="00CB0709"/>
    <w:rsid w:val="00CB10C6"/>
    <w:rsid w:val="00CB1607"/>
    <w:rsid w:val="00CB2895"/>
    <w:rsid w:val="00CB3154"/>
    <w:rsid w:val="00CB3D09"/>
    <w:rsid w:val="00CB55A4"/>
    <w:rsid w:val="00CB62A2"/>
    <w:rsid w:val="00CB6753"/>
    <w:rsid w:val="00CB6A31"/>
    <w:rsid w:val="00CB6C16"/>
    <w:rsid w:val="00CC0F8C"/>
    <w:rsid w:val="00CC1667"/>
    <w:rsid w:val="00CC1AC4"/>
    <w:rsid w:val="00CC1B81"/>
    <w:rsid w:val="00CC2083"/>
    <w:rsid w:val="00CC2A1E"/>
    <w:rsid w:val="00CC303A"/>
    <w:rsid w:val="00CC357D"/>
    <w:rsid w:val="00CC35EE"/>
    <w:rsid w:val="00CC38EF"/>
    <w:rsid w:val="00CC45AA"/>
    <w:rsid w:val="00CC4986"/>
    <w:rsid w:val="00CC4A75"/>
    <w:rsid w:val="00CC51E3"/>
    <w:rsid w:val="00CC5A00"/>
    <w:rsid w:val="00CC639A"/>
    <w:rsid w:val="00CC654F"/>
    <w:rsid w:val="00CC6D07"/>
    <w:rsid w:val="00CC703D"/>
    <w:rsid w:val="00CC7FAF"/>
    <w:rsid w:val="00CD02DD"/>
    <w:rsid w:val="00CD0C46"/>
    <w:rsid w:val="00CD2140"/>
    <w:rsid w:val="00CD2950"/>
    <w:rsid w:val="00CD2AEE"/>
    <w:rsid w:val="00CD2DA5"/>
    <w:rsid w:val="00CD3473"/>
    <w:rsid w:val="00CD3E6F"/>
    <w:rsid w:val="00CD461D"/>
    <w:rsid w:val="00CD61EB"/>
    <w:rsid w:val="00CD6A7B"/>
    <w:rsid w:val="00CD6F0C"/>
    <w:rsid w:val="00CD7233"/>
    <w:rsid w:val="00CE09B7"/>
    <w:rsid w:val="00CE129D"/>
    <w:rsid w:val="00CE1E51"/>
    <w:rsid w:val="00CE2548"/>
    <w:rsid w:val="00CE26B0"/>
    <w:rsid w:val="00CE3376"/>
    <w:rsid w:val="00CE3795"/>
    <w:rsid w:val="00CE4601"/>
    <w:rsid w:val="00CE6093"/>
    <w:rsid w:val="00CE625B"/>
    <w:rsid w:val="00CE70D2"/>
    <w:rsid w:val="00CE76FC"/>
    <w:rsid w:val="00CF168E"/>
    <w:rsid w:val="00CF1E5B"/>
    <w:rsid w:val="00CF2431"/>
    <w:rsid w:val="00CF3769"/>
    <w:rsid w:val="00CF39E6"/>
    <w:rsid w:val="00CF3BE3"/>
    <w:rsid w:val="00CF402C"/>
    <w:rsid w:val="00CF52AE"/>
    <w:rsid w:val="00CF53EB"/>
    <w:rsid w:val="00CF5B9B"/>
    <w:rsid w:val="00CF663B"/>
    <w:rsid w:val="00CF67C8"/>
    <w:rsid w:val="00CF67E5"/>
    <w:rsid w:val="00CF6A0F"/>
    <w:rsid w:val="00CF7933"/>
    <w:rsid w:val="00D00F8B"/>
    <w:rsid w:val="00D01044"/>
    <w:rsid w:val="00D016BC"/>
    <w:rsid w:val="00D03837"/>
    <w:rsid w:val="00D040EC"/>
    <w:rsid w:val="00D044D5"/>
    <w:rsid w:val="00D04624"/>
    <w:rsid w:val="00D0529F"/>
    <w:rsid w:val="00D056CA"/>
    <w:rsid w:val="00D05B5D"/>
    <w:rsid w:val="00D06A81"/>
    <w:rsid w:val="00D06AA0"/>
    <w:rsid w:val="00D06D69"/>
    <w:rsid w:val="00D074F6"/>
    <w:rsid w:val="00D1060A"/>
    <w:rsid w:val="00D12945"/>
    <w:rsid w:val="00D129C2"/>
    <w:rsid w:val="00D1355E"/>
    <w:rsid w:val="00D13C1B"/>
    <w:rsid w:val="00D13E20"/>
    <w:rsid w:val="00D14DF9"/>
    <w:rsid w:val="00D15E34"/>
    <w:rsid w:val="00D16174"/>
    <w:rsid w:val="00D16622"/>
    <w:rsid w:val="00D16729"/>
    <w:rsid w:val="00D16A3E"/>
    <w:rsid w:val="00D170CA"/>
    <w:rsid w:val="00D172AC"/>
    <w:rsid w:val="00D2021B"/>
    <w:rsid w:val="00D21E9C"/>
    <w:rsid w:val="00D22374"/>
    <w:rsid w:val="00D230D7"/>
    <w:rsid w:val="00D241A3"/>
    <w:rsid w:val="00D24458"/>
    <w:rsid w:val="00D247D1"/>
    <w:rsid w:val="00D249F2"/>
    <w:rsid w:val="00D257E5"/>
    <w:rsid w:val="00D267D3"/>
    <w:rsid w:val="00D26F61"/>
    <w:rsid w:val="00D27517"/>
    <w:rsid w:val="00D2773C"/>
    <w:rsid w:val="00D301C8"/>
    <w:rsid w:val="00D32878"/>
    <w:rsid w:val="00D32C71"/>
    <w:rsid w:val="00D358D2"/>
    <w:rsid w:val="00D36AD0"/>
    <w:rsid w:val="00D40484"/>
    <w:rsid w:val="00D42C2A"/>
    <w:rsid w:val="00D43CCB"/>
    <w:rsid w:val="00D44108"/>
    <w:rsid w:val="00D46860"/>
    <w:rsid w:val="00D469EA"/>
    <w:rsid w:val="00D47784"/>
    <w:rsid w:val="00D479CF"/>
    <w:rsid w:val="00D50890"/>
    <w:rsid w:val="00D514C1"/>
    <w:rsid w:val="00D51786"/>
    <w:rsid w:val="00D51F69"/>
    <w:rsid w:val="00D52A00"/>
    <w:rsid w:val="00D53460"/>
    <w:rsid w:val="00D536C2"/>
    <w:rsid w:val="00D53CDF"/>
    <w:rsid w:val="00D54421"/>
    <w:rsid w:val="00D5501A"/>
    <w:rsid w:val="00D5585A"/>
    <w:rsid w:val="00D559DB"/>
    <w:rsid w:val="00D55CBC"/>
    <w:rsid w:val="00D55E7B"/>
    <w:rsid w:val="00D56A94"/>
    <w:rsid w:val="00D56EBB"/>
    <w:rsid w:val="00D576AC"/>
    <w:rsid w:val="00D5789D"/>
    <w:rsid w:val="00D60A78"/>
    <w:rsid w:val="00D60CAE"/>
    <w:rsid w:val="00D61EC0"/>
    <w:rsid w:val="00D626DE"/>
    <w:rsid w:val="00D62993"/>
    <w:rsid w:val="00D62B0C"/>
    <w:rsid w:val="00D62E73"/>
    <w:rsid w:val="00D62E86"/>
    <w:rsid w:val="00D62F5E"/>
    <w:rsid w:val="00D63161"/>
    <w:rsid w:val="00D63494"/>
    <w:rsid w:val="00D64547"/>
    <w:rsid w:val="00D64808"/>
    <w:rsid w:val="00D64C25"/>
    <w:rsid w:val="00D652A8"/>
    <w:rsid w:val="00D6560A"/>
    <w:rsid w:val="00D65D43"/>
    <w:rsid w:val="00D66196"/>
    <w:rsid w:val="00D66490"/>
    <w:rsid w:val="00D66880"/>
    <w:rsid w:val="00D6696E"/>
    <w:rsid w:val="00D67489"/>
    <w:rsid w:val="00D70CF7"/>
    <w:rsid w:val="00D72929"/>
    <w:rsid w:val="00D72F84"/>
    <w:rsid w:val="00D72F88"/>
    <w:rsid w:val="00D7351D"/>
    <w:rsid w:val="00D73657"/>
    <w:rsid w:val="00D73F8C"/>
    <w:rsid w:val="00D7494A"/>
    <w:rsid w:val="00D75A1C"/>
    <w:rsid w:val="00D767D5"/>
    <w:rsid w:val="00D76B4A"/>
    <w:rsid w:val="00D77088"/>
    <w:rsid w:val="00D772A3"/>
    <w:rsid w:val="00D774CC"/>
    <w:rsid w:val="00D804F7"/>
    <w:rsid w:val="00D80AA9"/>
    <w:rsid w:val="00D80E17"/>
    <w:rsid w:val="00D81B1D"/>
    <w:rsid w:val="00D81D69"/>
    <w:rsid w:val="00D81E43"/>
    <w:rsid w:val="00D820C7"/>
    <w:rsid w:val="00D823B2"/>
    <w:rsid w:val="00D82A1D"/>
    <w:rsid w:val="00D83186"/>
    <w:rsid w:val="00D83B40"/>
    <w:rsid w:val="00D840D7"/>
    <w:rsid w:val="00D858EF"/>
    <w:rsid w:val="00D86414"/>
    <w:rsid w:val="00D86B0B"/>
    <w:rsid w:val="00D86B83"/>
    <w:rsid w:val="00D86C61"/>
    <w:rsid w:val="00D87076"/>
    <w:rsid w:val="00D91136"/>
    <w:rsid w:val="00D92102"/>
    <w:rsid w:val="00D92441"/>
    <w:rsid w:val="00D92F46"/>
    <w:rsid w:val="00D92F4E"/>
    <w:rsid w:val="00D931FA"/>
    <w:rsid w:val="00D936CA"/>
    <w:rsid w:val="00D94869"/>
    <w:rsid w:val="00D94C50"/>
    <w:rsid w:val="00D9602A"/>
    <w:rsid w:val="00D9612F"/>
    <w:rsid w:val="00D96753"/>
    <w:rsid w:val="00D973B0"/>
    <w:rsid w:val="00D973C2"/>
    <w:rsid w:val="00D976E8"/>
    <w:rsid w:val="00D97A40"/>
    <w:rsid w:val="00DA0199"/>
    <w:rsid w:val="00DA041E"/>
    <w:rsid w:val="00DA0E17"/>
    <w:rsid w:val="00DA1E46"/>
    <w:rsid w:val="00DA2369"/>
    <w:rsid w:val="00DA3CB2"/>
    <w:rsid w:val="00DA41EC"/>
    <w:rsid w:val="00DA42B8"/>
    <w:rsid w:val="00DA4AD9"/>
    <w:rsid w:val="00DA5369"/>
    <w:rsid w:val="00DA66CE"/>
    <w:rsid w:val="00DA66DE"/>
    <w:rsid w:val="00DA7DD9"/>
    <w:rsid w:val="00DB025B"/>
    <w:rsid w:val="00DB0EFB"/>
    <w:rsid w:val="00DB396A"/>
    <w:rsid w:val="00DB42F5"/>
    <w:rsid w:val="00DB6B4F"/>
    <w:rsid w:val="00DB75DA"/>
    <w:rsid w:val="00DB7C89"/>
    <w:rsid w:val="00DB7E06"/>
    <w:rsid w:val="00DC271E"/>
    <w:rsid w:val="00DC296D"/>
    <w:rsid w:val="00DC2FAF"/>
    <w:rsid w:val="00DC3D23"/>
    <w:rsid w:val="00DC4ABC"/>
    <w:rsid w:val="00DC5B2B"/>
    <w:rsid w:val="00DC6248"/>
    <w:rsid w:val="00DC6EDC"/>
    <w:rsid w:val="00DC72E6"/>
    <w:rsid w:val="00DC7481"/>
    <w:rsid w:val="00DC7EAB"/>
    <w:rsid w:val="00DC7EF1"/>
    <w:rsid w:val="00DD0F9E"/>
    <w:rsid w:val="00DD2875"/>
    <w:rsid w:val="00DD4545"/>
    <w:rsid w:val="00DD4FD3"/>
    <w:rsid w:val="00DD526C"/>
    <w:rsid w:val="00DD5899"/>
    <w:rsid w:val="00DD59D0"/>
    <w:rsid w:val="00DE0B66"/>
    <w:rsid w:val="00DE13D4"/>
    <w:rsid w:val="00DE157A"/>
    <w:rsid w:val="00DE256D"/>
    <w:rsid w:val="00DE312E"/>
    <w:rsid w:val="00DE590E"/>
    <w:rsid w:val="00DE5E32"/>
    <w:rsid w:val="00DE603C"/>
    <w:rsid w:val="00DE63CB"/>
    <w:rsid w:val="00DE64CC"/>
    <w:rsid w:val="00DE6C01"/>
    <w:rsid w:val="00DE6E4E"/>
    <w:rsid w:val="00DE6E94"/>
    <w:rsid w:val="00DE7133"/>
    <w:rsid w:val="00DE72FF"/>
    <w:rsid w:val="00DE7A24"/>
    <w:rsid w:val="00DE7A27"/>
    <w:rsid w:val="00DF1351"/>
    <w:rsid w:val="00DF1403"/>
    <w:rsid w:val="00DF1C33"/>
    <w:rsid w:val="00DF2023"/>
    <w:rsid w:val="00DF22D0"/>
    <w:rsid w:val="00DF25C1"/>
    <w:rsid w:val="00DF290B"/>
    <w:rsid w:val="00DF2F24"/>
    <w:rsid w:val="00DF367E"/>
    <w:rsid w:val="00DF3A91"/>
    <w:rsid w:val="00DF3FA4"/>
    <w:rsid w:val="00DF4757"/>
    <w:rsid w:val="00DF4AD7"/>
    <w:rsid w:val="00DF6D33"/>
    <w:rsid w:val="00DF6F29"/>
    <w:rsid w:val="00DF71C0"/>
    <w:rsid w:val="00DF73B0"/>
    <w:rsid w:val="00DF7B9C"/>
    <w:rsid w:val="00DF7E93"/>
    <w:rsid w:val="00DF7FCD"/>
    <w:rsid w:val="00E0026E"/>
    <w:rsid w:val="00E0058E"/>
    <w:rsid w:val="00E00DC6"/>
    <w:rsid w:val="00E0148B"/>
    <w:rsid w:val="00E0165A"/>
    <w:rsid w:val="00E02A3A"/>
    <w:rsid w:val="00E02D23"/>
    <w:rsid w:val="00E03237"/>
    <w:rsid w:val="00E036AA"/>
    <w:rsid w:val="00E0381A"/>
    <w:rsid w:val="00E0479B"/>
    <w:rsid w:val="00E04B22"/>
    <w:rsid w:val="00E04DBC"/>
    <w:rsid w:val="00E0502C"/>
    <w:rsid w:val="00E053F7"/>
    <w:rsid w:val="00E057BD"/>
    <w:rsid w:val="00E06855"/>
    <w:rsid w:val="00E06A01"/>
    <w:rsid w:val="00E06F6C"/>
    <w:rsid w:val="00E0744A"/>
    <w:rsid w:val="00E07717"/>
    <w:rsid w:val="00E07991"/>
    <w:rsid w:val="00E07B59"/>
    <w:rsid w:val="00E07C68"/>
    <w:rsid w:val="00E101B9"/>
    <w:rsid w:val="00E10F5F"/>
    <w:rsid w:val="00E11D2B"/>
    <w:rsid w:val="00E11DB7"/>
    <w:rsid w:val="00E11E1D"/>
    <w:rsid w:val="00E13587"/>
    <w:rsid w:val="00E135F4"/>
    <w:rsid w:val="00E13729"/>
    <w:rsid w:val="00E13E1C"/>
    <w:rsid w:val="00E14F0A"/>
    <w:rsid w:val="00E15FA7"/>
    <w:rsid w:val="00E163F0"/>
    <w:rsid w:val="00E16906"/>
    <w:rsid w:val="00E16BDE"/>
    <w:rsid w:val="00E16D7B"/>
    <w:rsid w:val="00E17194"/>
    <w:rsid w:val="00E17A1D"/>
    <w:rsid w:val="00E2060E"/>
    <w:rsid w:val="00E21443"/>
    <w:rsid w:val="00E21512"/>
    <w:rsid w:val="00E217A8"/>
    <w:rsid w:val="00E22137"/>
    <w:rsid w:val="00E24121"/>
    <w:rsid w:val="00E24586"/>
    <w:rsid w:val="00E24C1A"/>
    <w:rsid w:val="00E256EF"/>
    <w:rsid w:val="00E25D87"/>
    <w:rsid w:val="00E26219"/>
    <w:rsid w:val="00E267A3"/>
    <w:rsid w:val="00E26D3C"/>
    <w:rsid w:val="00E27353"/>
    <w:rsid w:val="00E32493"/>
    <w:rsid w:val="00E32F93"/>
    <w:rsid w:val="00E32F9F"/>
    <w:rsid w:val="00E33727"/>
    <w:rsid w:val="00E35096"/>
    <w:rsid w:val="00E35190"/>
    <w:rsid w:val="00E35943"/>
    <w:rsid w:val="00E35A5B"/>
    <w:rsid w:val="00E35BA7"/>
    <w:rsid w:val="00E367A2"/>
    <w:rsid w:val="00E40680"/>
    <w:rsid w:val="00E411B9"/>
    <w:rsid w:val="00E41C09"/>
    <w:rsid w:val="00E41FAB"/>
    <w:rsid w:val="00E4331B"/>
    <w:rsid w:val="00E43A12"/>
    <w:rsid w:val="00E4410F"/>
    <w:rsid w:val="00E44A41"/>
    <w:rsid w:val="00E44C58"/>
    <w:rsid w:val="00E44E82"/>
    <w:rsid w:val="00E44EC8"/>
    <w:rsid w:val="00E44F85"/>
    <w:rsid w:val="00E47576"/>
    <w:rsid w:val="00E4789A"/>
    <w:rsid w:val="00E50122"/>
    <w:rsid w:val="00E50A59"/>
    <w:rsid w:val="00E510CC"/>
    <w:rsid w:val="00E51AEE"/>
    <w:rsid w:val="00E52AFA"/>
    <w:rsid w:val="00E53117"/>
    <w:rsid w:val="00E53195"/>
    <w:rsid w:val="00E5402F"/>
    <w:rsid w:val="00E54113"/>
    <w:rsid w:val="00E54161"/>
    <w:rsid w:val="00E5436A"/>
    <w:rsid w:val="00E5458A"/>
    <w:rsid w:val="00E555FD"/>
    <w:rsid w:val="00E55788"/>
    <w:rsid w:val="00E55CBA"/>
    <w:rsid w:val="00E55D78"/>
    <w:rsid w:val="00E561AB"/>
    <w:rsid w:val="00E56211"/>
    <w:rsid w:val="00E56B3F"/>
    <w:rsid w:val="00E56DAB"/>
    <w:rsid w:val="00E57944"/>
    <w:rsid w:val="00E57EEE"/>
    <w:rsid w:val="00E60307"/>
    <w:rsid w:val="00E60B03"/>
    <w:rsid w:val="00E61A93"/>
    <w:rsid w:val="00E61CDF"/>
    <w:rsid w:val="00E625B0"/>
    <w:rsid w:val="00E63BA2"/>
    <w:rsid w:val="00E63C27"/>
    <w:rsid w:val="00E63DF8"/>
    <w:rsid w:val="00E642BF"/>
    <w:rsid w:val="00E65957"/>
    <w:rsid w:val="00E65D81"/>
    <w:rsid w:val="00E6637E"/>
    <w:rsid w:val="00E66A50"/>
    <w:rsid w:val="00E66B5A"/>
    <w:rsid w:val="00E67217"/>
    <w:rsid w:val="00E67892"/>
    <w:rsid w:val="00E70377"/>
    <w:rsid w:val="00E70A00"/>
    <w:rsid w:val="00E712D0"/>
    <w:rsid w:val="00E71580"/>
    <w:rsid w:val="00E72B61"/>
    <w:rsid w:val="00E7308A"/>
    <w:rsid w:val="00E73109"/>
    <w:rsid w:val="00E73176"/>
    <w:rsid w:val="00E741E5"/>
    <w:rsid w:val="00E742AF"/>
    <w:rsid w:val="00E748ED"/>
    <w:rsid w:val="00E7492F"/>
    <w:rsid w:val="00E749C3"/>
    <w:rsid w:val="00E74A64"/>
    <w:rsid w:val="00E74CCB"/>
    <w:rsid w:val="00E75888"/>
    <w:rsid w:val="00E76B0F"/>
    <w:rsid w:val="00E76DB0"/>
    <w:rsid w:val="00E77D01"/>
    <w:rsid w:val="00E80AC9"/>
    <w:rsid w:val="00E81DC4"/>
    <w:rsid w:val="00E82824"/>
    <w:rsid w:val="00E831A2"/>
    <w:rsid w:val="00E84F9E"/>
    <w:rsid w:val="00E850BC"/>
    <w:rsid w:val="00E85859"/>
    <w:rsid w:val="00E85918"/>
    <w:rsid w:val="00E86180"/>
    <w:rsid w:val="00E86215"/>
    <w:rsid w:val="00E86366"/>
    <w:rsid w:val="00E863B1"/>
    <w:rsid w:val="00E86BB5"/>
    <w:rsid w:val="00E86C88"/>
    <w:rsid w:val="00E86CEE"/>
    <w:rsid w:val="00E871D9"/>
    <w:rsid w:val="00E87521"/>
    <w:rsid w:val="00E877D7"/>
    <w:rsid w:val="00E87FEA"/>
    <w:rsid w:val="00E902A0"/>
    <w:rsid w:val="00E91065"/>
    <w:rsid w:val="00E91CD1"/>
    <w:rsid w:val="00E91E15"/>
    <w:rsid w:val="00E93A5D"/>
    <w:rsid w:val="00E947CF"/>
    <w:rsid w:val="00E952EF"/>
    <w:rsid w:val="00E95473"/>
    <w:rsid w:val="00E9581F"/>
    <w:rsid w:val="00E961B2"/>
    <w:rsid w:val="00E9681C"/>
    <w:rsid w:val="00E96F62"/>
    <w:rsid w:val="00E96F6D"/>
    <w:rsid w:val="00E97812"/>
    <w:rsid w:val="00E97A9C"/>
    <w:rsid w:val="00E97DCE"/>
    <w:rsid w:val="00E9D386"/>
    <w:rsid w:val="00EA0F15"/>
    <w:rsid w:val="00EA1E90"/>
    <w:rsid w:val="00EA226A"/>
    <w:rsid w:val="00EA25AF"/>
    <w:rsid w:val="00EA2B0B"/>
    <w:rsid w:val="00EA2DAD"/>
    <w:rsid w:val="00EA5C7D"/>
    <w:rsid w:val="00EA5EC8"/>
    <w:rsid w:val="00EA7911"/>
    <w:rsid w:val="00EB2583"/>
    <w:rsid w:val="00EB3331"/>
    <w:rsid w:val="00EB333B"/>
    <w:rsid w:val="00EB381E"/>
    <w:rsid w:val="00EB40AE"/>
    <w:rsid w:val="00EB44A0"/>
    <w:rsid w:val="00EB4809"/>
    <w:rsid w:val="00EB49F5"/>
    <w:rsid w:val="00EB50BE"/>
    <w:rsid w:val="00EB5290"/>
    <w:rsid w:val="00EB5D98"/>
    <w:rsid w:val="00EB71D7"/>
    <w:rsid w:val="00EC05E4"/>
    <w:rsid w:val="00EC0D00"/>
    <w:rsid w:val="00EC20B6"/>
    <w:rsid w:val="00EC236A"/>
    <w:rsid w:val="00EC3DED"/>
    <w:rsid w:val="00EC4631"/>
    <w:rsid w:val="00EC487A"/>
    <w:rsid w:val="00EC4CD8"/>
    <w:rsid w:val="00EC511B"/>
    <w:rsid w:val="00EC5540"/>
    <w:rsid w:val="00EC5760"/>
    <w:rsid w:val="00EC59DC"/>
    <w:rsid w:val="00EC6137"/>
    <w:rsid w:val="00EC6773"/>
    <w:rsid w:val="00EC6E6A"/>
    <w:rsid w:val="00EC74FA"/>
    <w:rsid w:val="00ED0481"/>
    <w:rsid w:val="00ED0E3A"/>
    <w:rsid w:val="00ED1038"/>
    <w:rsid w:val="00ED1F2D"/>
    <w:rsid w:val="00ED1F6D"/>
    <w:rsid w:val="00ED262D"/>
    <w:rsid w:val="00ED2875"/>
    <w:rsid w:val="00ED347C"/>
    <w:rsid w:val="00ED56E9"/>
    <w:rsid w:val="00ED5ADC"/>
    <w:rsid w:val="00ED6AFC"/>
    <w:rsid w:val="00ED7967"/>
    <w:rsid w:val="00ED7D85"/>
    <w:rsid w:val="00EE072E"/>
    <w:rsid w:val="00EE1A3B"/>
    <w:rsid w:val="00EE1C32"/>
    <w:rsid w:val="00EE4FAE"/>
    <w:rsid w:val="00EE58BF"/>
    <w:rsid w:val="00EE600A"/>
    <w:rsid w:val="00EE6636"/>
    <w:rsid w:val="00EE760B"/>
    <w:rsid w:val="00EF0B2D"/>
    <w:rsid w:val="00EF144C"/>
    <w:rsid w:val="00EF1571"/>
    <w:rsid w:val="00EF167B"/>
    <w:rsid w:val="00EF1811"/>
    <w:rsid w:val="00EF1E68"/>
    <w:rsid w:val="00EF242C"/>
    <w:rsid w:val="00EF35DC"/>
    <w:rsid w:val="00EF37AB"/>
    <w:rsid w:val="00EF3AD3"/>
    <w:rsid w:val="00EF3C36"/>
    <w:rsid w:val="00EF3D11"/>
    <w:rsid w:val="00EF4906"/>
    <w:rsid w:val="00EF49CF"/>
    <w:rsid w:val="00EF4FDF"/>
    <w:rsid w:val="00EF53AE"/>
    <w:rsid w:val="00EF5C90"/>
    <w:rsid w:val="00EF6F1D"/>
    <w:rsid w:val="00EF740B"/>
    <w:rsid w:val="00EF791E"/>
    <w:rsid w:val="00F00A75"/>
    <w:rsid w:val="00F00E8C"/>
    <w:rsid w:val="00F010FB"/>
    <w:rsid w:val="00F01A43"/>
    <w:rsid w:val="00F01CDE"/>
    <w:rsid w:val="00F02F9F"/>
    <w:rsid w:val="00F03912"/>
    <w:rsid w:val="00F04787"/>
    <w:rsid w:val="00F04CD4"/>
    <w:rsid w:val="00F04E9D"/>
    <w:rsid w:val="00F05E57"/>
    <w:rsid w:val="00F062B7"/>
    <w:rsid w:val="00F0675B"/>
    <w:rsid w:val="00F07041"/>
    <w:rsid w:val="00F07A87"/>
    <w:rsid w:val="00F112DF"/>
    <w:rsid w:val="00F116EA"/>
    <w:rsid w:val="00F12245"/>
    <w:rsid w:val="00F127C1"/>
    <w:rsid w:val="00F1298A"/>
    <w:rsid w:val="00F12C0B"/>
    <w:rsid w:val="00F13D07"/>
    <w:rsid w:val="00F13EE3"/>
    <w:rsid w:val="00F1412D"/>
    <w:rsid w:val="00F1582C"/>
    <w:rsid w:val="00F1618C"/>
    <w:rsid w:val="00F162D4"/>
    <w:rsid w:val="00F1727C"/>
    <w:rsid w:val="00F2112A"/>
    <w:rsid w:val="00F21566"/>
    <w:rsid w:val="00F21FDA"/>
    <w:rsid w:val="00F22031"/>
    <w:rsid w:val="00F2267E"/>
    <w:rsid w:val="00F234A7"/>
    <w:rsid w:val="00F237CE"/>
    <w:rsid w:val="00F2398A"/>
    <w:rsid w:val="00F241F0"/>
    <w:rsid w:val="00F243FE"/>
    <w:rsid w:val="00F24472"/>
    <w:rsid w:val="00F249B8"/>
    <w:rsid w:val="00F24B49"/>
    <w:rsid w:val="00F2524B"/>
    <w:rsid w:val="00F2568E"/>
    <w:rsid w:val="00F25A8C"/>
    <w:rsid w:val="00F26EB1"/>
    <w:rsid w:val="00F270BD"/>
    <w:rsid w:val="00F274DE"/>
    <w:rsid w:val="00F276C1"/>
    <w:rsid w:val="00F300B7"/>
    <w:rsid w:val="00F303FF"/>
    <w:rsid w:val="00F304F9"/>
    <w:rsid w:val="00F30729"/>
    <w:rsid w:val="00F30B4B"/>
    <w:rsid w:val="00F311B6"/>
    <w:rsid w:val="00F314E4"/>
    <w:rsid w:val="00F32FAF"/>
    <w:rsid w:val="00F3334D"/>
    <w:rsid w:val="00F33DF9"/>
    <w:rsid w:val="00F348EF"/>
    <w:rsid w:val="00F34DF0"/>
    <w:rsid w:val="00F358D4"/>
    <w:rsid w:val="00F36B7B"/>
    <w:rsid w:val="00F372BF"/>
    <w:rsid w:val="00F37E17"/>
    <w:rsid w:val="00F408FF"/>
    <w:rsid w:val="00F41887"/>
    <w:rsid w:val="00F41A38"/>
    <w:rsid w:val="00F4276E"/>
    <w:rsid w:val="00F42C5E"/>
    <w:rsid w:val="00F44E05"/>
    <w:rsid w:val="00F4547F"/>
    <w:rsid w:val="00F455BB"/>
    <w:rsid w:val="00F45886"/>
    <w:rsid w:val="00F45D86"/>
    <w:rsid w:val="00F46955"/>
    <w:rsid w:val="00F46D9F"/>
    <w:rsid w:val="00F4702C"/>
    <w:rsid w:val="00F4746E"/>
    <w:rsid w:val="00F475D5"/>
    <w:rsid w:val="00F51500"/>
    <w:rsid w:val="00F527BC"/>
    <w:rsid w:val="00F52DBE"/>
    <w:rsid w:val="00F5476A"/>
    <w:rsid w:val="00F54CAE"/>
    <w:rsid w:val="00F54F74"/>
    <w:rsid w:val="00F55D14"/>
    <w:rsid w:val="00F5630D"/>
    <w:rsid w:val="00F56615"/>
    <w:rsid w:val="00F56AC9"/>
    <w:rsid w:val="00F56F51"/>
    <w:rsid w:val="00F571B5"/>
    <w:rsid w:val="00F575AB"/>
    <w:rsid w:val="00F575F9"/>
    <w:rsid w:val="00F61088"/>
    <w:rsid w:val="00F61312"/>
    <w:rsid w:val="00F61412"/>
    <w:rsid w:val="00F61655"/>
    <w:rsid w:val="00F61710"/>
    <w:rsid w:val="00F62EAA"/>
    <w:rsid w:val="00F62EC7"/>
    <w:rsid w:val="00F63168"/>
    <w:rsid w:val="00F637A2"/>
    <w:rsid w:val="00F63DB1"/>
    <w:rsid w:val="00F64E93"/>
    <w:rsid w:val="00F653BA"/>
    <w:rsid w:val="00F654F0"/>
    <w:rsid w:val="00F65AD5"/>
    <w:rsid w:val="00F6656D"/>
    <w:rsid w:val="00F67139"/>
    <w:rsid w:val="00F671DF"/>
    <w:rsid w:val="00F67388"/>
    <w:rsid w:val="00F675F0"/>
    <w:rsid w:val="00F70570"/>
    <w:rsid w:val="00F70626"/>
    <w:rsid w:val="00F70B58"/>
    <w:rsid w:val="00F7102D"/>
    <w:rsid w:val="00F716C7"/>
    <w:rsid w:val="00F72882"/>
    <w:rsid w:val="00F73170"/>
    <w:rsid w:val="00F73BC1"/>
    <w:rsid w:val="00F749F5"/>
    <w:rsid w:val="00F768CB"/>
    <w:rsid w:val="00F77D63"/>
    <w:rsid w:val="00F803A1"/>
    <w:rsid w:val="00F80C32"/>
    <w:rsid w:val="00F81234"/>
    <w:rsid w:val="00F81949"/>
    <w:rsid w:val="00F81CD2"/>
    <w:rsid w:val="00F82230"/>
    <w:rsid w:val="00F825AA"/>
    <w:rsid w:val="00F82DDD"/>
    <w:rsid w:val="00F82E85"/>
    <w:rsid w:val="00F837BE"/>
    <w:rsid w:val="00F86AA0"/>
    <w:rsid w:val="00F86BB6"/>
    <w:rsid w:val="00F86D4F"/>
    <w:rsid w:val="00F87B07"/>
    <w:rsid w:val="00F904B1"/>
    <w:rsid w:val="00F90DAF"/>
    <w:rsid w:val="00F910A9"/>
    <w:rsid w:val="00F9278C"/>
    <w:rsid w:val="00F92AD5"/>
    <w:rsid w:val="00F935C4"/>
    <w:rsid w:val="00F93F43"/>
    <w:rsid w:val="00F9427A"/>
    <w:rsid w:val="00F9450E"/>
    <w:rsid w:val="00F9519F"/>
    <w:rsid w:val="00F95826"/>
    <w:rsid w:val="00F960E9"/>
    <w:rsid w:val="00F962A9"/>
    <w:rsid w:val="00F9687D"/>
    <w:rsid w:val="00F9694E"/>
    <w:rsid w:val="00F969B8"/>
    <w:rsid w:val="00F97204"/>
    <w:rsid w:val="00F97230"/>
    <w:rsid w:val="00F97842"/>
    <w:rsid w:val="00FA123B"/>
    <w:rsid w:val="00FA16D4"/>
    <w:rsid w:val="00FA211D"/>
    <w:rsid w:val="00FA253E"/>
    <w:rsid w:val="00FA2753"/>
    <w:rsid w:val="00FA2A72"/>
    <w:rsid w:val="00FA2B72"/>
    <w:rsid w:val="00FA336C"/>
    <w:rsid w:val="00FA34E1"/>
    <w:rsid w:val="00FA3951"/>
    <w:rsid w:val="00FA3C1B"/>
    <w:rsid w:val="00FA5220"/>
    <w:rsid w:val="00FA5465"/>
    <w:rsid w:val="00FA56F6"/>
    <w:rsid w:val="00FA60C0"/>
    <w:rsid w:val="00FA6476"/>
    <w:rsid w:val="00FA669B"/>
    <w:rsid w:val="00FA6C71"/>
    <w:rsid w:val="00FA7D4D"/>
    <w:rsid w:val="00FB1152"/>
    <w:rsid w:val="00FB1FE7"/>
    <w:rsid w:val="00FB2416"/>
    <w:rsid w:val="00FB3789"/>
    <w:rsid w:val="00FB38CF"/>
    <w:rsid w:val="00FB404B"/>
    <w:rsid w:val="00FB5568"/>
    <w:rsid w:val="00FB57F9"/>
    <w:rsid w:val="00FB646B"/>
    <w:rsid w:val="00FB6682"/>
    <w:rsid w:val="00FB6933"/>
    <w:rsid w:val="00FB705E"/>
    <w:rsid w:val="00FB7197"/>
    <w:rsid w:val="00FB7666"/>
    <w:rsid w:val="00FC0CD9"/>
    <w:rsid w:val="00FC0DBC"/>
    <w:rsid w:val="00FC28B0"/>
    <w:rsid w:val="00FC2D8B"/>
    <w:rsid w:val="00FC31AA"/>
    <w:rsid w:val="00FC32DD"/>
    <w:rsid w:val="00FC37D0"/>
    <w:rsid w:val="00FC3AB6"/>
    <w:rsid w:val="00FC3DCB"/>
    <w:rsid w:val="00FC4AC3"/>
    <w:rsid w:val="00FC4E10"/>
    <w:rsid w:val="00FC4EE7"/>
    <w:rsid w:val="00FC5020"/>
    <w:rsid w:val="00FC5E39"/>
    <w:rsid w:val="00FC62BA"/>
    <w:rsid w:val="00FC69D1"/>
    <w:rsid w:val="00FC6BB2"/>
    <w:rsid w:val="00FC72AE"/>
    <w:rsid w:val="00FC7C60"/>
    <w:rsid w:val="00FD0D2A"/>
    <w:rsid w:val="00FD1045"/>
    <w:rsid w:val="00FD1450"/>
    <w:rsid w:val="00FD2F56"/>
    <w:rsid w:val="00FD354C"/>
    <w:rsid w:val="00FD36C0"/>
    <w:rsid w:val="00FD4433"/>
    <w:rsid w:val="00FD5524"/>
    <w:rsid w:val="00FD5D4C"/>
    <w:rsid w:val="00FD5D94"/>
    <w:rsid w:val="00FD6288"/>
    <w:rsid w:val="00FD6BF1"/>
    <w:rsid w:val="00FD74A0"/>
    <w:rsid w:val="00FE0213"/>
    <w:rsid w:val="00FE08B4"/>
    <w:rsid w:val="00FE2223"/>
    <w:rsid w:val="00FE2932"/>
    <w:rsid w:val="00FE2980"/>
    <w:rsid w:val="00FE3534"/>
    <w:rsid w:val="00FE371E"/>
    <w:rsid w:val="00FE46EE"/>
    <w:rsid w:val="00FE54A0"/>
    <w:rsid w:val="00FE5B4D"/>
    <w:rsid w:val="00FE5FE8"/>
    <w:rsid w:val="00FE7071"/>
    <w:rsid w:val="00FE7293"/>
    <w:rsid w:val="00FF0359"/>
    <w:rsid w:val="00FF27CC"/>
    <w:rsid w:val="00FF304B"/>
    <w:rsid w:val="00FF5512"/>
    <w:rsid w:val="00FF5882"/>
    <w:rsid w:val="00FF590C"/>
    <w:rsid w:val="00FF683B"/>
    <w:rsid w:val="00FF68D4"/>
    <w:rsid w:val="00FF6E52"/>
    <w:rsid w:val="00FF6F5E"/>
    <w:rsid w:val="0111DE08"/>
    <w:rsid w:val="014836F0"/>
    <w:rsid w:val="01D7D431"/>
    <w:rsid w:val="01F281C4"/>
    <w:rsid w:val="027B247F"/>
    <w:rsid w:val="028F0C28"/>
    <w:rsid w:val="031F6B36"/>
    <w:rsid w:val="0352F68E"/>
    <w:rsid w:val="03BE3B01"/>
    <w:rsid w:val="04984486"/>
    <w:rsid w:val="04D2ECED"/>
    <w:rsid w:val="0595A02F"/>
    <w:rsid w:val="074499D5"/>
    <w:rsid w:val="09786F5F"/>
    <w:rsid w:val="0ABAC2AA"/>
    <w:rsid w:val="0C5BD33B"/>
    <w:rsid w:val="0C8FB0B6"/>
    <w:rsid w:val="0E4B0815"/>
    <w:rsid w:val="0E567850"/>
    <w:rsid w:val="0F2F7E97"/>
    <w:rsid w:val="0F3351A8"/>
    <w:rsid w:val="0F73B587"/>
    <w:rsid w:val="1005B458"/>
    <w:rsid w:val="10192212"/>
    <w:rsid w:val="10BAFFC2"/>
    <w:rsid w:val="11775BED"/>
    <w:rsid w:val="12E03339"/>
    <w:rsid w:val="134F034A"/>
    <w:rsid w:val="15E4919A"/>
    <w:rsid w:val="1605431D"/>
    <w:rsid w:val="181B4E1F"/>
    <w:rsid w:val="18D078A3"/>
    <w:rsid w:val="1C3F1CAE"/>
    <w:rsid w:val="1C439C00"/>
    <w:rsid w:val="1D7A691C"/>
    <w:rsid w:val="1E4873D1"/>
    <w:rsid w:val="1EA1E60A"/>
    <w:rsid w:val="1EF43F1C"/>
    <w:rsid w:val="1F0CA1FD"/>
    <w:rsid w:val="1F98A3C4"/>
    <w:rsid w:val="1FB4E5D0"/>
    <w:rsid w:val="1FBFDE1A"/>
    <w:rsid w:val="20852590"/>
    <w:rsid w:val="20C7C989"/>
    <w:rsid w:val="20E7C594"/>
    <w:rsid w:val="21C5131D"/>
    <w:rsid w:val="223CD03E"/>
    <w:rsid w:val="236CFE17"/>
    <w:rsid w:val="237E9AD0"/>
    <w:rsid w:val="25E1B300"/>
    <w:rsid w:val="26091EE6"/>
    <w:rsid w:val="26145102"/>
    <w:rsid w:val="26A1FBB1"/>
    <w:rsid w:val="2715B220"/>
    <w:rsid w:val="2950E49A"/>
    <w:rsid w:val="2953B1D9"/>
    <w:rsid w:val="29DED2B9"/>
    <w:rsid w:val="2A652696"/>
    <w:rsid w:val="2A89AA30"/>
    <w:rsid w:val="2A9DF092"/>
    <w:rsid w:val="2AC43F8D"/>
    <w:rsid w:val="2B08127D"/>
    <w:rsid w:val="2C61201D"/>
    <w:rsid w:val="2CF18866"/>
    <w:rsid w:val="2E114305"/>
    <w:rsid w:val="2F070035"/>
    <w:rsid w:val="2F0C5BC7"/>
    <w:rsid w:val="2F2ACDF7"/>
    <w:rsid w:val="2FABCE59"/>
    <w:rsid w:val="2FBC2C7F"/>
    <w:rsid w:val="2FE741D7"/>
    <w:rsid w:val="3156C29A"/>
    <w:rsid w:val="317B52E2"/>
    <w:rsid w:val="32065447"/>
    <w:rsid w:val="32F925AB"/>
    <w:rsid w:val="33D754AC"/>
    <w:rsid w:val="348A9EA2"/>
    <w:rsid w:val="3506A815"/>
    <w:rsid w:val="35B6B519"/>
    <w:rsid w:val="36BB3237"/>
    <w:rsid w:val="377C0627"/>
    <w:rsid w:val="37DE3E9F"/>
    <w:rsid w:val="3903550D"/>
    <w:rsid w:val="391BCDCE"/>
    <w:rsid w:val="396E94DE"/>
    <w:rsid w:val="39A8FC37"/>
    <w:rsid w:val="3A352ED8"/>
    <w:rsid w:val="3AB58E50"/>
    <w:rsid w:val="3B2EA763"/>
    <w:rsid w:val="3BABD510"/>
    <w:rsid w:val="3D0E167E"/>
    <w:rsid w:val="3E2EE4AF"/>
    <w:rsid w:val="3EFE3E5C"/>
    <w:rsid w:val="3F3DE167"/>
    <w:rsid w:val="40204EE9"/>
    <w:rsid w:val="406ED906"/>
    <w:rsid w:val="412AB96D"/>
    <w:rsid w:val="41A98ED7"/>
    <w:rsid w:val="41FA09DA"/>
    <w:rsid w:val="424E688D"/>
    <w:rsid w:val="439A38C5"/>
    <w:rsid w:val="43A6B1CA"/>
    <w:rsid w:val="43EB9220"/>
    <w:rsid w:val="440DB476"/>
    <w:rsid w:val="44B09DA8"/>
    <w:rsid w:val="457DB645"/>
    <w:rsid w:val="458AFE2C"/>
    <w:rsid w:val="45F8C809"/>
    <w:rsid w:val="470A059D"/>
    <w:rsid w:val="476E440C"/>
    <w:rsid w:val="478118FF"/>
    <w:rsid w:val="495E0E2E"/>
    <w:rsid w:val="49A2C7B5"/>
    <w:rsid w:val="4BB5CF27"/>
    <w:rsid w:val="4BE8B77F"/>
    <w:rsid w:val="4CEE1C49"/>
    <w:rsid w:val="4D492448"/>
    <w:rsid w:val="4D983561"/>
    <w:rsid w:val="4EF4FDEB"/>
    <w:rsid w:val="4F442D30"/>
    <w:rsid w:val="4FEE44F1"/>
    <w:rsid w:val="5019C183"/>
    <w:rsid w:val="5048AC20"/>
    <w:rsid w:val="515AF96B"/>
    <w:rsid w:val="516A0E97"/>
    <w:rsid w:val="518F162C"/>
    <w:rsid w:val="53787ADF"/>
    <w:rsid w:val="540F1DEB"/>
    <w:rsid w:val="547416D4"/>
    <w:rsid w:val="5519F43D"/>
    <w:rsid w:val="5523AEA5"/>
    <w:rsid w:val="55F6D75A"/>
    <w:rsid w:val="563FF74E"/>
    <w:rsid w:val="575A946C"/>
    <w:rsid w:val="57F847BA"/>
    <w:rsid w:val="5802A780"/>
    <w:rsid w:val="588AF0E9"/>
    <w:rsid w:val="59A8E860"/>
    <w:rsid w:val="5A55FCE5"/>
    <w:rsid w:val="5A98A5EE"/>
    <w:rsid w:val="5AB464B9"/>
    <w:rsid w:val="5BB120D9"/>
    <w:rsid w:val="5BB1369C"/>
    <w:rsid w:val="5CFC4511"/>
    <w:rsid w:val="5DBCC443"/>
    <w:rsid w:val="5E28D0E0"/>
    <w:rsid w:val="5E6DF08C"/>
    <w:rsid w:val="5ECA4C27"/>
    <w:rsid w:val="5EE4F477"/>
    <w:rsid w:val="5F1C00C3"/>
    <w:rsid w:val="5F7BBADC"/>
    <w:rsid w:val="5FCB23D8"/>
    <w:rsid w:val="5FE1FE15"/>
    <w:rsid w:val="6060C3FD"/>
    <w:rsid w:val="60BA8A86"/>
    <w:rsid w:val="60BFD107"/>
    <w:rsid w:val="60F217D4"/>
    <w:rsid w:val="621E539B"/>
    <w:rsid w:val="624AB4A5"/>
    <w:rsid w:val="62B07663"/>
    <w:rsid w:val="62D84E1A"/>
    <w:rsid w:val="63239B8C"/>
    <w:rsid w:val="63B6889B"/>
    <w:rsid w:val="63B85767"/>
    <w:rsid w:val="63EC599A"/>
    <w:rsid w:val="64EC7CA1"/>
    <w:rsid w:val="66770A50"/>
    <w:rsid w:val="67262F02"/>
    <w:rsid w:val="675F726F"/>
    <w:rsid w:val="676BBA1B"/>
    <w:rsid w:val="6774A69B"/>
    <w:rsid w:val="6787F706"/>
    <w:rsid w:val="67946414"/>
    <w:rsid w:val="6795D74E"/>
    <w:rsid w:val="679EFF62"/>
    <w:rsid w:val="68650CE2"/>
    <w:rsid w:val="68E03D55"/>
    <w:rsid w:val="6A1B16C1"/>
    <w:rsid w:val="6A62E6C4"/>
    <w:rsid w:val="6DAA180C"/>
    <w:rsid w:val="6E410AC7"/>
    <w:rsid w:val="6F2E466E"/>
    <w:rsid w:val="6F4EB102"/>
    <w:rsid w:val="70F055C4"/>
    <w:rsid w:val="7139500E"/>
    <w:rsid w:val="71FEEFA7"/>
    <w:rsid w:val="73D9282B"/>
    <w:rsid w:val="744566C4"/>
    <w:rsid w:val="7453BE27"/>
    <w:rsid w:val="74A24B7C"/>
    <w:rsid w:val="755D13CB"/>
    <w:rsid w:val="756B7B4A"/>
    <w:rsid w:val="75B5CB01"/>
    <w:rsid w:val="75F945AD"/>
    <w:rsid w:val="775EB690"/>
    <w:rsid w:val="781F39CF"/>
    <w:rsid w:val="783DE236"/>
    <w:rsid w:val="794F7754"/>
    <w:rsid w:val="797DC090"/>
    <w:rsid w:val="79B9849E"/>
    <w:rsid w:val="79E9CCD7"/>
    <w:rsid w:val="7A02DB94"/>
    <w:rsid w:val="7A4869AF"/>
    <w:rsid w:val="7AD01C07"/>
    <w:rsid w:val="7B29E626"/>
    <w:rsid w:val="7C0D8884"/>
    <w:rsid w:val="7C82C1EC"/>
    <w:rsid w:val="7D07FDE7"/>
    <w:rsid w:val="7D4428F7"/>
    <w:rsid w:val="7DE5AFFE"/>
    <w:rsid w:val="7DF5C81F"/>
    <w:rsid w:val="7EC91C24"/>
    <w:rsid w:val="7EE05CB9"/>
    <w:rsid w:val="7FE19553"/>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9471B84"/>
  <w15:chartTrackingRefBased/>
  <w15:docId w15:val="{97A35B63-2532-45B5-B283-9ECE7DBD86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zh-CN" w:bidi="ar-SA"/>
      </w:rPr>
    </w:rPrDefault>
    <w:pPrDefault>
      <w:pPr>
        <w:spacing w:after="120" w:line="264"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0"/>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2E59"/>
    <w:rPr>
      <w:sz w:val="20"/>
    </w:rPr>
  </w:style>
  <w:style w:type="paragraph" w:styleId="Heading1">
    <w:name w:val="heading 1"/>
    <w:basedOn w:val="Normal"/>
    <w:next w:val="Normal"/>
    <w:link w:val="Heading1Char"/>
    <w:uiPriority w:val="9"/>
    <w:qFormat/>
    <w:rsid w:val="009B4368"/>
    <w:pPr>
      <w:keepNext/>
      <w:keepLines/>
      <w:numPr>
        <w:numId w:val="104"/>
      </w:numPr>
      <w:spacing w:before="480" w:after="100" w:line="240" w:lineRule="auto"/>
      <w:outlineLvl w:val="0"/>
    </w:pPr>
    <w:rPr>
      <w:rFonts w:ascii="Georgia" w:eastAsia="SimHei" w:hAnsi="Georgia" w:cs="Times New Roman"/>
      <w:b/>
      <w:color w:val="094183"/>
      <w:sz w:val="32"/>
      <w:szCs w:val="32"/>
      <w:lang w:eastAsia="en-US"/>
    </w:rPr>
  </w:style>
  <w:style w:type="paragraph" w:styleId="Heading2">
    <w:name w:val="heading 2"/>
    <w:basedOn w:val="Normal"/>
    <w:next w:val="Normal"/>
    <w:link w:val="Heading2Char"/>
    <w:uiPriority w:val="9"/>
    <w:unhideWhenUsed/>
    <w:qFormat/>
    <w:rsid w:val="009B4368"/>
    <w:pPr>
      <w:keepNext/>
      <w:keepLines/>
      <w:numPr>
        <w:ilvl w:val="1"/>
        <w:numId w:val="104"/>
      </w:numPr>
      <w:spacing w:before="120" w:after="60" w:line="240" w:lineRule="auto"/>
      <w:outlineLvl w:val="1"/>
    </w:pPr>
    <w:rPr>
      <w:rFonts w:ascii="Georgia" w:eastAsia="SimHei" w:hAnsi="Georgia" w:cs="Times New Roman"/>
      <w:b/>
      <w:sz w:val="24"/>
      <w:szCs w:val="26"/>
      <w:lang w:eastAsia="en-US"/>
    </w:rPr>
  </w:style>
  <w:style w:type="paragraph" w:styleId="Heading3">
    <w:name w:val="heading 3"/>
    <w:basedOn w:val="Normal"/>
    <w:next w:val="Normal"/>
    <w:link w:val="Heading3Char"/>
    <w:uiPriority w:val="9"/>
    <w:unhideWhenUsed/>
    <w:qFormat/>
    <w:rsid w:val="009B4368"/>
    <w:pPr>
      <w:keepNext/>
      <w:keepLines/>
      <w:numPr>
        <w:ilvl w:val="2"/>
        <w:numId w:val="104"/>
      </w:numPr>
      <w:spacing w:before="120" w:after="60" w:line="240" w:lineRule="auto"/>
      <w:outlineLvl w:val="2"/>
    </w:pPr>
    <w:rPr>
      <w:rFonts w:ascii="Georgia" w:eastAsia="SimHei" w:hAnsi="Georgia" w:cs="Times New Roman"/>
      <w:color w:val="094183"/>
      <w:sz w:val="24"/>
      <w:szCs w:val="24"/>
      <w:lang w:eastAsia="en-US"/>
    </w:rPr>
  </w:style>
  <w:style w:type="paragraph" w:styleId="Heading4">
    <w:name w:val="heading 4"/>
    <w:basedOn w:val="Normal"/>
    <w:next w:val="Normal"/>
    <w:link w:val="Heading4Char"/>
    <w:unhideWhenUsed/>
    <w:qFormat/>
    <w:rsid w:val="00695166"/>
    <w:pPr>
      <w:keepNext/>
      <w:keepLines/>
      <w:numPr>
        <w:ilvl w:val="3"/>
        <w:numId w:val="100"/>
      </w:numPr>
      <w:spacing w:before="120" w:after="60" w:line="240" w:lineRule="auto"/>
      <w:outlineLvl w:val="3"/>
    </w:pPr>
    <w:rPr>
      <w:rFonts w:ascii="Georgia" w:eastAsia="SimHei" w:hAnsi="Georgia" w:cs="Times New Roman"/>
      <w:b/>
      <w:iCs/>
      <w:lang w:eastAsia="en-US"/>
    </w:rPr>
  </w:style>
  <w:style w:type="paragraph" w:styleId="Heading5">
    <w:name w:val="heading 5"/>
    <w:basedOn w:val="Normal"/>
    <w:next w:val="Normal"/>
    <w:link w:val="Heading5Char"/>
    <w:unhideWhenUsed/>
    <w:qFormat/>
    <w:rsid w:val="00340AA0"/>
    <w:pPr>
      <w:keepNext/>
      <w:keepLines/>
      <w:numPr>
        <w:ilvl w:val="4"/>
        <w:numId w:val="100"/>
      </w:numPr>
      <w:spacing w:after="60"/>
      <w:outlineLvl w:val="4"/>
    </w:pPr>
    <w:rPr>
      <w:rFonts w:asciiTheme="majorHAnsi" w:eastAsiaTheme="majorEastAsia" w:hAnsiTheme="majorHAnsi" w:cstheme="majorBidi"/>
      <w:b/>
    </w:rPr>
  </w:style>
  <w:style w:type="paragraph" w:styleId="Heading6">
    <w:name w:val="heading 6"/>
    <w:basedOn w:val="Normal"/>
    <w:next w:val="Normal"/>
    <w:link w:val="Heading6Char"/>
    <w:unhideWhenUsed/>
    <w:qFormat/>
    <w:rsid w:val="009B4368"/>
    <w:pPr>
      <w:keepNext/>
      <w:keepLines/>
      <w:numPr>
        <w:ilvl w:val="5"/>
        <w:numId w:val="104"/>
      </w:numPr>
      <w:outlineLvl w:val="5"/>
    </w:pPr>
    <w:rPr>
      <w:rFonts w:asciiTheme="majorHAnsi" w:eastAsiaTheme="majorEastAsia" w:hAnsiTheme="majorHAnsi" w:cstheme="majorBidi"/>
      <w:b/>
      <w:color w:val="094183" w:themeColor="text2"/>
      <w:sz w:val="32"/>
    </w:rPr>
  </w:style>
  <w:style w:type="paragraph" w:styleId="Heading7">
    <w:name w:val="heading 7"/>
    <w:basedOn w:val="Normal"/>
    <w:next w:val="Normal"/>
    <w:link w:val="Heading7Char"/>
    <w:unhideWhenUsed/>
    <w:qFormat/>
    <w:rsid w:val="009B4368"/>
    <w:pPr>
      <w:keepNext/>
      <w:keepLines/>
      <w:numPr>
        <w:ilvl w:val="6"/>
        <w:numId w:val="104"/>
      </w:numPr>
      <w:spacing w:before="40" w:after="0"/>
      <w:outlineLvl w:val="6"/>
    </w:pPr>
    <w:rPr>
      <w:rFonts w:asciiTheme="majorHAnsi" w:eastAsiaTheme="majorEastAsia" w:hAnsiTheme="majorHAnsi" w:cstheme="majorBidi"/>
      <w:iCs/>
      <w:color w:val="094183" w:themeColor="text2"/>
      <w:sz w:val="24"/>
    </w:rPr>
  </w:style>
  <w:style w:type="paragraph" w:styleId="Heading8">
    <w:name w:val="heading 8"/>
    <w:basedOn w:val="Normal"/>
    <w:next w:val="Normal"/>
    <w:link w:val="Heading8Char"/>
    <w:unhideWhenUsed/>
    <w:qFormat/>
    <w:rsid w:val="006342D8"/>
    <w:pPr>
      <w:keepNext/>
      <w:keepLines/>
      <w:numPr>
        <w:ilvl w:val="7"/>
        <w:numId w:val="100"/>
      </w:numPr>
      <w:spacing w:before="40" w:after="0"/>
      <w:outlineLvl w:val="7"/>
    </w:pPr>
    <w:rPr>
      <w:rFonts w:asciiTheme="majorHAnsi" w:eastAsiaTheme="majorEastAsia" w:hAnsiTheme="majorHAnsi" w:cstheme="majorBidi"/>
      <w:sz w:val="21"/>
      <w:szCs w:val="21"/>
    </w:rPr>
  </w:style>
  <w:style w:type="paragraph" w:styleId="Heading9">
    <w:name w:val="heading 9"/>
    <w:basedOn w:val="Para0"/>
    <w:next w:val="Para0"/>
    <w:link w:val="Heading9Char"/>
    <w:semiHidden/>
    <w:unhideWhenUsed/>
    <w:qFormat/>
    <w:rsid w:val="001079A9"/>
    <w:pPr>
      <w:keepNext/>
      <w:pageBreakBefore/>
      <w:numPr>
        <w:ilvl w:val="8"/>
        <w:numId w:val="100"/>
      </w:numPr>
      <w:tabs>
        <w:tab w:val="num" w:pos="360"/>
      </w:tabs>
      <w:spacing w:line="360" w:lineRule="exact"/>
      <w:jc w:val="left"/>
      <w:outlineLvl w:val="8"/>
    </w:pPr>
    <w:rPr>
      <w:rFonts w:cstheme="minorBidi"/>
      <w:b/>
      <w:color w:val="00338D"/>
      <w:sz w:val="32"/>
      <w:szCs w:val="24"/>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MacroText">
    <w:name w:val="macro"/>
    <w:link w:val="MacroTextChar"/>
    <w:uiPriority w:val="99"/>
    <w:semiHidden/>
    <w:unhideWhenUsed/>
    <w:rsid w:val="00754259"/>
    <w:pPr>
      <w:tabs>
        <w:tab w:val="left" w:pos="480"/>
        <w:tab w:val="left" w:pos="960"/>
        <w:tab w:val="left" w:pos="1440"/>
        <w:tab w:val="left" w:pos="1920"/>
        <w:tab w:val="left" w:pos="2400"/>
        <w:tab w:val="left" w:pos="2880"/>
        <w:tab w:val="left" w:pos="3360"/>
        <w:tab w:val="left" w:pos="3840"/>
        <w:tab w:val="left" w:pos="4320"/>
      </w:tabs>
      <w:spacing w:line="276" w:lineRule="auto"/>
    </w:pPr>
  </w:style>
  <w:style w:type="character" w:customStyle="1" w:styleId="MacroTextChar">
    <w:name w:val="Macro Text Char"/>
    <w:basedOn w:val="DefaultParagraphFont"/>
    <w:link w:val="MacroText"/>
    <w:uiPriority w:val="99"/>
    <w:semiHidden/>
    <w:rsid w:val="00754259"/>
    <w:rPr>
      <w:sz w:val="20"/>
      <w:szCs w:val="20"/>
    </w:rPr>
  </w:style>
  <w:style w:type="paragraph" w:styleId="ListBullet">
    <w:name w:val="List Bullet"/>
    <w:basedOn w:val="Normal"/>
    <w:unhideWhenUsed/>
    <w:qFormat/>
    <w:rsid w:val="0029141C"/>
    <w:pPr>
      <w:numPr>
        <w:numId w:val="83"/>
      </w:numPr>
      <w:contextualSpacing/>
    </w:pPr>
  </w:style>
  <w:style w:type="paragraph" w:styleId="ListBullet2">
    <w:name w:val="List Bullet 2"/>
    <w:basedOn w:val="Normal"/>
    <w:uiPriority w:val="99"/>
    <w:unhideWhenUsed/>
    <w:qFormat/>
    <w:rsid w:val="000E5133"/>
    <w:pPr>
      <w:tabs>
        <w:tab w:val="num" w:pos="643"/>
      </w:tabs>
      <w:ind w:left="643" w:hanging="360"/>
      <w:contextualSpacing/>
    </w:pPr>
  </w:style>
  <w:style w:type="paragraph" w:styleId="ListBullet3">
    <w:name w:val="List Bullet 3"/>
    <w:basedOn w:val="Normal"/>
    <w:uiPriority w:val="99"/>
    <w:unhideWhenUsed/>
    <w:rsid w:val="000E5133"/>
    <w:pPr>
      <w:numPr>
        <w:ilvl w:val="2"/>
        <w:numId w:val="9"/>
      </w:numPr>
      <w:contextualSpacing/>
    </w:pPr>
  </w:style>
  <w:style w:type="paragraph" w:styleId="ListBullet4">
    <w:name w:val="List Bullet 4"/>
    <w:basedOn w:val="Normal"/>
    <w:uiPriority w:val="99"/>
    <w:unhideWhenUsed/>
    <w:rsid w:val="000E5133"/>
    <w:pPr>
      <w:numPr>
        <w:ilvl w:val="3"/>
        <w:numId w:val="9"/>
      </w:numPr>
      <w:contextualSpacing/>
    </w:pPr>
  </w:style>
  <w:style w:type="numbering" w:customStyle="1" w:styleId="Bullets">
    <w:name w:val="Bullets"/>
    <w:uiPriority w:val="99"/>
    <w:rsid w:val="000E5133"/>
    <w:pPr>
      <w:numPr>
        <w:numId w:val="1"/>
      </w:numPr>
    </w:pPr>
  </w:style>
  <w:style w:type="paragraph" w:styleId="ListNumber">
    <w:name w:val="List Number"/>
    <w:basedOn w:val="Normal"/>
    <w:unhideWhenUsed/>
    <w:qFormat/>
    <w:rsid w:val="000E5133"/>
    <w:pPr>
      <w:numPr>
        <w:numId w:val="49"/>
      </w:numPr>
      <w:contextualSpacing/>
    </w:pPr>
  </w:style>
  <w:style w:type="paragraph" w:styleId="ListNumber2">
    <w:name w:val="List Number 2"/>
    <w:basedOn w:val="Normal"/>
    <w:uiPriority w:val="99"/>
    <w:unhideWhenUsed/>
    <w:qFormat/>
    <w:rsid w:val="000E5133"/>
    <w:pPr>
      <w:numPr>
        <w:ilvl w:val="1"/>
        <w:numId w:val="49"/>
      </w:numPr>
      <w:contextualSpacing/>
    </w:pPr>
  </w:style>
  <w:style w:type="paragraph" w:styleId="ListNumber3">
    <w:name w:val="List Number 3"/>
    <w:basedOn w:val="Normal"/>
    <w:uiPriority w:val="99"/>
    <w:unhideWhenUsed/>
    <w:qFormat/>
    <w:rsid w:val="000E5133"/>
    <w:pPr>
      <w:numPr>
        <w:ilvl w:val="2"/>
        <w:numId w:val="49"/>
      </w:numPr>
      <w:contextualSpacing/>
    </w:pPr>
  </w:style>
  <w:style w:type="paragraph" w:styleId="ListNumber4">
    <w:name w:val="List Number 4"/>
    <w:basedOn w:val="Normal"/>
    <w:uiPriority w:val="99"/>
    <w:unhideWhenUsed/>
    <w:qFormat/>
    <w:rsid w:val="000E5133"/>
    <w:pPr>
      <w:numPr>
        <w:ilvl w:val="3"/>
        <w:numId w:val="49"/>
      </w:numPr>
      <w:contextualSpacing/>
    </w:pPr>
  </w:style>
  <w:style w:type="numbering" w:customStyle="1" w:styleId="NumberedLists">
    <w:name w:val="Numbered Lists"/>
    <w:uiPriority w:val="99"/>
    <w:rsid w:val="000E5133"/>
    <w:pPr>
      <w:numPr>
        <w:numId w:val="2"/>
      </w:numPr>
    </w:pPr>
  </w:style>
  <w:style w:type="paragraph" w:styleId="ListContinue">
    <w:name w:val="List Continue"/>
    <w:basedOn w:val="Normal"/>
    <w:uiPriority w:val="99"/>
    <w:unhideWhenUsed/>
    <w:rsid w:val="005D6E2A"/>
    <w:pPr>
      <w:ind w:left="340"/>
    </w:pPr>
  </w:style>
  <w:style w:type="paragraph" w:styleId="ListNumber5">
    <w:name w:val="List Number 5"/>
    <w:basedOn w:val="Normal"/>
    <w:uiPriority w:val="99"/>
    <w:unhideWhenUsed/>
    <w:rsid w:val="000E5133"/>
    <w:pPr>
      <w:numPr>
        <w:ilvl w:val="4"/>
        <w:numId w:val="49"/>
      </w:numPr>
      <w:contextualSpacing/>
    </w:pPr>
  </w:style>
  <w:style w:type="paragraph" w:styleId="ListContinue2">
    <w:name w:val="List Continue 2"/>
    <w:basedOn w:val="Normal"/>
    <w:uiPriority w:val="99"/>
    <w:unhideWhenUsed/>
    <w:rsid w:val="005D6E2A"/>
    <w:pPr>
      <w:ind w:left="680"/>
    </w:pPr>
  </w:style>
  <w:style w:type="paragraph" w:styleId="ListContinue3">
    <w:name w:val="List Continue 3"/>
    <w:basedOn w:val="Normal"/>
    <w:uiPriority w:val="99"/>
    <w:semiHidden/>
    <w:unhideWhenUsed/>
    <w:rsid w:val="005D6E2A"/>
    <w:pPr>
      <w:ind w:left="1021"/>
    </w:pPr>
  </w:style>
  <w:style w:type="paragraph" w:styleId="ListContinue4">
    <w:name w:val="List Continue 4"/>
    <w:basedOn w:val="Normal"/>
    <w:uiPriority w:val="99"/>
    <w:semiHidden/>
    <w:unhideWhenUsed/>
    <w:rsid w:val="005D6E2A"/>
    <w:pPr>
      <w:ind w:left="1361"/>
    </w:pPr>
  </w:style>
  <w:style w:type="paragraph" w:styleId="Header">
    <w:name w:val="header"/>
    <w:basedOn w:val="Normal"/>
    <w:link w:val="HeaderChar"/>
    <w:unhideWhenUsed/>
    <w:rsid w:val="00304881"/>
    <w:pPr>
      <w:tabs>
        <w:tab w:val="center" w:pos="4513"/>
        <w:tab w:val="right" w:pos="9026"/>
      </w:tabs>
      <w:spacing w:line="240" w:lineRule="auto"/>
      <w:jc w:val="right"/>
    </w:pPr>
  </w:style>
  <w:style w:type="character" w:customStyle="1" w:styleId="HeaderChar">
    <w:name w:val="Header Char"/>
    <w:basedOn w:val="DefaultParagraphFont"/>
    <w:link w:val="Header"/>
    <w:uiPriority w:val="99"/>
    <w:rsid w:val="00304881"/>
    <w:rPr>
      <w:sz w:val="20"/>
    </w:rPr>
  </w:style>
  <w:style w:type="paragraph" w:styleId="Footer">
    <w:name w:val="footer"/>
    <w:basedOn w:val="Normal"/>
    <w:link w:val="FooterChar"/>
    <w:unhideWhenUsed/>
    <w:rsid w:val="00E10F5F"/>
    <w:pPr>
      <w:tabs>
        <w:tab w:val="center" w:pos="4513"/>
        <w:tab w:val="right" w:pos="9026"/>
      </w:tabs>
      <w:spacing w:after="0" w:line="240" w:lineRule="auto"/>
    </w:pPr>
    <w:rPr>
      <w:color w:val="094183" w:themeColor="text2"/>
    </w:rPr>
  </w:style>
  <w:style w:type="character" w:customStyle="1" w:styleId="FooterChar">
    <w:name w:val="Footer Char"/>
    <w:basedOn w:val="DefaultParagraphFont"/>
    <w:link w:val="Footer"/>
    <w:uiPriority w:val="99"/>
    <w:rsid w:val="00E10F5F"/>
    <w:rPr>
      <w:color w:val="094183" w:themeColor="text2"/>
      <w:sz w:val="20"/>
    </w:rPr>
  </w:style>
  <w:style w:type="paragraph" w:styleId="Title">
    <w:name w:val="Title"/>
    <w:basedOn w:val="Normal"/>
    <w:next w:val="Normal"/>
    <w:link w:val="TitleChar"/>
    <w:qFormat/>
    <w:rsid w:val="008C2D5A"/>
    <w:pPr>
      <w:framePr w:w="6804" w:hSpace="2835" w:wrap="around" w:vAnchor="page" w:hAnchor="margin" w:y="5104" w:anchorLock="1"/>
      <w:spacing w:after="0" w:line="240" w:lineRule="auto"/>
      <w:contextualSpacing/>
    </w:pPr>
    <w:rPr>
      <w:rFonts w:asciiTheme="majorHAnsi" w:eastAsiaTheme="majorEastAsia" w:hAnsiTheme="majorHAnsi" w:cstheme="majorBidi"/>
      <w:b/>
      <w:color w:val="094183" w:themeColor="text2"/>
      <w:spacing w:val="-10"/>
      <w:kern w:val="28"/>
      <w:sz w:val="48"/>
      <w:szCs w:val="56"/>
    </w:rPr>
  </w:style>
  <w:style w:type="character" w:customStyle="1" w:styleId="TitleChar">
    <w:name w:val="Title Char"/>
    <w:basedOn w:val="DefaultParagraphFont"/>
    <w:link w:val="Title"/>
    <w:rsid w:val="008C2D5A"/>
    <w:rPr>
      <w:rFonts w:asciiTheme="majorHAnsi" w:eastAsiaTheme="majorEastAsia" w:hAnsiTheme="majorHAnsi" w:cstheme="majorBidi"/>
      <w:b/>
      <w:color w:val="094183" w:themeColor="text2"/>
      <w:spacing w:val="-10"/>
      <w:kern w:val="28"/>
      <w:sz w:val="48"/>
      <w:szCs w:val="56"/>
    </w:rPr>
  </w:style>
  <w:style w:type="character" w:styleId="PlaceholderText">
    <w:name w:val="Placeholder Text"/>
    <w:basedOn w:val="DefaultParagraphFont"/>
    <w:uiPriority w:val="99"/>
    <w:semiHidden/>
    <w:rsid w:val="00BC71CA"/>
    <w:rPr>
      <w:color w:val="808080"/>
    </w:rPr>
  </w:style>
  <w:style w:type="paragraph" w:styleId="Subtitle">
    <w:name w:val="Subtitle"/>
    <w:basedOn w:val="Normal"/>
    <w:next w:val="Normal"/>
    <w:link w:val="SubtitleChar"/>
    <w:uiPriority w:val="11"/>
    <w:qFormat/>
    <w:rsid w:val="008C2D5A"/>
    <w:pPr>
      <w:framePr w:w="6804" w:hSpace="2835" w:wrap="around" w:vAnchor="page" w:hAnchor="margin" w:y="5104" w:anchorLock="1"/>
      <w:numPr>
        <w:ilvl w:val="1"/>
      </w:numPr>
      <w:spacing w:before="360"/>
    </w:pPr>
    <w:rPr>
      <w:color w:val="000000" w:themeColor="text1"/>
      <w:sz w:val="32"/>
    </w:rPr>
  </w:style>
  <w:style w:type="character" w:customStyle="1" w:styleId="SubtitleChar">
    <w:name w:val="Subtitle Char"/>
    <w:basedOn w:val="DefaultParagraphFont"/>
    <w:link w:val="Subtitle"/>
    <w:uiPriority w:val="11"/>
    <w:rsid w:val="008C2D5A"/>
    <w:rPr>
      <w:color w:val="000000" w:themeColor="text1"/>
      <w:sz w:val="32"/>
    </w:rPr>
  </w:style>
  <w:style w:type="paragraph" w:customStyle="1" w:styleId="Coverimage-portrait">
    <w:name w:val="Cover image-portrait"/>
    <w:basedOn w:val="Normal"/>
    <w:uiPriority w:val="99"/>
    <w:rsid w:val="00C55EEB"/>
    <w:pPr>
      <w:framePr w:w="11340" w:h="16273" w:hRule="exact" w:wrap="around" w:vAnchor="page" w:hAnchor="page" w:x="285" w:y="285" w:anchorLock="1"/>
    </w:pPr>
  </w:style>
  <w:style w:type="character" w:customStyle="1" w:styleId="Heading1Char">
    <w:name w:val="Heading 1 Char"/>
    <w:basedOn w:val="DefaultParagraphFont"/>
    <w:link w:val="Heading1"/>
    <w:uiPriority w:val="9"/>
    <w:rsid w:val="00BA0E9D"/>
    <w:rPr>
      <w:rFonts w:ascii="Georgia" w:eastAsia="SimHei" w:hAnsi="Georgia" w:cs="Times New Roman"/>
      <w:b/>
      <w:color w:val="094183"/>
      <w:sz w:val="32"/>
      <w:szCs w:val="32"/>
      <w:lang w:eastAsia="en-US"/>
    </w:rPr>
  </w:style>
  <w:style w:type="paragraph" w:customStyle="1" w:styleId="NumberedHeading1">
    <w:name w:val="Numbered Heading 1"/>
    <w:basedOn w:val="Heading1"/>
    <w:uiPriority w:val="99"/>
    <w:qFormat/>
    <w:rsid w:val="00A274E3"/>
  </w:style>
  <w:style w:type="character" w:customStyle="1" w:styleId="Heading2Char">
    <w:name w:val="Heading 2 Char"/>
    <w:basedOn w:val="DefaultParagraphFont"/>
    <w:link w:val="Heading2"/>
    <w:uiPriority w:val="9"/>
    <w:rsid w:val="009F2B1D"/>
    <w:rPr>
      <w:rFonts w:ascii="Georgia" w:eastAsia="SimHei" w:hAnsi="Georgia" w:cs="Times New Roman"/>
      <w:b/>
      <w:sz w:val="24"/>
      <w:szCs w:val="26"/>
      <w:lang w:eastAsia="en-US"/>
    </w:rPr>
  </w:style>
  <w:style w:type="character" w:customStyle="1" w:styleId="Heading3Char">
    <w:name w:val="Heading 3 Char"/>
    <w:basedOn w:val="DefaultParagraphFont"/>
    <w:link w:val="Heading3"/>
    <w:uiPriority w:val="9"/>
    <w:rsid w:val="009F2B1D"/>
    <w:rPr>
      <w:rFonts w:ascii="Georgia" w:eastAsia="SimHei" w:hAnsi="Georgia" w:cs="Times New Roman"/>
      <w:color w:val="094183"/>
      <w:sz w:val="24"/>
      <w:szCs w:val="24"/>
      <w:lang w:eastAsia="en-US"/>
    </w:rPr>
  </w:style>
  <w:style w:type="character" w:customStyle="1" w:styleId="Heading4Char">
    <w:name w:val="Heading 4 Char"/>
    <w:basedOn w:val="DefaultParagraphFont"/>
    <w:link w:val="Heading4"/>
    <w:rsid w:val="00695166"/>
    <w:rPr>
      <w:rFonts w:ascii="Georgia" w:eastAsia="SimHei" w:hAnsi="Georgia" w:cs="Times New Roman"/>
      <w:b/>
      <w:iCs/>
      <w:sz w:val="20"/>
      <w:lang w:eastAsia="en-US"/>
    </w:rPr>
  </w:style>
  <w:style w:type="paragraph" w:customStyle="1" w:styleId="NumberedHeading2">
    <w:name w:val="Numbered Heading 2"/>
    <w:basedOn w:val="Heading2"/>
    <w:uiPriority w:val="99"/>
    <w:qFormat/>
    <w:rsid w:val="000E5133"/>
  </w:style>
  <w:style w:type="paragraph" w:customStyle="1" w:styleId="NumberedHeading3">
    <w:name w:val="Numbered Heading 3"/>
    <w:basedOn w:val="Heading3"/>
    <w:qFormat/>
    <w:rsid w:val="000E5133"/>
  </w:style>
  <w:style w:type="numbering" w:customStyle="1" w:styleId="NumberedHeadings">
    <w:name w:val="Numbered Headings"/>
    <w:uiPriority w:val="99"/>
    <w:rsid w:val="000E5133"/>
    <w:pPr>
      <w:numPr>
        <w:numId w:val="3"/>
      </w:numPr>
    </w:pPr>
  </w:style>
  <w:style w:type="paragraph" w:styleId="TOCHeading">
    <w:name w:val="TOC Heading"/>
    <w:basedOn w:val="Heading1"/>
    <w:next w:val="Normal"/>
    <w:uiPriority w:val="39"/>
    <w:unhideWhenUsed/>
    <w:qFormat/>
    <w:rsid w:val="001D0D30"/>
    <w:pPr>
      <w:spacing w:before="0" w:after="560" w:line="228" w:lineRule="auto"/>
      <w:outlineLvl w:val="9"/>
    </w:pPr>
    <w:rPr>
      <w:sz w:val="39"/>
    </w:rPr>
  </w:style>
  <w:style w:type="paragraph" w:customStyle="1" w:styleId="Coverimage-landscape">
    <w:name w:val="Cover image-landscape"/>
    <w:basedOn w:val="Coverimage-portrait"/>
    <w:uiPriority w:val="99"/>
    <w:rsid w:val="00246067"/>
    <w:pPr>
      <w:framePr w:w="7938" w:h="10773" w:hRule="exact" w:wrap="around" w:x="8336" w:y="568"/>
    </w:pPr>
  </w:style>
  <w:style w:type="paragraph" w:styleId="TOC1">
    <w:name w:val="toc 1"/>
    <w:basedOn w:val="Normal"/>
    <w:next w:val="Normal"/>
    <w:autoRedefine/>
    <w:uiPriority w:val="39"/>
    <w:unhideWhenUsed/>
    <w:qFormat/>
    <w:rsid w:val="002B74D3"/>
    <w:pPr>
      <w:tabs>
        <w:tab w:val="left" w:pos="567"/>
        <w:tab w:val="right" w:leader="dot" w:pos="9015"/>
      </w:tabs>
      <w:spacing w:before="240" w:after="40" w:line="240" w:lineRule="auto"/>
      <w:ind w:right="567"/>
    </w:pPr>
    <w:rPr>
      <w:b/>
      <w:color w:val="094183" w:themeColor="text2"/>
      <w:sz w:val="24"/>
    </w:rPr>
  </w:style>
  <w:style w:type="paragraph" w:styleId="TOC2">
    <w:name w:val="toc 2"/>
    <w:basedOn w:val="Normal"/>
    <w:next w:val="Normal"/>
    <w:autoRedefine/>
    <w:uiPriority w:val="39"/>
    <w:unhideWhenUsed/>
    <w:qFormat/>
    <w:rsid w:val="00114425"/>
    <w:pPr>
      <w:tabs>
        <w:tab w:val="right" w:leader="dot" w:pos="9015"/>
      </w:tabs>
      <w:spacing w:after="100"/>
      <w:ind w:left="567" w:right="567" w:hanging="567"/>
    </w:pPr>
    <w:rPr>
      <w:color w:val="094183" w:themeColor="text2"/>
      <w:sz w:val="24"/>
    </w:rPr>
  </w:style>
  <w:style w:type="paragraph" w:styleId="TOC3">
    <w:name w:val="toc 3"/>
    <w:basedOn w:val="Normal"/>
    <w:next w:val="Normal"/>
    <w:autoRedefine/>
    <w:uiPriority w:val="39"/>
    <w:unhideWhenUsed/>
    <w:qFormat/>
    <w:rsid w:val="0062026A"/>
    <w:pPr>
      <w:tabs>
        <w:tab w:val="right" w:pos="9582"/>
      </w:tabs>
      <w:spacing w:after="100"/>
      <w:ind w:right="567"/>
    </w:pPr>
    <w:rPr>
      <w:u w:val="single"/>
    </w:rPr>
  </w:style>
  <w:style w:type="character" w:styleId="Hyperlink">
    <w:name w:val="Hyperlink"/>
    <w:basedOn w:val="DefaultParagraphFont"/>
    <w:uiPriority w:val="99"/>
    <w:unhideWhenUsed/>
    <w:rsid w:val="001108AF"/>
    <w:rPr>
      <w:color w:val="000000" w:themeColor="hyperlink"/>
      <w:u w:val="single"/>
    </w:rPr>
  </w:style>
  <w:style w:type="paragraph" w:styleId="TOC4">
    <w:name w:val="toc 4"/>
    <w:basedOn w:val="Normal"/>
    <w:next w:val="Normal"/>
    <w:autoRedefine/>
    <w:uiPriority w:val="39"/>
    <w:unhideWhenUsed/>
    <w:rsid w:val="001108AF"/>
    <w:pPr>
      <w:tabs>
        <w:tab w:val="right" w:pos="9582"/>
      </w:tabs>
      <w:spacing w:after="100"/>
      <w:ind w:left="567" w:hanging="567"/>
    </w:pPr>
  </w:style>
  <w:style w:type="paragraph" w:styleId="TOC5">
    <w:name w:val="toc 5"/>
    <w:basedOn w:val="Normal"/>
    <w:next w:val="Normal"/>
    <w:autoRedefine/>
    <w:uiPriority w:val="39"/>
    <w:unhideWhenUsed/>
    <w:rsid w:val="00837F62"/>
    <w:pPr>
      <w:tabs>
        <w:tab w:val="right" w:pos="9582"/>
        <w:tab w:val="right" w:pos="9628"/>
      </w:tabs>
      <w:spacing w:after="100"/>
      <w:ind w:left="567" w:right="567"/>
    </w:pPr>
  </w:style>
  <w:style w:type="paragraph" w:styleId="TOC6">
    <w:name w:val="toc 6"/>
    <w:basedOn w:val="Normal"/>
    <w:next w:val="Normal"/>
    <w:autoRedefine/>
    <w:uiPriority w:val="39"/>
    <w:unhideWhenUsed/>
    <w:rsid w:val="001108AF"/>
    <w:pPr>
      <w:tabs>
        <w:tab w:val="right" w:pos="9582"/>
      </w:tabs>
      <w:spacing w:after="100"/>
      <w:ind w:left="1134" w:right="567" w:hanging="567"/>
    </w:pPr>
  </w:style>
  <w:style w:type="character" w:customStyle="1" w:styleId="Heading5Char">
    <w:name w:val="Heading 5 Char"/>
    <w:basedOn w:val="DefaultParagraphFont"/>
    <w:link w:val="Heading5"/>
    <w:rsid w:val="00340AA0"/>
    <w:rPr>
      <w:rFonts w:asciiTheme="majorHAnsi" w:eastAsiaTheme="majorEastAsia" w:hAnsiTheme="majorHAnsi" w:cstheme="majorBidi"/>
      <w:b/>
      <w:sz w:val="20"/>
    </w:rPr>
  </w:style>
  <w:style w:type="character" w:customStyle="1" w:styleId="Heading6Char">
    <w:name w:val="Heading 6 Char"/>
    <w:basedOn w:val="DefaultParagraphFont"/>
    <w:link w:val="Heading6"/>
    <w:rsid w:val="00CF7933"/>
    <w:rPr>
      <w:rFonts w:asciiTheme="majorHAnsi" w:eastAsiaTheme="majorEastAsia" w:hAnsiTheme="majorHAnsi" w:cstheme="majorBidi"/>
      <w:b/>
      <w:color w:val="094183" w:themeColor="text2"/>
      <w:sz w:val="32"/>
    </w:rPr>
  </w:style>
  <w:style w:type="character" w:customStyle="1" w:styleId="Heading7Char">
    <w:name w:val="Heading 7 Char"/>
    <w:basedOn w:val="DefaultParagraphFont"/>
    <w:link w:val="Heading7"/>
    <w:rsid w:val="009B4368"/>
    <w:rPr>
      <w:rFonts w:asciiTheme="majorHAnsi" w:eastAsiaTheme="majorEastAsia" w:hAnsiTheme="majorHAnsi" w:cstheme="majorBidi"/>
      <w:iCs/>
      <w:color w:val="094183" w:themeColor="text2"/>
      <w:sz w:val="24"/>
    </w:rPr>
  </w:style>
  <w:style w:type="character" w:customStyle="1" w:styleId="Heading8Char">
    <w:name w:val="Heading 8 Char"/>
    <w:basedOn w:val="DefaultParagraphFont"/>
    <w:link w:val="Heading8"/>
    <w:rsid w:val="006342D8"/>
    <w:rPr>
      <w:rFonts w:asciiTheme="majorHAnsi" w:eastAsiaTheme="majorEastAsia" w:hAnsiTheme="majorHAnsi" w:cstheme="majorBidi"/>
      <w:sz w:val="21"/>
      <w:szCs w:val="21"/>
    </w:rPr>
  </w:style>
  <w:style w:type="paragraph" w:styleId="NoSpacing">
    <w:name w:val="No Spacing"/>
    <w:uiPriority w:val="1"/>
    <w:qFormat/>
    <w:rsid w:val="00C8566B"/>
    <w:pPr>
      <w:spacing w:after="0"/>
    </w:pPr>
    <w:rPr>
      <w:sz w:val="20"/>
    </w:rPr>
  </w:style>
  <w:style w:type="paragraph" w:styleId="Date">
    <w:name w:val="Date"/>
    <w:basedOn w:val="Normal"/>
    <w:next w:val="Normal"/>
    <w:link w:val="DateChar"/>
    <w:uiPriority w:val="99"/>
    <w:unhideWhenUsed/>
    <w:rsid w:val="008C2D5A"/>
    <w:pPr>
      <w:framePr w:w="6804" w:hSpace="2835" w:wrap="around" w:vAnchor="page" w:hAnchor="margin" w:y="5104" w:anchorLock="1"/>
    </w:pPr>
  </w:style>
  <w:style w:type="character" w:customStyle="1" w:styleId="DateChar">
    <w:name w:val="Date Char"/>
    <w:basedOn w:val="DefaultParagraphFont"/>
    <w:link w:val="Date"/>
    <w:uiPriority w:val="99"/>
    <w:rsid w:val="008C2D5A"/>
    <w:rPr>
      <w:sz w:val="20"/>
    </w:rPr>
  </w:style>
  <w:style w:type="paragraph" w:customStyle="1" w:styleId="Datecoverimage">
    <w:name w:val="Date cover image"/>
    <w:basedOn w:val="Date"/>
    <w:uiPriority w:val="99"/>
    <w:rsid w:val="0075751C"/>
    <w:pPr>
      <w:framePr w:wrap="around" w:y="7485"/>
    </w:pPr>
    <w:rPr>
      <w:color w:val="000000" w:themeColor="text1"/>
    </w:rPr>
  </w:style>
  <w:style w:type="paragraph" w:customStyle="1" w:styleId="AppendixTitle">
    <w:name w:val="Appendix Title"/>
    <w:basedOn w:val="Title"/>
    <w:next w:val="Normal"/>
    <w:uiPriority w:val="99"/>
    <w:rsid w:val="00342318"/>
    <w:pPr>
      <w:pageBreakBefore/>
      <w:framePr w:wrap="around" w:vAnchor="margin" w:hAnchor="text" w:y="1532"/>
      <w:numPr>
        <w:numId w:val="7"/>
      </w:numPr>
      <w:spacing w:after="360"/>
    </w:pPr>
    <w:rPr>
      <w:sz w:val="36"/>
    </w:rPr>
  </w:style>
  <w:style w:type="numbering" w:customStyle="1" w:styleId="Appendix">
    <w:name w:val="Appendix"/>
    <w:uiPriority w:val="99"/>
    <w:rsid w:val="00342318"/>
    <w:pPr>
      <w:numPr>
        <w:numId w:val="4"/>
      </w:numPr>
    </w:pPr>
  </w:style>
  <w:style w:type="paragraph" w:styleId="List">
    <w:name w:val="List"/>
    <w:basedOn w:val="Normal"/>
    <w:uiPriority w:val="99"/>
    <w:unhideWhenUsed/>
    <w:rsid w:val="00C07923"/>
    <w:pPr>
      <w:ind w:left="283" w:hanging="283"/>
      <w:contextualSpacing/>
    </w:pPr>
  </w:style>
  <w:style w:type="paragraph" w:styleId="List2">
    <w:name w:val="List 2"/>
    <w:basedOn w:val="Normal"/>
    <w:uiPriority w:val="99"/>
    <w:unhideWhenUsed/>
    <w:rsid w:val="00C07923"/>
    <w:pPr>
      <w:ind w:left="566" w:hanging="283"/>
      <w:contextualSpacing/>
    </w:pPr>
  </w:style>
  <w:style w:type="paragraph" w:customStyle="1" w:styleId="NumberedHeading4">
    <w:name w:val="Numbered Heading 4"/>
    <w:basedOn w:val="Heading4"/>
    <w:uiPriority w:val="99"/>
    <w:rsid w:val="00C07923"/>
    <w:pPr>
      <w:ind w:left="1021" w:hanging="1021"/>
    </w:pPr>
    <w:rPr>
      <w:b w:val="0"/>
      <w:caps/>
    </w:rPr>
  </w:style>
  <w:style w:type="numbering" w:customStyle="1" w:styleId="ListLetters">
    <w:name w:val="List Letters"/>
    <w:uiPriority w:val="99"/>
    <w:rsid w:val="00C07923"/>
    <w:pPr>
      <w:numPr>
        <w:numId w:val="5"/>
      </w:numPr>
    </w:pPr>
  </w:style>
  <w:style w:type="table" w:styleId="TableGrid">
    <w:name w:val="Table Grid"/>
    <w:basedOn w:val="TableNormal"/>
    <w:rsid w:val="00C07923"/>
    <w:pPr>
      <w:spacing w:after="0" w:line="240" w:lineRule="auto"/>
    </w:pPr>
    <w:rPr>
      <w:sz w:val="20"/>
    </w:rPr>
    <w:tblPr>
      <w:tblStyleRowBandSize w:val="1"/>
      <w:tblCellMar>
        <w:top w:w="57" w:type="dxa"/>
        <w:left w:w="57" w:type="dxa"/>
        <w:bottom w:w="57" w:type="dxa"/>
        <w:right w:w="85" w:type="dxa"/>
      </w:tblCellMar>
    </w:tblPr>
    <w:tblStylePr w:type="firstRow">
      <w:rPr>
        <w:b/>
        <w:color w:val="FFFFFF" w:themeColor="background1"/>
      </w:rPr>
      <w:tblPr/>
      <w:tcPr>
        <w:shd w:val="clear" w:color="auto" w:fill="094183" w:themeFill="text2"/>
      </w:tcPr>
    </w:tblStylePr>
    <w:tblStylePr w:type="lastRow">
      <w:tblPr/>
      <w:tcPr>
        <w:tcBorders>
          <w:top w:val="single" w:sz="8" w:space="0" w:color="FFFFFF" w:themeColor="background2"/>
          <w:left w:val="nil"/>
          <w:bottom w:val="nil"/>
          <w:right w:val="nil"/>
          <w:insideH w:val="nil"/>
          <w:insideV w:val="nil"/>
          <w:tl2br w:val="nil"/>
          <w:tr2bl w:val="nil"/>
        </w:tcBorders>
        <w:shd w:val="clear" w:color="auto" w:fill="F2F2F2" w:themeFill="background1" w:themeFillShade="F2"/>
      </w:tcPr>
    </w:tblStylePr>
    <w:tblStylePr w:type="firstCol">
      <w:rPr>
        <w:b/>
      </w:rPr>
    </w:tblStylePr>
    <w:tblStylePr w:type="lastCol">
      <w:pPr>
        <w:wordWrap/>
        <w:jc w:val="right"/>
      </w:pPr>
    </w:tblStylePr>
    <w:tblStylePr w:type="band1Horz">
      <w:tblPr/>
      <w:tcPr>
        <w:shd w:val="clear" w:color="auto" w:fill="FFFFFF" w:themeFill="background1"/>
      </w:tcPr>
    </w:tblStylePr>
    <w:tblStylePr w:type="band2Horz">
      <w:tblPr/>
      <w:tcPr>
        <w:shd w:val="clear" w:color="auto" w:fill="F2F2F2" w:themeFill="background1" w:themeFillShade="F2"/>
      </w:tcPr>
    </w:tblStylePr>
  </w:style>
  <w:style w:type="paragraph" w:styleId="Caption">
    <w:name w:val="caption"/>
    <w:aliases w:val="CDM B/Caption,Table Caption,TABLE,Char,Item"/>
    <w:basedOn w:val="Normal"/>
    <w:next w:val="Normal"/>
    <w:link w:val="CaptionChar"/>
    <w:unhideWhenUsed/>
    <w:qFormat/>
    <w:rsid w:val="009F2B1D"/>
    <w:pPr>
      <w:spacing w:after="200" w:line="240" w:lineRule="auto"/>
    </w:pPr>
    <w:rPr>
      <w:b/>
      <w:iCs/>
      <w:szCs w:val="20"/>
    </w:rPr>
  </w:style>
  <w:style w:type="paragraph" w:styleId="Quote">
    <w:name w:val="Quote"/>
    <w:basedOn w:val="Normal"/>
    <w:next w:val="Normal"/>
    <w:link w:val="QuoteChar"/>
    <w:uiPriority w:val="29"/>
    <w:qFormat/>
    <w:rsid w:val="00C07923"/>
    <w:pPr>
      <w:spacing w:before="200" w:after="160" w:line="312" w:lineRule="auto"/>
      <w:ind w:left="340" w:right="862"/>
    </w:pPr>
    <w:rPr>
      <w:rFonts w:eastAsiaTheme="minorHAnsi"/>
      <w:i/>
      <w:iCs/>
      <w:color w:val="094183" w:themeColor="text2"/>
      <w:sz w:val="24"/>
      <w:lang w:eastAsia="en-US"/>
    </w:rPr>
  </w:style>
  <w:style w:type="character" w:customStyle="1" w:styleId="QuoteChar">
    <w:name w:val="Quote Char"/>
    <w:basedOn w:val="DefaultParagraphFont"/>
    <w:link w:val="Quote"/>
    <w:uiPriority w:val="29"/>
    <w:rsid w:val="00C07923"/>
    <w:rPr>
      <w:rFonts w:eastAsiaTheme="minorHAnsi"/>
      <w:i/>
      <w:iCs/>
      <w:color w:val="094183" w:themeColor="text2"/>
      <w:sz w:val="24"/>
      <w:lang w:eastAsia="en-US"/>
    </w:rPr>
  </w:style>
  <w:style w:type="paragraph" w:customStyle="1" w:styleId="Title-White">
    <w:name w:val="Title - White"/>
    <w:basedOn w:val="Title"/>
    <w:link w:val="Title-WhiteChar"/>
    <w:qFormat/>
    <w:rsid w:val="005B00AD"/>
    <w:pPr>
      <w:framePr w:wrap="around"/>
    </w:pPr>
    <w:rPr>
      <w:color w:val="FFFFFF" w:themeColor="background1"/>
    </w:rPr>
  </w:style>
  <w:style w:type="paragraph" w:customStyle="1" w:styleId="Subtitle-White">
    <w:name w:val="Subtitle - White"/>
    <w:basedOn w:val="Subtitle"/>
    <w:link w:val="Subtitle-WhiteChar"/>
    <w:qFormat/>
    <w:rsid w:val="005B00AD"/>
    <w:pPr>
      <w:framePr w:wrap="around"/>
    </w:pPr>
    <w:rPr>
      <w:color w:val="FFFFFF" w:themeColor="background1"/>
    </w:rPr>
  </w:style>
  <w:style w:type="character" w:customStyle="1" w:styleId="Title-WhiteChar">
    <w:name w:val="Title - White Char"/>
    <w:basedOn w:val="TitleChar"/>
    <w:link w:val="Title-White"/>
    <w:rsid w:val="005B00AD"/>
    <w:rPr>
      <w:rFonts w:asciiTheme="majorHAnsi" w:eastAsiaTheme="majorEastAsia" w:hAnsiTheme="majorHAnsi" w:cstheme="majorBidi"/>
      <w:b/>
      <w:color w:val="FFFFFF" w:themeColor="background1"/>
      <w:spacing w:val="-10"/>
      <w:kern w:val="28"/>
      <w:sz w:val="48"/>
      <w:szCs w:val="56"/>
    </w:rPr>
  </w:style>
  <w:style w:type="paragraph" w:styleId="NormalWeb">
    <w:name w:val="Normal (Web)"/>
    <w:basedOn w:val="Normal"/>
    <w:uiPriority w:val="99"/>
    <w:unhideWhenUsed/>
    <w:rsid w:val="00C55EEB"/>
    <w:pPr>
      <w:spacing w:before="100" w:beforeAutospacing="1" w:after="100" w:afterAutospacing="1" w:line="240" w:lineRule="auto"/>
    </w:pPr>
    <w:rPr>
      <w:rFonts w:ascii="Times New Roman" w:eastAsia="SimSun" w:hAnsi="Times New Roman" w:cs="Times New Roman"/>
      <w:sz w:val="24"/>
      <w:szCs w:val="24"/>
    </w:rPr>
  </w:style>
  <w:style w:type="paragraph" w:customStyle="1" w:styleId="Logo">
    <w:name w:val="Logo"/>
    <w:basedOn w:val="Normal"/>
    <w:uiPriority w:val="99"/>
    <w:qFormat/>
    <w:rsid w:val="001A1790"/>
    <w:pPr>
      <w:spacing w:after="240"/>
    </w:pPr>
  </w:style>
  <w:style w:type="paragraph" w:customStyle="1" w:styleId="Identifier">
    <w:name w:val="Identifier"/>
    <w:basedOn w:val="Normal"/>
    <w:uiPriority w:val="99"/>
    <w:qFormat/>
    <w:rsid w:val="001A1790"/>
    <w:pPr>
      <w:spacing w:before="120" w:after="360"/>
      <w:contextualSpacing/>
    </w:pPr>
    <w:rPr>
      <w:color w:val="094183" w:themeColor="text2"/>
      <w:sz w:val="28"/>
    </w:rPr>
  </w:style>
  <w:style w:type="paragraph" w:customStyle="1" w:styleId="Cornergraphic">
    <w:name w:val="Corner graphic"/>
    <w:basedOn w:val="Normal"/>
    <w:uiPriority w:val="99"/>
    <w:qFormat/>
    <w:rsid w:val="007976A1"/>
    <w:pPr>
      <w:framePr w:wrap="around" w:vAnchor="page" w:hAnchor="page" w:xAlign="right" w:yAlign="bottom" w:anchorLock="1"/>
      <w:spacing w:after="160" w:line="192" w:lineRule="auto"/>
      <w:jc w:val="right"/>
    </w:pPr>
    <w:rPr>
      <w:position w:val="-80"/>
    </w:rPr>
  </w:style>
  <w:style w:type="numbering" w:customStyle="1" w:styleId="Bullets1">
    <w:name w:val="Bullets1"/>
    <w:uiPriority w:val="99"/>
    <w:rsid w:val="00695166"/>
    <w:pPr>
      <w:numPr>
        <w:numId w:val="8"/>
      </w:numPr>
    </w:pPr>
  </w:style>
  <w:style w:type="paragraph" w:customStyle="1" w:styleId="Introduction">
    <w:name w:val="Introduction"/>
    <w:basedOn w:val="Normal"/>
    <w:link w:val="IntroductionChar"/>
    <w:qFormat/>
    <w:rsid w:val="00695166"/>
    <w:pPr>
      <w:keepNext/>
      <w:keepLines/>
      <w:spacing w:after="0" w:line="216" w:lineRule="auto"/>
      <w:outlineLvl w:val="0"/>
    </w:pPr>
    <w:rPr>
      <w:rFonts w:ascii="Calibri" w:eastAsia="SimHei" w:hAnsi="Calibri" w:cs="Times New Roman"/>
      <w:color w:val="094183"/>
      <w:sz w:val="28"/>
      <w:szCs w:val="32"/>
      <w:lang w:eastAsia="en-US"/>
    </w:rPr>
  </w:style>
  <w:style w:type="paragraph" w:customStyle="1" w:styleId="Pull-outBodyCopy">
    <w:name w:val="Pull-out Body Copy"/>
    <w:basedOn w:val="Normal"/>
    <w:link w:val="Pull-outBodyCopyChar"/>
    <w:qFormat/>
    <w:rsid w:val="00695166"/>
    <w:pPr>
      <w:pBdr>
        <w:top w:val="single" w:sz="4" w:space="6" w:color="094183" w:themeColor="text2"/>
        <w:left w:val="single" w:sz="4" w:space="6" w:color="094183" w:themeColor="text2"/>
        <w:bottom w:val="single" w:sz="4" w:space="6" w:color="094183" w:themeColor="text2"/>
        <w:right w:val="single" w:sz="4" w:space="6" w:color="094183" w:themeColor="text2"/>
      </w:pBdr>
      <w:shd w:val="clear" w:color="auto" w:fill="094183" w:themeFill="text2"/>
      <w:spacing w:before="80" w:after="80" w:line="312" w:lineRule="auto"/>
      <w:ind w:left="170" w:right="170"/>
    </w:pPr>
    <w:rPr>
      <w:rFonts w:eastAsiaTheme="minorHAnsi"/>
      <w:color w:val="FFFFFF" w:themeColor="background1"/>
      <w:lang w:eastAsia="en-US"/>
    </w:rPr>
  </w:style>
  <w:style w:type="character" w:customStyle="1" w:styleId="IntroductionChar">
    <w:name w:val="Introduction Char"/>
    <w:basedOn w:val="DefaultParagraphFont"/>
    <w:link w:val="Introduction"/>
    <w:rsid w:val="00695166"/>
    <w:rPr>
      <w:rFonts w:ascii="Calibri" w:eastAsia="SimHei" w:hAnsi="Calibri" w:cs="Times New Roman"/>
      <w:color w:val="094183"/>
      <w:sz w:val="28"/>
      <w:szCs w:val="32"/>
      <w:lang w:eastAsia="en-US"/>
    </w:rPr>
  </w:style>
  <w:style w:type="paragraph" w:customStyle="1" w:styleId="Pull-outHeading">
    <w:name w:val="Pull-out Heading"/>
    <w:basedOn w:val="Pull-outBodyCopy"/>
    <w:link w:val="Pull-outHeadingChar"/>
    <w:qFormat/>
    <w:rsid w:val="00695166"/>
    <w:rPr>
      <w:b/>
    </w:rPr>
  </w:style>
  <w:style w:type="character" w:customStyle="1" w:styleId="Pull-outBodyCopyChar">
    <w:name w:val="Pull-out Body Copy Char"/>
    <w:basedOn w:val="DefaultParagraphFont"/>
    <w:link w:val="Pull-outBodyCopy"/>
    <w:rsid w:val="00695166"/>
    <w:rPr>
      <w:rFonts w:eastAsiaTheme="minorHAnsi"/>
      <w:color w:val="FFFFFF" w:themeColor="background1"/>
      <w:sz w:val="20"/>
      <w:shd w:val="clear" w:color="auto" w:fill="094183" w:themeFill="text2"/>
      <w:lang w:eastAsia="en-US"/>
    </w:rPr>
  </w:style>
  <w:style w:type="paragraph" w:styleId="ListParagraph">
    <w:name w:val="List Paragraph"/>
    <w:aliases w:val="table text"/>
    <w:basedOn w:val="Normal"/>
    <w:link w:val="ListParagraphChar"/>
    <w:uiPriority w:val="34"/>
    <w:qFormat/>
    <w:rsid w:val="000E5133"/>
    <w:pPr>
      <w:ind w:left="340"/>
    </w:pPr>
  </w:style>
  <w:style w:type="character" w:customStyle="1" w:styleId="Pull-outHeadingChar">
    <w:name w:val="Pull-out Heading Char"/>
    <w:basedOn w:val="DefaultParagraphFont"/>
    <w:link w:val="Pull-outHeading"/>
    <w:rsid w:val="00695166"/>
    <w:rPr>
      <w:rFonts w:eastAsiaTheme="minorHAnsi"/>
      <w:b/>
      <w:color w:val="FFFFFF" w:themeColor="background1"/>
      <w:sz w:val="20"/>
      <w:shd w:val="clear" w:color="auto" w:fill="094183" w:themeFill="text2"/>
      <w:lang w:eastAsia="en-US"/>
    </w:rPr>
  </w:style>
  <w:style w:type="paragraph" w:customStyle="1" w:styleId="Pull-outBullets">
    <w:name w:val="Pull-out Bullets"/>
    <w:basedOn w:val="Pull-outBodyCopy"/>
    <w:link w:val="Pull-outBulletsChar"/>
    <w:uiPriority w:val="99"/>
    <w:qFormat/>
    <w:rsid w:val="00695166"/>
    <w:pPr>
      <w:numPr>
        <w:numId w:val="6"/>
      </w:numPr>
      <w:ind w:left="397" w:hanging="227"/>
    </w:pPr>
  </w:style>
  <w:style w:type="character" w:customStyle="1" w:styleId="Pull-outBulletsChar">
    <w:name w:val="Pull-out Bullets Char"/>
    <w:basedOn w:val="Pull-outBodyCopyChar"/>
    <w:link w:val="Pull-outBullets"/>
    <w:uiPriority w:val="99"/>
    <w:rsid w:val="00695166"/>
    <w:rPr>
      <w:rFonts w:eastAsiaTheme="minorHAnsi"/>
      <w:color w:val="FFFFFF" w:themeColor="background1"/>
      <w:sz w:val="20"/>
      <w:shd w:val="clear" w:color="auto" w:fill="094183" w:themeFill="text2"/>
      <w:lang w:eastAsia="en-US"/>
    </w:rPr>
  </w:style>
  <w:style w:type="character" w:customStyle="1" w:styleId="Subtitle-WhiteChar">
    <w:name w:val="Subtitle - White Char"/>
    <w:basedOn w:val="SubtitleChar"/>
    <w:link w:val="Subtitle-White"/>
    <w:rsid w:val="005B00AD"/>
    <w:rPr>
      <w:color w:val="FFFFFF" w:themeColor="background1"/>
      <w:sz w:val="32"/>
    </w:rPr>
  </w:style>
  <w:style w:type="paragraph" w:customStyle="1" w:styleId="Title-Divider">
    <w:name w:val="Title - Divider"/>
    <w:basedOn w:val="Title"/>
    <w:link w:val="Title-DividerChar"/>
    <w:qFormat/>
    <w:rsid w:val="00601E2F"/>
    <w:pPr>
      <w:framePr w:w="7371" w:wrap="notBeside" w:y="1078"/>
      <w:spacing w:after="310"/>
      <w:outlineLvl w:val="0"/>
    </w:pPr>
    <w:rPr>
      <w:spacing w:val="0"/>
    </w:rPr>
  </w:style>
  <w:style w:type="paragraph" w:customStyle="1" w:styleId="Subtitle-Divider">
    <w:name w:val="Subtitle - Divider"/>
    <w:basedOn w:val="Title-Divider"/>
    <w:link w:val="Subtitle-DividerChar"/>
    <w:qFormat/>
    <w:rsid w:val="00F962A9"/>
    <w:pPr>
      <w:framePr w:wrap="notBeside"/>
      <w:outlineLvl w:val="9"/>
    </w:pPr>
    <w:rPr>
      <w:rFonts w:asciiTheme="minorHAnsi" w:hAnsiTheme="minorHAnsi"/>
      <w:b w:val="0"/>
      <w:color w:val="000000" w:themeColor="text1"/>
      <w:sz w:val="32"/>
      <w:lang w:eastAsia="en-US"/>
    </w:rPr>
  </w:style>
  <w:style w:type="character" w:customStyle="1" w:styleId="Title-DividerChar">
    <w:name w:val="Title - Divider Char"/>
    <w:basedOn w:val="TitleChar"/>
    <w:link w:val="Title-Divider"/>
    <w:rsid w:val="00601E2F"/>
    <w:rPr>
      <w:rFonts w:asciiTheme="majorHAnsi" w:eastAsiaTheme="majorEastAsia" w:hAnsiTheme="majorHAnsi" w:cstheme="majorBidi"/>
      <w:b/>
      <w:color w:val="094183" w:themeColor="text2"/>
      <w:spacing w:val="-10"/>
      <w:kern w:val="28"/>
      <w:sz w:val="48"/>
      <w:szCs w:val="56"/>
    </w:rPr>
  </w:style>
  <w:style w:type="paragraph" w:customStyle="1" w:styleId="Footerlocation">
    <w:name w:val="Footer location"/>
    <w:uiPriority w:val="99"/>
    <w:unhideWhenUsed/>
    <w:rsid w:val="000E78EF"/>
    <w:pPr>
      <w:framePr w:w="9639" w:vSpace="567" w:wrap="around" w:hAnchor="margin" w:yAlign="bottom" w:anchorLock="1"/>
      <w:spacing w:after="0" w:line="240" w:lineRule="auto"/>
    </w:pPr>
    <w:rPr>
      <w:rFonts w:eastAsiaTheme="minorHAnsi"/>
      <w:b/>
      <w:color w:val="094183" w:themeColor="text2"/>
      <w:sz w:val="18"/>
      <w:lang w:eastAsia="en-US"/>
    </w:rPr>
  </w:style>
  <w:style w:type="character" w:customStyle="1" w:styleId="Subtitle-DividerChar">
    <w:name w:val="Subtitle - Divider Char"/>
    <w:basedOn w:val="SubtitleChar"/>
    <w:link w:val="Subtitle-Divider"/>
    <w:rsid w:val="00F962A9"/>
    <w:rPr>
      <w:rFonts w:eastAsiaTheme="majorEastAsia" w:cstheme="majorBidi"/>
      <w:color w:val="000000" w:themeColor="text1"/>
      <w:kern w:val="28"/>
      <w:sz w:val="32"/>
      <w:szCs w:val="56"/>
      <w:lang w:eastAsia="en-US"/>
    </w:rPr>
  </w:style>
  <w:style w:type="table" w:customStyle="1" w:styleId="Blank">
    <w:name w:val="Blank"/>
    <w:basedOn w:val="TableNormal"/>
    <w:uiPriority w:val="99"/>
    <w:rsid w:val="009D200D"/>
    <w:pPr>
      <w:spacing w:after="0" w:line="240" w:lineRule="auto"/>
    </w:pPr>
    <w:rPr>
      <w:rFonts w:eastAsiaTheme="minorHAnsi"/>
      <w:lang w:eastAsia="en-US"/>
    </w:rPr>
    <w:tblPr>
      <w:tblCellMar>
        <w:top w:w="57" w:type="dxa"/>
        <w:left w:w="0" w:type="dxa"/>
        <w:right w:w="113" w:type="dxa"/>
      </w:tblCellMar>
    </w:tblPr>
  </w:style>
  <w:style w:type="paragraph" w:customStyle="1" w:styleId="EndPageGraphic">
    <w:name w:val="End Page Graphic"/>
    <w:basedOn w:val="Normal"/>
    <w:link w:val="EndPageGraphicChar"/>
    <w:rsid w:val="000E78EF"/>
    <w:pPr>
      <w:framePr w:wrap="notBeside" w:vAnchor="page" w:hAnchor="page" w:y="1" w:anchorLock="1"/>
    </w:pPr>
  </w:style>
  <w:style w:type="character" w:customStyle="1" w:styleId="EndPageGraphicChar">
    <w:name w:val="End Page Graphic Char"/>
    <w:basedOn w:val="DefaultParagraphFont"/>
    <w:link w:val="EndPageGraphic"/>
    <w:rsid w:val="000E78EF"/>
    <w:rPr>
      <w:sz w:val="20"/>
    </w:rPr>
  </w:style>
  <w:style w:type="character" w:styleId="Strong">
    <w:name w:val="Strong"/>
    <w:basedOn w:val="DefaultParagraphFont"/>
    <w:uiPriority w:val="22"/>
    <w:qFormat/>
    <w:rsid w:val="005B2E59"/>
    <w:rPr>
      <w:b/>
      <w:bCs/>
    </w:rPr>
  </w:style>
  <w:style w:type="paragraph" w:customStyle="1" w:styleId="Topleft">
    <w:name w:val="Top left"/>
    <w:basedOn w:val="Logo"/>
    <w:uiPriority w:val="99"/>
    <w:rsid w:val="007D029B"/>
    <w:pPr>
      <w:framePr w:w="11907" w:wrap="around" w:vAnchor="page" w:hAnchor="page" w:yAlign="top" w:anchorLock="1"/>
    </w:pPr>
    <w:rPr>
      <w:noProof/>
    </w:rPr>
  </w:style>
  <w:style w:type="paragraph" w:customStyle="1" w:styleId="Footerright">
    <w:name w:val="Footer right"/>
    <w:basedOn w:val="Normal"/>
    <w:uiPriority w:val="99"/>
    <w:rsid w:val="00A02E4C"/>
    <w:pPr>
      <w:framePr w:w="1701" w:h="1043" w:hRule="exact" w:wrap="around" w:vAnchor="page" w:hAnchor="margin" w:xAlign="right" w:yAlign="bottom" w:anchorLock="1"/>
      <w:tabs>
        <w:tab w:val="center" w:pos="4513"/>
        <w:tab w:val="right" w:pos="9026"/>
      </w:tabs>
      <w:spacing w:after="0" w:line="240" w:lineRule="auto"/>
      <w:jc w:val="right"/>
    </w:pPr>
    <w:rPr>
      <w:color w:val="094183" w:themeColor="text2"/>
    </w:rPr>
  </w:style>
  <w:style w:type="paragraph" w:customStyle="1" w:styleId="Topleft-backpage">
    <w:name w:val="Top left - back page"/>
    <w:basedOn w:val="Topleft"/>
    <w:uiPriority w:val="99"/>
    <w:rsid w:val="00074A6B"/>
    <w:pPr>
      <w:pageBreakBefore/>
      <w:framePr w:wrap="around"/>
    </w:pPr>
  </w:style>
  <w:style w:type="paragraph" w:customStyle="1" w:styleId="IdentifierDash">
    <w:name w:val="Identifier Dash"/>
    <w:basedOn w:val="Identifier"/>
    <w:uiPriority w:val="99"/>
    <w:rsid w:val="00C92357"/>
    <w:pPr>
      <w:spacing w:before="600" w:after="0" w:line="168" w:lineRule="auto"/>
    </w:pPr>
    <w:rPr>
      <w:sz w:val="40"/>
      <w:szCs w:val="40"/>
    </w:rPr>
  </w:style>
  <w:style w:type="paragraph" w:customStyle="1" w:styleId="IdentifierDash-White">
    <w:name w:val="Identifier Dash-White"/>
    <w:basedOn w:val="IdentifierDash"/>
    <w:uiPriority w:val="99"/>
    <w:qFormat/>
    <w:rsid w:val="0018540E"/>
    <w:pPr>
      <w:spacing w:before="200"/>
    </w:pPr>
    <w:rPr>
      <w:color w:val="FFFFFF" w:themeColor="background1"/>
    </w:rPr>
  </w:style>
  <w:style w:type="paragraph" w:customStyle="1" w:styleId="IdentifierDash-Blue">
    <w:name w:val="Identifier Dash-Blue"/>
    <w:basedOn w:val="IdentifierDash-White"/>
    <w:uiPriority w:val="99"/>
    <w:qFormat/>
    <w:rsid w:val="00FF27CC"/>
    <w:rPr>
      <w:color w:val="094183" w:themeColor="text2"/>
    </w:rPr>
  </w:style>
  <w:style w:type="paragraph" w:styleId="TableofFigures">
    <w:name w:val="table of figures"/>
    <w:basedOn w:val="TOC2"/>
    <w:next w:val="Normal"/>
    <w:uiPriority w:val="99"/>
    <w:unhideWhenUsed/>
    <w:rsid w:val="00EB381E"/>
    <w:rPr>
      <w:noProof/>
    </w:rPr>
  </w:style>
  <w:style w:type="character" w:customStyle="1" w:styleId="Para0Char">
    <w:name w:val="Para 0 Char"/>
    <w:aliases w:val="Auto Char,After:  3 pt Char Char"/>
    <w:basedOn w:val="DefaultParagraphFont"/>
    <w:link w:val="Para0"/>
    <w:locked/>
    <w:rsid w:val="00BF58FB"/>
    <w:rPr>
      <w:rFonts w:ascii="Arial" w:hAnsi="Arial" w:cs="Arial"/>
      <w:sz w:val="20"/>
    </w:rPr>
  </w:style>
  <w:style w:type="paragraph" w:customStyle="1" w:styleId="Para0">
    <w:name w:val="Para 0"/>
    <w:aliases w:val="Auto,After:  3 pt"/>
    <w:basedOn w:val="Normal"/>
    <w:link w:val="Para0Char"/>
    <w:qFormat/>
    <w:rsid w:val="00BF58FB"/>
    <w:pPr>
      <w:spacing w:before="240" w:line="240" w:lineRule="atLeast"/>
    </w:pPr>
    <w:rPr>
      <w:rFonts w:ascii="Arial" w:hAnsi="Arial" w:cs="Arial"/>
    </w:rPr>
  </w:style>
  <w:style w:type="character" w:styleId="CommentReference">
    <w:name w:val="annotation reference"/>
    <w:basedOn w:val="DefaultParagraphFont"/>
    <w:unhideWhenUsed/>
    <w:rsid w:val="00C32FBD"/>
    <w:rPr>
      <w:sz w:val="16"/>
      <w:szCs w:val="16"/>
    </w:rPr>
  </w:style>
  <w:style w:type="paragraph" w:styleId="CommentText">
    <w:name w:val="annotation text"/>
    <w:basedOn w:val="Normal"/>
    <w:link w:val="CommentTextChar"/>
    <w:unhideWhenUsed/>
    <w:rsid w:val="00C32FBD"/>
    <w:pPr>
      <w:spacing w:line="240" w:lineRule="auto"/>
    </w:pPr>
    <w:rPr>
      <w:szCs w:val="20"/>
    </w:rPr>
  </w:style>
  <w:style w:type="character" w:customStyle="1" w:styleId="CommentTextChar">
    <w:name w:val="Comment Text Char"/>
    <w:basedOn w:val="DefaultParagraphFont"/>
    <w:link w:val="CommentText"/>
    <w:rsid w:val="00C32FBD"/>
    <w:rPr>
      <w:sz w:val="20"/>
      <w:szCs w:val="20"/>
    </w:rPr>
  </w:style>
  <w:style w:type="paragraph" w:styleId="CommentSubject">
    <w:name w:val="annotation subject"/>
    <w:basedOn w:val="CommentText"/>
    <w:next w:val="CommentText"/>
    <w:link w:val="CommentSubjectChar"/>
    <w:unhideWhenUsed/>
    <w:rsid w:val="00C32FBD"/>
    <w:rPr>
      <w:b/>
      <w:bCs/>
    </w:rPr>
  </w:style>
  <w:style w:type="character" w:customStyle="1" w:styleId="CommentSubjectChar">
    <w:name w:val="Comment Subject Char"/>
    <w:basedOn w:val="CommentTextChar"/>
    <w:link w:val="CommentSubject"/>
    <w:rsid w:val="00C32FBD"/>
    <w:rPr>
      <w:b/>
      <w:bCs/>
      <w:sz w:val="20"/>
      <w:szCs w:val="20"/>
    </w:rPr>
  </w:style>
  <w:style w:type="paragraph" w:styleId="BalloonText">
    <w:name w:val="Balloon Text"/>
    <w:basedOn w:val="Normal"/>
    <w:link w:val="BalloonTextChar"/>
    <w:unhideWhenUsed/>
    <w:rsid w:val="00C32FB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C32FBD"/>
    <w:rPr>
      <w:rFonts w:ascii="Segoe UI" w:hAnsi="Segoe UI" w:cs="Segoe UI"/>
      <w:sz w:val="18"/>
      <w:szCs w:val="18"/>
    </w:rPr>
  </w:style>
  <w:style w:type="paragraph" w:customStyle="1" w:styleId="Tablesmalltext">
    <w:name w:val="Table small text"/>
    <w:basedOn w:val="Normal"/>
    <w:uiPriority w:val="15"/>
    <w:qFormat/>
    <w:rsid w:val="00A63B47"/>
    <w:pPr>
      <w:spacing w:before="40" w:after="40" w:line="240" w:lineRule="atLeast"/>
    </w:pPr>
    <w:rPr>
      <w:rFonts w:ascii="Arial" w:hAnsi="Arial"/>
      <w:sz w:val="16"/>
      <w:szCs w:val="24"/>
      <w:lang w:eastAsia="en-US"/>
    </w:rPr>
  </w:style>
  <w:style w:type="paragraph" w:customStyle="1" w:styleId="Tablesmallheading">
    <w:name w:val="Table small heading"/>
    <w:basedOn w:val="Normal"/>
    <w:uiPriority w:val="15"/>
    <w:qFormat/>
    <w:rsid w:val="00A63B47"/>
    <w:pPr>
      <w:spacing w:before="60" w:after="60" w:line="240" w:lineRule="atLeast"/>
    </w:pPr>
    <w:rPr>
      <w:rFonts w:ascii="Arial" w:hAnsi="Arial"/>
      <w:b/>
      <w:sz w:val="16"/>
      <w:szCs w:val="24"/>
      <w:lang w:eastAsia="en-US"/>
    </w:rPr>
  </w:style>
  <w:style w:type="paragraph" w:customStyle="1" w:styleId="Para0number">
    <w:name w:val="Para 0 number"/>
    <w:basedOn w:val="Para0"/>
    <w:uiPriority w:val="99"/>
    <w:qFormat/>
    <w:rsid w:val="00A63B47"/>
    <w:pPr>
      <w:numPr>
        <w:numId w:val="11"/>
      </w:numPr>
      <w:tabs>
        <w:tab w:val="num" w:pos="360"/>
        <w:tab w:val="left" w:pos="851"/>
      </w:tabs>
      <w:spacing w:before="0"/>
    </w:pPr>
    <w:rPr>
      <w:rFonts w:cstheme="minorBidi"/>
      <w:szCs w:val="24"/>
      <w:lang w:eastAsia="en-US"/>
    </w:rPr>
  </w:style>
  <w:style w:type="character" w:customStyle="1" w:styleId="Para0bulletChar">
    <w:name w:val="Para 0 bullet Char"/>
    <w:basedOn w:val="DefaultParagraphFont"/>
    <w:link w:val="Para0bullet"/>
    <w:locked/>
    <w:rsid w:val="00A63B47"/>
    <w:rPr>
      <w:rFonts w:ascii="Arial" w:hAnsi="Arial" w:cs="Arial"/>
      <w:sz w:val="20"/>
    </w:rPr>
  </w:style>
  <w:style w:type="paragraph" w:customStyle="1" w:styleId="Para0bullet">
    <w:name w:val="Para 0 bullet"/>
    <w:basedOn w:val="Para0"/>
    <w:link w:val="Para0bulletChar"/>
    <w:qFormat/>
    <w:rsid w:val="00A63B47"/>
    <w:pPr>
      <w:tabs>
        <w:tab w:val="left" w:pos="851"/>
      </w:tabs>
      <w:spacing w:before="0"/>
    </w:pPr>
  </w:style>
  <w:style w:type="paragraph" w:customStyle="1" w:styleId="Para1dash">
    <w:name w:val="Para 1 dash"/>
    <w:basedOn w:val="Normal"/>
    <w:uiPriority w:val="99"/>
    <w:rsid w:val="00A63B47"/>
    <w:pPr>
      <w:numPr>
        <w:ilvl w:val="1"/>
        <w:numId w:val="10"/>
      </w:numPr>
      <w:spacing w:line="240" w:lineRule="atLeast"/>
    </w:pPr>
    <w:rPr>
      <w:rFonts w:ascii="Arial" w:hAnsi="Arial"/>
      <w:szCs w:val="24"/>
      <w:lang w:eastAsia="en-US"/>
    </w:rPr>
  </w:style>
  <w:style w:type="paragraph" w:customStyle="1" w:styleId="Para1letter">
    <w:name w:val="Para 1 letter"/>
    <w:basedOn w:val="Normal"/>
    <w:uiPriority w:val="99"/>
    <w:rsid w:val="00A63B47"/>
    <w:pPr>
      <w:numPr>
        <w:ilvl w:val="1"/>
        <w:numId w:val="11"/>
      </w:numPr>
      <w:spacing w:line="240" w:lineRule="atLeast"/>
    </w:pPr>
    <w:rPr>
      <w:rFonts w:ascii="Arial" w:hAnsi="Arial"/>
      <w:szCs w:val="24"/>
      <w:lang w:eastAsia="en-US"/>
    </w:rPr>
  </w:style>
  <w:style w:type="paragraph" w:customStyle="1" w:styleId="Para2roman">
    <w:name w:val="Para 2 roman"/>
    <w:basedOn w:val="Normal"/>
    <w:uiPriority w:val="99"/>
    <w:rsid w:val="00A63B47"/>
    <w:pPr>
      <w:numPr>
        <w:ilvl w:val="2"/>
        <w:numId w:val="11"/>
      </w:numPr>
      <w:spacing w:line="240" w:lineRule="atLeast"/>
      <w:ind w:left="851" w:hanging="426"/>
    </w:pPr>
    <w:rPr>
      <w:rFonts w:ascii="Arial" w:hAnsi="Arial"/>
      <w:szCs w:val="24"/>
      <w:lang w:eastAsia="en-US"/>
    </w:rPr>
  </w:style>
  <w:style w:type="numbering" w:customStyle="1" w:styleId="SKMNumberedList1">
    <w:name w:val="SKM Numbered List 1"/>
    <w:uiPriority w:val="99"/>
    <w:rsid w:val="00A63B47"/>
    <w:pPr>
      <w:numPr>
        <w:numId w:val="90"/>
      </w:numPr>
    </w:pPr>
  </w:style>
  <w:style w:type="table" w:customStyle="1" w:styleId="Table1">
    <w:name w:val="Table1"/>
    <w:basedOn w:val="TableNormal"/>
    <w:uiPriority w:val="99"/>
    <w:rsid w:val="00B51F28"/>
    <w:pPr>
      <w:spacing w:after="0" w:line="240" w:lineRule="auto"/>
    </w:pPr>
    <w:rPr>
      <w:sz w:val="24"/>
      <w:szCs w:val="24"/>
      <w:lang w:val="en-US" w:eastAsia="en-US"/>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Open Sans" w:hAnsi="Open Sans"/>
        <w:b/>
        <w:color w:val="000000"/>
        <w:sz w:val="50"/>
      </w:rPr>
      <w:tblPr/>
      <w:tcPr>
        <w:shd w:val="clear" w:color="auto" w:fill="CFCAC7"/>
      </w:tcPr>
    </w:tblStylePr>
    <w:tblStylePr w:type="firstCol">
      <w:tblPr/>
      <w:tcPr>
        <w:shd w:val="clear" w:color="auto" w:fill="E6E5E3"/>
      </w:tcPr>
    </w:tblStylePr>
  </w:style>
  <w:style w:type="paragraph" w:customStyle="1" w:styleId="Para1narrowarrow">
    <w:name w:val="Para 1 narrow arrow"/>
    <w:basedOn w:val="Normal"/>
    <w:link w:val="Para1narrowarrowChar"/>
    <w:uiPriority w:val="5"/>
    <w:unhideWhenUsed/>
    <w:rsid w:val="00AC79C3"/>
    <w:pPr>
      <w:tabs>
        <w:tab w:val="left" w:pos="851"/>
      </w:tabs>
      <w:spacing w:line="240" w:lineRule="atLeast"/>
      <w:ind w:left="851" w:hanging="426"/>
    </w:pPr>
    <w:rPr>
      <w:rFonts w:ascii="Arial" w:hAnsi="Arial" w:cs="Times New Roman"/>
      <w:szCs w:val="24"/>
      <w:lang w:val="en-GB" w:eastAsia="en-AU"/>
    </w:rPr>
  </w:style>
  <w:style w:type="numbering" w:customStyle="1" w:styleId="SKMBulletList1">
    <w:name w:val="SKM Bullet List 1"/>
    <w:uiPriority w:val="99"/>
    <w:rsid w:val="00AC79C3"/>
    <w:pPr>
      <w:numPr>
        <w:numId w:val="11"/>
      </w:numPr>
    </w:pPr>
  </w:style>
  <w:style w:type="paragraph" w:customStyle="1" w:styleId="Default">
    <w:name w:val="Default"/>
    <w:uiPriority w:val="99"/>
    <w:rsid w:val="00AC79C3"/>
    <w:pPr>
      <w:autoSpaceDE w:val="0"/>
      <w:autoSpaceDN w:val="0"/>
      <w:adjustRightInd w:val="0"/>
      <w:spacing w:after="0" w:line="240" w:lineRule="auto"/>
    </w:pPr>
    <w:rPr>
      <w:rFonts w:ascii="Arial" w:eastAsiaTheme="minorHAnsi" w:hAnsi="Arial" w:cs="Arial"/>
      <w:color w:val="000000"/>
      <w:sz w:val="24"/>
      <w:szCs w:val="24"/>
      <w:lang w:eastAsia="en-US"/>
    </w:rPr>
  </w:style>
  <w:style w:type="character" w:customStyle="1" w:styleId="CaptionChar">
    <w:name w:val="Caption Char"/>
    <w:aliases w:val="CDM B/Caption Char,Table Caption Char,TABLE Char,Char Char,Item Char"/>
    <w:basedOn w:val="DefaultParagraphFont"/>
    <w:link w:val="Caption"/>
    <w:rsid w:val="009F2B1D"/>
    <w:rPr>
      <w:b/>
      <w:iCs/>
      <w:sz w:val="20"/>
      <w:szCs w:val="20"/>
    </w:rPr>
  </w:style>
  <w:style w:type="table" w:customStyle="1" w:styleId="LightList-Accent11">
    <w:name w:val="Light List - Accent 11"/>
    <w:basedOn w:val="TableNormal"/>
    <w:uiPriority w:val="61"/>
    <w:rsid w:val="00AC79C3"/>
    <w:pPr>
      <w:spacing w:after="0" w:line="240" w:lineRule="auto"/>
    </w:pPr>
    <w:rPr>
      <w:rFonts w:ascii="Calibri" w:eastAsia="MS Mincho" w:hAnsi="Calibri" w:cs="Times New Roman"/>
      <w:sz w:val="20"/>
      <w:szCs w:val="20"/>
      <w:lang w:eastAsia="en-AU"/>
    </w:rPr>
    <w:tblPr>
      <w:tblStyleRowBandSize w:val="1"/>
      <w:tblStyleColBandSize w:val="1"/>
      <w:tblBorders>
        <w:top w:val="single" w:sz="8" w:space="0" w:color="00338D"/>
        <w:left w:val="single" w:sz="8" w:space="0" w:color="00338D"/>
        <w:bottom w:val="single" w:sz="8" w:space="0" w:color="00338D"/>
        <w:right w:val="single" w:sz="8" w:space="0" w:color="00338D"/>
      </w:tblBorders>
    </w:tblPr>
    <w:tblStylePr w:type="firstRow">
      <w:pPr>
        <w:spacing w:before="0" w:after="0" w:line="240" w:lineRule="auto"/>
      </w:pPr>
      <w:rPr>
        <w:b/>
        <w:bCs/>
        <w:color w:val="FFFFFF"/>
      </w:rPr>
      <w:tblPr/>
      <w:tcPr>
        <w:shd w:val="clear" w:color="auto" w:fill="00338D"/>
      </w:tcPr>
    </w:tblStylePr>
    <w:tblStylePr w:type="lastRow">
      <w:pPr>
        <w:spacing w:before="0" w:after="0" w:line="240" w:lineRule="auto"/>
      </w:pPr>
      <w:rPr>
        <w:b/>
        <w:bCs/>
      </w:rPr>
      <w:tblPr/>
      <w:tcPr>
        <w:tcBorders>
          <w:top w:val="double" w:sz="6" w:space="0" w:color="00338D"/>
          <w:left w:val="single" w:sz="8" w:space="0" w:color="00338D"/>
          <w:bottom w:val="single" w:sz="8" w:space="0" w:color="00338D"/>
          <w:right w:val="single" w:sz="8" w:space="0" w:color="00338D"/>
        </w:tcBorders>
      </w:tcPr>
    </w:tblStylePr>
    <w:tblStylePr w:type="firstCol">
      <w:rPr>
        <w:b/>
        <w:bCs/>
      </w:rPr>
    </w:tblStylePr>
    <w:tblStylePr w:type="lastCol">
      <w:rPr>
        <w:b/>
        <w:bCs/>
      </w:rPr>
    </w:tblStylePr>
    <w:tblStylePr w:type="band1Vert">
      <w:tblPr/>
      <w:tcPr>
        <w:tcBorders>
          <w:top w:val="single" w:sz="8" w:space="0" w:color="00338D"/>
          <w:left w:val="single" w:sz="8" w:space="0" w:color="00338D"/>
          <w:bottom w:val="single" w:sz="8" w:space="0" w:color="00338D"/>
          <w:right w:val="single" w:sz="8" w:space="0" w:color="00338D"/>
        </w:tcBorders>
      </w:tcPr>
    </w:tblStylePr>
    <w:tblStylePr w:type="band1Horz">
      <w:tblPr/>
      <w:tcPr>
        <w:tcBorders>
          <w:top w:val="single" w:sz="8" w:space="0" w:color="00338D"/>
          <w:left w:val="single" w:sz="8" w:space="0" w:color="00338D"/>
          <w:bottom w:val="single" w:sz="8" w:space="0" w:color="00338D"/>
          <w:right w:val="single" w:sz="8" w:space="0" w:color="00338D"/>
        </w:tcBorders>
      </w:tcPr>
    </w:tblStylePr>
  </w:style>
  <w:style w:type="paragraph" w:customStyle="1" w:styleId="UoMCHeadingAttachmentLvl1UoM">
    <w:name w:val="UoMC Heading Attachment Lvl 1 UoM"/>
    <w:basedOn w:val="Heading7"/>
    <w:uiPriority w:val="99"/>
    <w:qFormat/>
    <w:rsid w:val="00350B77"/>
    <w:pPr>
      <w:keepNext w:val="0"/>
      <w:keepLines w:val="0"/>
      <w:numPr>
        <w:numId w:val="13"/>
      </w:numPr>
      <w:tabs>
        <w:tab w:val="num" w:pos="360"/>
      </w:tabs>
      <w:spacing w:before="240" w:after="60" w:line="240" w:lineRule="auto"/>
      <w:ind w:left="720" w:hanging="360"/>
    </w:pPr>
    <w:rPr>
      <w:rFonts w:ascii="Arial" w:eastAsia="PMingLiU" w:hAnsi="Arial" w:cs="Times New Roman"/>
      <w:b/>
      <w:i/>
      <w:iCs w:val="0"/>
      <w:color w:val="003F87"/>
      <w:sz w:val="28"/>
      <w:szCs w:val="24"/>
      <w:lang w:eastAsia="en-AU"/>
    </w:rPr>
  </w:style>
  <w:style w:type="paragraph" w:customStyle="1" w:styleId="UoMCHeadingAttachmentsLvl2UoM">
    <w:name w:val="UoMC Heading Attachments Lvl 2 UoM"/>
    <w:basedOn w:val="Heading8"/>
    <w:uiPriority w:val="99"/>
    <w:qFormat/>
    <w:rsid w:val="00350B77"/>
    <w:pPr>
      <w:keepNext w:val="0"/>
      <w:keepLines w:val="0"/>
      <w:numPr>
        <w:ilvl w:val="1"/>
        <w:numId w:val="13"/>
      </w:numPr>
      <w:tabs>
        <w:tab w:val="clear" w:pos="720"/>
        <w:tab w:val="num" w:pos="360"/>
      </w:tabs>
      <w:spacing w:before="240" w:after="60" w:line="240" w:lineRule="auto"/>
      <w:ind w:left="1440" w:hanging="360"/>
    </w:pPr>
    <w:rPr>
      <w:rFonts w:ascii="Calibri" w:eastAsia="PMingLiU" w:hAnsi="Calibri" w:cs="Times New Roman"/>
      <w:b/>
      <w:iCs/>
      <w:color w:val="005FC8"/>
      <w:sz w:val="26"/>
      <w:szCs w:val="24"/>
      <w:lang w:eastAsia="en-AU"/>
    </w:rPr>
  </w:style>
  <w:style w:type="paragraph" w:customStyle="1" w:styleId="SectionSubheading2">
    <w:name w:val="Section Sub heading 2"/>
    <w:basedOn w:val="Heading3"/>
    <w:next w:val="Para0"/>
    <w:uiPriority w:val="99"/>
    <w:qFormat/>
    <w:rsid w:val="00957F50"/>
    <w:pPr>
      <w:spacing w:before="240" w:after="120" w:line="240" w:lineRule="atLeast"/>
      <w:ind w:left="0" w:firstLine="0"/>
    </w:pPr>
    <w:rPr>
      <w:rFonts w:asciiTheme="minorHAnsi" w:eastAsiaTheme="majorEastAsia" w:hAnsiTheme="minorHAnsi" w:cstheme="majorBidi"/>
      <w:b/>
      <w:bCs/>
      <w:color w:val="D1694C" w:themeColor="accent6"/>
      <w:sz w:val="22"/>
    </w:rPr>
  </w:style>
  <w:style w:type="paragraph" w:customStyle="1" w:styleId="UoMCHeading2">
    <w:name w:val="UoMC Heading 2"/>
    <w:basedOn w:val="Normal"/>
    <w:link w:val="UoMCHeading2Char"/>
    <w:qFormat/>
    <w:rsid w:val="00957F50"/>
    <w:pPr>
      <w:keepNext/>
      <w:spacing w:before="240" w:after="60" w:line="240" w:lineRule="auto"/>
      <w:outlineLvl w:val="1"/>
    </w:pPr>
    <w:rPr>
      <w:rFonts w:ascii="Calibri" w:eastAsia="Times New Roman" w:hAnsi="Calibri" w:cs="Arial"/>
      <w:b/>
      <w:bCs/>
      <w:iCs/>
      <w:color w:val="0093D0"/>
      <w:sz w:val="26"/>
      <w:szCs w:val="28"/>
      <w:lang w:eastAsia="en-AU"/>
    </w:rPr>
  </w:style>
  <w:style w:type="character" w:customStyle="1" w:styleId="UoMCHeading2Char">
    <w:name w:val="UoMC Heading 2 Char"/>
    <w:basedOn w:val="DefaultParagraphFont"/>
    <w:link w:val="UoMCHeading2"/>
    <w:rsid w:val="00957F50"/>
    <w:rPr>
      <w:rFonts w:ascii="Calibri" w:eastAsia="Times New Roman" w:hAnsi="Calibri" w:cs="Arial"/>
      <w:b/>
      <w:bCs/>
      <w:iCs/>
      <w:color w:val="0093D0"/>
      <w:sz w:val="26"/>
      <w:szCs w:val="28"/>
      <w:lang w:eastAsia="en-AU"/>
    </w:rPr>
  </w:style>
  <w:style w:type="paragraph" w:styleId="FootnoteText">
    <w:name w:val="footnote text"/>
    <w:basedOn w:val="Normal"/>
    <w:link w:val="FootnoteTextChar"/>
    <w:unhideWhenUsed/>
    <w:rsid w:val="008C7A2E"/>
    <w:pPr>
      <w:spacing w:after="0" w:line="240" w:lineRule="auto"/>
    </w:pPr>
    <w:rPr>
      <w:szCs w:val="20"/>
    </w:rPr>
  </w:style>
  <w:style w:type="character" w:customStyle="1" w:styleId="FootnoteTextChar">
    <w:name w:val="Footnote Text Char"/>
    <w:basedOn w:val="DefaultParagraphFont"/>
    <w:link w:val="FootnoteText"/>
    <w:rsid w:val="008C7A2E"/>
    <w:rPr>
      <w:sz w:val="20"/>
      <w:szCs w:val="20"/>
    </w:rPr>
  </w:style>
  <w:style w:type="character" w:styleId="FootnoteReference">
    <w:name w:val="footnote reference"/>
    <w:basedOn w:val="DefaultParagraphFont"/>
    <w:unhideWhenUsed/>
    <w:rsid w:val="008C7A2E"/>
    <w:rPr>
      <w:vertAlign w:val="superscript"/>
    </w:rPr>
  </w:style>
  <w:style w:type="table" w:styleId="TableGridLight">
    <w:name w:val="Grid Table Light"/>
    <w:basedOn w:val="TableNormal"/>
    <w:uiPriority w:val="40"/>
    <w:rsid w:val="00A22ED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UoMCHeading1">
    <w:name w:val="UoMC Heading 1"/>
    <w:basedOn w:val="Normal"/>
    <w:link w:val="UoMCHeading1Char"/>
    <w:qFormat/>
    <w:rsid w:val="001010BF"/>
    <w:pPr>
      <w:keepNext/>
      <w:tabs>
        <w:tab w:val="left" w:pos="567"/>
      </w:tabs>
      <w:spacing w:before="240" w:after="60" w:line="240" w:lineRule="auto"/>
      <w:jc w:val="left"/>
      <w:outlineLvl w:val="0"/>
    </w:pPr>
    <w:rPr>
      <w:rFonts w:ascii="Arial" w:eastAsia="Times New Roman" w:hAnsi="Arial" w:cs="Arial"/>
      <w:b/>
      <w:bCs/>
      <w:color w:val="002952"/>
      <w:kern w:val="32"/>
      <w:sz w:val="28"/>
      <w:szCs w:val="32"/>
      <w:lang w:eastAsia="en-AU"/>
    </w:rPr>
  </w:style>
  <w:style w:type="character" w:customStyle="1" w:styleId="UoMCHeading1Char">
    <w:name w:val="UoMC Heading 1 Char"/>
    <w:basedOn w:val="DefaultParagraphFont"/>
    <w:link w:val="UoMCHeading1"/>
    <w:rsid w:val="001010BF"/>
    <w:rPr>
      <w:rFonts w:ascii="Arial" w:eastAsia="Times New Roman" w:hAnsi="Arial" w:cs="Arial"/>
      <w:b/>
      <w:bCs/>
      <w:color w:val="002952"/>
      <w:kern w:val="32"/>
      <w:sz w:val="28"/>
      <w:szCs w:val="32"/>
      <w:lang w:eastAsia="en-AU"/>
    </w:rPr>
  </w:style>
  <w:style w:type="paragraph" w:customStyle="1" w:styleId="BodyTextL2UoM">
    <w:name w:val="Body Text L2 UoM"/>
    <w:basedOn w:val="Normal"/>
    <w:uiPriority w:val="99"/>
    <w:qFormat/>
    <w:rsid w:val="001C13D9"/>
    <w:pPr>
      <w:spacing w:before="120" w:line="240" w:lineRule="auto"/>
      <w:ind w:left="720"/>
      <w:jc w:val="left"/>
    </w:pPr>
    <w:rPr>
      <w:rFonts w:ascii="Arial" w:eastAsia="Times New Roman" w:hAnsi="Arial" w:cs="Times New Roman"/>
      <w:szCs w:val="24"/>
      <w:lang w:eastAsia="en-AU"/>
    </w:rPr>
  </w:style>
  <w:style w:type="paragraph" w:customStyle="1" w:styleId="Para2dash">
    <w:name w:val="Para 2 dash"/>
    <w:basedOn w:val="Normal"/>
    <w:uiPriority w:val="99"/>
    <w:rsid w:val="004D7BB5"/>
    <w:pPr>
      <w:numPr>
        <w:ilvl w:val="1"/>
        <w:numId w:val="15"/>
      </w:numPr>
      <w:spacing w:line="240" w:lineRule="atLeast"/>
      <w:ind w:left="1276" w:hanging="425"/>
      <w:jc w:val="left"/>
    </w:pPr>
    <w:rPr>
      <w:rFonts w:ascii="Arial" w:hAnsi="Arial"/>
      <w:szCs w:val="24"/>
      <w:lang w:eastAsia="en-US"/>
    </w:rPr>
  </w:style>
  <w:style w:type="paragraph" w:customStyle="1" w:styleId="EndNoteBibliography">
    <w:name w:val="EndNote Bibliography"/>
    <w:basedOn w:val="Normal"/>
    <w:link w:val="EndNoteBibliographyChar"/>
    <w:rsid w:val="000B15BA"/>
    <w:pPr>
      <w:spacing w:after="220" w:line="240" w:lineRule="atLeast"/>
      <w:jc w:val="left"/>
    </w:pPr>
    <w:rPr>
      <w:rFonts w:ascii="Arial" w:hAnsi="Arial" w:cs="Arial"/>
      <w:noProof/>
      <w:szCs w:val="24"/>
      <w:lang w:val="en-US" w:eastAsia="en-US"/>
    </w:rPr>
  </w:style>
  <w:style w:type="character" w:customStyle="1" w:styleId="EndNoteBibliographyChar">
    <w:name w:val="EndNote Bibliography Char"/>
    <w:basedOn w:val="DefaultParagraphFont"/>
    <w:link w:val="EndNoteBibliography"/>
    <w:rsid w:val="000B15BA"/>
    <w:rPr>
      <w:rFonts w:ascii="Arial" w:hAnsi="Arial" w:cs="Arial"/>
      <w:noProof/>
      <w:sz w:val="20"/>
      <w:szCs w:val="24"/>
      <w:lang w:val="en-US" w:eastAsia="en-US"/>
    </w:rPr>
  </w:style>
  <w:style w:type="paragraph" w:styleId="Revision">
    <w:name w:val="Revision"/>
    <w:hidden/>
    <w:uiPriority w:val="99"/>
    <w:semiHidden/>
    <w:rsid w:val="00953F91"/>
    <w:pPr>
      <w:spacing w:after="0" w:line="240" w:lineRule="auto"/>
      <w:jc w:val="left"/>
    </w:pPr>
    <w:rPr>
      <w:sz w:val="20"/>
    </w:rPr>
  </w:style>
  <w:style w:type="paragraph" w:customStyle="1" w:styleId="TableCaption">
    <w:name w:val="TableCaption"/>
    <w:basedOn w:val="Normal"/>
    <w:next w:val="Normal"/>
    <w:uiPriority w:val="12"/>
    <w:qFormat/>
    <w:rsid w:val="0059034C"/>
    <w:pPr>
      <w:spacing w:after="160" w:line="240" w:lineRule="auto"/>
      <w:jc w:val="left"/>
    </w:pPr>
    <w:rPr>
      <w:rFonts w:ascii="Arial Narrow" w:eastAsia="Times New Roman" w:hAnsi="Arial Narrow" w:cs="Times New Roman"/>
      <w:b/>
      <w:color w:val="000000"/>
      <w:kern w:val="28"/>
      <w:szCs w:val="20"/>
      <w:lang w:eastAsia="en-US"/>
    </w:rPr>
  </w:style>
  <w:style w:type="paragraph" w:customStyle="1" w:styleId="Tablebullet">
    <w:name w:val="Table bullet"/>
    <w:basedOn w:val="Normal"/>
    <w:uiPriority w:val="14"/>
    <w:qFormat/>
    <w:rsid w:val="00DE603C"/>
    <w:pPr>
      <w:spacing w:before="60" w:after="60" w:line="240" w:lineRule="atLeast"/>
    </w:pPr>
    <w:rPr>
      <w:szCs w:val="24"/>
    </w:rPr>
  </w:style>
  <w:style w:type="paragraph" w:customStyle="1" w:styleId="ContentBulletsArrow">
    <w:name w:val="Content Bullets Arrow"/>
    <w:basedOn w:val="Para0"/>
    <w:uiPriority w:val="99"/>
    <w:semiHidden/>
    <w:qFormat/>
    <w:rsid w:val="00850E86"/>
    <w:pPr>
      <w:numPr>
        <w:numId w:val="18"/>
      </w:numPr>
      <w:jc w:val="left"/>
    </w:pPr>
    <w:rPr>
      <w:rFonts w:cstheme="minorBidi"/>
      <w:color w:val="42145F"/>
      <w:szCs w:val="24"/>
      <w:lang w:val="en-GB" w:eastAsia="en-US"/>
    </w:rPr>
  </w:style>
  <w:style w:type="table" w:customStyle="1" w:styleId="TableGrid3">
    <w:name w:val="Table Grid3"/>
    <w:basedOn w:val="TableNormal"/>
    <w:uiPriority w:val="39"/>
    <w:rsid w:val="00850E86"/>
    <w:pPr>
      <w:spacing w:after="0" w:line="240" w:lineRule="auto"/>
      <w:jc w:val="left"/>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6656D"/>
    <w:rPr>
      <w:color w:val="605E5C"/>
      <w:shd w:val="clear" w:color="auto" w:fill="E1DFDD"/>
    </w:rPr>
  </w:style>
  <w:style w:type="paragraph" w:customStyle="1" w:styleId="EndNoteBibliographyTitle">
    <w:name w:val="EndNote Bibliography Title"/>
    <w:basedOn w:val="Normal"/>
    <w:link w:val="EndNoteBibliographyTitleChar"/>
    <w:rsid w:val="00041286"/>
    <w:pPr>
      <w:spacing w:after="0"/>
      <w:jc w:val="center"/>
    </w:pPr>
    <w:rPr>
      <w:rFonts w:ascii="Arial" w:hAnsi="Arial" w:cs="Arial"/>
      <w:noProof/>
    </w:rPr>
  </w:style>
  <w:style w:type="character" w:customStyle="1" w:styleId="EndNoteBibliographyTitleChar">
    <w:name w:val="EndNote Bibliography Title Char"/>
    <w:basedOn w:val="DefaultParagraphFont"/>
    <w:link w:val="EndNoteBibliographyTitle"/>
    <w:rsid w:val="00041286"/>
    <w:rPr>
      <w:rFonts w:ascii="Arial" w:hAnsi="Arial" w:cs="Arial"/>
      <w:noProof/>
      <w:sz w:val="20"/>
    </w:rPr>
  </w:style>
  <w:style w:type="character" w:customStyle="1" w:styleId="ListParagraphChar">
    <w:name w:val="List Paragraph Char"/>
    <w:aliases w:val="table text Char"/>
    <w:basedOn w:val="DefaultParagraphFont"/>
    <w:link w:val="ListParagraph"/>
    <w:uiPriority w:val="34"/>
    <w:rsid w:val="00270F50"/>
    <w:rPr>
      <w:sz w:val="20"/>
    </w:rPr>
  </w:style>
  <w:style w:type="paragraph" w:customStyle="1" w:styleId="Tabletext">
    <w:name w:val="Table text"/>
    <w:basedOn w:val="Normal"/>
    <w:uiPriority w:val="14"/>
    <w:qFormat/>
    <w:rsid w:val="00270F50"/>
    <w:pPr>
      <w:spacing w:before="60" w:after="60" w:line="240" w:lineRule="atLeast"/>
      <w:jc w:val="left"/>
    </w:pPr>
    <w:rPr>
      <w:rFonts w:ascii="Arial" w:hAnsi="Arial"/>
      <w:szCs w:val="24"/>
      <w:lang w:val="en-GB" w:eastAsia="en-US"/>
    </w:rPr>
  </w:style>
  <w:style w:type="character" w:styleId="FollowedHyperlink">
    <w:name w:val="FollowedHyperlink"/>
    <w:basedOn w:val="DefaultParagraphFont"/>
    <w:unhideWhenUsed/>
    <w:rsid w:val="00F408FF"/>
    <w:rPr>
      <w:color w:val="000000" w:themeColor="followedHyperlink"/>
      <w:u w:val="single"/>
    </w:rPr>
  </w:style>
  <w:style w:type="paragraph" w:customStyle="1" w:styleId="msonormal0">
    <w:name w:val="msonormal"/>
    <w:basedOn w:val="Normal"/>
    <w:uiPriority w:val="99"/>
    <w:rsid w:val="00F408FF"/>
    <w:pPr>
      <w:spacing w:before="100" w:beforeAutospacing="1" w:after="100" w:afterAutospacing="1" w:line="240" w:lineRule="auto"/>
    </w:pPr>
    <w:rPr>
      <w:rFonts w:ascii="Times New Roman" w:eastAsia="SimSun" w:hAnsi="Times New Roman" w:cs="Times New Roman"/>
      <w:sz w:val="24"/>
      <w:szCs w:val="24"/>
    </w:rPr>
  </w:style>
  <w:style w:type="paragraph" w:customStyle="1" w:styleId="Tableheadingtext">
    <w:name w:val="Table heading text"/>
    <w:uiPriority w:val="99"/>
    <w:qFormat/>
    <w:rsid w:val="00F408FF"/>
    <w:pPr>
      <w:spacing w:before="60" w:after="60" w:line="230" w:lineRule="atLeast"/>
      <w:jc w:val="left"/>
    </w:pPr>
    <w:rPr>
      <w:rFonts w:ascii="Arial" w:eastAsia="Times New Roman" w:hAnsi="Arial" w:cs="Arial"/>
      <w:b/>
      <w:color w:val="FFFFFF" w:themeColor="background1"/>
      <w:sz w:val="20"/>
      <w:szCs w:val="24"/>
      <w:lang w:eastAsia="en-US"/>
    </w:rPr>
  </w:style>
  <w:style w:type="paragraph" w:customStyle="1" w:styleId="paragraph">
    <w:name w:val="paragraph"/>
    <w:basedOn w:val="Normal"/>
    <w:uiPriority w:val="99"/>
    <w:rsid w:val="00F408FF"/>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paragraph" w:customStyle="1" w:styleId="Normalnumbered">
    <w:name w:val="Normal numbered"/>
    <w:basedOn w:val="ListParagraph"/>
    <w:uiPriority w:val="99"/>
    <w:qFormat/>
    <w:rsid w:val="00F408FF"/>
    <w:pPr>
      <w:numPr>
        <w:numId w:val="24"/>
      </w:numPr>
      <w:spacing w:after="113" w:line="240" w:lineRule="atLeast"/>
      <w:jc w:val="left"/>
    </w:pPr>
    <w:rPr>
      <w:rFonts w:ascii="Arial" w:eastAsia="Times New Roman" w:hAnsi="Arial" w:cs="Arial"/>
      <w:lang w:eastAsia="en-AU"/>
    </w:rPr>
  </w:style>
  <w:style w:type="paragraph" w:customStyle="1" w:styleId="SHCaption">
    <w:name w:val="S_H_Caption"/>
    <w:basedOn w:val="Caption"/>
    <w:next w:val="Normal"/>
    <w:uiPriority w:val="99"/>
    <w:qFormat/>
    <w:rsid w:val="00F408FF"/>
    <w:pPr>
      <w:jc w:val="left"/>
    </w:pPr>
    <w:rPr>
      <w:rFonts w:ascii="Calibri Light" w:hAnsi="Calibri Light"/>
      <w:b w:val="0"/>
      <w:bCs/>
      <w:iCs w:val="0"/>
      <w:color w:val="002060"/>
      <w:sz w:val="18"/>
      <w:szCs w:val="18"/>
      <w:lang w:val="en-US" w:eastAsia="en-US"/>
    </w:rPr>
  </w:style>
  <w:style w:type="character" w:customStyle="1" w:styleId="normaltextrun">
    <w:name w:val="normaltextrun"/>
    <w:basedOn w:val="DefaultParagraphFont"/>
    <w:rsid w:val="00F408FF"/>
  </w:style>
  <w:style w:type="character" w:customStyle="1" w:styleId="eop">
    <w:name w:val="eop"/>
    <w:basedOn w:val="DefaultParagraphFont"/>
    <w:rsid w:val="00F408FF"/>
  </w:style>
  <w:style w:type="character" w:customStyle="1" w:styleId="Para1narrowarrowChar">
    <w:name w:val="Para 1 narrow arrow Char"/>
    <w:basedOn w:val="DefaultParagraphFont"/>
    <w:link w:val="Para1narrowarrow"/>
    <w:uiPriority w:val="5"/>
    <w:locked/>
    <w:rsid w:val="00E85918"/>
    <w:rPr>
      <w:rFonts w:ascii="Arial" w:hAnsi="Arial" w:cs="Times New Roman"/>
      <w:sz w:val="20"/>
      <w:szCs w:val="24"/>
      <w:lang w:val="en-GB" w:eastAsia="en-AU"/>
    </w:rPr>
  </w:style>
  <w:style w:type="character" w:customStyle="1" w:styleId="SNormalTextChar">
    <w:name w:val="S_Normal Text Char"/>
    <w:basedOn w:val="DefaultParagraphFont"/>
    <w:link w:val="SNormalText"/>
    <w:locked/>
    <w:rsid w:val="00E85918"/>
    <w:rPr>
      <w:rFonts w:ascii="Calibri Light" w:hAnsi="Calibri Light" w:cs="Calibri Light"/>
      <w:lang w:val="en-US" w:eastAsia="en-US"/>
    </w:rPr>
  </w:style>
  <w:style w:type="paragraph" w:customStyle="1" w:styleId="SNormalText">
    <w:name w:val="S_Normal Text"/>
    <w:basedOn w:val="Normal"/>
    <w:link w:val="SNormalTextChar"/>
    <w:qFormat/>
    <w:rsid w:val="00E85918"/>
    <w:pPr>
      <w:spacing w:after="0" w:line="240" w:lineRule="auto"/>
      <w:jc w:val="left"/>
    </w:pPr>
    <w:rPr>
      <w:rFonts w:ascii="Calibri Light" w:hAnsi="Calibri Light" w:cs="Calibri Light"/>
      <w:sz w:val="22"/>
      <w:lang w:val="en-US" w:eastAsia="en-US"/>
    </w:rPr>
  </w:style>
  <w:style w:type="character" w:customStyle="1" w:styleId="contextualspellingandgrammarerror">
    <w:name w:val="contextualspellingandgrammarerror"/>
    <w:basedOn w:val="DefaultParagraphFont"/>
    <w:rsid w:val="00E85918"/>
  </w:style>
  <w:style w:type="table" w:styleId="PlainTable2">
    <w:name w:val="Plain Table 2"/>
    <w:basedOn w:val="TableNormal"/>
    <w:uiPriority w:val="42"/>
    <w:rsid w:val="00E85918"/>
    <w:pPr>
      <w:spacing w:after="0" w:line="240" w:lineRule="auto"/>
      <w:jc w:val="left"/>
    </w:pPr>
    <w:rPr>
      <w:rFonts w:eastAsiaTheme="minorHAnsi"/>
      <w:lang w:eastAsia="en-US"/>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
    <w:name w:val="Grid Table 1 Light"/>
    <w:basedOn w:val="TableNormal"/>
    <w:uiPriority w:val="46"/>
    <w:rsid w:val="00E85918"/>
    <w:pPr>
      <w:spacing w:after="0" w:line="240" w:lineRule="auto"/>
      <w:jc w:val="left"/>
    </w:pPr>
    <w:rPr>
      <w:rFonts w:eastAsiaTheme="minorHAnsi"/>
      <w:lang w:eastAsia="en-US"/>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E85918"/>
    <w:pPr>
      <w:spacing w:after="0" w:line="240" w:lineRule="auto"/>
      <w:jc w:val="left"/>
    </w:pPr>
    <w:rPr>
      <w:rFonts w:eastAsiaTheme="minorHAnsi"/>
      <w:lang w:eastAsia="en-US"/>
    </w:rPr>
    <w:tblPr>
      <w:tblStyleRowBandSize w:val="1"/>
      <w:tblStyleColBandSize w:val="1"/>
      <w:tblInd w:w="0" w:type="nil"/>
      <w:tblBorders>
        <w:top w:val="single" w:sz="4" w:space="0" w:color="2F88F0" w:themeColor="accent1" w:themeTint="99"/>
        <w:left w:val="single" w:sz="4" w:space="0" w:color="2F88F0" w:themeColor="accent1" w:themeTint="99"/>
        <w:bottom w:val="single" w:sz="4" w:space="0" w:color="2F88F0" w:themeColor="accent1" w:themeTint="99"/>
        <w:right w:val="single" w:sz="4" w:space="0" w:color="2F88F0" w:themeColor="accent1" w:themeTint="99"/>
        <w:insideH w:val="single" w:sz="4" w:space="0" w:color="2F88F0" w:themeColor="accent1" w:themeTint="99"/>
        <w:insideV w:val="single" w:sz="4" w:space="0" w:color="2F88F0" w:themeColor="accent1" w:themeTint="99"/>
      </w:tblBorders>
    </w:tblPr>
    <w:tblStylePr w:type="firstRow">
      <w:rPr>
        <w:b/>
        <w:bCs/>
        <w:color w:val="FFFFFF" w:themeColor="background1"/>
      </w:rPr>
      <w:tblPr/>
      <w:tcPr>
        <w:tcBorders>
          <w:top w:val="single" w:sz="4" w:space="0" w:color="094183" w:themeColor="accent1"/>
          <w:left w:val="single" w:sz="4" w:space="0" w:color="094183" w:themeColor="accent1"/>
          <w:bottom w:val="single" w:sz="4" w:space="0" w:color="094183" w:themeColor="accent1"/>
          <w:right w:val="single" w:sz="4" w:space="0" w:color="094183" w:themeColor="accent1"/>
          <w:insideH w:val="nil"/>
          <w:insideV w:val="nil"/>
        </w:tcBorders>
        <w:shd w:val="clear" w:color="auto" w:fill="094183" w:themeFill="accent1"/>
      </w:tcPr>
    </w:tblStylePr>
    <w:tblStylePr w:type="lastRow">
      <w:rPr>
        <w:b/>
        <w:bCs/>
      </w:rPr>
      <w:tblPr/>
      <w:tcPr>
        <w:tcBorders>
          <w:top w:val="double" w:sz="4" w:space="0" w:color="094183" w:themeColor="accent1"/>
        </w:tcBorders>
      </w:tcPr>
    </w:tblStylePr>
    <w:tblStylePr w:type="firstCol">
      <w:rPr>
        <w:b/>
        <w:bCs/>
      </w:rPr>
    </w:tblStylePr>
    <w:tblStylePr w:type="lastCol">
      <w:rPr>
        <w:b/>
        <w:bCs/>
      </w:rPr>
    </w:tblStylePr>
    <w:tblStylePr w:type="band1Vert">
      <w:tblPr/>
      <w:tcPr>
        <w:shd w:val="clear" w:color="auto" w:fill="B9D7FA" w:themeFill="accent1" w:themeFillTint="33"/>
      </w:tcPr>
    </w:tblStylePr>
    <w:tblStylePr w:type="band1Horz">
      <w:tblPr/>
      <w:tcPr>
        <w:shd w:val="clear" w:color="auto" w:fill="B9D7FA" w:themeFill="accent1" w:themeFillTint="33"/>
      </w:tcPr>
    </w:tblStylePr>
  </w:style>
  <w:style w:type="table" w:styleId="ListTable2">
    <w:name w:val="List Table 2"/>
    <w:basedOn w:val="TableNormal"/>
    <w:uiPriority w:val="47"/>
    <w:rsid w:val="00E85918"/>
    <w:pPr>
      <w:spacing w:after="0" w:line="240" w:lineRule="auto"/>
      <w:jc w:val="left"/>
    </w:pPr>
    <w:rPr>
      <w:rFonts w:eastAsiaTheme="minorHAnsi"/>
      <w:lang w:eastAsia="en-US"/>
    </w:rPr>
    <w:tblPr>
      <w:tblStyleRowBandSize w:val="1"/>
      <w:tblStyleColBandSize w:val="1"/>
      <w:tblInd w:w="0" w:type="nil"/>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9Char">
    <w:name w:val="Heading 9 Char"/>
    <w:basedOn w:val="DefaultParagraphFont"/>
    <w:link w:val="Heading9"/>
    <w:semiHidden/>
    <w:rsid w:val="001079A9"/>
    <w:rPr>
      <w:rFonts w:ascii="Arial" w:hAnsi="Arial"/>
      <w:b/>
      <w:color w:val="00338D"/>
      <w:sz w:val="32"/>
      <w:szCs w:val="24"/>
      <w:lang w:val="en-GB" w:eastAsia="en-US"/>
    </w:rPr>
  </w:style>
  <w:style w:type="character" w:customStyle="1" w:styleId="Heading9Char1">
    <w:name w:val="Heading 9 Char1"/>
    <w:aliases w:val="Appendix Char1"/>
    <w:basedOn w:val="DefaultParagraphFont"/>
    <w:semiHidden/>
    <w:rsid w:val="001079A9"/>
    <w:rPr>
      <w:rFonts w:asciiTheme="majorHAnsi" w:eastAsiaTheme="majorEastAsia" w:hAnsiTheme="majorHAnsi" w:cstheme="majorBidi"/>
      <w:i/>
      <w:iCs/>
      <w:color w:val="272727" w:themeColor="text1" w:themeTint="D8"/>
      <w:sz w:val="21"/>
      <w:szCs w:val="21"/>
      <w:lang w:val="en-GB"/>
    </w:rPr>
  </w:style>
  <w:style w:type="paragraph" w:styleId="TOC7">
    <w:name w:val="toc 7"/>
    <w:basedOn w:val="Normal"/>
    <w:next w:val="Normal"/>
    <w:autoRedefine/>
    <w:uiPriority w:val="39"/>
    <w:unhideWhenUsed/>
    <w:rsid w:val="001079A9"/>
    <w:pPr>
      <w:tabs>
        <w:tab w:val="left" w:pos="1315"/>
        <w:tab w:val="right" w:leader="dot" w:pos="9923"/>
      </w:tabs>
      <w:spacing w:after="100" w:line="240" w:lineRule="atLeast"/>
      <w:ind w:left="675" w:hanging="675"/>
      <w:jc w:val="left"/>
    </w:pPr>
    <w:rPr>
      <w:rFonts w:ascii="Arial" w:hAnsi="Arial"/>
      <w:szCs w:val="24"/>
      <w:lang w:val="en-GB" w:eastAsia="en-US"/>
    </w:rPr>
  </w:style>
  <w:style w:type="paragraph" w:styleId="TOC8">
    <w:name w:val="toc 8"/>
    <w:basedOn w:val="Normal"/>
    <w:next w:val="Normal"/>
    <w:autoRedefine/>
    <w:uiPriority w:val="39"/>
    <w:unhideWhenUsed/>
    <w:rsid w:val="001079A9"/>
    <w:pPr>
      <w:tabs>
        <w:tab w:val="left" w:pos="1315"/>
        <w:tab w:val="right" w:leader="dot" w:pos="9923"/>
      </w:tabs>
      <w:spacing w:after="100" w:line="240" w:lineRule="atLeast"/>
      <w:ind w:left="675" w:hanging="675"/>
      <w:jc w:val="left"/>
    </w:pPr>
    <w:rPr>
      <w:rFonts w:ascii="Arial" w:hAnsi="Arial"/>
      <w:szCs w:val="24"/>
      <w:lang w:val="en-GB" w:eastAsia="en-US"/>
    </w:rPr>
  </w:style>
  <w:style w:type="paragraph" w:styleId="TOC9">
    <w:name w:val="toc 9"/>
    <w:basedOn w:val="Normal"/>
    <w:next w:val="Normal"/>
    <w:autoRedefine/>
    <w:uiPriority w:val="39"/>
    <w:unhideWhenUsed/>
    <w:rsid w:val="001079A9"/>
    <w:pPr>
      <w:tabs>
        <w:tab w:val="right" w:leader="dot" w:pos="9923"/>
      </w:tabs>
      <w:spacing w:after="100" w:line="240" w:lineRule="atLeast"/>
      <w:jc w:val="left"/>
    </w:pPr>
    <w:rPr>
      <w:rFonts w:ascii="Arial" w:hAnsi="Arial"/>
      <w:b/>
      <w:noProof/>
      <w:szCs w:val="24"/>
      <w:lang w:val="en-GB" w:eastAsia="en-US"/>
    </w:rPr>
  </w:style>
  <w:style w:type="paragraph" w:styleId="EndnoteText">
    <w:name w:val="endnote text"/>
    <w:basedOn w:val="Normal"/>
    <w:link w:val="EndnoteTextChar"/>
    <w:semiHidden/>
    <w:unhideWhenUsed/>
    <w:rsid w:val="001079A9"/>
    <w:pPr>
      <w:spacing w:after="240" w:line="240" w:lineRule="auto"/>
      <w:ind w:left="170" w:hanging="170"/>
      <w:contextualSpacing/>
      <w:jc w:val="left"/>
    </w:pPr>
    <w:rPr>
      <w:rFonts w:ascii="Arial" w:hAnsi="Arial"/>
      <w:sz w:val="15"/>
      <w:szCs w:val="20"/>
      <w:lang w:val="en-GB" w:eastAsia="en-US"/>
    </w:rPr>
  </w:style>
  <w:style w:type="character" w:customStyle="1" w:styleId="EndnoteTextChar">
    <w:name w:val="Endnote Text Char"/>
    <w:basedOn w:val="DefaultParagraphFont"/>
    <w:link w:val="EndnoteText"/>
    <w:semiHidden/>
    <w:rsid w:val="001079A9"/>
    <w:rPr>
      <w:rFonts w:ascii="Arial" w:hAnsi="Arial"/>
      <w:sz w:val="15"/>
      <w:szCs w:val="20"/>
      <w:lang w:val="en-GB" w:eastAsia="en-US"/>
    </w:rPr>
  </w:style>
  <w:style w:type="paragraph" w:styleId="IntenseQuote">
    <w:name w:val="Intense Quote"/>
    <w:basedOn w:val="Normal"/>
    <w:next w:val="Normal"/>
    <w:link w:val="IntenseQuoteChar"/>
    <w:uiPriority w:val="30"/>
    <w:qFormat/>
    <w:rsid w:val="001079A9"/>
    <w:pPr>
      <w:pBdr>
        <w:bottom w:val="single" w:sz="4" w:space="4" w:color="094183" w:themeColor="accent1"/>
      </w:pBdr>
      <w:spacing w:before="200" w:after="280" w:line="240" w:lineRule="atLeast"/>
      <w:ind w:left="936" w:right="936"/>
      <w:jc w:val="left"/>
    </w:pPr>
    <w:rPr>
      <w:rFonts w:ascii="Arial" w:hAnsi="Arial"/>
      <w:b/>
      <w:bCs/>
      <w:i/>
      <w:iCs/>
      <w:color w:val="094183" w:themeColor="accent1"/>
      <w:szCs w:val="24"/>
      <w:lang w:val="en-GB" w:eastAsia="en-US"/>
    </w:rPr>
  </w:style>
  <w:style w:type="character" w:customStyle="1" w:styleId="IntenseQuoteChar">
    <w:name w:val="Intense Quote Char"/>
    <w:basedOn w:val="DefaultParagraphFont"/>
    <w:link w:val="IntenseQuote"/>
    <w:uiPriority w:val="30"/>
    <w:rsid w:val="001079A9"/>
    <w:rPr>
      <w:rFonts w:ascii="Arial" w:hAnsi="Arial"/>
      <w:b/>
      <w:bCs/>
      <w:i/>
      <w:iCs/>
      <w:color w:val="094183" w:themeColor="accent1"/>
      <w:sz w:val="20"/>
      <w:szCs w:val="24"/>
      <w:lang w:val="en-GB" w:eastAsia="en-US"/>
    </w:rPr>
  </w:style>
  <w:style w:type="paragraph" w:customStyle="1" w:styleId="ContentBold">
    <w:name w:val="Content Bold"/>
    <w:basedOn w:val="Para0"/>
    <w:next w:val="Para0"/>
    <w:uiPriority w:val="99"/>
    <w:semiHidden/>
    <w:qFormat/>
    <w:rsid w:val="001079A9"/>
    <w:pPr>
      <w:jc w:val="left"/>
    </w:pPr>
    <w:rPr>
      <w:rFonts w:cstheme="minorBidi"/>
      <w:b/>
      <w:szCs w:val="24"/>
      <w:lang w:val="en-GB" w:eastAsia="en-US"/>
    </w:rPr>
  </w:style>
  <w:style w:type="paragraph" w:customStyle="1" w:styleId="CoverSubheading">
    <w:name w:val="Cover Subheading"/>
    <w:basedOn w:val="CoverHeading"/>
    <w:next w:val="CoverDate"/>
    <w:uiPriority w:val="99"/>
    <w:semiHidden/>
    <w:rsid w:val="001079A9"/>
    <w:pPr>
      <w:spacing w:line="280" w:lineRule="exact"/>
    </w:pPr>
    <w:rPr>
      <w:rFonts w:ascii="Arial" w:hAnsi="Arial"/>
      <w:sz w:val="22"/>
      <w:szCs w:val="22"/>
    </w:rPr>
  </w:style>
  <w:style w:type="paragraph" w:customStyle="1" w:styleId="CoverHeading">
    <w:name w:val="Cover Heading"/>
    <w:basedOn w:val="Normal"/>
    <w:next w:val="CoverSubheading"/>
    <w:uiPriority w:val="99"/>
    <w:semiHidden/>
    <w:rsid w:val="001079A9"/>
    <w:pPr>
      <w:spacing w:after="200" w:line="360" w:lineRule="exact"/>
      <w:ind w:right="851"/>
      <w:jc w:val="right"/>
    </w:pPr>
    <w:rPr>
      <w:rFonts w:ascii="Arial Black" w:hAnsi="Arial Black"/>
      <w:color w:val="FFFFFF" w:themeColor="background2"/>
      <w:sz w:val="32"/>
      <w:szCs w:val="24"/>
      <w:lang w:val="en-GB" w:eastAsia="en-US"/>
    </w:rPr>
  </w:style>
  <w:style w:type="paragraph" w:customStyle="1" w:styleId="CoverDate">
    <w:name w:val="Cover Date"/>
    <w:basedOn w:val="CoverHeading"/>
    <w:next w:val="Para0"/>
    <w:uiPriority w:val="99"/>
    <w:semiHidden/>
    <w:rsid w:val="001079A9"/>
    <w:pPr>
      <w:spacing w:line="280" w:lineRule="exact"/>
    </w:pPr>
    <w:rPr>
      <w:rFonts w:ascii="Arial" w:hAnsi="Arial"/>
      <w:sz w:val="22"/>
    </w:rPr>
  </w:style>
  <w:style w:type="paragraph" w:customStyle="1" w:styleId="PageTitle">
    <w:name w:val="Page Title"/>
    <w:basedOn w:val="Para0"/>
    <w:uiPriority w:val="99"/>
    <w:semiHidden/>
    <w:rsid w:val="001079A9"/>
    <w:pPr>
      <w:spacing w:before="0" w:after="0" w:line="240" w:lineRule="auto"/>
      <w:ind w:left="3402"/>
      <w:jc w:val="left"/>
    </w:pPr>
    <w:rPr>
      <w:rFonts w:ascii="Arial Black" w:hAnsi="Arial Black" w:cstheme="minorBidi"/>
      <w:color w:val="999999"/>
      <w:sz w:val="24"/>
      <w:szCs w:val="24"/>
      <w:lang w:val="en-GB" w:eastAsia="en-US"/>
    </w:rPr>
  </w:style>
  <w:style w:type="paragraph" w:customStyle="1" w:styleId="CopyrightInfo">
    <w:name w:val="Copyright Info"/>
    <w:basedOn w:val="CoverHeading"/>
    <w:next w:val="Para0"/>
    <w:uiPriority w:val="99"/>
    <w:semiHidden/>
    <w:rsid w:val="001079A9"/>
    <w:pPr>
      <w:spacing w:before="200" w:after="30" w:line="180" w:lineRule="exact"/>
      <w:jc w:val="both"/>
    </w:pPr>
    <w:rPr>
      <w:rFonts w:ascii="Arial" w:hAnsi="Arial"/>
      <w:color w:val="auto"/>
      <w:sz w:val="14"/>
    </w:rPr>
  </w:style>
  <w:style w:type="paragraph" w:customStyle="1" w:styleId="FooterText">
    <w:name w:val="Footer Text"/>
    <w:basedOn w:val="Para0"/>
    <w:uiPriority w:val="99"/>
    <w:semiHidden/>
    <w:qFormat/>
    <w:rsid w:val="001079A9"/>
    <w:pPr>
      <w:spacing w:after="0" w:line="200" w:lineRule="exact"/>
      <w:ind w:left="567" w:right="284"/>
      <w:jc w:val="left"/>
    </w:pPr>
    <w:rPr>
      <w:rFonts w:ascii="Arial Narrow" w:hAnsi="Arial Narrow" w:cstheme="minorBidi"/>
      <w:b/>
      <w:sz w:val="16"/>
      <w:szCs w:val="24"/>
      <w:lang w:val="en-GB" w:eastAsia="en-US"/>
    </w:rPr>
  </w:style>
  <w:style w:type="character" w:customStyle="1" w:styleId="TableheadingChar">
    <w:name w:val="Table heading Char"/>
    <w:basedOn w:val="DefaultParagraphFont"/>
    <w:link w:val="Tableheading"/>
    <w:uiPriority w:val="14"/>
    <w:semiHidden/>
    <w:locked/>
    <w:rsid w:val="001079A9"/>
    <w:rPr>
      <w:rFonts w:ascii="Arial Black" w:hAnsi="Arial Black"/>
      <w:sz w:val="16"/>
      <w:lang w:val="en-GB"/>
    </w:rPr>
  </w:style>
  <w:style w:type="paragraph" w:customStyle="1" w:styleId="Tableheading">
    <w:name w:val="Table heading"/>
    <w:basedOn w:val="Normal"/>
    <w:link w:val="TableheadingChar"/>
    <w:uiPriority w:val="14"/>
    <w:semiHidden/>
    <w:qFormat/>
    <w:rsid w:val="001079A9"/>
    <w:pPr>
      <w:keepNext/>
      <w:spacing w:before="100" w:after="100" w:line="240" w:lineRule="atLeast"/>
      <w:jc w:val="left"/>
    </w:pPr>
    <w:rPr>
      <w:rFonts w:ascii="Arial Black" w:hAnsi="Arial Black"/>
      <w:sz w:val="16"/>
      <w:lang w:val="en-GB"/>
    </w:rPr>
  </w:style>
  <w:style w:type="paragraph" w:customStyle="1" w:styleId="ContentBulletsLetter">
    <w:name w:val="Content Bullets Letter"/>
    <w:basedOn w:val="Para0"/>
    <w:uiPriority w:val="99"/>
    <w:semiHidden/>
    <w:qFormat/>
    <w:rsid w:val="001079A9"/>
    <w:pPr>
      <w:numPr>
        <w:numId w:val="34"/>
      </w:numPr>
      <w:jc w:val="left"/>
    </w:pPr>
    <w:rPr>
      <w:rFonts w:cstheme="minorBidi"/>
      <w:szCs w:val="24"/>
      <w:lang w:val="en-GB" w:eastAsia="en-US"/>
    </w:rPr>
  </w:style>
  <w:style w:type="paragraph" w:customStyle="1" w:styleId="ContentBulletsRound">
    <w:name w:val="Content Bullets Round"/>
    <w:basedOn w:val="Para0"/>
    <w:uiPriority w:val="99"/>
    <w:semiHidden/>
    <w:qFormat/>
    <w:rsid w:val="001079A9"/>
    <w:pPr>
      <w:numPr>
        <w:numId w:val="35"/>
      </w:numPr>
      <w:jc w:val="left"/>
    </w:pPr>
    <w:rPr>
      <w:rFonts w:cstheme="minorBidi"/>
      <w:color w:val="000000"/>
      <w:szCs w:val="24"/>
      <w:lang w:val="en-GB" w:eastAsia="en-US"/>
    </w:rPr>
  </w:style>
  <w:style w:type="paragraph" w:customStyle="1" w:styleId="ContentBulletsNumber">
    <w:name w:val="Content Bullets Number"/>
    <w:basedOn w:val="Para0"/>
    <w:uiPriority w:val="99"/>
    <w:semiHidden/>
    <w:qFormat/>
    <w:rsid w:val="001079A9"/>
    <w:pPr>
      <w:numPr>
        <w:numId w:val="36"/>
      </w:numPr>
      <w:jc w:val="left"/>
    </w:pPr>
    <w:rPr>
      <w:rFonts w:cstheme="minorBidi"/>
      <w:szCs w:val="24"/>
      <w:lang w:val="en-GB" w:eastAsia="en-US"/>
    </w:rPr>
  </w:style>
  <w:style w:type="paragraph" w:customStyle="1" w:styleId="ProjectName">
    <w:name w:val="Project Name"/>
    <w:basedOn w:val="CoverHeading"/>
    <w:next w:val="Para0"/>
    <w:uiPriority w:val="99"/>
    <w:semiHidden/>
    <w:rsid w:val="001079A9"/>
    <w:pPr>
      <w:spacing w:after="0" w:line="240" w:lineRule="auto"/>
      <w:ind w:right="0"/>
      <w:jc w:val="left"/>
    </w:pPr>
    <w:rPr>
      <w:rFonts w:ascii="Arial" w:hAnsi="Arial"/>
      <w:b/>
      <w:color w:val="00338D"/>
      <w:sz w:val="24"/>
    </w:rPr>
  </w:style>
  <w:style w:type="paragraph" w:customStyle="1" w:styleId="PageHeading">
    <w:name w:val="Page Heading"/>
    <w:basedOn w:val="PageTitle"/>
    <w:next w:val="Para0"/>
    <w:uiPriority w:val="99"/>
    <w:semiHidden/>
    <w:rsid w:val="001079A9"/>
    <w:pPr>
      <w:spacing w:after="240"/>
    </w:pPr>
    <w:rPr>
      <w:sz w:val="22"/>
    </w:rPr>
  </w:style>
  <w:style w:type="paragraph" w:customStyle="1" w:styleId="FooterNumbering">
    <w:name w:val="Footer Numbering"/>
    <w:basedOn w:val="FooterText"/>
    <w:next w:val="Para0"/>
    <w:uiPriority w:val="99"/>
    <w:semiHidden/>
    <w:qFormat/>
    <w:rsid w:val="001079A9"/>
    <w:pPr>
      <w:ind w:left="0"/>
      <w:jc w:val="right"/>
    </w:pPr>
  </w:style>
  <w:style w:type="paragraph" w:customStyle="1" w:styleId="ContentBulletsDash">
    <w:name w:val="Content Bullets Dash"/>
    <w:basedOn w:val="Para0"/>
    <w:uiPriority w:val="99"/>
    <w:semiHidden/>
    <w:qFormat/>
    <w:rsid w:val="001079A9"/>
    <w:pPr>
      <w:numPr>
        <w:numId w:val="37"/>
      </w:numPr>
      <w:jc w:val="left"/>
    </w:pPr>
    <w:rPr>
      <w:rFonts w:cstheme="minorBidi"/>
      <w:szCs w:val="24"/>
      <w:lang w:val="en-GB" w:eastAsia="en-US"/>
    </w:rPr>
  </w:style>
  <w:style w:type="paragraph" w:customStyle="1" w:styleId="ContentBulletsRomanNumeral">
    <w:name w:val="Content Bullets Roman Numeral"/>
    <w:basedOn w:val="Para0"/>
    <w:uiPriority w:val="99"/>
    <w:semiHidden/>
    <w:qFormat/>
    <w:rsid w:val="001079A9"/>
    <w:pPr>
      <w:numPr>
        <w:numId w:val="91"/>
      </w:numPr>
      <w:jc w:val="left"/>
    </w:pPr>
    <w:rPr>
      <w:rFonts w:cstheme="minorBidi"/>
      <w:szCs w:val="24"/>
      <w:lang w:val="en-GB" w:eastAsia="en-US"/>
    </w:rPr>
  </w:style>
  <w:style w:type="paragraph" w:customStyle="1" w:styleId="Tablesmallbullet">
    <w:name w:val="Table small bullet"/>
    <w:basedOn w:val="Tablesmalltext"/>
    <w:uiPriority w:val="15"/>
    <w:semiHidden/>
    <w:qFormat/>
    <w:rsid w:val="001079A9"/>
    <w:pPr>
      <w:numPr>
        <w:numId w:val="46"/>
      </w:numPr>
      <w:jc w:val="left"/>
    </w:pPr>
    <w:rPr>
      <w:lang w:val="en-GB"/>
    </w:rPr>
  </w:style>
  <w:style w:type="paragraph" w:customStyle="1" w:styleId="Tablesmallletter">
    <w:name w:val="Table small letter"/>
    <w:basedOn w:val="Tablesmallbullet"/>
    <w:uiPriority w:val="15"/>
    <w:semiHidden/>
    <w:qFormat/>
    <w:rsid w:val="001079A9"/>
    <w:pPr>
      <w:numPr>
        <w:numId w:val="38"/>
      </w:numPr>
    </w:pPr>
  </w:style>
  <w:style w:type="paragraph" w:customStyle="1" w:styleId="Tablesmallnumber">
    <w:name w:val="Table small number"/>
    <w:basedOn w:val="Tablesmallbullet"/>
    <w:uiPriority w:val="15"/>
    <w:semiHidden/>
    <w:qFormat/>
    <w:rsid w:val="001079A9"/>
    <w:pPr>
      <w:numPr>
        <w:numId w:val="0"/>
      </w:numPr>
      <w:ind w:left="284" w:hanging="171"/>
    </w:pPr>
  </w:style>
  <w:style w:type="paragraph" w:customStyle="1" w:styleId="Sidebartext">
    <w:name w:val="Sidebar text"/>
    <w:basedOn w:val="Sidebarheading"/>
    <w:uiPriority w:val="12"/>
    <w:semiHidden/>
    <w:qFormat/>
    <w:rsid w:val="001079A9"/>
    <w:pPr>
      <w:framePr w:wrap="around"/>
    </w:pPr>
    <w:rPr>
      <w:b w:val="0"/>
      <w:caps w:val="0"/>
      <w:color w:val="auto"/>
    </w:rPr>
  </w:style>
  <w:style w:type="paragraph" w:customStyle="1" w:styleId="Sidebarheading">
    <w:name w:val="Sidebar heading"/>
    <w:basedOn w:val="Normal"/>
    <w:next w:val="Sidebartext"/>
    <w:uiPriority w:val="11"/>
    <w:semiHidden/>
    <w:qFormat/>
    <w:rsid w:val="001079A9"/>
    <w:pPr>
      <w:framePr w:hSpace="181" w:wrap="around" w:hAnchor="margin" w:x="109" w:y="182"/>
      <w:spacing w:before="40" w:line="240" w:lineRule="atLeast"/>
      <w:jc w:val="left"/>
    </w:pPr>
    <w:rPr>
      <w:rFonts w:ascii="Arial" w:hAnsi="Arial"/>
      <w:b/>
      <w:caps/>
      <w:color w:val="00338D"/>
      <w:sz w:val="18"/>
      <w:szCs w:val="24"/>
      <w:lang w:val="en-GB" w:eastAsia="en-US"/>
    </w:rPr>
  </w:style>
  <w:style w:type="paragraph" w:customStyle="1" w:styleId="ContactDetails">
    <w:name w:val="Contact Details"/>
    <w:basedOn w:val="Normal"/>
    <w:uiPriority w:val="99"/>
    <w:semiHidden/>
    <w:rsid w:val="001079A9"/>
    <w:pPr>
      <w:tabs>
        <w:tab w:val="left" w:pos="170"/>
      </w:tabs>
      <w:autoSpaceDE w:val="0"/>
      <w:autoSpaceDN w:val="0"/>
      <w:adjustRightInd w:val="0"/>
      <w:spacing w:before="60" w:after="28" w:line="220" w:lineRule="atLeast"/>
      <w:jc w:val="center"/>
    </w:pPr>
    <w:rPr>
      <w:rFonts w:ascii="Verdana" w:eastAsia="Times" w:hAnsi="Verdana" w:cs="Frutiger 45 Light"/>
      <w:color w:val="333F7F"/>
      <w:lang w:val="en-GB" w:eastAsia="en-AU"/>
    </w:rPr>
  </w:style>
  <w:style w:type="paragraph" w:customStyle="1" w:styleId="Sidebarbullet">
    <w:name w:val="Sidebar bullet"/>
    <w:basedOn w:val="Sidebartext"/>
    <w:uiPriority w:val="12"/>
    <w:semiHidden/>
    <w:qFormat/>
    <w:rsid w:val="001079A9"/>
    <w:pPr>
      <w:framePr w:wrap="around"/>
      <w:numPr>
        <w:numId w:val="94"/>
      </w:numPr>
      <w:spacing w:after="60"/>
    </w:pPr>
  </w:style>
  <w:style w:type="paragraph" w:customStyle="1" w:styleId="Collateralheading">
    <w:name w:val="Collateral heading"/>
    <w:basedOn w:val="Normal"/>
    <w:next w:val="Normal"/>
    <w:uiPriority w:val="99"/>
    <w:semiHidden/>
    <w:rsid w:val="001079A9"/>
    <w:pPr>
      <w:keepNext/>
      <w:spacing w:before="80" w:line="240" w:lineRule="atLeast"/>
      <w:jc w:val="left"/>
    </w:pPr>
    <w:rPr>
      <w:rFonts w:ascii="Arial Black" w:hAnsi="Arial Black"/>
      <w:color w:val="00338D"/>
      <w:sz w:val="18"/>
      <w:szCs w:val="24"/>
      <w:lang w:val="en-GB" w:eastAsia="en-US"/>
    </w:rPr>
  </w:style>
  <w:style w:type="paragraph" w:customStyle="1" w:styleId="Collateralsubheading">
    <w:name w:val="Collateral sub heading"/>
    <w:basedOn w:val="Collateralheading"/>
    <w:next w:val="Normal"/>
    <w:uiPriority w:val="99"/>
    <w:semiHidden/>
    <w:rsid w:val="001079A9"/>
    <w:pPr>
      <w:widowControl w:val="0"/>
      <w:spacing w:after="160"/>
    </w:pPr>
    <w:rPr>
      <w:rFonts w:ascii="Arial" w:hAnsi="Arial"/>
      <w:b/>
      <w:sz w:val="19"/>
    </w:rPr>
  </w:style>
  <w:style w:type="paragraph" w:customStyle="1" w:styleId="Name1">
    <w:name w:val="Name 1"/>
    <w:basedOn w:val="Normal"/>
    <w:uiPriority w:val="99"/>
    <w:semiHidden/>
    <w:rsid w:val="001079A9"/>
    <w:pPr>
      <w:spacing w:after="160" w:line="320" w:lineRule="exact"/>
      <w:jc w:val="right"/>
    </w:pPr>
    <w:rPr>
      <w:rFonts w:ascii="Arial Black" w:hAnsi="Arial Black"/>
      <w:color w:val="00338D"/>
      <w:sz w:val="36"/>
      <w:szCs w:val="24"/>
      <w:lang w:val="en-GB" w:eastAsia="en-US"/>
    </w:rPr>
  </w:style>
  <w:style w:type="paragraph" w:customStyle="1" w:styleId="Name2">
    <w:name w:val="Name 2"/>
    <w:basedOn w:val="Name1"/>
    <w:uiPriority w:val="99"/>
    <w:semiHidden/>
    <w:rsid w:val="001079A9"/>
    <w:pPr>
      <w:spacing w:after="0"/>
      <w:jc w:val="left"/>
    </w:pPr>
    <w:rPr>
      <w:sz w:val="20"/>
    </w:rPr>
  </w:style>
  <w:style w:type="paragraph" w:customStyle="1" w:styleId="Projectrole1">
    <w:name w:val="Project role 1"/>
    <w:basedOn w:val="Normal"/>
    <w:uiPriority w:val="99"/>
    <w:semiHidden/>
    <w:rsid w:val="001079A9"/>
    <w:pPr>
      <w:spacing w:after="160" w:line="240" w:lineRule="atLeast"/>
      <w:jc w:val="right"/>
    </w:pPr>
    <w:rPr>
      <w:rFonts w:ascii="Arial" w:hAnsi="Arial"/>
      <w:caps/>
      <w:color w:val="00338D"/>
      <w:szCs w:val="24"/>
      <w:lang w:val="en-GB" w:eastAsia="en-US"/>
    </w:rPr>
  </w:style>
  <w:style w:type="paragraph" w:customStyle="1" w:styleId="Projectrole2">
    <w:name w:val="Project role 2"/>
    <w:basedOn w:val="Projectrole1"/>
    <w:uiPriority w:val="99"/>
    <w:semiHidden/>
    <w:rsid w:val="001079A9"/>
    <w:pPr>
      <w:jc w:val="left"/>
    </w:pPr>
    <w:rPr>
      <w:sz w:val="14"/>
      <w:szCs w:val="16"/>
    </w:rPr>
  </w:style>
  <w:style w:type="paragraph" w:customStyle="1" w:styleId="Bodynarrow">
    <w:name w:val="Body narrow"/>
    <w:basedOn w:val="Normal"/>
    <w:uiPriority w:val="10"/>
    <w:qFormat/>
    <w:rsid w:val="001079A9"/>
    <w:pPr>
      <w:spacing w:before="40" w:line="240" w:lineRule="atLeast"/>
      <w:ind w:left="3402"/>
      <w:jc w:val="left"/>
    </w:pPr>
    <w:rPr>
      <w:rFonts w:ascii="Arial" w:hAnsi="Arial"/>
      <w:szCs w:val="24"/>
      <w:lang w:val="en-GB" w:eastAsia="en-US"/>
    </w:rPr>
  </w:style>
  <w:style w:type="paragraph" w:customStyle="1" w:styleId="Bodynarrowbullet">
    <w:name w:val="Body narrow bullet"/>
    <w:basedOn w:val="Bodynarrow"/>
    <w:uiPriority w:val="10"/>
    <w:semiHidden/>
    <w:qFormat/>
    <w:rsid w:val="001079A9"/>
    <w:pPr>
      <w:tabs>
        <w:tab w:val="left" w:pos="198"/>
      </w:tabs>
      <w:spacing w:after="60"/>
      <w:ind w:left="284" w:hanging="171"/>
    </w:pPr>
  </w:style>
  <w:style w:type="paragraph" w:customStyle="1" w:styleId="Bodynarrowarrow">
    <w:name w:val="Body narrow arrow"/>
    <w:basedOn w:val="Bodynarrowbullet"/>
    <w:uiPriority w:val="10"/>
    <w:semiHidden/>
    <w:qFormat/>
    <w:rsid w:val="001079A9"/>
    <w:pPr>
      <w:tabs>
        <w:tab w:val="clear" w:pos="198"/>
      </w:tabs>
      <w:ind w:hanging="284"/>
    </w:pPr>
  </w:style>
  <w:style w:type="paragraph" w:customStyle="1" w:styleId="Disclaimer1">
    <w:name w:val="Disclaimer 1"/>
    <w:basedOn w:val="Normal"/>
    <w:uiPriority w:val="99"/>
    <w:semiHidden/>
    <w:rsid w:val="001079A9"/>
    <w:pPr>
      <w:framePr w:hSpace="181" w:wrap="around" w:vAnchor="page" w:hAnchor="margin" w:y="12811"/>
      <w:spacing w:after="200" w:line="200" w:lineRule="exact"/>
      <w:jc w:val="left"/>
    </w:pPr>
    <w:rPr>
      <w:rFonts w:ascii="Arial" w:hAnsi="Arial"/>
      <w:b/>
      <w:color w:val="999999"/>
      <w:sz w:val="17"/>
      <w:szCs w:val="24"/>
      <w:lang w:val="en-GB" w:eastAsia="en-US"/>
    </w:rPr>
  </w:style>
  <w:style w:type="paragraph" w:customStyle="1" w:styleId="Disclaimer2">
    <w:name w:val="Disclaimer 2"/>
    <w:basedOn w:val="Disclaimer1"/>
    <w:uiPriority w:val="99"/>
    <w:semiHidden/>
    <w:rsid w:val="001079A9"/>
    <w:pPr>
      <w:framePr w:wrap="around"/>
      <w:spacing w:before="80" w:after="40" w:line="180" w:lineRule="atLeast"/>
    </w:pPr>
    <w:rPr>
      <w:sz w:val="14"/>
    </w:rPr>
  </w:style>
  <w:style w:type="paragraph" w:customStyle="1" w:styleId="Para0narrow">
    <w:name w:val="Para 0 narrow"/>
    <w:basedOn w:val="Para0"/>
    <w:next w:val="Para0"/>
    <w:uiPriority w:val="99"/>
    <w:semiHidden/>
    <w:qFormat/>
    <w:rsid w:val="001079A9"/>
    <w:pPr>
      <w:jc w:val="left"/>
    </w:pPr>
    <w:rPr>
      <w:rFonts w:cstheme="minorBidi"/>
      <w:szCs w:val="24"/>
      <w:lang w:val="en-GB" w:eastAsia="en-US"/>
    </w:rPr>
  </w:style>
  <w:style w:type="paragraph" w:customStyle="1" w:styleId="Para0bold">
    <w:name w:val="Para 0 bold"/>
    <w:basedOn w:val="Para0"/>
    <w:uiPriority w:val="4"/>
    <w:semiHidden/>
    <w:qFormat/>
    <w:rsid w:val="001079A9"/>
    <w:pPr>
      <w:jc w:val="left"/>
    </w:pPr>
    <w:rPr>
      <w:rFonts w:cstheme="minorBidi"/>
      <w:b/>
      <w:szCs w:val="24"/>
      <w:lang w:val="en-GB" w:eastAsia="en-US"/>
    </w:rPr>
  </w:style>
  <w:style w:type="paragraph" w:customStyle="1" w:styleId="Para0arrow">
    <w:name w:val="Para 0 arrow"/>
    <w:basedOn w:val="Para0"/>
    <w:uiPriority w:val="4"/>
    <w:semiHidden/>
    <w:qFormat/>
    <w:rsid w:val="001079A9"/>
    <w:pPr>
      <w:numPr>
        <w:numId w:val="39"/>
      </w:numPr>
      <w:tabs>
        <w:tab w:val="num" w:pos="360"/>
        <w:tab w:val="left" w:pos="851"/>
        <w:tab w:val="num" w:pos="3600"/>
      </w:tabs>
      <w:spacing w:before="0"/>
      <w:ind w:left="3600" w:hanging="3600"/>
      <w:jc w:val="left"/>
    </w:pPr>
    <w:rPr>
      <w:rFonts w:cstheme="minorBidi"/>
      <w:szCs w:val="24"/>
      <w:lang w:val="en-GB" w:eastAsia="en-US"/>
    </w:rPr>
  </w:style>
  <w:style w:type="paragraph" w:customStyle="1" w:styleId="Para0dash">
    <w:name w:val="Para 0 dash"/>
    <w:basedOn w:val="Para0"/>
    <w:uiPriority w:val="99"/>
    <w:semiHidden/>
    <w:qFormat/>
    <w:rsid w:val="001079A9"/>
    <w:pPr>
      <w:numPr>
        <w:numId w:val="40"/>
      </w:numPr>
      <w:tabs>
        <w:tab w:val="num" w:pos="360"/>
        <w:tab w:val="left" w:pos="851"/>
      </w:tabs>
      <w:spacing w:before="0"/>
      <w:jc w:val="left"/>
    </w:pPr>
    <w:rPr>
      <w:rFonts w:cstheme="minorBidi"/>
      <w:szCs w:val="24"/>
      <w:lang w:val="en-GB" w:eastAsia="en-US"/>
    </w:rPr>
  </w:style>
  <w:style w:type="paragraph" w:customStyle="1" w:styleId="Para0roman">
    <w:name w:val="Para 0 roman"/>
    <w:basedOn w:val="Para0"/>
    <w:uiPriority w:val="4"/>
    <w:semiHidden/>
    <w:qFormat/>
    <w:rsid w:val="001079A9"/>
    <w:pPr>
      <w:numPr>
        <w:numId w:val="41"/>
      </w:numPr>
      <w:tabs>
        <w:tab w:val="num" w:pos="360"/>
        <w:tab w:val="left" w:pos="851"/>
      </w:tabs>
      <w:spacing w:before="0"/>
      <w:ind w:left="1145" w:hanging="360"/>
      <w:jc w:val="left"/>
    </w:pPr>
    <w:rPr>
      <w:rFonts w:cstheme="minorBidi"/>
      <w:szCs w:val="24"/>
      <w:lang w:val="en-GB" w:eastAsia="en-US"/>
    </w:rPr>
  </w:style>
  <w:style w:type="paragraph" w:customStyle="1" w:styleId="Para0letter">
    <w:name w:val="Para 0 letter"/>
    <w:basedOn w:val="Para0"/>
    <w:uiPriority w:val="4"/>
    <w:semiHidden/>
    <w:qFormat/>
    <w:rsid w:val="001079A9"/>
    <w:pPr>
      <w:numPr>
        <w:numId w:val="42"/>
      </w:numPr>
      <w:tabs>
        <w:tab w:val="num" w:pos="360"/>
        <w:tab w:val="left" w:pos="851"/>
      </w:tabs>
      <w:spacing w:before="0"/>
      <w:ind w:left="955"/>
      <w:jc w:val="left"/>
    </w:pPr>
    <w:rPr>
      <w:rFonts w:cstheme="minorBidi"/>
      <w:szCs w:val="24"/>
      <w:lang w:val="en-GB" w:eastAsia="en-US"/>
    </w:rPr>
  </w:style>
  <w:style w:type="paragraph" w:customStyle="1" w:styleId="CVName">
    <w:name w:val="CVName"/>
    <w:basedOn w:val="Normal"/>
    <w:uiPriority w:val="99"/>
    <w:semiHidden/>
    <w:rsid w:val="001079A9"/>
    <w:pPr>
      <w:spacing w:after="220" w:line="240" w:lineRule="atLeast"/>
      <w:jc w:val="left"/>
    </w:pPr>
    <w:rPr>
      <w:rFonts w:ascii="Arial" w:hAnsi="Arial"/>
      <w:szCs w:val="24"/>
      <w:lang w:val="en-GB" w:eastAsia="en-US"/>
    </w:rPr>
  </w:style>
  <w:style w:type="paragraph" w:customStyle="1" w:styleId="Content">
    <w:name w:val="Content"/>
    <w:basedOn w:val="Normal"/>
    <w:uiPriority w:val="99"/>
    <w:semiHidden/>
    <w:qFormat/>
    <w:rsid w:val="001079A9"/>
    <w:pPr>
      <w:spacing w:after="220" w:line="280" w:lineRule="exact"/>
      <w:jc w:val="left"/>
    </w:pPr>
    <w:rPr>
      <w:rFonts w:ascii="Arial" w:hAnsi="Arial"/>
      <w:szCs w:val="24"/>
      <w:lang w:val="en-GB" w:eastAsia="en-US"/>
    </w:rPr>
  </w:style>
  <w:style w:type="paragraph" w:customStyle="1" w:styleId="Bodyheading">
    <w:name w:val="Body heading"/>
    <w:basedOn w:val="Collateralheading"/>
    <w:next w:val="Bodynarrow"/>
    <w:uiPriority w:val="9"/>
    <w:semiHidden/>
    <w:qFormat/>
    <w:rsid w:val="001079A9"/>
    <w:pPr>
      <w:widowControl w:val="0"/>
      <w:ind w:left="3402"/>
    </w:pPr>
  </w:style>
  <w:style w:type="paragraph" w:customStyle="1" w:styleId="Bodysubheading">
    <w:name w:val="Body sub heading"/>
    <w:basedOn w:val="Bodynarrow"/>
    <w:next w:val="Bodynarrow"/>
    <w:uiPriority w:val="99"/>
    <w:semiHidden/>
    <w:qFormat/>
    <w:rsid w:val="001079A9"/>
    <w:pPr>
      <w:spacing w:before="120"/>
    </w:pPr>
    <w:rPr>
      <w:b/>
    </w:rPr>
  </w:style>
  <w:style w:type="paragraph" w:customStyle="1" w:styleId="CVTitle">
    <w:name w:val="CVTitle"/>
    <w:basedOn w:val="Projectrole1"/>
    <w:uiPriority w:val="99"/>
    <w:semiHidden/>
    <w:rsid w:val="001079A9"/>
  </w:style>
  <w:style w:type="paragraph" w:customStyle="1" w:styleId="CVHead">
    <w:name w:val="CVHead"/>
    <w:basedOn w:val="Collateralheading"/>
    <w:uiPriority w:val="99"/>
    <w:semiHidden/>
    <w:rsid w:val="001079A9"/>
  </w:style>
  <w:style w:type="paragraph" w:customStyle="1" w:styleId="PHHeading1">
    <w:name w:val="PHHeading 1"/>
    <w:basedOn w:val="CVHead"/>
    <w:uiPriority w:val="99"/>
    <w:semiHidden/>
    <w:rsid w:val="001079A9"/>
  </w:style>
  <w:style w:type="paragraph" w:customStyle="1" w:styleId="PHHeading2">
    <w:name w:val="PHHeading 2"/>
    <w:basedOn w:val="Collateralsubheading"/>
    <w:uiPriority w:val="99"/>
    <w:semiHidden/>
    <w:rsid w:val="001079A9"/>
  </w:style>
  <w:style w:type="paragraph" w:customStyle="1" w:styleId="PHHeading3">
    <w:name w:val="PHHeading 3"/>
    <w:basedOn w:val="PHHeading2"/>
    <w:uiPriority w:val="99"/>
    <w:semiHidden/>
    <w:rsid w:val="001079A9"/>
  </w:style>
  <w:style w:type="paragraph" w:customStyle="1" w:styleId="Para1">
    <w:name w:val="Para 1"/>
    <w:basedOn w:val="Para0"/>
    <w:uiPriority w:val="5"/>
    <w:semiHidden/>
    <w:rsid w:val="001079A9"/>
    <w:pPr>
      <w:ind w:left="425"/>
      <w:jc w:val="left"/>
    </w:pPr>
    <w:rPr>
      <w:rFonts w:cstheme="minorBidi"/>
      <w:szCs w:val="24"/>
      <w:lang w:val="en-GB" w:eastAsia="en-US"/>
    </w:rPr>
  </w:style>
  <w:style w:type="paragraph" w:customStyle="1" w:styleId="Para1bullet">
    <w:name w:val="Para 1 bullet"/>
    <w:basedOn w:val="Para0bullet"/>
    <w:uiPriority w:val="5"/>
    <w:rsid w:val="001079A9"/>
    <w:pPr>
      <w:numPr>
        <w:numId w:val="23"/>
      </w:numPr>
      <w:ind w:left="850"/>
      <w:jc w:val="left"/>
    </w:pPr>
    <w:rPr>
      <w:rFonts w:cstheme="minorBidi"/>
      <w:lang w:val="en-GB"/>
    </w:rPr>
  </w:style>
  <w:style w:type="paragraph" w:customStyle="1" w:styleId="Para1number">
    <w:name w:val="Para 1 number"/>
    <w:basedOn w:val="Para1bullet"/>
    <w:uiPriority w:val="5"/>
    <w:semiHidden/>
    <w:rsid w:val="001079A9"/>
    <w:pPr>
      <w:numPr>
        <w:numId w:val="0"/>
      </w:numPr>
      <w:tabs>
        <w:tab w:val="num" w:pos="360"/>
      </w:tabs>
      <w:ind w:left="1145" w:hanging="360"/>
    </w:pPr>
  </w:style>
  <w:style w:type="paragraph" w:customStyle="1" w:styleId="Summary">
    <w:name w:val="Summary"/>
    <w:basedOn w:val="Normal"/>
    <w:next w:val="Para0"/>
    <w:uiPriority w:val="1"/>
    <w:semiHidden/>
    <w:qFormat/>
    <w:rsid w:val="001079A9"/>
    <w:pPr>
      <w:pageBreakBefore/>
      <w:spacing w:line="320" w:lineRule="exact"/>
      <w:jc w:val="left"/>
    </w:pPr>
    <w:rPr>
      <w:rFonts w:ascii="Arial" w:hAnsi="Arial"/>
      <w:b/>
      <w:color w:val="00338D"/>
      <w:sz w:val="32"/>
      <w:szCs w:val="24"/>
      <w:lang w:val="en-GB" w:eastAsia="en-US"/>
    </w:rPr>
  </w:style>
  <w:style w:type="paragraph" w:customStyle="1" w:styleId="SectionSubheading1">
    <w:name w:val="Section Sub heading 1"/>
    <w:basedOn w:val="Heading2"/>
    <w:next w:val="Para0"/>
    <w:uiPriority w:val="1"/>
    <w:semiHidden/>
    <w:qFormat/>
    <w:rsid w:val="001079A9"/>
    <w:pPr>
      <w:spacing w:before="240" w:after="120" w:line="240" w:lineRule="atLeast"/>
      <w:ind w:left="0" w:firstLine="0"/>
      <w:jc w:val="left"/>
    </w:pPr>
    <w:rPr>
      <w:rFonts w:ascii="Arial" w:eastAsiaTheme="majorEastAsia" w:hAnsi="Arial" w:cstheme="majorBidi"/>
      <w:bCs/>
      <w:color w:val="00338D"/>
      <w:lang w:val="en-GB"/>
    </w:rPr>
  </w:style>
  <w:style w:type="paragraph" w:customStyle="1" w:styleId="DocumentTitle">
    <w:name w:val="Document Title"/>
    <w:basedOn w:val="Normal"/>
    <w:uiPriority w:val="19"/>
    <w:semiHidden/>
    <w:rsid w:val="001079A9"/>
    <w:pPr>
      <w:spacing w:before="60" w:after="60" w:line="240" w:lineRule="atLeast"/>
      <w:jc w:val="left"/>
    </w:pPr>
    <w:rPr>
      <w:rFonts w:ascii="Arial" w:hAnsi="Arial"/>
      <w:szCs w:val="24"/>
      <w:lang w:val="en-GB" w:eastAsia="en-US"/>
    </w:rPr>
  </w:style>
  <w:style w:type="paragraph" w:customStyle="1" w:styleId="Para2">
    <w:name w:val="Para 2"/>
    <w:basedOn w:val="Para1"/>
    <w:uiPriority w:val="6"/>
    <w:semiHidden/>
    <w:rsid w:val="001079A9"/>
    <w:pPr>
      <w:ind w:left="851"/>
    </w:pPr>
  </w:style>
  <w:style w:type="paragraph" w:customStyle="1" w:styleId="Para2bullet">
    <w:name w:val="Para 2 bullet"/>
    <w:basedOn w:val="Para1bullet"/>
    <w:uiPriority w:val="6"/>
    <w:semiHidden/>
    <w:rsid w:val="001079A9"/>
    <w:pPr>
      <w:ind w:left="1276"/>
    </w:pPr>
  </w:style>
  <w:style w:type="paragraph" w:customStyle="1" w:styleId="Para2letter">
    <w:name w:val="Para 2 letter"/>
    <w:basedOn w:val="Para1letter"/>
    <w:uiPriority w:val="6"/>
    <w:semiHidden/>
    <w:rsid w:val="001079A9"/>
    <w:pPr>
      <w:numPr>
        <w:ilvl w:val="0"/>
        <w:numId w:val="21"/>
      </w:numPr>
      <w:tabs>
        <w:tab w:val="num" w:pos="360"/>
        <w:tab w:val="left" w:pos="851"/>
      </w:tabs>
      <w:ind w:left="1276" w:firstLine="0"/>
      <w:jc w:val="left"/>
    </w:pPr>
    <w:rPr>
      <w:lang w:val="en-GB"/>
    </w:rPr>
  </w:style>
  <w:style w:type="paragraph" w:customStyle="1" w:styleId="Contents">
    <w:name w:val="Contents"/>
    <w:basedOn w:val="PageHeading"/>
    <w:next w:val="Para0"/>
    <w:uiPriority w:val="24"/>
    <w:semiHidden/>
    <w:rsid w:val="001079A9"/>
    <w:pPr>
      <w:pageBreakBefore/>
      <w:spacing w:after="100"/>
      <w:ind w:left="0"/>
    </w:pPr>
    <w:rPr>
      <w:rFonts w:ascii="Arial" w:hAnsi="Arial"/>
      <w:b/>
      <w:color w:val="00338D"/>
      <w:sz w:val="24"/>
    </w:rPr>
  </w:style>
  <w:style w:type="paragraph" w:customStyle="1" w:styleId="Tablecaption0">
    <w:name w:val="Table caption"/>
    <w:basedOn w:val="Caption"/>
    <w:next w:val="Para0"/>
    <w:uiPriority w:val="99"/>
    <w:semiHidden/>
    <w:rsid w:val="001079A9"/>
    <w:pPr>
      <w:spacing w:before="240" w:after="100" w:line="240" w:lineRule="atLeast"/>
      <w:jc w:val="left"/>
    </w:pPr>
    <w:rPr>
      <w:rFonts w:ascii="Arial" w:hAnsi="Arial"/>
      <w:iCs w:val="0"/>
      <w:szCs w:val="22"/>
      <w:lang w:val="en-GB"/>
    </w:rPr>
  </w:style>
  <w:style w:type="paragraph" w:customStyle="1" w:styleId="Figurecaption">
    <w:name w:val="Figure caption"/>
    <w:basedOn w:val="Caption"/>
    <w:next w:val="Para0"/>
    <w:uiPriority w:val="99"/>
    <w:semiHidden/>
    <w:rsid w:val="001079A9"/>
    <w:pPr>
      <w:spacing w:before="240" w:after="100" w:line="240" w:lineRule="atLeast"/>
      <w:jc w:val="left"/>
    </w:pPr>
    <w:rPr>
      <w:rFonts w:ascii="Arial Narrow" w:hAnsi="Arial Narrow"/>
      <w:iCs w:val="0"/>
      <w:szCs w:val="22"/>
      <w:lang w:val="en-GB"/>
    </w:rPr>
  </w:style>
  <w:style w:type="paragraph" w:customStyle="1" w:styleId="Appendixsubheading1">
    <w:name w:val="Appendix subheading 1"/>
    <w:basedOn w:val="Normal"/>
    <w:next w:val="Para0"/>
    <w:uiPriority w:val="2"/>
    <w:semiHidden/>
    <w:qFormat/>
    <w:rsid w:val="001079A9"/>
    <w:pPr>
      <w:keepNext/>
      <w:numPr>
        <w:ilvl w:val="1"/>
        <w:numId w:val="33"/>
      </w:numPr>
      <w:spacing w:before="240" w:line="280" w:lineRule="exact"/>
      <w:jc w:val="left"/>
    </w:pPr>
    <w:rPr>
      <w:rFonts w:ascii="Arial" w:hAnsi="Arial"/>
      <w:b/>
      <w:color w:val="00338D"/>
      <w:sz w:val="24"/>
      <w:szCs w:val="24"/>
      <w:lang w:val="en-GB" w:eastAsia="en-US"/>
    </w:rPr>
  </w:style>
  <w:style w:type="paragraph" w:customStyle="1" w:styleId="Appendixsubheading2">
    <w:name w:val="Appendix subheading 2"/>
    <w:basedOn w:val="Normal"/>
    <w:next w:val="Para0"/>
    <w:uiPriority w:val="2"/>
    <w:semiHidden/>
    <w:qFormat/>
    <w:rsid w:val="001079A9"/>
    <w:pPr>
      <w:numPr>
        <w:ilvl w:val="2"/>
        <w:numId w:val="33"/>
      </w:numPr>
      <w:spacing w:before="240" w:line="240" w:lineRule="atLeast"/>
      <w:jc w:val="left"/>
    </w:pPr>
    <w:rPr>
      <w:rFonts w:ascii="Arial" w:hAnsi="Arial"/>
      <w:b/>
      <w:color w:val="00338D"/>
      <w:szCs w:val="24"/>
      <w:lang w:val="en-GB" w:eastAsia="en-US"/>
    </w:rPr>
  </w:style>
  <w:style w:type="paragraph" w:customStyle="1" w:styleId="Image">
    <w:name w:val="Image"/>
    <w:basedOn w:val="Normal"/>
    <w:uiPriority w:val="99"/>
    <w:semiHidden/>
    <w:rsid w:val="001079A9"/>
    <w:pPr>
      <w:spacing w:after="0" w:line="240" w:lineRule="auto"/>
      <w:jc w:val="left"/>
    </w:pPr>
    <w:rPr>
      <w:rFonts w:ascii="Arial" w:hAnsi="Arial"/>
      <w:szCs w:val="24"/>
      <w:lang w:val="en-GB" w:eastAsia="en-US"/>
    </w:rPr>
  </w:style>
  <w:style w:type="paragraph" w:customStyle="1" w:styleId="Para1bold">
    <w:name w:val="Para 1 bold"/>
    <w:basedOn w:val="Para1"/>
    <w:uiPriority w:val="5"/>
    <w:semiHidden/>
    <w:rsid w:val="001079A9"/>
    <w:rPr>
      <w:b/>
    </w:rPr>
  </w:style>
  <w:style w:type="paragraph" w:customStyle="1" w:styleId="Para1roman">
    <w:name w:val="Para 1 roman"/>
    <w:basedOn w:val="Para0roman"/>
    <w:uiPriority w:val="5"/>
    <w:semiHidden/>
    <w:rsid w:val="001079A9"/>
    <w:pPr>
      <w:ind w:left="850"/>
    </w:pPr>
  </w:style>
  <w:style w:type="paragraph" w:customStyle="1" w:styleId="Para2bold">
    <w:name w:val="Para 2 bold"/>
    <w:basedOn w:val="Para2"/>
    <w:uiPriority w:val="6"/>
    <w:semiHidden/>
    <w:rsid w:val="001079A9"/>
    <w:rPr>
      <w:b/>
    </w:rPr>
  </w:style>
  <w:style w:type="paragraph" w:customStyle="1" w:styleId="Para2number">
    <w:name w:val="Para 2 number"/>
    <w:basedOn w:val="Para1number"/>
    <w:uiPriority w:val="6"/>
    <w:semiHidden/>
    <w:rsid w:val="001079A9"/>
    <w:pPr>
      <w:ind w:left="1276"/>
    </w:pPr>
  </w:style>
  <w:style w:type="paragraph" w:customStyle="1" w:styleId="TableContent">
    <w:name w:val="Table Content"/>
    <w:basedOn w:val="Normal"/>
    <w:uiPriority w:val="99"/>
    <w:semiHidden/>
    <w:qFormat/>
    <w:rsid w:val="001079A9"/>
    <w:pPr>
      <w:spacing w:before="60" w:after="60" w:line="240" w:lineRule="exact"/>
      <w:jc w:val="left"/>
    </w:pPr>
    <w:rPr>
      <w:rFonts w:ascii="Arial" w:hAnsi="Arial"/>
      <w:szCs w:val="24"/>
      <w:lang w:val="en-GB" w:eastAsia="en-US"/>
    </w:rPr>
  </w:style>
  <w:style w:type="paragraph" w:customStyle="1" w:styleId="PurpleHeading">
    <w:name w:val="Purple Heading"/>
    <w:basedOn w:val="Normal"/>
    <w:uiPriority w:val="99"/>
    <w:semiHidden/>
    <w:rsid w:val="001079A9"/>
    <w:pPr>
      <w:framePr w:hSpace="181" w:wrap="around" w:vAnchor="text" w:hAnchor="margin" w:x="142" w:y="456"/>
      <w:spacing w:before="80" w:after="0" w:line="320" w:lineRule="atLeast"/>
      <w:jc w:val="left"/>
    </w:pPr>
    <w:rPr>
      <w:rFonts w:ascii="Arial Black" w:hAnsi="Arial Black"/>
      <w:b/>
      <w:color w:val="00338D"/>
      <w:sz w:val="24"/>
      <w:szCs w:val="24"/>
      <w:lang w:val="en-GB" w:eastAsia="en-US"/>
    </w:rPr>
  </w:style>
  <w:style w:type="paragraph" w:customStyle="1" w:styleId="Purplenarrow">
    <w:name w:val="Purple narrow"/>
    <w:basedOn w:val="PurpleHeading"/>
    <w:uiPriority w:val="99"/>
    <w:semiHidden/>
    <w:rsid w:val="001079A9"/>
    <w:pPr>
      <w:framePr w:wrap="around"/>
      <w:spacing w:before="0"/>
    </w:pPr>
    <w:rPr>
      <w:rFonts w:ascii="Arial" w:hAnsi="Arial"/>
      <w:b w:val="0"/>
      <w:caps/>
      <w:sz w:val="18"/>
    </w:rPr>
  </w:style>
  <w:style w:type="paragraph" w:customStyle="1" w:styleId="PenPicBodyheading">
    <w:name w:val="Pen Pic Body heading"/>
    <w:basedOn w:val="Bodyheading"/>
    <w:uiPriority w:val="99"/>
    <w:semiHidden/>
    <w:rsid w:val="001079A9"/>
    <w:pPr>
      <w:ind w:left="284"/>
    </w:pPr>
  </w:style>
  <w:style w:type="paragraph" w:customStyle="1" w:styleId="PenPicSidebartext">
    <w:name w:val="Pen Pic Sidebar text"/>
    <w:basedOn w:val="Normal"/>
    <w:uiPriority w:val="99"/>
    <w:semiHidden/>
    <w:rsid w:val="001079A9"/>
    <w:pPr>
      <w:suppressAutoHyphens/>
      <w:autoSpaceDE w:val="0"/>
      <w:autoSpaceDN w:val="0"/>
      <w:adjustRightInd w:val="0"/>
      <w:spacing w:before="60" w:after="60" w:line="240" w:lineRule="atLeast"/>
      <w:ind w:left="284"/>
      <w:jc w:val="left"/>
    </w:pPr>
    <w:rPr>
      <w:rFonts w:ascii="Arial" w:hAnsi="Arial" w:cs="Arial Narrow"/>
      <w:color w:val="000000"/>
      <w:sz w:val="19"/>
      <w:szCs w:val="19"/>
      <w:lang w:val="en-GB" w:eastAsia="en-US"/>
    </w:rPr>
  </w:style>
  <w:style w:type="paragraph" w:customStyle="1" w:styleId="PenPicSidebarbullet">
    <w:name w:val="Pen Pic Sidebar bullet"/>
    <w:basedOn w:val="Sidebarbullet"/>
    <w:uiPriority w:val="99"/>
    <w:semiHidden/>
    <w:rsid w:val="001079A9"/>
    <w:pPr>
      <w:framePr w:hSpace="0" w:wrap="auto" w:hAnchor="text" w:xAlign="left" w:yAlign="inline"/>
      <w:numPr>
        <w:numId w:val="0"/>
      </w:numPr>
      <w:ind w:left="955" w:hanging="360"/>
    </w:pPr>
    <w:rPr>
      <w:color w:val="000000"/>
      <w:sz w:val="19"/>
    </w:rPr>
  </w:style>
  <w:style w:type="paragraph" w:customStyle="1" w:styleId="Reference">
    <w:name w:val="Reference"/>
    <w:basedOn w:val="Para0"/>
    <w:rsid w:val="001079A9"/>
    <w:pPr>
      <w:spacing w:before="0"/>
      <w:contextualSpacing/>
      <w:jc w:val="left"/>
    </w:pPr>
    <w:rPr>
      <w:rFonts w:cstheme="minorBidi"/>
      <w:i/>
      <w:sz w:val="14"/>
      <w:szCs w:val="24"/>
      <w:lang w:val="en-GB" w:eastAsia="en-US"/>
    </w:rPr>
  </w:style>
  <w:style w:type="paragraph" w:customStyle="1" w:styleId="CoverHeading2">
    <w:name w:val="Cover Heading 2"/>
    <w:basedOn w:val="CoverHeading"/>
    <w:uiPriority w:val="99"/>
    <w:semiHidden/>
    <w:rsid w:val="001079A9"/>
    <w:rPr>
      <w:color w:val="00338D"/>
    </w:rPr>
  </w:style>
  <w:style w:type="paragraph" w:customStyle="1" w:styleId="CoverSubheading2">
    <w:name w:val="Cover Subheading 2"/>
    <w:basedOn w:val="CoverHeading2"/>
    <w:uiPriority w:val="99"/>
    <w:semiHidden/>
    <w:rsid w:val="001079A9"/>
    <w:pPr>
      <w:spacing w:line="280" w:lineRule="exact"/>
    </w:pPr>
    <w:rPr>
      <w:rFonts w:ascii="Arial" w:hAnsi="Arial"/>
      <w:color w:val="6C6F70"/>
      <w:sz w:val="24"/>
    </w:rPr>
  </w:style>
  <w:style w:type="paragraph" w:customStyle="1" w:styleId="CoverDate2">
    <w:name w:val="Cover Date 2"/>
    <w:basedOn w:val="CoverDate"/>
    <w:uiPriority w:val="99"/>
    <w:semiHidden/>
    <w:rsid w:val="001079A9"/>
    <w:rPr>
      <w:color w:val="6C6F70"/>
      <w:sz w:val="24"/>
    </w:rPr>
  </w:style>
  <w:style w:type="paragraph" w:customStyle="1" w:styleId="Tableitem">
    <w:name w:val="Table item"/>
    <w:basedOn w:val="Tabletext"/>
    <w:uiPriority w:val="99"/>
    <w:semiHidden/>
    <w:rsid w:val="001079A9"/>
    <w:pPr>
      <w:numPr>
        <w:numId w:val="47"/>
      </w:numPr>
      <w:ind w:left="720" w:hanging="360"/>
    </w:pPr>
  </w:style>
  <w:style w:type="paragraph" w:customStyle="1" w:styleId="Tablesmallitem">
    <w:name w:val="Table small item"/>
    <w:basedOn w:val="Tablesmalltext"/>
    <w:uiPriority w:val="15"/>
    <w:semiHidden/>
    <w:rsid w:val="001079A9"/>
    <w:pPr>
      <w:numPr>
        <w:numId w:val="45"/>
      </w:numPr>
      <w:jc w:val="left"/>
    </w:pPr>
    <w:rPr>
      <w:lang w:val="en-GB"/>
    </w:rPr>
  </w:style>
  <w:style w:type="paragraph" w:customStyle="1" w:styleId="Appendixsubheading3">
    <w:name w:val="Appendix subheading 3"/>
    <w:basedOn w:val="Appendixsubheading2"/>
    <w:next w:val="Para0"/>
    <w:uiPriority w:val="2"/>
    <w:semiHidden/>
    <w:rsid w:val="001079A9"/>
    <w:pPr>
      <w:numPr>
        <w:ilvl w:val="3"/>
      </w:numPr>
    </w:pPr>
    <w:rPr>
      <w:color w:val="auto"/>
    </w:rPr>
  </w:style>
  <w:style w:type="paragraph" w:customStyle="1" w:styleId="Para3">
    <w:name w:val="Para 3"/>
    <w:basedOn w:val="Para2"/>
    <w:uiPriority w:val="7"/>
    <w:semiHidden/>
    <w:rsid w:val="001079A9"/>
    <w:pPr>
      <w:ind w:left="1276"/>
    </w:pPr>
  </w:style>
  <w:style w:type="paragraph" w:customStyle="1" w:styleId="Para3bold">
    <w:name w:val="Para 3 bold"/>
    <w:basedOn w:val="Para2bold"/>
    <w:uiPriority w:val="7"/>
    <w:semiHidden/>
    <w:rsid w:val="001079A9"/>
    <w:pPr>
      <w:ind w:left="1276"/>
    </w:pPr>
  </w:style>
  <w:style w:type="paragraph" w:customStyle="1" w:styleId="Para3bullet">
    <w:name w:val="Para 3 bullet"/>
    <w:basedOn w:val="Para2bullet"/>
    <w:uiPriority w:val="7"/>
    <w:semiHidden/>
    <w:rsid w:val="001079A9"/>
    <w:pPr>
      <w:ind w:left="1701"/>
    </w:pPr>
  </w:style>
  <w:style w:type="paragraph" w:customStyle="1" w:styleId="Para3dash">
    <w:name w:val="Para 3 dash"/>
    <w:basedOn w:val="Para2dash"/>
    <w:uiPriority w:val="7"/>
    <w:semiHidden/>
    <w:rsid w:val="001079A9"/>
    <w:pPr>
      <w:numPr>
        <w:ilvl w:val="0"/>
        <w:numId w:val="17"/>
      </w:numPr>
      <w:tabs>
        <w:tab w:val="num" w:pos="360"/>
        <w:tab w:val="left" w:pos="851"/>
      </w:tabs>
      <w:ind w:left="1701" w:firstLine="0"/>
    </w:pPr>
    <w:rPr>
      <w:lang w:val="en-GB"/>
    </w:rPr>
  </w:style>
  <w:style w:type="paragraph" w:customStyle="1" w:styleId="Para3number">
    <w:name w:val="Para 3 number"/>
    <w:basedOn w:val="Para2number"/>
    <w:uiPriority w:val="7"/>
    <w:semiHidden/>
    <w:rsid w:val="001079A9"/>
    <w:pPr>
      <w:ind w:left="1701"/>
    </w:pPr>
  </w:style>
  <w:style w:type="paragraph" w:customStyle="1" w:styleId="Para3letter">
    <w:name w:val="Para 3 letter"/>
    <w:basedOn w:val="Para2letter"/>
    <w:uiPriority w:val="7"/>
    <w:semiHidden/>
    <w:rsid w:val="001079A9"/>
    <w:pPr>
      <w:ind w:left="1701"/>
    </w:pPr>
  </w:style>
  <w:style w:type="paragraph" w:customStyle="1" w:styleId="Para3roman">
    <w:name w:val="Para 3 roman"/>
    <w:basedOn w:val="Para2roman"/>
    <w:uiPriority w:val="7"/>
    <w:semiHidden/>
    <w:rsid w:val="001079A9"/>
    <w:pPr>
      <w:numPr>
        <w:numId w:val="14"/>
      </w:numPr>
      <w:tabs>
        <w:tab w:val="num" w:pos="360"/>
        <w:tab w:val="left" w:pos="851"/>
      </w:tabs>
      <w:ind w:left="1701"/>
      <w:jc w:val="left"/>
    </w:pPr>
    <w:rPr>
      <w:szCs w:val="22"/>
      <w:lang w:val="en-GB" w:eastAsia="zh-CN"/>
    </w:rPr>
  </w:style>
  <w:style w:type="paragraph" w:customStyle="1" w:styleId="Para4">
    <w:name w:val="Para 4"/>
    <w:basedOn w:val="Para3"/>
    <w:uiPriority w:val="8"/>
    <w:semiHidden/>
    <w:rsid w:val="001079A9"/>
    <w:pPr>
      <w:ind w:left="1701"/>
    </w:pPr>
  </w:style>
  <w:style w:type="paragraph" w:customStyle="1" w:styleId="Para4bold">
    <w:name w:val="Para 4 bold"/>
    <w:basedOn w:val="Para3bold"/>
    <w:uiPriority w:val="8"/>
    <w:semiHidden/>
    <w:rsid w:val="001079A9"/>
    <w:pPr>
      <w:ind w:left="1701"/>
    </w:pPr>
  </w:style>
  <w:style w:type="paragraph" w:customStyle="1" w:styleId="Para4bullet">
    <w:name w:val="Para 4 bullet"/>
    <w:basedOn w:val="Para3bullet"/>
    <w:uiPriority w:val="8"/>
    <w:semiHidden/>
    <w:rsid w:val="001079A9"/>
    <w:pPr>
      <w:ind w:left="2126"/>
    </w:pPr>
  </w:style>
  <w:style w:type="paragraph" w:customStyle="1" w:styleId="Para4dash">
    <w:name w:val="Para 4 dash"/>
    <w:basedOn w:val="Para3dash"/>
    <w:uiPriority w:val="8"/>
    <w:semiHidden/>
    <w:rsid w:val="001079A9"/>
    <w:pPr>
      <w:ind w:left="2126"/>
    </w:pPr>
  </w:style>
  <w:style w:type="paragraph" w:customStyle="1" w:styleId="Para4number">
    <w:name w:val="Para 4 number"/>
    <w:basedOn w:val="Para3number"/>
    <w:uiPriority w:val="8"/>
    <w:semiHidden/>
    <w:rsid w:val="001079A9"/>
    <w:pPr>
      <w:ind w:left="2126"/>
    </w:pPr>
  </w:style>
  <w:style w:type="paragraph" w:customStyle="1" w:styleId="Para4letter">
    <w:name w:val="Para 4 letter"/>
    <w:basedOn w:val="Para3letter"/>
    <w:uiPriority w:val="8"/>
    <w:semiHidden/>
    <w:rsid w:val="001079A9"/>
    <w:pPr>
      <w:ind w:left="2126"/>
    </w:pPr>
  </w:style>
  <w:style w:type="paragraph" w:customStyle="1" w:styleId="Para4roman">
    <w:name w:val="Para 4 roman"/>
    <w:basedOn w:val="Para3roman"/>
    <w:uiPriority w:val="8"/>
    <w:semiHidden/>
    <w:rsid w:val="001079A9"/>
    <w:pPr>
      <w:ind w:left="2126"/>
    </w:pPr>
  </w:style>
  <w:style w:type="paragraph" w:customStyle="1" w:styleId="ClientName">
    <w:name w:val="Client Name"/>
    <w:basedOn w:val="Tabletext"/>
    <w:uiPriority w:val="19"/>
    <w:semiHidden/>
    <w:qFormat/>
    <w:rsid w:val="001079A9"/>
    <w:pPr>
      <w:spacing w:before="0"/>
    </w:pPr>
  </w:style>
  <w:style w:type="paragraph" w:customStyle="1" w:styleId="ProjectNo">
    <w:name w:val="Project No"/>
    <w:basedOn w:val="Tabletext"/>
    <w:uiPriority w:val="99"/>
    <w:semiHidden/>
    <w:rsid w:val="001079A9"/>
    <w:pPr>
      <w:spacing w:before="0"/>
    </w:pPr>
  </w:style>
  <w:style w:type="paragraph" w:customStyle="1" w:styleId="EmptyHeader">
    <w:name w:val="Empty Header"/>
    <w:basedOn w:val="Header"/>
    <w:uiPriority w:val="99"/>
    <w:semiHidden/>
    <w:rsid w:val="001079A9"/>
    <w:pPr>
      <w:tabs>
        <w:tab w:val="clear" w:pos="4513"/>
        <w:tab w:val="clear" w:pos="9026"/>
      </w:tabs>
      <w:spacing w:after="0" w:line="20" w:lineRule="exact"/>
      <w:ind w:left="142"/>
      <w:jc w:val="left"/>
    </w:pPr>
    <w:rPr>
      <w:rFonts w:ascii="Arial Black" w:hAnsi="Arial Black"/>
      <w:color w:val="666666"/>
      <w:sz w:val="2"/>
      <w:szCs w:val="24"/>
      <w:lang w:val="en-GB" w:eastAsia="en-US"/>
    </w:rPr>
  </w:style>
  <w:style w:type="paragraph" w:customStyle="1" w:styleId="HeaderSpacer">
    <w:name w:val="Header Spacer"/>
    <w:basedOn w:val="Header"/>
    <w:uiPriority w:val="99"/>
    <w:semiHidden/>
    <w:rsid w:val="001079A9"/>
    <w:pPr>
      <w:tabs>
        <w:tab w:val="clear" w:pos="4513"/>
        <w:tab w:val="clear" w:pos="9026"/>
      </w:tabs>
      <w:spacing w:after="0" w:line="480" w:lineRule="exact"/>
      <w:jc w:val="left"/>
    </w:pPr>
    <w:rPr>
      <w:rFonts w:ascii="Arial" w:hAnsi="Arial"/>
      <w:color w:val="666666"/>
      <w:szCs w:val="24"/>
      <w:lang w:val="en-GB" w:eastAsia="en-US"/>
    </w:rPr>
  </w:style>
  <w:style w:type="paragraph" w:customStyle="1" w:styleId="CVName0">
    <w:name w:val="CV Name"/>
    <w:basedOn w:val="Name1"/>
    <w:uiPriority w:val="2"/>
    <w:semiHidden/>
    <w:rsid w:val="001079A9"/>
    <w:pPr>
      <w:ind w:left="3402"/>
      <w:jc w:val="left"/>
    </w:pPr>
  </w:style>
  <w:style w:type="paragraph" w:customStyle="1" w:styleId="CVRole">
    <w:name w:val="CV Role"/>
    <w:basedOn w:val="Projectrole1"/>
    <w:next w:val="Bodynarrow"/>
    <w:uiPriority w:val="2"/>
    <w:semiHidden/>
    <w:rsid w:val="001079A9"/>
    <w:pPr>
      <w:ind w:left="3402"/>
      <w:jc w:val="left"/>
    </w:pPr>
  </w:style>
  <w:style w:type="paragraph" w:customStyle="1" w:styleId="Name3">
    <w:name w:val="Name 3"/>
    <w:basedOn w:val="Name1"/>
    <w:uiPriority w:val="99"/>
    <w:semiHidden/>
    <w:rsid w:val="001079A9"/>
    <w:pPr>
      <w:ind w:left="3402"/>
      <w:jc w:val="left"/>
    </w:pPr>
  </w:style>
  <w:style w:type="paragraph" w:customStyle="1" w:styleId="PDLocation">
    <w:name w:val="PD Location"/>
    <w:basedOn w:val="Normal"/>
    <w:uiPriority w:val="99"/>
    <w:semiHidden/>
    <w:rsid w:val="001079A9"/>
    <w:pPr>
      <w:spacing w:after="160" w:line="240" w:lineRule="atLeast"/>
      <w:ind w:left="3402"/>
      <w:jc w:val="left"/>
    </w:pPr>
    <w:rPr>
      <w:rFonts w:ascii="Arial" w:hAnsi="Arial"/>
      <w:caps/>
      <w:color w:val="00338D"/>
      <w:szCs w:val="24"/>
      <w:lang w:val="en-GB" w:eastAsia="en-US"/>
    </w:rPr>
  </w:style>
  <w:style w:type="paragraph" w:customStyle="1" w:styleId="PDName">
    <w:name w:val="PD Name"/>
    <w:basedOn w:val="Normal"/>
    <w:uiPriority w:val="99"/>
    <w:semiHidden/>
    <w:rsid w:val="001079A9"/>
    <w:pPr>
      <w:spacing w:after="160" w:line="320" w:lineRule="exact"/>
      <w:ind w:left="3402"/>
      <w:jc w:val="left"/>
    </w:pPr>
    <w:rPr>
      <w:rFonts w:ascii="Arial Black" w:hAnsi="Arial Black"/>
      <w:color w:val="00338D"/>
      <w:sz w:val="36"/>
      <w:szCs w:val="24"/>
      <w:lang w:val="en-GB" w:eastAsia="en-US"/>
    </w:rPr>
  </w:style>
  <w:style w:type="paragraph" w:customStyle="1" w:styleId="SummaryBoxBullet">
    <w:name w:val="Summary Box Bullet"/>
    <w:basedOn w:val="Normal"/>
    <w:uiPriority w:val="99"/>
    <w:semiHidden/>
    <w:rsid w:val="001079A9"/>
    <w:pPr>
      <w:spacing w:after="220" w:line="240" w:lineRule="atLeast"/>
      <w:ind w:left="284" w:hanging="171"/>
      <w:jc w:val="left"/>
    </w:pPr>
    <w:rPr>
      <w:rFonts w:ascii="Arial" w:hAnsi="Arial" w:cs="Arial"/>
      <w:color w:val="666666"/>
      <w:szCs w:val="18"/>
      <w:lang w:val="en-GB" w:eastAsia="en-US"/>
    </w:rPr>
  </w:style>
  <w:style w:type="paragraph" w:customStyle="1" w:styleId="SummaryBoxHeading">
    <w:name w:val="Summary Box Heading"/>
    <w:basedOn w:val="Normal"/>
    <w:next w:val="Normal"/>
    <w:uiPriority w:val="99"/>
    <w:semiHidden/>
    <w:rsid w:val="001079A9"/>
    <w:pPr>
      <w:autoSpaceDE w:val="0"/>
      <w:autoSpaceDN w:val="0"/>
      <w:adjustRightInd w:val="0"/>
      <w:spacing w:after="0" w:line="240" w:lineRule="auto"/>
      <w:jc w:val="left"/>
    </w:pPr>
    <w:rPr>
      <w:rFonts w:ascii="Arial" w:hAnsi="Arial" w:cs="Arial"/>
      <w:b/>
      <w:bCs/>
      <w:color w:val="000000"/>
      <w:sz w:val="22"/>
      <w:lang w:eastAsia="en-US"/>
    </w:rPr>
  </w:style>
  <w:style w:type="paragraph" w:customStyle="1" w:styleId="SummaryBoxText">
    <w:name w:val="Summary Box Text"/>
    <w:basedOn w:val="Normal"/>
    <w:uiPriority w:val="99"/>
    <w:semiHidden/>
    <w:rsid w:val="001079A9"/>
    <w:pPr>
      <w:autoSpaceDE w:val="0"/>
      <w:autoSpaceDN w:val="0"/>
      <w:adjustRightInd w:val="0"/>
      <w:spacing w:after="60" w:line="240" w:lineRule="auto"/>
      <w:jc w:val="left"/>
    </w:pPr>
    <w:rPr>
      <w:rFonts w:ascii="Arial" w:hAnsi="Arial" w:cs="Arial"/>
      <w:bCs/>
      <w:color w:val="666666"/>
      <w:sz w:val="18"/>
      <w:szCs w:val="18"/>
      <w:lang w:eastAsia="en-US"/>
    </w:rPr>
  </w:style>
  <w:style w:type="paragraph" w:customStyle="1" w:styleId="QuoteBoxSubtext">
    <w:name w:val="Quote Box Subtext"/>
    <w:basedOn w:val="Normal"/>
    <w:uiPriority w:val="99"/>
    <w:semiHidden/>
    <w:rsid w:val="001079A9"/>
    <w:pPr>
      <w:spacing w:after="60" w:line="240" w:lineRule="auto"/>
      <w:jc w:val="left"/>
    </w:pPr>
    <w:rPr>
      <w:rFonts w:ascii="Arial" w:hAnsi="Arial" w:cs="Arial"/>
      <w:b/>
      <w:color w:val="00338D"/>
      <w:szCs w:val="20"/>
      <w:lang w:eastAsia="en-US"/>
    </w:rPr>
  </w:style>
  <w:style w:type="paragraph" w:customStyle="1" w:styleId="QuoteBoxSubtextItalics">
    <w:name w:val="Quote Box Subtext Italics"/>
    <w:basedOn w:val="QuoteBoxSubtext"/>
    <w:uiPriority w:val="99"/>
    <w:semiHidden/>
    <w:rsid w:val="001079A9"/>
    <w:rPr>
      <w:b w:val="0"/>
      <w:i/>
    </w:rPr>
  </w:style>
  <w:style w:type="paragraph" w:customStyle="1" w:styleId="QuoteBoxText">
    <w:name w:val="Quote Box Text"/>
    <w:basedOn w:val="Normal"/>
    <w:uiPriority w:val="99"/>
    <w:semiHidden/>
    <w:rsid w:val="001079A9"/>
    <w:pPr>
      <w:spacing w:after="220" w:line="240" w:lineRule="atLeast"/>
      <w:jc w:val="left"/>
    </w:pPr>
    <w:rPr>
      <w:rFonts w:ascii="Arial" w:hAnsi="Arial" w:cs="Arial"/>
      <w:b/>
      <w:color w:val="00338D"/>
      <w:sz w:val="24"/>
      <w:szCs w:val="24"/>
      <w:lang w:val="en-GB" w:eastAsia="en-US"/>
    </w:rPr>
  </w:style>
  <w:style w:type="paragraph" w:customStyle="1" w:styleId="ImageCaptionHeading">
    <w:name w:val="Image Caption Heading"/>
    <w:basedOn w:val="Normal"/>
    <w:next w:val="Normal"/>
    <w:uiPriority w:val="99"/>
    <w:semiHidden/>
    <w:rsid w:val="001079A9"/>
    <w:pPr>
      <w:spacing w:after="0" w:line="200" w:lineRule="exact"/>
      <w:jc w:val="left"/>
    </w:pPr>
    <w:rPr>
      <w:rFonts w:ascii="Arial" w:hAnsi="Arial" w:cs="Arial"/>
      <w:b/>
      <w:color w:val="999999"/>
      <w:sz w:val="16"/>
      <w:szCs w:val="16"/>
      <w:lang w:eastAsia="en-US"/>
    </w:rPr>
  </w:style>
  <w:style w:type="paragraph" w:customStyle="1" w:styleId="ImageCaptionSubtext">
    <w:name w:val="Image Caption Subtext"/>
    <w:basedOn w:val="ImageCaptionHeading"/>
    <w:uiPriority w:val="99"/>
    <w:semiHidden/>
    <w:rsid w:val="001079A9"/>
    <w:rPr>
      <w:b w:val="0"/>
    </w:rPr>
  </w:style>
  <w:style w:type="paragraph" w:customStyle="1" w:styleId="BodyText1">
    <w:name w:val="Body Text1"/>
    <w:basedOn w:val="Normal"/>
    <w:uiPriority w:val="99"/>
    <w:semiHidden/>
    <w:rsid w:val="001079A9"/>
    <w:pPr>
      <w:spacing w:before="120" w:line="360" w:lineRule="auto"/>
    </w:pPr>
    <w:rPr>
      <w:rFonts w:ascii="Century Gothic" w:eastAsiaTheme="minorHAnsi" w:hAnsi="Century Gothic" w:cs="Times New Roman"/>
      <w:sz w:val="22"/>
      <w:lang w:eastAsia="en-AU"/>
    </w:rPr>
  </w:style>
  <w:style w:type="paragraph" w:customStyle="1" w:styleId="References">
    <w:name w:val="References"/>
    <w:basedOn w:val="Normal"/>
    <w:uiPriority w:val="22"/>
    <w:qFormat/>
    <w:rsid w:val="001079A9"/>
    <w:pPr>
      <w:spacing w:after="160" w:line="240" w:lineRule="auto"/>
      <w:ind w:left="357" w:hanging="357"/>
      <w:jc w:val="left"/>
    </w:pPr>
    <w:rPr>
      <w:rFonts w:eastAsia="Times New Roman" w:cs="Arial"/>
      <w:color w:val="000000"/>
      <w:kern w:val="28"/>
      <w:sz w:val="22"/>
      <w:lang w:eastAsia="en-US"/>
    </w:rPr>
  </w:style>
  <w:style w:type="character" w:styleId="EndnoteReference">
    <w:name w:val="endnote reference"/>
    <w:basedOn w:val="DefaultParagraphFont"/>
    <w:semiHidden/>
    <w:unhideWhenUsed/>
    <w:rsid w:val="001079A9"/>
    <w:rPr>
      <w:rFonts w:ascii="Arial" w:hAnsi="Arial" w:cs="Arial" w:hint="default"/>
      <w:sz w:val="15"/>
      <w:vertAlign w:val="superscript"/>
    </w:rPr>
  </w:style>
  <w:style w:type="character" w:styleId="SubtleReference">
    <w:name w:val="Subtle Reference"/>
    <w:uiPriority w:val="31"/>
    <w:qFormat/>
    <w:rsid w:val="001079A9"/>
    <w:rPr>
      <w:smallCaps/>
    </w:rPr>
  </w:style>
  <w:style w:type="character" w:customStyle="1" w:styleId="Bodynarrowbold">
    <w:name w:val="Body narrow bold"/>
    <w:uiPriority w:val="1"/>
    <w:rsid w:val="001079A9"/>
    <w:rPr>
      <w:rFonts w:ascii="Arial" w:hAnsi="Arial" w:cs="Arial" w:hint="default"/>
      <w:b/>
      <w:bCs w:val="0"/>
      <w:sz w:val="20"/>
    </w:rPr>
  </w:style>
  <w:style w:type="paragraph" w:customStyle="1" w:styleId="Para0narrowbullet">
    <w:name w:val="Para 0 narrow bullet"/>
    <w:basedOn w:val="Para0bullet"/>
    <w:next w:val="Para0bullet"/>
    <w:link w:val="Para0narrowbulletChar"/>
    <w:semiHidden/>
    <w:qFormat/>
    <w:rsid w:val="001079A9"/>
    <w:pPr>
      <w:ind w:left="720" w:hanging="360"/>
      <w:jc w:val="left"/>
    </w:pPr>
    <w:rPr>
      <w:lang w:val="en-GB"/>
    </w:rPr>
  </w:style>
  <w:style w:type="character" w:customStyle="1" w:styleId="Para0narrowbulletChar">
    <w:name w:val="Para 0 narrow bullet Char"/>
    <w:basedOn w:val="Para0bulletChar"/>
    <w:link w:val="Para0narrowbullet"/>
    <w:semiHidden/>
    <w:locked/>
    <w:rsid w:val="001079A9"/>
    <w:rPr>
      <w:rFonts w:ascii="Arial" w:hAnsi="Arial" w:cs="Arial"/>
      <w:sz w:val="20"/>
      <w:lang w:val="en-GB"/>
    </w:rPr>
  </w:style>
  <w:style w:type="paragraph" w:customStyle="1" w:styleId="MTDisplayEquation">
    <w:name w:val="MTDisplayEquation"/>
    <w:basedOn w:val="Para1narrowarrow"/>
    <w:next w:val="Normal"/>
    <w:link w:val="MTDisplayEquationChar"/>
    <w:rsid w:val="001079A9"/>
    <w:pPr>
      <w:tabs>
        <w:tab w:val="clear" w:pos="851"/>
        <w:tab w:val="center" w:pos="4960"/>
        <w:tab w:val="right" w:pos="9920"/>
      </w:tabs>
      <w:ind w:left="0" w:firstLine="0"/>
      <w:jc w:val="left"/>
    </w:pPr>
  </w:style>
  <w:style w:type="character" w:customStyle="1" w:styleId="MTDisplayEquationChar">
    <w:name w:val="MTDisplayEquation Char"/>
    <w:basedOn w:val="Para1narrowarrowChar"/>
    <w:link w:val="MTDisplayEquation"/>
    <w:locked/>
    <w:rsid w:val="001079A9"/>
    <w:rPr>
      <w:rFonts w:ascii="Arial" w:hAnsi="Arial" w:cs="Times New Roman"/>
      <w:sz w:val="20"/>
      <w:szCs w:val="24"/>
      <w:lang w:val="en-GB" w:eastAsia="en-AU"/>
    </w:rPr>
  </w:style>
  <w:style w:type="table" w:styleId="LightList">
    <w:name w:val="Light List"/>
    <w:basedOn w:val="TableNormal"/>
    <w:uiPriority w:val="61"/>
    <w:semiHidden/>
    <w:unhideWhenUsed/>
    <w:rsid w:val="001079A9"/>
    <w:pPr>
      <w:spacing w:after="0" w:line="240" w:lineRule="auto"/>
      <w:jc w:val="left"/>
    </w:pPr>
    <w:rPr>
      <w:sz w:val="24"/>
      <w:szCs w:val="24"/>
      <w:lang w:val="en-US" w:eastAsia="en-US"/>
    </w:rPr>
    <w:tblPr>
      <w:tblStyleRowBandSize w:val="1"/>
      <w:tblStyleColBandSize w:val="1"/>
      <w:tblInd w:w="0" w:type="nil"/>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List2">
    <w:name w:val="Medium List 2"/>
    <w:basedOn w:val="TableNormal"/>
    <w:uiPriority w:val="66"/>
    <w:semiHidden/>
    <w:unhideWhenUsed/>
    <w:rsid w:val="001079A9"/>
    <w:pPr>
      <w:spacing w:after="0" w:line="240" w:lineRule="auto"/>
      <w:jc w:val="left"/>
    </w:pPr>
    <w:rPr>
      <w:rFonts w:asciiTheme="majorHAnsi" w:eastAsiaTheme="majorEastAsia" w:hAnsiTheme="majorHAnsi" w:cstheme="majorBidi"/>
      <w:color w:val="000000" w:themeColor="text1"/>
      <w:sz w:val="24"/>
      <w:szCs w:val="24"/>
      <w:lang w:val="en-US" w:eastAsia="en-US"/>
    </w:rPr>
    <w:tblPr>
      <w:tblStyleRowBandSize w:val="1"/>
      <w:tblStyleColBandSize w:val="1"/>
      <w:tblInd w:w="0" w:type="nil"/>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List-Accent1">
    <w:name w:val="Light List Accent 1"/>
    <w:basedOn w:val="TableNormal"/>
    <w:uiPriority w:val="61"/>
    <w:semiHidden/>
    <w:unhideWhenUsed/>
    <w:rsid w:val="001079A9"/>
    <w:pPr>
      <w:spacing w:after="0" w:line="240" w:lineRule="auto"/>
      <w:jc w:val="left"/>
    </w:pPr>
    <w:rPr>
      <w:sz w:val="24"/>
      <w:szCs w:val="24"/>
      <w:lang w:val="en-US" w:eastAsia="en-US"/>
    </w:rPr>
    <w:tblPr>
      <w:tblStyleRowBandSize w:val="1"/>
      <w:tblStyleColBandSize w:val="1"/>
      <w:tblInd w:w="0" w:type="nil"/>
      <w:tblBorders>
        <w:top w:val="single" w:sz="8" w:space="0" w:color="094183" w:themeColor="accent1"/>
        <w:left w:val="single" w:sz="8" w:space="0" w:color="094183" w:themeColor="accent1"/>
        <w:bottom w:val="single" w:sz="8" w:space="0" w:color="094183" w:themeColor="accent1"/>
        <w:right w:val="single" w:sz="8" w:space="0" w:color="094183"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094183" w:themeFill="accent1"/>
      </w:tcPr>
    </w:tblStylePr>
    <w:tblStylePr w:type="lastRow">
      <w:pPr>
        <w:spacing w:beforeLines="0" w:before="0" w:beforeAutospacing="0" w:afterLines="0" w:after="0" w:afterAutospacing="0" w:line="240" w:lineRule="auto"/>
      </w:pPr>
      <w:rPr>
        <w:b/>
        <w:bCs/>
      </w:rPr>
      <w:tblPr/>
      <w:tcPr>
        <w:tcBorders>
          <w:top w:val="double" w:sz="6" w:space="0" w:color="094183" w:themeColor="accent1"/>
          <w:left w:val="single" w:sz="8" w:space="0" w:color="094183" w:themeColor="accent1"/>
          <w:bottom w:val="single" w:sz="8" w:space="0" w:color="094183" w:themeColor="accent1"/>
          <w:right w:val="single" w:sz="8" w:space="0" w:color="094183" w:themeColor="accent1"/>
        </w:tcBorders>
      </w:tcPr>
    </w:tblStylePr>
    <w:tblStylePr w:type="firstCol">
      <w:rPr>
        <w:b/>
        <w:bCs/>
      </w:rPr>
    </w:tblStylePr>
    <w:tblStylePr w:type="lastCol">
      <w:rPr>
        <w:b/>
        <w:bCs/>
      </w:rPr>
    </w:tblStylePr>
    <w:tblStylePr w:type="band1Vert">
      <w:tblPr/>
      <w:tcPr>
        <w:tcBorders>
          <w:top w:val="single" w:sz="8" w:space="0" w:color="094183" w:themeColor="accent1"/>
          <w:left w:val="single" w:sz="8" w:space="0" w:color="094183" w:themeColor="accent1"/>
          <w:bottom w:val="single" w:sz="8" w:space="0" w:color="094183" w:themeColor="accent1"/>
          <w:right w:val="single" w:sz="8" w:space="0" w:color="094183" w:themeColor="accent1"/>
        </w:tcBorders>
      </w:tcPr>
    </w:tblStylePr>
    <w:tblStylePr w:type="band1Horz">
      <w:tblPr/>
      <w:tcPr>
        <w:tcBorders>
          <w:top w:val="single" w:sz="8" w:space="0" w:color="094183" w:themeColor="accent1"/>
          <w:left w:val="single" w:sz="8" w:space="0" w:color="094183" w:themeColor="accent1"/>
          <w:bottom w:val="single" w:sz="8" w:space="0" w:color="094183" w:themeColor="accent1"/>
          <w:right w:val="single" w:sz="8" w:space="0" w:color="094183" w:themeColor="accent1"/>
        </w:tcBorders>
      </w:tcPr>
    </w:tblStylePr>
  </w:style>
  <w:style w:type="table" w:styleId="MediumGrid1-Accent1">
    <w:name w:val="Medium Grid 1 Accent 1"/>
    <w:basedOn w:val="TableNormal"/>
    <w:uiPriority w:val="67"/>
    <w:semiHidden/>
    <w:unhideWhenUsed/>
    <w:rsid w:val="001079A9"/>
    <w:pPr>
      <w:spacing w:after="0" w:line="240" w:lineRule="auto"/>
      <w:jc w:val="left"/>
    </w:pPr>
    <w:rPr>
      <w:sz w:val="24"/>
      <w:szCs w:val="24"/>
      <w:lang w:val="en-US" w:eastAsia="en-US"/>
    </w:rPr>
    <w:tblPr>
      <w:tblStyleRowBandSize w:val="1"/>
      <w:tblStyleColBandSize w:val="1"/>
      <w:tblInd w:w="0" w:type="nil"/>
      <w:tblBorders>
        <w:top w:val="single" w:sz="8" w:space="0" w:color="0F6BD9" w:themeColor="accent1" w:themeTint="BF"/>
        <w:left w:val="single" w:sz="8" w:space="0" w:color="0F6BD9" w:themeColor="accent1" w:themeTint="BF"/>
        <w:bottom w:val="single" w:sz="8" w:space="0" w:color="0F6BD9" w:themeColor="accent1" w:themeTint="BF"/>
        <w:right w:val="single" w:sz="8" w:space="0" w:color="0F6BD9" w:themeColor="accent1" w:themeTint="BF"/>
        <w:insideH w:val="single" w:sz="8" w:space="0" w:color="0F6BD9" w:themeColor="accent1" w:themeTint="BF"/>
        <w:insideV w:val="single" w:sz="8" w:space="0" w:color="0F6BD9" w:themeColor="accent1" w:themeTint="BF"/>
      </w:tblBorders>
    </w:tblPr>
    <w:tcPr>
      <w:shd w:val="clear" w:color="auto" w:fill="A9CDF9" w:themeFill="accent1" w:themeFillTint="3F"/>
    </w:tcPr>
    <w:tblStylePr w:type="firstRow">
      <w:rPr>
        <w:b/>
        <w:bCs/>
      </w:rPr>
    </w:tblStylePr>
    <w:tblStylePr w:type="lastRow">
      <w:rPr>
        <w:b/>
        <w:bCs/>
      </w:rPr>
      <w:tblPr/>
      <w:tcPr>
        <w:tcBorders>
          <w:top w:val="single" w:sz="18" w:space="0" w:color="0F6BD9" w:themeColor="accent1" w:themeTint="BF"/>
        </w:tcBorders>
      </w:tcPr>
    </w:tblStylePr>
    <w:tblStylePr w:type="firstCol">
      <w:rPr>
        <w:b/>
        <w:bCs/>
      </w:rPr>
    </w:tblStylePr>
    <w:tblStylePr w:type="lastCol">
      <w:rPr>
        <w:b/>
        <w:bCs/>
      </w:rPr>
    </w:tblStylePr>
    <w:tblStylePr w:type="band1Vert">
      <w:tblPr/>
      <w:tcPr>
        <w:shd w:val="clear" w:color="auto" w:fill="529CF3" w:themeFill="accent1" w:themeFillTint="7F"/>
      </w:tcPr>
    </w:tblStylePr>
    <w:tblStylePr w:type="band1Horz">
      <w:tblPr/>
      <w:tcPr>
        <w:shd w:val="clear" w:color="auto" w:fill="529CF3" w:themeFill="accent1" w:themeFillTint="7F"/>
      </w:tcPr>
    </w:tblStylePr>
  </w:style>
  <w:style w:type="table" w:customStyle="1" w:styleId="Table2">
    <w:name w:val="Table2"/>
    <w:basedOn w:val="TableNormal"/>
    <w:uiPriority w:val="99"/>
    <w:rsid w:val="001079A9"/>
    <w:pPr>
      <w:spacing w:after="0" w:line="240" w:lineRule="auto"/>
      <w:jc w:val="left"/>
    </w:pPr>
    <w:rPr>
      <w:rFonts w:ascii="Arial" w:hAnsi="Arial"/>
      <w:sz w:val="20"/>
      <w:szCs w:val="24"/>
      <w:lang w:val="en-US" w:eastAsia="en-US"/>
    </w:rPr>
    <w:tblPr>
      <w:tblInd w:w="0" w:type="nil"/>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hint="default"/>
        <w:b/>
        <w:color w:val="000000"/>
        <w:sz w:val="50"/>
        <w:szCs w:val="50"/>
      </w:rPr>
      <w:tblPr/>
      <w:tcPr>
        <w:shd w:val="clear" w:color="auto" w:fill="CFCAC7"/>
      </w:tcPr>
    </w:tblStylePr>
  </w:style>
  <w:style w:type="table" w:customStyle="1" w:styleId="JacobsBlue">
    <w:name w:val="Jacobs Blue"/>
    <w:basedOn w:val="TableGrid"/>
    <w:uiPriority w:val="99"/>
    <w:rsid w:val="001079A9"/>
    <w:pPr>
      <w:jc w:val="left"/>
    </w:pPr>
    <w:rPr>
      <w:sz w:val="24"/>
      <w:szCs w:val="24"/>
      <w:lang w:val="en-US" w:eastAsia="en-US"/>
    </w:rPr>
    <w:tblPr>
      <w:tblStyleColBandSize w:val="1"/>
      <w:tblInd w:w="0" w:type="nil"/>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0" w:type="dxa"/>
        <w:left w:w="108" w:type="dxa"/>
        <w:bottom w:w="0" w:type="dxa"/>
        <w:right w:w="108" w:type="dxa"/>
      </w:tblCellMar>
    </w:tblPr>
    <w:tblStylePr w:type="firstRow">
      <w:rPr>
        <w:b/>
        <w:color w:val="FFFFFF" w:themeColor="background1"/>
      </w:rPr>
      <w:tblPr/>
      <w:tcPr>
        <w:tcBorders>
          <w:top w:val="single" w:sz="4" w:space="0" w:color="808080"/>
          <w:left w:val="single" w:sz="4" w:space="0" w:color="808080"/>
          <w:bottom w:val="single" w:sz="4" w:space="0" w:color="808080"/>
          <w:right w:val="single" w:sz="4" w:space="0" w:color="808080"/>
          <w:insideH w:val="nil"/>
          <w:insideV w:val="single" w:sz="4" w:space="0" w:color="FFFFFF" w:themeColor="background1"/>
          <w:tl2br w:val="nil"/>
          <w:tr2bl w:val="nil"/>
        </w:tcBorders>
        <w:shd w:val="clear" w:color="auto" w:fill="00338D"/>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rPr>
        <w:b/>
      </w:rPr>
      <w:tblPr/>
      <w:tcPr>
        <w:shd w:val="clear" w:color="auto" w:fill="E6E5E3"/>
      </w:tcPr>
    </w:tblStylePr>
    <w:tblStylePr w:type="lastCol">
      <w:pPr>
        <w:wordWrap/>
        <w:jc w:val="right"/>
      </w:pPr>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1Horz">
      <w:tblPr/>
      <w:tcPr>
        <w:shd w:val="clear" w:color="auto" w:fill="FFFFFF" w:themeFill="background1"/>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table" w:customStyle="1" w:styleId="JacobsGrey">
    <w:name w:val="Jacobs Grey"/>
    <w:basedOn w:val="TableGrid"/>
    <w:uiPriority w:val="99"/>
    <w:rsid w:val="001079A9"/>
    <w:pPr>
      <w:jc w:val="left"/>
    </w:pPr>
    <w:rPr>
      <w:sz w:val="24"/>
      <w:szCs w:val="24"/>
      <w:lang w:val="en-US" w:eastAsia="en-US"/>
    </w:rPr>
    <w:tblPr>
      <w:tblStyleColBandSize w:val="1"/>
      <w:tblInd w:w="0" w:type="nil"/>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0" w:type="dxa"/>
        <w:left w:w="108" w:type="dxa"/>
        <w:bottom w:w="0" w:type="dxa"/>
        <w:right w:w="108" w:type="dxa"/>
      </w:tblCellMar>
    </w:tblPr>
    <w:tblStylePr w:type="firstRow">
      <w:rPr>
        <w:b/>
        <w:color w:val="FFFFFF" w:themeColor="background1"/>
      </w:rPr>
      <w:tblPr/>
      <w:tcPr>
        <w:shd w:val="clear" w:color="auto" w:fill="CFCAC7"/>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rPr>
        <w:b/>
      </w:rPr>
      <w:tblPr/>
      <w:tcPr>
        <w:shd w:val="clear" w:color="auto" w:fill="E6E5E3"/>
      </w:tcPr>
    </w:tblStylePr>
    <w:tblStylePr w:type="lastCol">
      <w:pPr>
        <w:wordWrap/>
        <w:jc w:val="right"/>
      </w:pPr>
      <w:rPr>
        <w:b/>
      </w:rPr>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1Horz">
      <w:tblPr/>
      <w:tcPr>
        <w:shd w:val="clear" w:color="auto" w:fill="FFFFFF" w:themeFill="background1"/>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paragraph" w:customStyle="1" w:styleId="Tableletter">
    <w:name w:val="Table letter"/>
    <w:basedOn w:val="Tablebullet"/>
    <w:uiPriority w:val="14"/>
    <w:qFormat/>
    <w:rsid w:val="001079A9"/>
    <w:pPr>
      <w:ind w:left="284" w:hanging="284"/>
      <w:jc w:val="left"/>
    </w:pPr>
    <w:rPr>
      <w:rFonts w:ascii="Arial" w:hAnsi="Arial"/>
      <w:lang w:val="en-GB" w:eastAsia="en-US"/>
    </w:rPr>
  </w:style>
  <w:style w:type="paragraph" w:customStyle="1" w:styleId="Tablenumber">
    <w:name w:val="Table number"/>
    <w:basedOn w:val="Tablebullet"/>
    <w:uiPriority w:val="14"/>
    <w:qFormat/>
    <w:rsid w:val="001079A9"/>
    <w:pPr>
      <w:numPr>
        <w:numId w:val="44"/>
      </w:numPr>
      <w:jc w:val="left"/>
    </w:pPr>
    <w:rPr>
      <w:rFonts w:ascii="Arial" w:hAnsi="Arial"/>
      <w:lang w:val="en-GB" w:eastAsia="en-US"/>
    </w:rPr>
  </w:style>
  <w:style w:type="paragraph" w:customStyle="1" w:styleId="Sectionheading">
    <w:name w:val="Section heading"/>
    <w:basedOn w:val="Summary"/>
    <w:next w:val="Para0"/>
    <w:uiPriority w:val="1"/>
    <w:qFormat/>
    <w:rsid w:val="001079A9"/>
    <w:pPr>
      <w:spacing w:line="360" w:lineRule="exact"/>
    </w:pPr>
  </w:style>
  <w:style w:type="paragraph" w:customStyle="1" w:styleId="SummaryHeading">
    <w:name w:val="SummaryHeading"/>
    <w:basedOn w:val="Sectionheading"/>
    <w:semiHidden/>
    <w:qFormat/>
    <w:rsid w:val="001079A9"/>
  </w:style>
  <w:style w:type="paragraph" w:customStyle="1" w:styleId="CoverTitle">
    <w:name w:val="Cover Title"/>
    <w:basedOn w:val="CoverHeading2"/>
    <w:rsid w:val="001079A9"/>
    <w:rPr>
      <w:sz w:val="24"/>
    </w:rPr>
  </w:style>
  <w:style w:type="numbering" w:customStyle="1" w:styleId="SKMSmallTableNumberedList2">
    <w:name w:val="SKM Small Table Numbered List 2"/>
    <w:uiPriority w:val="99"/>
    <w:rsid w:val="001079A9"/>
    <w:pPr>
      <w:numPr>
        <w:numId w:val="91"/>
      </w:numPr>
    </w:pPr>
  </w:style>
  <w:style w:type="numbering" w:customStyle="1" w:styleId="SKMSmallTableNumberedList1">
    <w:name w:val="SKM Small Table Numbered List 1"/>
    <w:uiPriority w:val="99"/>
    <w:rsid w:val="001079A9"/>
  </w:style>
  <w:style w:type="numbering" w:customStyle="1" w:styleId="SKMBulletList3">
    <w:name w:val="SKM Bullet List 3"/>
    <w:uiPriority w:val="99"/>
    <w:rsid w:val="001079A9"/>
    <w:pPr>
      <w:numPr>
        <w:numId w:val="89"/>
      </w:numPr>
    </w:pPr>
  </w:style>
  <w:style w:type="numbering" w:customStyle="1" w:styleId="SKMBulletList2">
    <w:name w:val="SKM Bullet List 2"/>
    <w:uiPriority w:val="99"/>
    <w:rsid w:val="001079A9"/>
  </w:style>
  <w:style w:type="numbering" w:customStyle="1" w:styleId="SKMNumberedList3">
    <w:name w:val="SKM Numbered List 3"/>
    <w:uiPriority w:val="99"/>
    <w:rsid w:val="001079A9"/>
  </w:style>
  <w:style w:type="numbering" w:customStyle="1" w:styleId="SKMNumberedList2">
    <w:name w:val="SKM Numbered List 2"/>
    <w:uiPriority w:val="99"/>
    <w:rsid w:val="001079A9"/>
    <w:pPr>
      <w:numPr>
        <w:numId w:val="40"/>
      </w:numPr>
    </w:pPr>
  </w:style>
  <w:style w:type="numbering" w:customStyle="1" w:styleId="SKMTableNumberedList2">
    <w:name w:val="SKM Table Numbered List 2"/>
    <w:uiPriority w:val="99"/>
    <w:rsid w:val="001079A9"/>
    <w:pPr>
      <w:numPr>
        <w:numId w:val="94"/>
      </w:numPr>
    </w:pPr>
  </w:style>
  <w:style w:type="numbering" w:customStyle="1" w:styleId="SKMTableNumberedList1">
    <w:name w:val="SKM Table Numbered List 1"/>
    <w:uiPriority w:val="99"/>
    <w:rsid w:val="001079A9"/>
    <w:pPr>
      <w:numPr>
        <w:numId w:val="87"/>
      </w:numPr>
    </w:pPr>
  </w:style>
  <w:style w:type="numbering" w:customStyle="1" w:styleId="SKMTablesmallitem">
    <w:name w:val="SKM Table small item"/>
    <w:uiPriority w:val="99"/>
    <w:rsid w:val="001079A9"/>
    <w:pPr>
      <w:numPr>
        <w:numId w:val="98"/>
      </w:numPr>
    </w:pPr>
  </w:style>
  <w:style w:type="numbering" w:customStyle="1" w:styleId="SKMSmallTableList1">
    <w:name w:val="SKM Small Table List 1"/>
    <w:uiPriority w:val="99"/>
    <w:rsid w:val="001079A9"/>
    <w:pPr>
      <w:numPr>
        <w:numId w:val="43"/>
      </w:numPr>
    </w:pPr>
  </w:style>
  <w:style w:type="numbering" w:customStyle="1" w:styleId="SKMBodyList">
    <w:name w:val="SKM Body List"/>
    <w:uiPriority w:val="99"/>
    <w:rsid w:val="001079A9"/>
  </w:style>
  <w:style w:type="numbering" w:customStyle="1" w:styleId="SKMTableList1">
    <w:name w:val="SKM Table List 1"/>
    <w:uiPriority w:val="99"/>
    <w:rsid w:val="001079A9"/>
  </w:style>
  <w:style w:type="numbering" w:customStyle="1" w:styleId="SKMSidebarList">
    <w:name w:val="SKM Sidebar List"/>
    <w:uiPriority w:val="99"/>
    <w:rsid w:val="001079A9"/>
  </w:style>
  <w:style w:type="numbering" w:customStyle="1" w:styleId="SKMTableItem">
    <w:name w:val="SKM Table Item"/>
    <w:uiPriority w:val="99"/>
    <w:rsid w:val="001079A9"/>
    <w:pPr>
      <w:numPr>
        <w:numId w:val="47"/>
      </w:numPr>
    </w:pPr>
  </w:style>
  <w:style w:type="numbering" w:customStyle="1" w:styleId="SKMNarrowList">
    <w:name w:val="SKM Narrow List"/>
    <w:uiPriority w:val="99"/>
    <w:rsid w:val="001079A9"/>
    <w:pPr>
      <w:numPr>
        <w:numId w:val="95"/>
      </w:numPr>
    </w:pPr>
  </w:style>
  <w:style w:type="table" w:customStyle="1" w:styleId="TableGrid1">
    <w:name w:val="Table Grid1"/>
    <w:basedOn w:val="TableNormal"/>
    <w:next w:val="TableGrid"/>
    <w:uiPriority w:val="39"/>
    <w:rsid w:val="0055648F"/>
    <w:pPr>
      <w:spacing w:after="0" w:line="240" w:lineRule="auto"/>
    </w:pPr>
    <w:rPr>
      <w:rFonts w:eastAsia="SimSun"/>
      <w:sz w:val="20"/>
    </w:rPr>
    <w:tblPr>
      <w:tblStyleRowBandSize w:val="1"/>
      <w:tblCellMar>
        <w:top w:w="57" w:type="dxa"/>
        <w:left w:w="57" w:type="dxa"/>
        <w:bottom w:w="57" w:type="dxa"/>
        <w:right w:w="85" w:type="dxa"/>
      </w:tblCellMar>
    </w:tblPr>
    <w:tblStylePr w:type="firstRow">
      <w:rPr>
        <w:b/>
        <w:color w:val="FFFFFF"/>
      </w:rPr>
      <w:tblPr/>
      <w:tcPr>
        <w:shd w:val="clear" w:color="auto" w:fill="094183"/>
      </w:tcPr>
    </w:tblStylePr>
    <w:tblStylePr w:type="lastRow">
      <w:tblPr/>
      <w:tcPr>
        <w:tcBorders>
          <w:top w:val="single" w:sz="8" w:space="0" w:color="FFFFFF"/>
          <w:left w:val="nil"/>
          <w:bottom w:val="nil"/>
          <w:right w:val="nil"/>
          <w:insideH w:val="nil"/>
          <w:insideV w:val="nil"/>
          <w:tl2br w:val="nil"/>
          <w:tr2bl w:val="nil"/>
        </w:tcBorders>
        <w:shd w:val="clear" w:color="auto" w:fill="F2F2F2"/>
      </w:tcPr>
    </w:tblStylePr>
    <w:tblStylePr w:type="firstCol">
      <w:rPr>
        <w:b/>
      </w:rPr>
    </w:tblStylePr>
    <w:tblStylePr w:type="lastCol">
      <w:pPr>
        <w:wordWrap/>
        <w:jc w:val="right"/>
      </w:pPr>
    </w:tblStylePr>
    <w:tblStylePr w:type="band1Horz">
      <w:tblPr/>
      <w:tcPr>
        <w:shd w:val="clear" w:color="auto" w:fill="FFFFFF"/>
      </w:tcPr>
    </w:tblStylePr>
    <w:tblStylePr w:type="band2Horz">
      <w:tblPr/>
      <w:tcPr>
        <w:shd w:val="clear" w:color="auto" w:fill="F2F2F2"/>
      </w:tcPr>
    </w:tblStylePr>
  </w:style>
  <w:style w:type="character" w:customStyle="1" w:styleId="UnresolvedMention10">
    <w:name w:val="Unresolved Mention1"/>
    <w:basedOn w:val="DefaultParagraphFont"/>
    <w:uiPriority w:val="99"/>
    <w:semiHidden/>
    <w:unhideWhenUsed/>
    <w:rsid w:val="00BE78EE"/>
    <w:rPr>
      <w:color w:val="605E5C"/>
      <w:shd w:val="clear" w:color="auto" w:fill="E1DFDD"/>
    </w:rPr>
  </w:style>
  <w:style w:type="paragraph" w:customStyle="1" w:styleId="EndNoteCategoryHeading">
    <w:name w:val="EndNote Category Heading"/>
    <w:basedOn w:val="Normal"/>
    <w:link w:val="EndNoteCategoryHeadingChar"/>
    <w:rsid w:val="00CA54A2"/>
    <w:pPr>
      <w:spacing w:before="120"/>
      <w:jc w:val="left"/>
    </w:pPr>
    <w:rPr>
      <w:b/>
      <w:noProof/>
    </w:rPr>
  </w:style>
  <w:style w:type="character" w:customStyle="1" w:styleId="EndNoteCategoryHeadingChar">
    <w:name w:val="EndNote Category Heading Char"/>
    <w:basedOn w:val="DefaultParagraphFont"/>
    <w:link w:val="EndNoteCategoryHeading"/>
    <w:rsid w:val="00CA54A2"/>
    <w:rPr>
      <w:b/>
      <w:noProof/>
      <w:sz w:val="20"/>
    </w:rPr>
  </w:style>
  <w:style w:type="paragraph" w:customStyle="1" w:styleId="Author">
    <w:name w:val="Author"/>
    <w:basedOn w:val="Normal"/>
    <w:rsid w:val="00EF1811"/>
    <w:pPr>
      <w:spacing w:before="120" w:after="0" w:line="240" w:lineRule="auto"/>
      <w:jc w:val="center"/>
    </w:pPr>
    <w:rPr>
      <w:rFonts w:ascii="Arial" w:eastAsia="Times New Roman" w:hAnsi="Arial" w:cs="Times New Roman"/>
      <w:b/>
      <w:sz w:val="22"/>
      <w:szCs w:val="20"/>
      <w:lang w:val="en-US" w:eastAsia="en-US"/>
    </w:rPr>
  </w:style>
  <w:style w:type="paragraph" w:customStyle="1" w:styleId="Affiliation">
    <w:name w:val="Affiliation"/>
    <w:basedOn w:val="Normal"/>
    <w:rsid w:val="00EF1811"/>
    <w:pPr>
      <w:spacing w:after="0" w:line="240" w:lineRule="auto"/>
      <w:jc w:val="center"/>
    </w:pPr>
    <w:rPr>
      <w:rFonts w:ascii="Times New Roman" w:eastAsia="Times New Roman" w:hAnsi="Times New Roman" w:cs="Times New Roman"/>
      <w:sz w:val="22"/>
      <w:szCs w:val="20"/>
      <w:lang w:val="en-US" w:eastAsia="en-US"/>
    </w:rPr>
  </w:style>
  <w:style w:type="paragraph" w:customStyle="1" w:styleId="Body">
    <w:name w:val="Body"/>
    <w:basedOn w:val="Normal"/>
    <w:rsid w:val="00B80802"/>
    <w:pPr>
      <w:spacing w:before="120" w:after="0" w:line="240" w:lineRule="auto"/>
      <w:jc w:val="left"/>
    </w:pPr>
    <w:rPr>
      <w:rFonts w:ascii="Times New Roman" w:eastAsia="Times New Roman" w:hAnsi="Times New Roman" w:cs="Times New Roman"/>
      <w:sz w:val="22"/>
      <w:szCs w:val="20"/>
      <w:lang w:eastAsia="en-US"/>
    </w:rPr>
  </w:style>
  <w:style w:type="paragraph" w:customStyle="1" w:styleId="ExecutiveSummary">
    <w:name w:val="Executive Summary"/>
    <w:basedOn w:val="Body"/>
    <w:rsid w:val="00B80802"/>
  </w:style>
  <w:style w:type="character" w:styleId="PageNumber">
    <w:name w:val="page number"/>
    <w:basedOn w:val="DefaultParagraphFont"/>
    <w:rsid w:val="00B80802"/>
  </w:style>
  <w:style w:type="paragraph" w:customStyle="1" w:styleId="Els-body-text">
    <w:name w:val="Els-body-text"/>
    <w:rsid w:val="00B80802"/>
    <w:pPr>
      <w:keepNext/>
      <w:spacing w:after="0" w:line="240" w:lineRule="exact"/>
      <w:ind w:firstLine="238"/>
    </w:pPr>
    <w:rPr>
      <w:rFonts w:ascii="Times New Roman" w:eastAsia="Times New Roman" w:hAnsi="Times New Roman" w:cs="Times New Roman"/>
      <w:sz w:val="20"/>
      <w:szCs w:val="20"/>
      <w:lang w:val="en-US" w:eastAsia="en-US"/>
    </w:rPr>
  </w:style>
  <w:style w:type="paragraph" w:customStyle="1" w:styleId="Els-equation">
    <w:name w:val="Els-equation"/>
    <w:next w:val="Els-body-text"/>
    <w:rsid w:val="00B80802"/>
    <w:pPr>
      <w:tabs>
        <w:tab w:val="right" w:pos="4320"/>
        <w:tab w:val="right" w:pos="9120"/>
      </w:tabs>
      <w:spacing w:before="120" w:line="220" w:lineRule="exact"/>
      <w:ind w:left="480"/>
      <w:jc w:val="left"/>
    </w:pPr>
    <w:rPr>
      <w:rFonts w:ascii="Times New Roman" w:eastAsia="Times New Roman" w:hAnsi="Times New Roman" w:cs="Times New Roman"/>
      <w:i/>
      <w:noProof/>
      <w:sz w:val="20"/>
      <w:szCs w:val="20"/>
      <w:lang w:val="en-US" w:eastAsia="en-US"/>
    </w:rPr>
  </w:style>
  <w:style w:type="table" w:styleId="GridTable2">
    <w:name w:val="Grid Table 2"/>
    <w:basedOn w:val="TableNormal"/>
    <w:rsid w:val="00B80802"/>
    <w:pPr>
      <w:spacing w:after="0" w:line="240" w:lineRule="auto"/>
      <w:jc w:val="left"/>
    </w:pPr>
    <w:rPr>
      <w:rFonts w:ascii="Times New Roman" w:eastAsia="Times New Roman" w:hAnsi="Times New Roman" w:cs="Times New Roman"/>
      <w:sz w:val="20"/>
      <w:szCs w:val="20"/>
      <w:lang w:eastAsia="en-AU"/>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VSFormula">
    <w:name w:val="VS Formula"/>
    <w:basedOn w:val="Normal"/>
    <w:rsid w:val="00B80802"/>
    <w:pPr>
      <w:widowControl w:val="0"/>
      <w:tabs>
        <w:tab w:val="left" w:pos="360"/>
      </w:tabs>
      <w:overflowPunct w:val="0"/>
      <w:autoSpaceDE w:val="0"/>
      <w:autoSpaceDN w:val="0"/>
      <w:adjustRightInd w:val="0"/>
      <w:spacing w:line="280" w:lineRule="exact"/>
      <w:jc w:val="center"/>
    </w:pPr>
    <w:rPr>
      <w:rFonts w:ascii="Times New Roman" w:eastAsia="Times New Roman" w:hAnsi="Times New Roman" w:cs="Times New Roman"/>
      <w:color w:val="000000"/>
      <w:sz w:val="24"/>
      <w:szCs w:val="20"/>
      <w:lang w:val="en-US" w:eastAsia="en-US"/>
    </w:rPr>
  </w:style>
  <w:style w:type="character" w:customStyle="1" w:styleId="UnresolvedMention100">
    <w:name w:val="Unresolved Mention10"/>
    <w:basedOn w:val="DefaultParagraphFont"/>
    <w:uiPriority w:val="99"/>
    <w:semiHidden/>
    <w:unhideWhenUsed/>
    <w:rsid w:val="0086193C"/>
    <w:rPr>
      <w:color w:val="605E5C"/>
      <w:shd w:val="clear" w:color="auto" w:fill="E1DFDD"/>
    </w:rPr>
  </w:style>
  <w:style w:type="character" w:customStyle="1" w:styleId="UnresolvedMention1000">
    <w:name w:val="Unresolved Mention100"/>
    <w:basedOn w:val="DefaultParagraphFont"/>
    <w:uiPriority w:val="99"/>
    <w:semiHidden/>
    <w:unhideWhenUsed/>
    <w:rsid w:val="00422618"/>
    <w:rPr>
      <w:color w:val="605E5C"/>
      <w:shd w:val="clear" w:color="auto" w:fill="E1DFDD"/>
    </w:rPr>
  </w:style>
  <w:style w:type="character" w:customStyle="1" w:styleId="UnresolvedMention10000">
    <w:name w:val="Unresolved Mention1000"/>
    <w:basedOn w:val="DefaultParagraphFont"/>
    <w:uiPriority w:val="99"/>
    <w:semiHidden/>
    <w:unhideWhenUsed/>
    <w:rsid w:val="00D21E9C"/>
    <w:rPr>
      <w:color w:val="605E5C"/>
      <w:shd w:val="clear" w:color="auto" w:fill="E1DFDD"/>
    </w:rPr>
  </w:style>
  <w:style w:type="character" w:customStyle="1" w:styleId="UnresolvedMention100000">
    <w:name w:val="Unresolved Mention10000"/>
    <w:basedOn w:val="DefaultParagraphFont"/>
    <w:uiPriority w:val="99"/>
    <w:semiHidden/>
    <w:unhideWhenUsed/>
    <w:rsid w:val="00D21E9C"/>
    <w:rPr>
      <w:color w:val="605E5C"/>
      <w:shd w:val="clear" w:color="auto" w:fill="E1DFDD"/>
    </w:rPr>
  </w:style>
  <w:style w:type="character" w:customStyle="1" w:styleId="UnresolvedMention1000000">
    <w:name w:val="Unresolved Mention100000"/>
    <w:basedOn w:val="DefaultParagraphFont"/>
    <w:uiPriority w:val="99"/>
    <w:semiHidden/>
    <w:unhideWhenUsed/>
    <w:rsid w:val="00D21E9C"/>
    <w:rPr>
      <w:color w:val="605E5C"/>
      <w:shd w:val="clear" w:color="auto" w:fill="E1DFDD"/>
    </w:rPr>
  </w:style>
  <w:style w:type="numbering" w:customStyle="1" w:styleId="MERHeadings">
    <w:name w:val="MER Headings"/>
    <w:uiPriority w:val="99"/>
    <w:rsid w:val="009B4368"/>
    <w:pPr>
      <w:numPr>
        <w:numId w:val="10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89117">
      <w:bodyDiv w:val="1"/>
      <w:marLeft w:val="0"/>
      <w:marRight w:val="0"/>
      <w:marTop w:val="0"/>
      <w:marBottom w:val="0"/>
      <w:divBdr>
        <w:top w:val="none" w:sz="0" w:space="0" w:color="auto"/>
        <w:left w:val="none" w:sz="0" w:space="0" w:color="auto"/>
        <w:bottom w:val="none" w:sz="0" w:space="0" w:color="auto"/>
        <w:right w:val="none" w:sz="0" w:space="0" w:color="auto"/>
      </w:divBdr>
    </w:div>
    <w:div w:id="79716260">
      <w:bodyDiv w:val="1"/>
      <w:marLeft w:val="0"/>
      <w:marRight w:val="0"/>
      <w:marTop w:val="0"/>
      <w:marBottom w:val="0"/>
      <w:divBdr>
        <w:top w:val="none" w:sz="0" w:space="0" w:color="auto"/>
        <w:left w:val="none" w:sz="0" w:space="0" w:color="auto"/>
        <w:bottom w:val="none" w:sz="0" w:space="0" w:color="auto"/>
        <w:right w:val="none" w:sz="0" w:space="0" w:color="auto"/>
      </w:divBdr>
    </w:div>
    <w:div w:id="100758752">
      <w:bodyDiv w:val="1"/>
      <w:marLeft w:val="0"/>
      <w:marRight w:val="0"/>
      <w:marTop w:val="0"/>
      <w:marBottom w:val="0"/>
      <w:divBdr>
        <w:top w:val="none" w:sz="0" w:space="0" w:color="auto"/>
        <w:left w:val="none" w:sz="0" w:space="0" w:color="auto"/>
        <w:bottom w:val="none" w:sz="0" w:space="0" w:color="auto"/>
        <w:right w:val="none" w:sz="0" w:space="0" w:color="auto"/>
      </w:divBdr>
    </w:div>
    <w:div w:id="236402030">
      <w:bodyDiv w:val="1"/>
      <w:marLeft w:val="0"/>
      <w:marRight w:val="0"/>
      <w:marTop w:val="0"/>
      <w:marBottom w:val="0"/>
      <w:divBdr>
        <w:top w:val="none" w:sz="0" w:space="0" w:color="auto"/>
        <w:left w:val="none" w:sz="0" w:space="0" w:color="auto"/>
        <w:bottom w:val="none" w:sz="0" w:space="0" w:color="auto"/>
        <w:right w:val="none" w:sz="0" w:space="0" w:color="auto"/>
      </w:divBdr>
    </w:div>
    <w:div w:id="280692613">
      <w:bodyDiv w:val="1"/>
      <w:marLeft w:val="0"/>
      <w:marRight w:val="0"/>
      <w:marTop w:val="0"/>
      <w:marBottom w:val="0"/>
      <w:divBdr>
        <w:top w:val="none" w:sz="0" w:space="0" w:color="auto"/>
        <w:left w:val="none" w:sz="0" w:space="0" w:color="auto"/>
        <w:bottom w:val="none" w:sz="0" w:space="0" w:color="auto"/>
        <w:right w:val="none" w:sz="0" w:space="0" w:color="auto"/>
      </w:divBdr>
    </w:div>
    <w:div w:id="400179707">
      <w:bodyDiv w:val="1"/>
      <w:marLeft w:val="0"/>
      <w:marRight w:val="0"/>
      <w:marTop w:val="0"/>
      <w:marBottom w:val="0"/>
      <w:divBdr>
        <w:top w:val="none" w:sz="0" w:space="0" w:color="auto"/>
        <w:left w:val="none" w:sz="0" w:space="0" w:color="auto"/>
        <w:bottom w:val="none" w:sz="0" w:space="0" w:color="auto"/>
        <w:right w:val="none" w:sz="0" w:space="0" w:color="auto"/>
      </w:divBdr>
    </w:div>
    <w:div w:id="401636789">
      <w:bodyDiv w:val="1"/>
      <w:marLeft w:val="0"/>
      <w:marRight w:val="0"/>
      <w:marTop w:val="0"/>
      <w:marBottom w:val="0"/>
      <w:divBdr>
        <w:top w:val="none" w:sz="0" w:space="0" w:color="auto"/>
        <w:left w:val="none" w:sz="0" w:space="0" w:color="auto"/>
        <w:bottom w:val="none" w:sz="0" w:space="0" w:color="auto"/>
        <w:right w:val="none" w:sz="0" w:space="0" w:color="auto"/>
      </w:divBdr>
    </w:div>
    <w:div w:id="440760003">
      <w:bodyDiv w:val="1"/>
      <w:marLeft w:val="0"/>
      <w:marRight w:val="0"/>
      <w:marTop w:val="0"/>
      <w:marBottom w:val="0"/>
      <w:divBdr>
        <w:top w:val="none" w:sz="0" w:space="0" w:color="auto"/>
        <w:left w:val="none" w:sz="0" w:space="0" w:color="auto"/>
        <w:bottom w:val="none" w:sz="0" w:space="0" w:color="auto"/>
        <w:right w:val="none" w:sz="0" w:space="0" w:color="auto"/>
      </w:divBdr>
    </w:div>
    <w:div w:id="488904139">
      <w:bodyDiv w:val="1"/>
      <w:marLeft w:val="0"/>
      <w:marRight w:val="0"/>
      <w:marTop w:val="0"/>
      <w:marBottom w:val="0"/>
      <w:divBdr>
        <w:top w:val="none" w:sz="0" w:space="0" w:color="auto"/>
        <w:left w:val="none" w:sz="0" w:space="0" w:color="auto"/>
        <w:bottom w:val="none" w:sz="0" w:space="0" w:color="auto"/>
        <w:right w:val="none" w:sz="0" w:space="0" w:color="auto"/>
      </w:divBdr>
    </w:div>
    <w:div w:id="541331850">
      <w:bodyDiv w:val="1"/>
      <w:marLeft w:val="0"/>
      <w:marRight w:val="0"/>
      <w:marTop w:val="0"/>
      <w:marBottom w:val="0"/>
      <w:divBdr>
        <w:top w:val="none" w:sz="0" w:space="0" w:color="auto"/>
        <w:left w:val="none" w:sz="0" w:space="0" w:color="auto"/>
        <w:bottom w:val="none" w:sz="0" w:space="0" w:color="auto"/>
        <w:right w:val="none" w:sz="0" w:space="0" w:color="auto"/>
      </w:divBdr>
    </w:div>
    <w:div w:id="608708838">
      <w:bodyDiv w:val="1"/>
      <w:marLeft w:val="0"/>
      <w:marRight w:val="0"/>
      <w:marTop w:val="0"/>
      <w:marBottom w:val="0"/>
      <w:divBdr>
        <w:top w:val="none" w:sz="0" w:space="0" w:color="auto"/>
        <w:left w:val="none" w:sz="0" w:space="0" w:color="auto"/>
        <w:bottom w:val="none" w:sz="0" w:space="0" w:color="auto"/>
        <w:right w:val="none" w:sz="0" w:space="0" w:color="auto"/>
      </w:divBdr>
    </w:div>
    <w:div w:id="639001533">
      <w:bodyDiv w:val="1"/>
      <w:marLeft w:val="0"/>
      <w:marRight w:val="0"/>
      <w:marTop w:val="0"/>
      <w:marBottom w:val="0"/>
      <w:divBdr>
        <w:top w:val="none" w:sz="0" w:space="0" w:color="auto"/>
        <w:left w:val="none" w:sz="0" w:space="0" w:color="auto"/>
        <w:bottom w:val="none" w:sz="0" w:space="0" w:color="auto"/>
        <w:right w:val="none" w:sz="0" w:space="0" w:color="auto"/>
      </w:divBdr>
    </w:div>
    <w:div w:id="646864801">
      <w:bodyDiv w:val="1"/>
      <w:marLeft w:val="0"/>
      <w:marRight w:val="0"/>
      <w:marTop w:val="0"/>
      <w:marBottom w:val="0"/>
      <w:divBdr>
        <w:top w:val="none" w:sz="0" w:space="0" w:color="auto"/>
        <w:left w:val="none" w:sz="0" w:space="0" w:color="auto"/>
        <w:bottom w:val="none" w:sz="0" w:space="0" w:color="auto"/>
        <w:right w:val="none" w:sz="0" w:space="0" w:color="auto"/>
      </w:divBdr>
    </w:div>
    <w:div w:id="726879099">
      <w:bodyDiv w:val="1"/>
      <w:marLeft w:val="0"/>
      <w:marRight w:val="0"/>
      <w:marTop w:val="0"/>
      <w:marBottom w:val="0"/>
      <w:divBdr>
        <w:top w:val="none" w:sz="0" w:space="0" w:color="auto"/>
        <w:left w:val="none" w:sz="0" w:space="0" w:color="auto"/>
        <w:bottom w:val="none" w:sz="0" w:space="0" w:color="auto"/>
        <w:right w:val="none" w:sz="0" w:space="0" w:color="auto"/>
      </w:divBdr>
    </w:div>
    <w:div w:id="751397024">
      <w:bodyDiv w:val="1"/>
      <w:marLeft w:val="0"/>
      <w:marRight w:val="0"/>
      <w:marTop w:val="0"/>
      <w:marBottom w:val="0"/>
      <w:divBdr>
        <w:top w:val="none" w:sz="0" w:space="0" w:color="auto"/>
        <w:left w:val="none" w:sz="0" w:space="0" w:color="auto"/>
        <w:bottom w:val="none" w:sz="0" w:space="0" w:color="auto"/>
        <w:right w:val="none" w:sz="0" w:space="0" w:color="auto"/>
      </w:divBdr>
    </w:div>
    <w:div w:id="769664928">
      <w:bodyDiv w:val="1"/>
      <w:marLeft w:val="0"/>
      <w:marRight w:val="0"/>
      <w:marTop w:val="0"/>
      <w:marBottom w:val="0"/>
      <w:divBdr>
        <w:top w:val="none" w:sz="0" w:space="0" w:color="auto"/>
        <w:left w:val="none" w:sz="0" w:space="0" w:color="auto"/>
        <w:bottom w:val="none" w:sz="0" w:space="0" w:color="auto"/>
        <w:right w:val="none" w:sz="0" w:space="0" w:color="auto"/>
      </w:divBdr>
    </w:div>
    <w:div w:id="808669007">
      <w:bodyDiv w:val="1"/>
      <w:marLeft w:val="0"/>
      <w:marRight w:val="0"/>
      <w:marTop w:val="0"/>
      <w:marBottom w:val="0"/>
      <w:divBdr>
        <w:top w:val="none" w:sz="0" w:space="0" w:color="auto"/>
        <w:left w:val="none" w:sz="0" w:space="0" w:color="auto"/>
        <w:bottom w:val="none" w:sz="0" w:space="0" w:color="auto"/>
        <w:right w:val="none" w:sz="0" w:space="0" w:color="auto"/>
      </w:divBdr>
    </w:div>
    <w:div w:id="818303495">
      <w:bodyDiv w:val="1"/>
      <w:marLeft w:val="0"/>
      <w:marRight w:val="0"/>
      <w:marTop w:val="0"/>
      <w:marBottom w:val="0"/>
      <w:divBdr>
        <w:top w:val="none" w:sz="0" w:space="0" w:color="auto"/>
        <w:left w:val="none" w:sz="0" w:space="0" w:color="auto"/>
        <w:bottom w:val="none" w:sz="0" w:space="0" w:color="auto"/>
        <w:right w:val="none" w:sz="0" w:space="0" w:color="auto"/>
      </w:divBdr>
    </w:div>
    <w:div w:id="851648882">
      <w:bodyDiv w:val="1"/>
      <w:marLeft w:val="0"/>
      <w:marRight w:val="0"/>
      <w:marTop w:val="0"/>
      <w:marBottom w:val="0"/>
      <w:divBdr>
        <w:top w:val="none" w:sz="0" w:space="0" w:color="auto"/>
        <w:left w:val="none" w:sz="0" w:space="0" w:color="auto"/>
        <w:bottom w:val="none" w:sz="0" w:space="0" w:color="auto"/>
        <w:right w:val="none" w:sz="0" w:space="0" w:color="auto"/>
      </w:divBdr>
    </w:div>
    <w:div w:id="898327027">
      <w:bodyDiv w:val="1"/>
      <w:marLeft w:val="0"/>
      <w:marRight w:val="0"/>
      <w:marTop w:val="0"/>
      <w:marBottom w:val="0"/>
      <w:divBdr>
        <w:top w:val="none" w:sz="0" w:space="0" w:color="auto"/>
        <w:left w:val="none" w:sz="0" w:space="0" w:color="auto"/>
        <w:bottom w:val="none" w:sz="0" w:space="0" w:color="auto"/>
        <w:right w:val="none" w:sz="0" w:space="0" w:color="auto"/>
      </w:divBdr>
    </w:div>
    <w:div w:id="903954925">
      <w:bodyDiv w:val="1"/>
      <w:marLeft w:val="0"/>
      <w:marRight w:val="0"/>
      <w:marTop w:val="0"/>
      <w:marBottom w:val="0"/>
      <w:divBdr>
        <w:top w:val="none" w:sz="0" w:space="0" w:color="auto"/>
        <w:left w:val="none" w:sz="0" w:space="0" w:color="auto"/>
        <w:bottom w:val="none" w:sz="0" w:space="0" w:color="auto"/>
        <w:right w:val="none" w:sz="0" w:space="0" w:color="auto"/>
      </w:divBdr>
    </w:div>
    <w:div w:id="934244361">
      <w:bodyDiv w:val="1"/>
      <w:marLeft w:val="0"/>
      <w:marRight w:val="0"/>
      <w:marTop w:val="0"/>
      <w:marBottom w:val="0"/>
      <w:divBdr>
        <w:top w:val="none" w:sz="0" w:space="0" w:color="auto"/>
        <w:left w:val="none" w:sz="0" w:space="0" w:color="auto"/>
        <w:bottom w:val="none" w:sz="0" w:space="0" w:color="auto"/>
        <w:right w:val="none" w:sz="0" w:space="0" w:color="auto"/>
      </w:divBdr>
    </w:div>
    <w:div w:id="1039546228">
      <w:bodyDiv w:val="1"/>
      <w:marLeft w:val="0"/>
      <w:marRight w:val="0"/>
      <w:marTop w:val="0"/>
      <w:marBottom w:val="0"/>
      <w:divBdr>
        <w:top w:val="none" w:sz="0" w:space="0" w:color="auto"/>
        <w:left w:val="none" w:sz="0" w:space="0" w:color="auto"/>
        <w:bottom w:val="none" w:sz="0" w:space="0" w:color="auto"/>
        <w:right w:val="none" w:sz="0" w:space="0" w:color="auto"/>
      </w:divBdr>
    </w:div>
    <w:div w:id="1054084072">
      <w:bodyDiv w:val="1"/>
      <w:marLeft w:val="0"/>
      <w:marRight w:val="0"/>
      <w:marTop w:val="0"/>
      <w:marBottom w:val="0"/>
      <w:divBdr>
        <w:top w:val="none" w:sz="0" w:space="0" w:color="auto"/>
        <w:left w:val="none" w:sz="0" w:space="0" w:color="auto"/>
        <w:bottom w:val="none" w:sz="0" w:space="0" w:color="auto"/>
        <w:right w:val="none" w:sz="0" w:space="0" w:color="auto"/>
      </w:divBdr>
    </w:div>
    <w:div w:id="1132871744">
      <w:bodyDiv w:val="1"/>
      <w:marLeft w:val="0"/>
      <w:marRight w:val="0"/>
      <w:marTop w:val="0"/>
      <w:marBottom w:val="0"/>
      <w:divBdr>
        <w:top w:val="none" w:sz="0" w:space="0" w:color="auto"/>
        <w:left w:val="none" w:sz="0" w:space="0" w:color="auto"/>
        <w:bottom w:val="none" w:sz="0" w:space="0" w:color="auto"/>
        <w:right w:val="none" w:sz="0" w:space="0" w:color="auto"/>
      </w:divBdr>
    </w:div>
    <w:div w:id="1161694852">
      <w:bodyDiv w:val="1"/>
      <w:marLeft w:val="0"/>
      <w:marRight w:val="0"/>
      <w:marTop w:val="0"/>
      <w:marBottom w:val="0"/>
      <w:divBdr>
        <w:top w:val="none" w:sz="0" w:space="0" w:color="auto"/>
        <w:left w:val="none" w:sz="0" w:space="0" w:color="auto"/>
        <w:bottom w:val="none" w:sz="0" w:space="0" w:color="auto"/>
        <w:right w:val="none" w:sz="0" w:space="0" w:color="auto"/>
      </w:divBdr>
    </w:div>
    <w:div w:id="1237011677">
      <w:bodyDiv w:val="1"/>
      <w:marLeft w:val="0"/>
      <w:marRight w:val="0"/>
      <w:marTop w:val="0"/>
      <w:marBottom w:val="0"/>
      <w:divBdr>
        <w:top w:val="none" w:sz="0" w:space="0" w:color="auto"/>
        <w:left w:val="none" w:sz="0" w:space="0" w:color="auto"/>
        <w:bottom w:val="none" w:sz="0" w:space="0" w:color="auto"/>
        <w:right w:val="none" w:sz="0" w:space="0" w:color="auto"/>
      </w:divBdr>
    </w:div>
    <w:div w:id="1268074170">
      <w:bodyDiv w:val="1"/>
      <w:marLeft w:val="0"/>
      <w:marRight w:val="0"/>
      <w:marTop w:val="0"/>
      <w:marBottom w:val="0"/>
      <w:divBdr>
        <w:top w:val="none" w:sz="0" w:space="0" w:color="auto"/>
        <w:left w:val="none" w:sz="0" w:space="0" w:color="auto"/>
        <w:bottom w:val="none" w:sz="0" w:space="0" w:color="auto"/>
        <w:right w:val="none" w:sz="0" w:space="0" w:color="auto"/>
      </w:divBdr>
    </w:div>
    <w:div w:id="1276016291">
      <w:bodyDiv w:val="1"/>
      <w:marLeft w:val="0"/>
      <w:marRight w:val="0"/>
      <w:marTop w:val="0"/>
      <w:marBottom w:val="0"/>
      <w:divBdr>
        <w:top w:val="none" w:sz="0" w:space="0" w:color="auto"/>
        <w:left w:val="none" w:sz="0" w:space="0" w:color="auto"/>
        <w:bottom w:val="none" w:sz="0" w:space="0" w:color="auto"/>
        <w:right w:val="none" w:sz="0" w:space="0" w:color="auto"/>
      </w:divBdr>
    </w:div>
    <w:div w:id="1305231327">
      <w:bodyDiv w:val="1"/>
      <w:marLeft w:val="0"/>
      <w:marRight w:val="0"/>
      <w:marTop w:val="0"/>
      <w:marBottom w:val="0"/>
      <w:divBdr>
        <w:top w:val="none" w:sz="0" w:space="0" w:color="auto"/>
        <w:left w:val="none" w:sz="0" w:space="0" w:color="auto"/>
        <w:bottom w:val="none" w:sz="0" w:space="0" w:color="auto"/>
        <w:right w:val="none" w:sz="0" w:space="0" w:color="auto"/>
      </w:divBdr>
    </w:div>
    <w:div w:id="1330329008">
      <w:bodyDiv w:val="1"/>
      <w:marLeft w:val="0"/>
      <w:marRight w:val="0"/>
      <w:marTop w:val="0"/>
      <w:marBottom w:val="0"/>
      <w:divBdr>
        <w:top w:val="none" w:sz="0" w:space="0" w:color="auto"/>
        <w:left w:val="none" w:sz="0" w:space="0" w:color="auto"/>
        <w:bottom w:val="none" w:sz="0" w:space="0" w:color="auto"/>
        <w:right w:val="none" w:sz="0" w:space="0" w:color="auto"/>
      </w:divBdr>
    </w:div>
    <w:div w:id="1350642035">
      <w:bodyDiv w:val="1"/>
      <w:marLeft w:val="0"/>
      <w:marRight w:val="0"/>
      <w:marTop w:val="0"/>
      <w:marBottom w:val="0"/>
      <w:divBdr>
        <w:top w:val="none" w:sz="0" w:space="0" w:color="auto"/>
        <w:left w:val="none" w:sz="0" w:space="0" w:color="auto"/>
        <w:bottom w:val="none" w:sz="0" w:space="0" w:color="auto"/>
        <w:right w:val="none" w:sz="0" w:space="0" w:color="auto"/>
      </w:divBdr>
    </w:div>
    <w:div w:id="1466199993">
      <w:bodyDiv w:val="1"/>
      <w:marLeft w:val="0"/>
      <w:marRight w:val="0"/>
      <w:marTop w:val="0"/>
      <w:marBottom w:val="0"/>
      <w:divBdr>
        <w:top w:val="none" w:sz="0" w:space="0" w:color="auto"/>
        <w:left w:val="none" w:sz="0" w:space="0" w:color="auto"/>
        <w:bottom w:val="none" w:sz="0" w:space="0" w:color="auto"/>
        <w:right w:val="none" w:sz="0" w:space="0" w:color="auto"/>
      </w:divBdr>
    </w:div>
    <w:div w:id="1469855941">
      <w:bodyDiv w:val="1"/>
      <w:marLeft w:val="0"/>
      <w:marRight w:val="0"/>
      <w:marTop w:val="0"/>
      <w:marBottom w:val="0"/>
      <w:divBdr>
        <w:top w:val="none" w:sz="0" w:space="0" w:color="auto"/>
        <w:left w:val="none" w:sz="0" w:space="0" w:color="auto"/>
        <w:bottom w:val="none" w:sz="0" w:space="0" w:color="auto"/>
        <w:right w:val="none" w:sz="0" w:space="0" w:color="auto"/>
      </w:divBdr>
    </w:div>
    <w:div w:id="1509252490">
      <w:bodyDiv w:val="1"/>
      <w:marLeft w:val="0"/>
      <w:marRight w:val="0"/>
      <w:marTop w:val="0"/>
      <w:marBottom w:val="0"/>
      <w:divBdr>
        <w:top w:val="none" w:sz="0" w:space="0" w:color="auto"/>
        <w:left w:val="none" w:sz="0" w:space="0" w:color="auto"/>
        <w:bottom w:val="none" w:sz="0" w:space="0" w:color="auto"/>
        <w:right w:val="none" w:sz="0" w:space="0" w:color="auto"/>
      </w:divBdr>
    </w:div>
    <w:div w:id="1642728133">
      <w:bodyDiv w:val="1"/>
      <w:marLeft w:val="0"/>
      <w:marRight w:val="0"/>
      <w:marTop w:val="0"/>
      <w:marBottom w:val="0"/>
      <w:divBdr>
        <w:top w:val="none" w:sz="0" w:space="0" w:color="auto"/>
        <w:left w:val="none" w:sz="0" w:space="0" w:color="auto"/>
        <w:bottom w:val="none" w:sz="0" w:space="0" w:color="auto"/>
        <w:right w:val="none" w:sz="0" w:space="0" w:color="auto"/>
      </w:divBdr>
    </w:div>
    <w:div w:id="1661693063">
      <w:bodyDiv w:val="1"/>
      <w:marLeft w:val="0"/>
      <w:marRight w:val="0"/>
      <w:marTop w:val="0"/>
      <w:marBottom w:val="0"/>
      <w:divBdr>
        <w:top w:val="none" w:sz="0" w:space="0" w:color="auto"/>
        <w:left w:val="none" w:sz="0" w:space="0" w:color="auto"/>
        <w:bottom w:val="none" w:sz="0" w:space="0" w:color="auto"/>
        <w:right w:val="none" w:sz="0" w:space="0" w:color="auto"/>
      </w:divBdr>
    </w:div>
    <w:div w:id="1666974462">
      <w:bodyDiv w:val="1"/>
      <w:marLeft w:val="0"/>
      <w:marRight w:val="0"/>
      <w:marTop w:val="0"/>
      <w:marBottom w:val="0"/>
      <w:divBdr>
        <w:top w:val="none" w:sz="0" w:space="0" w:color="auto"/>
        <w:left w:val="none" w:sz="0" w:space="0" w:color="auto"/>
        <w:bottom w:val="none" w:sz="0" w:space="0" w:color="auto"/>
        <w:right w:val="none" w:sz="0" w:space="0" w:color="auto"/>
      </w:divBdr>
    </w:div>
    <w:div w:id="1678578684">
      <w:bodyDiv w:val="1"/>
      <w:marLeft w:val="0"/>
      <w:marRight w:val="0"/>
      <w:marTop w:val="0"/>
      <w:marBottom w:val="0"/>
      <w:divBdr>
        <w:top w:val="none" w:sz="0" w:space="0" w:color="auto"/>
        <w:left w:val="none" w:sz="0" w:space="0" w:color="auto"/>
        <w:bottom w:val="none" w:sz="0" w:space="0" w:color="auto"/>
        <w:right w:val="none" w:sz="0" w:space="0" w:color="auto"/>
      </w:divBdr>
    </w:div>
    <w:div w:id="1704281808">
      <w:bodyDiv w:val="1"/>
      <w:marLeft w:val="0"/>
      <w:marRight w:val="0"/>
      <w:marTop w:val="0"/>
      <w:marBottom w:val="0"/>
      <w:divBdr>
        <w:top w:val="none" w:sz="0" w:space="0" w:color="auto"/>
        <w:left w:val="none" w:sz="0" w:space="0" w:color="auto"/>
        <w:bottom w:val="none" w:sz="0" w:space="0" w:color="auto"/>
        <w:right w:val="none" w:sz="0" w:space="0" w:color="auto"/>
      </w:divBdr>
    </w:div>
    <w:div w:id="1774278345">
      <w:bodyDiv w:val="1"/>
      <w:marLeft w:val="0"/>
      <w:marRight w:val="0"/>
      <w:marTop w:val="0"/>
      <w:marBottom w:val="0"/>
      <w:divBdr>
        <w:top w:val="none" w:sz="0" w:space="0" w:color="auto"/>
        <w:left w:val="none" w:sz="0" w:space="0" w:color="auto"/>
        <w:bottom w:val="none" w:sz="0" w:space="0" w:color="auto"/>
        <w:right w:val="none" w:sz="0" w:space="0" w:color="auto"/>
      </w:divBdr>
    </w:div>
    <w:div w:id="1789273456">
      <w:bodyDiv w:val="1"/>
      <w:marLeft w:val="0"/>
      <w:marRight w:val="0"/>
      <w:marTop w:val="0"/>
      <w:marBottom w:val="0"/>
      <w:divBdr>
        <w:top w:val="none" w:sz="0" w:space="0" w:color="auto"/>
        <w:left w:val="none" w:sz="0" w:space="0" w:color="auto"/>
        <w:bottom w:val="none" w:sz="0" w:space="0" w:color="auto"/>
        <w:right w:val="none" w:sz="0" w:space="0" w:color="auto"/>
      </w:divBdr>
    </w:div>
    <w:div w:id="1855722458">
      <w:bodyDiv w:val="1"/>
      <w:marLeft w:val="0"/>
      <w:marRight w:val="0"/>
      <w:marTop w:val="0"/>
      <w:marBottom w:val="0"/>
      <w:divBdr>
        <w:top w:val="none" w:sz="0" w:space="0" w:color="auto"/>
        <w:left w:val="none" w:sz="0" w:space="0" w:color="auto"/>
        <w:bottom w:val="none" w:sz="0" w:space="0" w:color="auto"/>
        <w:right w:val="none" w:sz="0" w:space="0" w:color="auto"/>
      </w:divBdr>
    </w:div>
    <w:div w:id="1871801471">
      <w:bodyDiv w:val="1"/>
      <w:marLeft w:val="0"/>
      <w:marRight w:val="0"/>
      <w:marTop w:val="0"/>
      <w:marBottom w:val="0"/>
      <w:divBdr>
        <w:top w:val="none" w:sz="0" w:space="0" w:color="auto"/>
        <w:left w:val="none" w:sz="0" w:space="0" w:color="auto"/>
        <w:bottom w:val="none" w:sz="0" w:space="0" w:color="auto"/>
        <w:right w:val="none" w:sz="0" w:space="0" w:color="auto"/>
      </w:divBdr>
    </w:div>
    <w:div w:id="1940405283">
      <w:bodyDiv w:val="1"/>
      <w:marLeft w:val="0"/>
      <w:marRight w:val="0"/>
      <w:marTop w:val="0"/>
      <w:marBottom w:val="0"/>
      <w:divBdr>
        <w:top w:val="none" w:sz="0" w:space="0" w:color="auto"/>
        <w:left w:val="none" w:sz="0" w:space="0" w:color="auto"/>
        <w:bottom w:val="none" w:sz="0" w:space="0" w:color="auto"/>
        <w:right w:val="none" w:sz="0" w:space="0" w:color="auto"/>
      </w:divBdr>
    </w:div>
    <w:div w:id="1958828648">
      <w:bodyDiv w:val="1"/>
      <w:marLeft w:val="0"/>
      <w:marRight w:val="0"/>
      <w:marTop w:val="0"/>
      <w:marBottom w:val="0"/>
      <w:divBdr>
        <w:top w:val="none" w:sz="0" w:space="0" w:color="auto"/>
        <w:left w:val="none" w:sz="0" w:space="0" w:color="auto"/>
        <w:bottom w:val="none" w:sz="0" w:space="0" w:color="auto"/>
        <w:right w:val="none" w:sz="0" w:space="0" w:color="auto"/>
      </w:divBdr>
    </w:div>
    <w:div w:id="1975985988">
      <w:bodyDiv w:val="1"/>
      <w:marLeft w:val="0"/>
      <w:marRight w:val="0"/>
      <w:marTop w:val="0"/>
      <w:marBottom w:val="0"/>
      <w:divBdr>
        <w:top w:val="none" w:sz="0" w:space="0" w:color="auto"/>
        <w:left w:val="none" w:sz="0" w:space="0" w:color="auto"/>
        <w:bottom w:val="none" w:sz="0" w:space="0" w:color="auto"/>
        <w:right w:val="none" w:sz="0" w:space="0" w:color="auto"/>
      </w:divBdr>
    </w:div>
    <w:div w:id="1977368858">
      <w:bodyDiv w:val="1"/>
      <w:marLeft w:val="0"/>
      <w:marRight w:val="0"/>
      <w:marTop w:val="0"/>
      <w:marBottom w:val="0"/>
      <w:divBdr>
        <w:top w:val="none" w:sz="0" w:space="0" w:color="auto"/>
        <w:left w:val="none" w:sz="0" w:space="0" w:color="auto"/>
        <w:bottom w:val="none" w:sz="0" w:space="0" w:color="auto"/>
        <w:right w:val="none" w:sz="0" w:space="0" w:color="auto"/>
      </w:divBdr>
    </w:div>
    <w:div w:id="2052026139">
      <w:bodyDiv w:val="1"/>
      <w:marLeft w:val="0"/>
      <w:marRight w:val="0"/>
      <w:marTop w:val="0"/>
      <w:marBottom w:val="0"/>
      <w:divBdr>
        <w:top w:val="none" w:sz="0" w:space="0" w:color="auto"/>
        <w:left w:val="none" w:sz="0" w:space="0" w:color="auto"/>
        <w:bottom w:val="none" w:sz="0" w:space="0" w:color="auto"/>
        <w:right w:val="none" w:sz="0" w:space="0" w:color="auto"/>
      </w:divBdr>
    </w:div>
    <w:div w:id="2084327951">
      <w:bodyDiv w:val="1"/>
      <w:marLeft w:val="0"/>
      <w:marRight w:val="0"/>
      <w:marTop w:val="0"/>
      <w:marBottom w:val="0"/>
      <w:divBdr>
        <w:top w:val="none" w:sz="0" w:space="0" w:color="auto"/>
        <w:left w:val="none" w:sz="0" w:space="0" w:color="auto"/>
        <w:bottom w:val="none" w:sz="0" w:space="0" w:color="auto"/>
        <w:right w:val="none" w:sz="0" w:space="0" w:color="auto"/>
      </w:divBdr>
    </w:div>
    <w:div w:id="2094281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5.png"/><Relationship Id="rId42" Type="http://schemas.openxmlformats.org/officeDocument/2006/relationships/image" Target="media/image25.emf"/><Relationship Id="rId63" Type="http://schemas.openxmlformats.org/officeDocument/2006/relationships/image" Target="media/image41.png"/><Relationship Id="rId84" Type="http://schemas.openxmlformats.org/officeDocument/2006/relationships/image" Target="media/image62.png"/><Relationship Id="rId138" Type="http://schemas.openxmlformats.org/officeDocument/2006/relationships/image" Target="media/image115.png"/><Relationship Id="rId170" Type="http://schemas.openxmlformats.org/officeDocument/2006/relationships/image" Target="media/image117.jpeg"/><Relationship Id="rId191" Type="http://schemas.openxmlformats.org/officeDocument/2006/relationships/footer" Target="footer9.xml"/><Relationship Id="rId205" Type="http://schemas.openxmlformats.org/officeDocument/2006/relationships/image" Target="media/image138.jpeg"/><Relationship Id="rId16" Type="http://schemas.openxmlformats.org/officeDocument/2006/relationships/footer" Target="footer1.xml"/><Relationship Id="rId107" Type="http://schemas.openxmlformats.org/officeDocument/2006/relationships/image" Target="media/image84.png"/><Relationship Id="rId221" Type="http://schemas.openxmlformats.org/officeDocument/2006/relationships/theme" Target="theme/theme1.xml"/><Relationship Id="rId11" Type="http://schemas.openxmlformats.org/officeDocument/2006/relationships/image" Target="media/image1.png"/><Relationship Id="rId32" Type="http://schemas.openxmlformats.org/officeDocument/2006/relationships/image" Target="media/image16.png"/><Relationship Id="rId37" Type="http://schemas.openxmlformats.org/officeDocument/2006/relationships/image" Target="media/image20.emf"/><Relationship Id="rId53" Type="http://schemas.openxmlformats.org/officeDocument/2006/relationships/footer" Target="footer6.xml"/><Relationship Id="rId58" Type="http://schemas.openxmlformats.org/officeDocument/2006/relationships/header" Target="header3.xml"/><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79.png"/><Relationship Id="rId123" Type="http://schemas.openxmlformats.org/officeDocument/2006/relationships/image" Target="media/image100.png"/><Relationship Id="rId128" Type="http://schemas.openxmlformats.org/officeDocument/2006/relationships/image" Target="media/image105.svg"/><Relationship Id="rId144" Type="http://schemas.openxmlformats.org/officeDocument/2006/relationships/chart" Target="charts/chart6.xml"/><Relationship Id="rId149" Type="http://schemas.openxmlformats.org/officeDocument/2006/relationships/chart" Target="charts/chart11.xml"/><Relationship Id="rId5" Type="http://schemas.openxmlformats.org/officeDocument/2006/relationships/numbering" Target="numbering.xml"/><Relationship Id="rId90" Type="http://schemas.openxmlformats.org/officeDocument/2006/relationships/image" Target="media/image68.png"/><Relationship Id="rId95" Type="http://schemas.openxmlformats.org/officeDocument/2006/relationships/image" Target="media/image73.tiff"/><Relationship Id="rId165" Type="http://schemas.openxmlformats.org/officeDocument/2006/relationships/image" Target="media/image1160.png"/><Relationship Id="rId181" Type="http://schemas.openxmlformats.org/officeDocument/2006/relationships/image" Target="media/image128.jpeg"/><Relationship Id="rId186" Type="http://schemas.openxmlformats.org/officeDocument/2006/relationships/image" Target="media/image133.jpeg"/><Relationship Id="rId216" Type="http://schemas.openxmlformats.org/officeDocument/2006/relationships/footer" Target="footer11.xml"/><Relationship Id="rId22" Type="http://schemas.openxmlformats.org/officeDocument/2006/relationships/image" Target="media/image6.jpeg"/><Relationship Id="rId27" Type="http://schemas.openxmlformats.org/officeDocument/2006/relationships/image" Target="media/image11.emf"/><Relationship Id="rId43" Type="http://schemas.openxmlformats.org/officeDocument/2006/relationships/image" Target="media/image26.emf"/><Relationship Id="rId48" Type="http://schemas.openxmlformats.org/officeDocument/2006/relationships/image" Target="media/image31.png"/><Relationship Id="rId64" Type="http://schemas.openxmlformats.org/officeDocument/2006/relationships/image" Target="media/image42.png"/><Relationship Id="rId69" Type="http://schemas.openxmlformats.org/officeDocument/2006/relationships/image" Target="media/image47.jpe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11.emf"/><Relationship Id="rId139" Type="http://schemas.openxmlformats.org/officeDocument/2006/relationships/image" Target="media/image116.png"/><Relationship Id="rId80" Type="http://schemas.openxmlformats.org/officeDocument/2006/relationships/image" Target="media/image58.png"/><Relationship Id="rId85" Type="http://schemas.openxmlformats.org/officeDocument/2006/relationships/image" Target="media/image63.jpeg"/><Relationship Id="rId150" Type="http://schemas.openxmlformats.org/officeDocument/2006/relationships/customXml" Target="ink/ink1.xml"/><Relationship Id="rId171" Type="http://schemas.openxmlformats.org/officeDocument/2006/relationships/image" Target="media/image118.jpeg"/><Relationship Id="rId176" Type="http://schemas.openxmlformats.org/officeDocument/2006/relationships/image" Target="media/image123.png"/><Relationship Id="rId192" Type="http://schemas.openxmlformats.org/officeDocument/2006/relationships/image" Target="media/image135.png"/><Relationship Id="rId197" Type="http://schemas.openxmlformats.org/officeDocument/2006/relationships/chart" Target="charts/chart16.xml"/><Relationship Id="rId206" Type="http://schemas.openxmlformats.org/officeDocument/2006/relationships/image" Target="media/image139.png"/><Relationship Id="rId201" Type="http://schemas.openxmlformats.org/officeDocument/2006/relationships/chart" Target="charts/chart20.xml"/><Relationship Id="rId12" Type="http://schemas.openxmlformats.org/officeDocument/2006/relationships/image" Target="media/image2.emf"/><Relationship Id="rId17" Type="http://schemas.openxmlformats.org/officeDocument/2006/relationships/header" Target="header2.xml"/><Relationship Id="rId33" Type="http://schemas.openxmlformats.org/officeDocument/2006/relationships/image" Target="media/image17.png"/><Relationship Id="rId38" Type="http://schemas.openxmlformats.org/officeDocument/2006/relationships/image" Target="media/image21.emf"/><Relationship Id="rId59" Type="http://schemas.openxmlformats.org/officeDocument/2006/relationships/header" Target="header4.xml"/><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101.png"/><Relationship Id="rId129" Type="http://schemas.openxmlformats.org/officeDocument/2006/relationships/image" Target="media/image106.png"/><Relationship Id="rId54" Type="http://schemas.openxmlformats.org/officeDocument/2006/relationships/image" Target="media/image35.emf"/><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image" Target="media/image74.tiff"/><Relationship Id="rId140" Type="http://schemas.openxmlformats.org/officeDocument/2006/relationships/chart" Target="charts/chart2.xml"/><Relationship Id="rId145" Type="http://schemas.openxmlformats.org/officeDocument/2006/relationships/chart" Target="charts/chart7.xml"/><Relationship Id="rId166" Type="http://schemas.openxmlformats.org/officeDocument/2006/relationships/customXml" Target="ink/ink2.xml"/><Relationship Id="rId182" Type="http://schemas.openxmlformats.org/officeDocument/2006/relationships/image" Target="media/image129.jpeg"/><Relationship Id="rId187" Type="http://schemas.openxmlformats.org/officeDocument/2006/relationships/image" Target="media/image134.jpeg"/><Relationship Id="rId217"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46.png"/><Relationship Id="rId23" Type="http://schemas.openxmlformats.org/officeDocument/2006/relationships/image" Target="media/image7.jpeg"/><Relationship Id="rId28" Type="http://schemas.openxmlformats.org/officeDocument/2006/relationships/image" Target="media/image12.png"/><Relationship Id="rId49" Type="http://schemas.openxmlformats.org/officeDocument/2006/relationships/image" Target="media/image32.emf"/><Relationship Id="rId114" Type="http://schemas.openxmlformats.org/officeDocument/2006/relationships/image" Target="media/image91.svg"/><Relationship Id="rId119" Type="http://schemas.openxmlformats.org/officeDocument/2006/relationships/image" Target="media/image96.png"/><Relationship Id="rId44" Type="http://schemas.openxmlformats.org/officeDocument/2006/relationships/image" Target="media/image27.png"/><Relationship Id="rId60" Type="http://schemas.openxmlformats.org/officeDocument/2006/relationships/footer" Target="footer7.xml"/><Relationship Id="rId65" Type="http://schemas.openxmlformats.org/officeDocument/2006/relationships/image" Target="media/image43.png"/><Relationship Id="rId81" Type="http://schemas.openxmlformats.org/officeDocument/2006/relationships/image" Target="media/image59.png"/><Relationship Id="rId86" Type="http://schemas.openxmlformats.org/officeDocument/2006/relationships/image" Target="media/image64.png"/><Relationship Id="rId130" Type="http://schemas.openxmlformats.org/officeDocument/2006/relationships/image" Target="media/image107.png"/><Relationship Id="rId135" Type="http://schemas.openxmlformats.org/officeDocument/2006/relationships/image" Target="media/image112.emf"/><Relationship Id="rId177" Type="http://schemas.openxmlformats.org/officeDocument/2006/relationships/image" Target="media/image124.jpeg"/><Relationship Id="rId198" Type="http://schemas.openxmlformats.org/officeDocument/2006/relationships/chart" Target="charts/chart17.xml"/><Relationship Id="rId172" Type="http://schemas.openxmlformats.org/officeDocument/2006/relationships/image" Target="media/image119.png"/><Relationship Id="rId193" Type="http://schemas.openxmlformats.org/officeDocument/2006/relationships/image" Target="media/image136.png"/><Relationship Id="rId202" Type="http://schemas.openxmlformats.org/officeDocument/2006/relationships/chart" Target="charts/chart21.xml"/><Relationship Id="rId207" Type="http://schemas.openxmlformats.org/officeDocument/2006/relationships/image" Target="media/image140.png"/><Relationship Id="rId13" Type="http://schemas.openxmlformats.org/officeDocument/2006/relationships/image" Target="media/image3.jpeg"/><Relationship Id="rId18" Type="http://schemas.openxmlformats.org/officeDocument/2006/relationships/footer" Target="footer2.xml"/><Relationship Id="rId39" Type="http://schemas.openxmlformats.org/officeDocument/2006/relationships/image" Target="media/image22.emf"/><Relationship Id="rId109" Type="http://schemas.openxmlformats.org/officeDocument/2006/relationships/image" Target="media/image86.png"/><Relationship Id="rId34" Type="http://schemas.openxmlformats.org/officeDocument/2006/relationships/image" Target="media/image18.wmf"/><Relationship Id="rId50" Type="http://schemas.openxmlformats.org/officeDocument/2006/relationships/image" Target="media/image33.emf"/><Relationship Id="rId55" Type="http://schemas.openxmlformats.org/officeDocument/2006/relationships/image" Target="media/image36.png"/><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image" Target="media/image81.jpe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chart" Target="charts/chart3.xml"/><Relationship Id="rId146" Type="http://schemas.openxmlformats.org/officeDocument/2006/relationships/chart" Target="charts/chart8.xml"/><Relationship Id="rId167" Type="http://schemas.openxmlformats.org/officeDocument/2006/relationships/image" Target="media/image1170.png"/><Relationship Id="rId188" Type="http://schemas.openxmlformats.org/officeDocument/2006/relationships/chart" Target="charts/chart12.xml"/><Relationship Id="rId7" Type="http://schemas.openxmlformats.org/officeDocument/2006/relationships/settings" Target="settings.xml"/><Relationship Id="rId71" Type="http://schemas.openxmlformats.org/officeDocument/2006/relationships/image" Target="media/image49.png"/><Relationship Id="rId92" Type="http://schemas.openxmlformats.org/officeDocument/2006/relationships/image" Target="media/image70.png"/><Relationship Id="rId183" Type="http://schemas.openxmlformats.org/officeDocument/2006/relationships/image" Target="media/image130.jpeg"/><Relationship Id="rId213" Type="http://schemas.openxmlformats.org/officeDocument/2006/relationships/header" Target="header6.xml"/><Relationship Id="rId218" Type="http://schemas.openxmlformats.org/officeDocument/2006/relationships/footer" Target="footer12.xml"/><Relationship Id="rId2" Type="http://schemas.openxmlformats.org/officeDocument/2006/relationships/customXml" Target="../customXml/item2.xml"/><Relationship Id="rId29" Type="http://schemas.openxmlformats.org/officeDocument/2006/relationships/image" Target="media/image13.emf"/><Relationship Id="rId24" Type="http://schemas.openxmlformats.org/officeDocument/2006/relationships/image" Target="media/image8.jpeg"/><Relationship Id="rId40" Type="http://schemas.openxmlformats.org/officeDocument/2006/relationships/image" Target="media/image23.png"/><Relationship Id="rId45" Type="http://schemas.openxmlformats.org/officeDocument/2006/relationships/image" Target="media/image28.emf"/><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image" Target="media/image113.png"/><Relationship Id="rId178" Type="http://schemas.openxmlformats.org/officeDocument/2006/relationships/image" Target="media/image125.png"/><Relationship Id="rId61" Type="http://schemas.openxmlformats.org/officeDocument/2006/relationships/image" Target="media/image39.png"/><Relationship Id="rId82" Type="http://schemas.openxmlformats.org/officeDocument/2006/relationships/image" Target="media/image60.png"/><Relationship Id="rId173" Type="http://schemas.openxmlformats.org/officeDocument/2006/relationships/image" Target="media/image120.jpeg"/><Relationship Id="rId194" Type="http://schemas.openxmlformats.org/officeDocument/2006/relationships/chart" Target="charts/chart13.xml"/><Relationship Id="rId199" Type="http://schemas.openxmlformats.org/officeDocument/2006/relationships/chart" Target="charts/chart18.xml"/><Relationship Id="rId203" Type="http://schemas.openxmlformats.org/officeDocument/2006/relationships/chart" Target="charts/chart22.xml"/><Relationship Id="rId208" Type="http://schemas.openxmlformats.org/officeDocument/2006/relationships/image" Target="media/image141.png"/><Relationship Id="rId19" Type="http://schemas.openxmlformats.org/officeDocument/2006/relationships/image" Target="media/image4.png"/><Relationship Id="rId14" Type="http://schemas.openxmlformats.org/officeDocument/2006/relationships/image" Target="media/image4.jpeg"/><Relationship Id="rId30" Type="http://schemas.openxmlformats.org/officeDocument/2006/relationships/image" Target="media/image14.png"/><Relationship Id="rId35" Type="http://schemas.openxmlformats.org/officeDocument/2006/relationships/image" Target="media/image19.emf"/><Relationship Id="rId56" Type="http://schemas.openxmlformats.org/officeDocument/2006/relationships/image" Target="media/image37.jpe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chart" Target="charts/chart9.xml"/><Relationship Id="rId168" Type="http://schemas.openxmlformats.org/officeDocument/2006/relationships/customXml" Target="ink/ink3.xml"/><Relationship Id="rId8" Type="http://schemas.openxmlformats.org/officeDocument/2006/relationships/webSettings" Target="webSettings.xml"/><Relationship Id="rId51" Type="http://schemas.openxmlformats.org/officeDocument/2006/relationships/footer" Target="footer5.xml"/><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image" Target="media/image76.tiff"/><Relationship Id="rId121" Type="http://schemas.openxmlformats.org/officeDocument/2006/relationships/image" Target="media/image98.png"/><Relationship Id="rId142" Type="http://schemas.openxmlformats.org/officeDocument/2006/relationships/chart" Target="charts/chart4.xml"/><Relationship Id="rId184" Type="http://schemas.openxmlformats.org/officeDocument/2006/relationships/image" Target="media/image131.jpeg"/><Relationship Id="rId189" Type="http://schemas.openxmlformats.org/officeDocument/2006/relationships/header" Target="header5.xml"/><Relationship Id="rId219" Type="http://schemas.openxmlformats.org/officeDocument/2006/relationships/fontTable" Target="fontTable.xml"/><Relationship Id="rId3" Type="http://schemas.openxmlformats.org/officeDocument/2006/relationships/customXml" Target="../customXml/item3.xml"/><Relationship Id="rId214" Type="http://schemas.openxmlformats.org/officeDocument/2006/relationships/header" Target="header7.xml"/><Relationship Id="rId25" Type="http://schemas.openxmlformats.org/officeDocument/2006/relationships/image" Target="media/image9.png"/><Relationship Id="rId46" Type="http://schemas.openxmlformats.org/officeDocument/2006/relationships/image" Target="media/image29.emf"/><Relationship Id="rId67" Type="http://schemas.openxmlformats.org/officeDocument/2006/relationships/image" Target="media/image45.png"/><Relationship Id="rId116" Type="http://schemas.openxmlformats.org/officeDocument/2006/relationships/image" Target="media/image93.png"/><Relationship Id="rId137" Type="http://schemas.openxmlformats.org/officeDocument/2006/relationships/image" Target="media/image114.png"/><Relationship Id="rId20" Type="http://schemas.openxmlformats.org/officeDocument/2006/relationships/footer" Target="footer3.xml"/><Relationship Id="rId41" Type="http://schemas.openxmlformats.org/officeDocument/2006/relationships/image" Target="media/image24.emf"/><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image" Target="media/image66.jpeg"/><Relationship Id="rId111" Type="http://schemas.openxmlformats.org/officeDocument/2006/relationships/image" Target="media/image88.png"/><Relationship Id="rId132" Type="http://schemas.openxmlformats.org/officeDocument/2006/relationships/image" Target="media/image109.png"/><Relationship Id="rId174" Type="http://schemas.openxmlformats.org/officeDocument/2006/relationships/image" Target="media/image121.png"/><Relationship Id="rId179" Type="http://schemas.openxmlformats.org/officeDocument/2006/relationships/image" Target="media/image126.png"/><Relationship Id="rId195" Type="http://schemas.openxmlformats.org/officeDocument/2006/relationships/chart" Target="charts/chart14.xml"/><Relationship Id="rId209" Type="http://schemas.openxmlformats.org/officeDocument/2006/relationships/image" Target="media/image142.png"/><Relationship Id="rId190" Type="http://schemas.openxmlformats.org/officeDocument/2006/relationships/footer" Target="footer8.xml"/><Relationship Id="rId204" Type="http://schemas.openxmlformats.org/officeDocument/2006/relationships/image" Target="media/image137.png"/><Relationship Id="rId220" Type="http://schemas.openxmlformats.org/officeDocument/2006/relationships/glossaryDocument" Target="glossary/document.xml"/><Relationship Id="rId15" Type="http://schemas.openxmlformats.org/officeDocument/2006/relationships/header" Target="header1.xml"/><Relationship Id="rId36" Type="http://schemas.openxmlformats.org/officeDocument/2006/relationships/footer" Target="footer4.xml"/><Relationship Id="rId57" Type="http://schemas.openxmlformats.org/officeDocument/2006/relationships/image" Target="media/image38.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4.emf"/><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chart" Target="charts/chart1.xml"/><Relationship Id="rId122" Type="http://schemas.openxmlformats.org/officeDocument/2006/relationships/image" Target="media/image99.svg"/><Relationship Id="rId143" Type="http://schemas.openxmlformats.org/officeDocument/2006/relationships/chart" Target="charts/chart5.xml"/><Relationship Id="rId148" Type="http://schemas.openxmlformats.org/officeDocument/2006/relationships/chart" Target="charts/chart10.xml"/><Relationship Id="rId169" Type="http://schemas.openxmlformats.org/officeDocument/2006/relationships/image" Target="media/image118.png"/><Relationship Id="rId185" Type="http://schemas.openxmlformats.org/officeDocument/2006/relationships/image" Target="media/image132.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27.jpeg"/><Relationship Id="rId210" Type="http://schemas.openxmlformats.org/officeDocument/2006/relationships/image" Target="media/image143.png"/><Relationship Id="rId215" Type="http://schemas.openxmlformats.org/officeDocument/2006/relationships/footer" Target="footer10.xml"/><Relationship Id="rId26" Type="http://schemas.openxmlformats.org/officeDocument/2006/relationships/image" Target="media/image10.png"/><Relationship Id="rId47" Type="http://schemas.openxmlformats.org/officeDocument/2006/relationships/image" Target="media/image30.png"/><Relationship Id="rId68" Type="http://schemas.openxmlformats.org/officeDocument/2006/relationships/image" Target="media/image46.jpeg"/><Relationship Id="rId89" Type="http://schemas.openxmlformats.org/officeDocument/2006/relationships/image" Target="media/image67.png"/><Relationship Id="rId112" Type="http://schemas.openxmlformats.org/officeDocument/2006/relationships/image" Target="media/image89.png"/><Relationship Id="rId133" Type="http://schemas.openxmlformats.org/officeDocument/2006/relationships/image" Target="media/image110.emf"/><Relationship Id="rId175" Type="http://schemas.openxmlformats.org/officeDocument/2006/relationships/image" Target="media/image122.jpeg"/><Relationship Id="rId196" Type="http://schemas.openxmlformats.org/officeDocument/2006/relationships/chart" Target="charts/chart15.xml"/><Relationship Id="rId200" Type="http://schemas.openxmlformats.org/officeDocument/2006/relationships/chart" Target="charts/chart19.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webb\Downloads\A4-Long-Report.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Documents\1Uni\Capstone\River%20data\CrossSection_Dat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delwpvicgovau-my.sharepoint.com/personal/kaylene_morris_delwp_vic_gov_au/Documents/Goulburn_MER/REPORTS_Goulb/GoulbMER_Veg_Report_2021/GoulburnReport_Data2021.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https://delwpvicgovau-my.sharepoint.com/personal/kaylene_morris_delwp_vic_gov_au/Documents/Goulburn_MER/REPORTS_Goulb/GoulbMER_Veg_Report_2021/GoulburnReport_Data2021.xlsx"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file:///D:\Documents\1Uni\Capstone\River%20data\Summary%20v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Documents\1Uni\Capstone\River%20data\CrossSection_Data.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Documents\1Uni\Capstone\River%20data\CrossSection_Data.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D:\Documents\1Uni\Capstone\River%20data\CrossSection_Data.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D:\Documents\1Uni\Capstone\River%20data\CrossSection_Data.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D:\Documents\1Uni\Capstone\River%20data\CrossSection_Data.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D:\Documents\1Uni\Capstone\River%20data\CrossSection_Data.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D:\Documents\1Uni\Capstone\River%20data\CrossSection_Data.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delwpvicgovau-my.sharepoint.com/personal/kaylene_morris_delwp_vic_gov_au/Documents/Goulburn_MER/REPORTS_Goulb/GoulbMER_Veg_Report_2021/GoulburnReport_Data2021.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C:\Users\nichr\Downloads\CrossSection_Data.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nichr\Downloads\CrossSection_Data.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nichr\Downloads\CrossSection_Data.xlsx" TargetMode="External"/><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https://delwpvicgovau-my.sharepoint.com/personal/kaylene_morris_delwp_vic_gov_au/Documents/Goulburn_MER/REPORTS_Goulb/GoulbMER_Veg_Report_2021/GoulburnReport_Data2021.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delwpvicgovau-my.sharepoint.com/personal/kaylene_morris_delwp_vic_gov_au/Documents/Goulburn_MER/REPORTS_Goulb/GoulbMER_Veg_Report_2021/GoulburnReport_Data2021.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delwpvicgovau-my.sharepoint.com/personal/kaylene_morris_delwp_vic_gov_au/Documents/Goulburn_MER/REPORTS_Goulb/GoulbMER_Veg_Report_2021/GoulburnReport_Data2021.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delwpvicgovau-my.sharepoint.com/personal/kaylene_morris_delwp_vic_gov_au/Documents/Goulburn_MER/REPORTS_Goulb/GoulbMER_Veg_Report_2021/GoulburnReport_Data2021.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delwpvicgovau-my.sharepoint.com/personal/kaylene_morris_delwp_vic_gov_au/Documents/Goulburn_MER/REPORTS_Goulb/GoulbMER_Veg_Report_2021/GoulburnReport_Data2021.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delwpvicgovau-my.sharepoint.com/personal/kaylene_morris_delwp_vic_gov_au/Documents/Goulburn_MER/REPORTS_Goulb/GoulbMER_Veg_Report_2021/GoulburnReport_Data2021.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delwpvicgovau-my.sharepoint.com/personal/kaylene_morris_delwp_vic_gov_au/Documents/Goulburn_MER/REPORTS_Goulb/GoulbMER_Veg_Report_2021/GoulburnReport_Data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Pelagic Metabolism % vs Whole stream metabolism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All!$E$76</c:f>
              <c:strCache>
                <c:ptCount val="1"/>
                <c:pt idx="0">
                  <c:v>Pelagic %</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exp"/>
            <c:dispRSqr val="0"/>
            <c:dispEq val="0"/>
          </c:trendline>
          <c:xVal>
            <c:numRef>
              <c:f>All!$D$77:$D$97</c:f>
              <c:numCache>
                <c:formatCode>General</c:formatCode>
                <c:ptCount val="21"/>
                <c:pt idx="0">
                  <c:v>1.9535499999999999</c:v>
                </c:pt>
                <c:pt idx="1">
                  <c:v>6.1660000000000004</c:v>
                </c:pt>
                <c:pt idx="2">
                  <c:v>4.2465529999999996</c:v>
                </c:pt>
                <c:pt idx="3">
                  <c:v>1.10449</c:v>
                </c:pt>
                <c:pt idx="4">
                  <c:v>1.83</c:v>
                </c:pt>
                <c:pt idx="5">
                  <c:v>1.39</c:v>
                </c:pt>
                <c:pt idx="6">
                  <c:v>1.72</c:v>
                </c:pt>
                <c:pt idx="7">
                  <c:v>2.6975600000000002</c:v>
                </c:pt>
                <c:pt idx="8">
                  <c:v>6.5721499999999997</c:v>
                </c:pt>
                <c:pt idx="9">
                  <c:v>0.68029200000000001</c:v>
                </c:pt>
                <c:pt idx="10">
                  <c:v>3.0674999999999999</c:v>
                </c:pt>
                <c:pt idx="11">
                  <c:v>1.38</c:v>
                </c:pt>
                <c:pt idx="12">
                  <c:v>0.82</c:v>
                </c:pt>
                <c:pt idx="13">
                  <c:v>0.85</c:v>
                </c:pt>
                <c:pt idx="14">
                  <c:v>2.311569714</c:v>
                </c:pt>
                <c:pt idx="15">
                  <c:v>2.7343799999999998</c:v>
                </c:pt>
                <c:pt idx="16">
                  <c:v>9.24</c:v>
                </c:pt>
                <c:pt idx="17">
                  <c:v>0.65</c:v>
                </c:pt>
                <c:pt idx="18">
                  <c:v>3.94</c:v>
                </c:pt>
                <c:pt idx="19">
                  <c:v>1.42</c:v>
                </c:pt>
                <c:pt idx="20">
                  <c:v>1.77</c:v>
                </c:pt>
              </c:numCache>
            </c:numRef>
          </c:xVal>
          <c:yVal>
            <c:numRef>
              <c:f>All!$E$77:$E$97</c:f>
              <c:numCache>
                <c:formatCode>General</c:formatCode>
                <c:ptCount val="21"/>
                <c:pt idx="0">
                  <c:v>6.60783833197085</c:v>
                </c:pt>
                <c:pt idx="1">
                  <c:v>2.1602437303661697</c:v>
                </c:pt>
                <c:pt idx="2">
                  <c:v>3.2697307188791811</c:v>
                </c:pt>
                <c:pt idx="3">
                  <c:v>13.118518489302069</c:v>
                </c:pt>
                <c:pt idx="4">
                  <c:v>7.2077304210053246</c:v>
                </c:pt>
                <c:pt idx="5">
                  <c:v>11.659160157593332</c:v>
                </c:pt>
                <c:pt idx="6">
                  <c:v>9.5617830606015755</c:v>
                </c:pt>
                <c:pt idx="7">
                  <c:v>5.2697038658192445</c:v>
                </c:pt>
                <c:pt idx="8">
                  <c:v>2.1649720142333102</c:v>
                </c:pt>
                <c:pt idx="9">
                  <c:v>19.200887167902462</c:v>
                </c:pt>
                <c:pt idx="10">
                  <c:v>3.2506000737968033</c:v>
                </c:pt>
                <c:pt idx="11">
                  <c:v>11.291035416735136</c:v>
                </c:pt>
                <c:pt idx="12">
                  <c:v>25.570126373871481</c:v>
                </c:pt>
                <c:pt idx="13">
                  <c:v>16.336421836303096</c:v>
                </c:pt>
                <c:pt idx="14">
                  <c:v>6.4542565175831204</c:v>
                </c:pt>
                <c:pt idx="15">
                  <c:v>5.643969685169866</c:v>
                </c:pt>
                <c:pt idx="16">
                  <c:v>1.6848287158378901</c:v>
                </c:pt>
                <c:pt idx="17">
                  <c:v>15.278014385558333</c:v>
                </c:pt>
                <c:pt idx="18">
                  <c:v>4.4949005843846646</c:v>
                </c:pt>
                <c:pt idx="19">
                  <c:v>15.636650454229336</c:v>
                </c:pt>
                <c:pt idx="20">
                  <c:v>13.367074243365987</c:v>
                </c:pt>
              </c:numCache>
            </c:numRef>
          </c:yVal>
          <c:smooth val="0"/>
          <c:extLst>
            <c:ext xmlns:c16="http://schemas.microsoft.com/office/drawing/2014/chart" uri="{C3380CC4-5D6E-409C-BE32-E72D297353CC}">
              <c16:uniqueId val="{00000001-270C-4E77-B8EB-643816AB10F5}"/>
            </c:ext>
          </c:extLst>
        </c:ser>
        <c:dLbls>
          <c:showLegendKey val="0"/>
          <c:showVal val="0"/>
          <c:showCatName val="0"/>
          <c:showSerName val="0"/>
          <c:showPercent val="0"/>
          <c:showBubbleSize val="0"/>
        </c:dLbls>
        <c:axId val="664325936"/>
        <c:axId val="664326352"/>
      </c:scatterChart>
      <c:valAx>
        <c:axId val="6643259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Whole Stream Metabolism </a:t>
                </a:r>
                <a:r>
                  <a:rPr lang="en-AU" sz="1000" b="0" i="0" u="none" strike="noStrike" baseline="0">
                    <a:effectLst/>
                  </a:rPr>
                  <a:t>(g C /m</a:t>
                </a:r>
                <a:r>
                  <a:rPr lang="en-AU" sz="1000" b="0" i="0" u="none" strike="noStrike" baseline="30000">
                    <a:effectLst/>
                  </a:rPr>
                  <a:t>2</a:t>
                </a:r>
                <a:r>
                  <a:rPr lang="en-AU" sz="1000" b="0" i="0" u="none" strike="noStrike" baseline="0">
                    <a:effectLst/>
                  </a:rPr>
                  <a:t> y)</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4326352"/>
        <c:crosses val="autoZero"/>
        <c:crossBetween val="midCat"/>
      </c:valAx>
      <c:valAx>
        <c:axId val="664326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t>
                </a:r>
                <a:r>
                  <a:rPr lang="en-AU" baseline="0"/>
                  <a:t> Pelagic Metabolism</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432593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AU"/>
              <a:t>McCoys Bridge </a:t>
            </a:r>
            <a:r>
              <a:rPr lang="en-AU" baseline="0"/>
              <a:t> </a:t>
            </a:r>
          </a:p>
          <a:p>
            <a:pPr>
              <a:defRPr sz="1000"/>
            </a:pPr>
            <a:r>
              <a:rPr lang="en-AU" i="0"/>
              <a:t>Common tussock grass (</a:t>
            </a:r>
            <a:r>
              <a:rPr lang="en-AU" i="1"/>
              <a:t>Poa labillardierei)</a:t>
            </a:r>
          </a:p>
        </c:rich>
      </c:tx>
      <c:layout>
        <c:manualLayout>
          <c:xMode val="edge"/>
          <c:yMode val="edge"/>
          <c:x val="0.29946756184223444"/>
          <c:y val="1.6320153739515772E-4"/>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609797950562495E-2"/>
          <c:y val="2.9963214057702241E-2"/>
          <c:w val="0.89915702101799011"/>
          <c:h val="0.81580609856200403"/>
        </c:manualLayout>
      </c:layout>
      <c:bar3DChart>
        <c:barDir val="col"/>
        <c:grouping val="standard"/>
        <c:varyColors val="0"/>
        <c:ser>
          <c:idx val="4"/>
          <c:order val="0"/>
          <c:tx>
            <c:strRef>
              <c:f>Graphs!$I$150</c:f>
              <c:strCache>
                <c:ptCount val="1"/>
                <c:pt idx="0">
                  <c:v>1a</c:v>
                </c:pt>
              </c:strCache>
            </c:strRef>
          </c:tx>
          <c:spPr>
            <a:solidFill>
              <a:schemeClr val="accent5"/>
            </a:solidFill>
            <a:ln>
              <a:noFill/>
            </a:ln>
            <a:effectLst/>
            <a:sp3d/>
          </c:spPr>
          <c:invertIfNegative val="0"/>
          <c:cat>
            <c:numRef>
              <c:f>Graphs!$H$151:$H$168</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Graphs!$I$151:$I$168</c:f>
              <c:numCache>
                <c:formatCode>General</c:formatCode>
                <c:ptCount val="18"/>
                <c:pt idx="0">
                  <c:v>0</c:v>
                </c:pt>
                <c:pt idx="1">
                  <c:v>0</c:v>
                </c:pt>
                <c:pt idx="2">
                  <c:v>0</c:v>
                </c:pt>
                <c:pt idx="3">
                  <c:v>0</c:v>
                </c:pt>
                <c:pt idx="4">
                  <c:v>0</c:v>
                </c:pt>
                <c:pt idx="5">
                  <c:v>0</c:v>
                </c:pt>
                <c:pt idx="6">
                  <c:v>0</c:v>
                </c:pt>
                <c:pt idx="7">
                  <c:v>0</c:v>
                </c:pt>
                <c:pt idx="8">
                  <c:v>0</c:v>
                </c:pt>
                <c:pt idx="9">
                  <c:v>0</c:v>
                </c:pt>
                <c:pt idx="10">
                  <c:v>0</c:v>
                </c:pt>
                <c:pt idx="11">
                  <c:v>0</c:v>
                </c:pt>
                <c:pt idx="12">
                  <c:v>0.41666666666666669</c:v>
                </c:pt>
                <c:pt idx="13">
                  <c:v>0</c:v>
                </c:pt>
                <c:pt idx="14">
                  <c:v>0</c:v>
                </c:pt>
                <c:pt idx="15">
                  <c:v>0</c:v>
                </c:pt>
                <c:pt idx="16">
                  <c:v>0</c:v>
                </c:pt>
                <c:pt idx="17">
                  <c:v>0</c:v>
                </c:pt>
              </c:numCache>
            </c:numRef>
          </c:val>
          <c:extLst>
            <c:ext xmlns:c16="http://schemas.microsoft.com/office/drawing/2014/chart" uri="{C3380CC4-5D6E-409C-BE32-E72D297353CC}">
              <c16:uniqueId val="{00000000-04FA-47C7-9346-32640BC76663}"/>
            </c:ext>
          </c:extLst>
        </c:ser>
        <c:ser>
          <c:idx val="5"/>
          <c:order val="1"/>
          <c:tx>
            <c:strRef>
              <c:f>Graphs!$J$150</c:f>
              <c:strCache>
                <c:ptCount val="1"/>
                <c:pt idx="0">
                  <c:v>1b</c:v>
                </c:pt>
              </c:strCache>
            </c:strRef>
          </c:tx>
          <c:spPr>
            <a:solidFill>
              <a:schemeClr val="accent6"/>
            </a:solidFill>
            <a:ln>
              <a:noFill/>
            </a:ln>
            <a:effectLst/>
            <a:sp3d/>
          </c:spPr>
          <c:invertIfNegative val="0"/>
          <c:cat>
            <c:numRef>
              <c:f>Graphs!$H$151:$H$168</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Graphs!$J$151:$J$168</c:f>
              <c:numCache>
                <c:formatCode>General</c:formatCode>
                <c:ptCount val="1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numCache>
            </c:numRef>
          </c:val>
          <c:extLst>
            <c:ext xmlns:c16="http://schemas.microsoft.com/office/drawing/2014/chart" uri="{C3380CC4-5D6E-409C-BE32-E72D297353CC}">
              <c16:uniqueId val="{00000001-04FA-47C7-9346-32640BC76663}"/>
            </c:ext>
          </c:extLst>
        </c:ser>
        <c:ser>
          <c:idx val="1"/>
          <c:order val="2"/>
          <c:tx>
            <c:strRef>
              <c:f>Graphs!$K$150</c:f>
              <c:strCache>
                <c:ptCount val="1"/>
                <c:pt idx="0">
                  <c:v>2</c:v>
                </c:pt>
              </c:strCache>
            </c:strRef>
          </c:tx>
          <c:spPr>
            <a:solidFill>
              <a:schemeClr val="accent2"/>
            </a:solidFill>
            <a:ln>
              <a:noFill/>
            </a:ln>
            <a:effectLst/>
            <a:sp3d/>
          </c:spPr>
          <c:invertIfNegative val="0"/>
          <c:cat>
            <c:numRef>
              <c:f>Graphs!$H$151:$H$168</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Graphs!$K$151:$K$168</c:f>
              <c:numCache>
                <c:formatCode>General</c:formatCode>
                <c:ptCount val="18"/>
                <c:pt idx="0">
                  <c:v>0</c:v>
                </c:pt>
                <c:pt idx="1">
                  <c:v>0</c:v>
                </c:pt>
                <c:pt idx="2">
                  <c:v>3.9285714285714284</c:v>
                </c:pt>
                <c:pt idx="3">
                  <c:v>0</c:v>
                </c:pt>
                <c:pt idx="4">
                  <c:v>0</c:v>
                </c:pt>
                <c:pt idx="5">
                  <c:v>0</c:v>
                </c:pt>
                <c:pt idx="6">
                  <c:v>0</c:v>
                </c:pt>
                <c:pt idx="7">
                  <c:v>0</c:v>
                </c:pt>
                <c:pt idx="8">
                  <c:v>0</c:v>
                </c:pt>
                <c:pt idx="9">
                  <c:v>0</c:v>
                </c:pt>
                <c:pt idx="10">
                  <c:v>0</c:v>
                </c:pt>
                <c:pt idx="11">
                  <c:v>0</c:v>
                </c:pt>
                <c:pt idx="12">
                  <c:v>1.4285714285714286</c:v>
                </c:pt>
                <c:pt idx="13">
                  <c:v>0</c:v>
                </c:pt>
                <c:pt idx="14">
                  <c:v>0</c:v>
                </c:pt>
                <c:pt idx="15">
                  <c:v>0.26315789473684209</c:v>
                </c:pt>
                <c:pt idx="16">
                  <c:v>0</c:v>
                </c:pt>
                <c:pt idx="17">
                  <c:v>0</c:v>
                </c:pt>
              </c:numCache>
            </c:numRef>
          </c:val>
          <c:extLst>
            <c:ext xmlns:c16="http://schemas.microsoft.com/office/drawing/2014/chart" uri="{C3380CC4-5D6E-409C-BE32-E72D297353CC}">
              <c16:uniqueId val="{00000002-04FA-47C7-9346-32640BC76663}"/>
            </c:ext>
          </c:extLst>
        </c:ser>
        <c:ser>
          <c:idx val="2"/>
          <c:order val="3"/>
          <c:tx>
            <c:strRef>
              <c:f>Graphs!$L$150</c:f>
              <c:strCache>
                <c:ptCount val="1"/>
                <c:pt idx="0">
                  <c:v>3</c:v>
                </c:pt>
              </c:strCache>
            </c:strRef>
          </c:tx>
          <c:spPr>
            <a:solidFill>
              <a:schemeClr val="accent3"/>
            </a:solidFill>
            <a:ln>
              <a:noFill/>
            </a:ln>
            <a:effectLst/>
            <a:sp3d/>
          </c:spPr>
          <c:invertIfNegative val="0"/>
          <c:cat>
            <c:numRef>
              <c:f>Graphs!$H$151:$H$168</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Graphs!$L$151:$L$168</c:f>
              <c:numCache>
                <c:formatCode>General</c:formatCode>
                <c:ptCount val="18"/>
                <c:pt idx="0">
                  <c:v>1.4615384615384615</c:v>
                </c:pt>
                <c:pt idx="1">
                  <c:v>0.5357142857142857</c:v>
                </c:pt>
                <c:pt idx="2">
                  <c:v>2.5892857142857144</c:v>
                </c:pt>
                <c:pt idx="3">
                  <c:v>6.7857142857142856</c:v>
                </c:pt>
                <c:pt idx="4">
                  <c:v>2.4254545454545458</c:v>
                </c:pt>
                <c:pt idx="5">
                  <c:v>4.1462962962962973</c:v>
                </c:pt>
                <c:pt idx="6">
                  <c:v>3.6571428571428575</c:v>
                </c:pt>
                <c:pt idx="7">
                  <c:v>7.0909090909090908</c:v>
                </c:pt>
                <c:pt idx="8">
                  <c:v>8.1</c:v>
                </c:pt>
                <c:pt idx="9">
                  <c:v>10.313157894736843</c:v>
                </c:pt>
                <c:pt idx="10">
                  <c:v>10.073076923076922</c:v>
                </c:pt>
                <c:pt idx="11">
                  <c:v>11.564464285714285</c:v>
                </c:pt>
                <c:pt idx="12">
                  <c:v>12.857142857142858</c:v>
                </c:pt>
                <c:pt idx="13">
                  <c:v>10.357142857142858</c:v>
                </c:pt>
                <c:pt idx="14">
                  <c:v>8.5714285714285712</c:v>
                </c:pt>
                <c:pt idx="15">
                  <c:v>11.481481481481481</c:v>
                </c:pt>
                <c:pt idx="16">
                  <c:v>14.62962962962963</c:v>
                </c:pt>
                <c:pt idx="17">
                  <c:v>10.636363636363637</c:v>
                </c:pt>
              </c:numCache>
            </c:numRef>
          </c:val>
          <c:extLst>
            <c:ext xmlns:c16="http://schemas.microsoft.com/office/drawing/2014/chart" uri="{C3380CC4-5D6E-409C-BE32-E72D297353CC}">
              <c16:uniqueId val="{00000003-04FA-47C7-9346-32640BC76663}"/>
            </c:ext>
          </c:extLst>
        </c:ser>
        <c:ser>
          <c:idx val="3"/>
          <c:order val="4"/>
          <c:tx>
            <c:strRef>
              <c:f>Graphs!$M$150</c:f>
              <c:strCache>
                <c:ptCount val="1"/>
                <c:pt idx="0">
                  <c:v>4</c:v>
                </c:pt>
              </c:strCache>
            </c:strRef>
          </c:tx>
          <c:spPr>
            <a:solidFill>
              <a:schemeClr val="accent4"/>
            </a:solidFill>
            <a:ln>
              <a:noFill/>
            </a:ln>
            <a:effectLst/>
            <a:sp3d/>
          </c:spPr>
          <c:invertIfNegative val="0"/>
          <c:cat>
            <c:numRef>
              <c:f>Graphs!$H$151:$H$168</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Graphs!$M$151:$M$168</c:f>
              <c:numCache>
                <c:formatCode>General</c:formatCode>
                <c:ptCount val="18"/>
                <c:pt idx="0">
                  <c:v>2.9245283018867925</c:v>
                </c:pt>
                <c:pt idx="1">
                  <c:v>2.6315789473684212</c:v>
                </c:pt>
                <c:pt idx="2">
                  <c:v>4.3103448275862073</c:v>
                </c:pt>
                <c:pt idx="3">
                  <c:v>13.166666666666666</c:v>
                </c:pt>
                <c:pt idx="4">
                  <c:v>17.00714285714286</c:v>
                </c:pt>
                <c:pt idx="5">
                  <c:v>15.511111111111111</c:v>
                </c:pt>
                <c:pt idx="6">
                  <c:v>16.018518518518519</c:v>
                </c:pt>
                <c:pt idx="7">
                  <c:v>18.571428571428573</c:v>
                </c:pt>
                <c:pt idx="8">
                  <c:v>21.340740740740742</c:v>
                </c:pt>
                <c:pt idx="9">
                  <c:v>24.236551724137932</c:v>
                </c:pt>
                <c:pt idx="10">
                  <c:v>23.412916666666664</c:v>
                </c:pt>
                <c:pt idx="11">
                  <c:v>20.522758620689658</c:v>
                </c:pt>
                <c:pt idx="12">
                  <c:v>16.851851851851851</c:v>
                </c:pt>
                <c:pt idx="13">
                  <c:v>18.703703703703702</c:v>
                </c:pt>
                <c:pt idx="14">
                  <c:v>17.407407407407408</c:v>
                </c:pt>
                <c:pt idx="15">
                  <c:v>20</c:v>
                </c:pt>
                <c:pt idx="16">
                  <c:v>22.291666666666668</c:v>
                </c:pt>
                <c:pt idx="17">
                  <c:v>20</c:v>
                </c:pt>
              </c:numCache>
            </c:numRef>
          </c:val>
          <c:extLst>
            <c:ext xmlns:c16="http://schemas.microsoft.com/office/drawing/2014/chart" uri="{C3380CC4-5D6E-409C-BE32-E72D297353CC}">
              <c16:uniqueId val="{00000004-04FA-47C7-9346-32640BC76663}"/>
            </c:ext>
          </c:extLst>
        </c:ser>
        <c:dLbls>
          <c:showLegendKey val="0"/>
          <c:showVal val="0"/>
          <c:showCatName val="0"/>
          <c:showSerName val="0"/>
          <c:showPercent val="0"/>
          <c:showBubbleSize val="0"/>
        </c:dLbls>
        <c:gapWidth val="0"/>
        <c:gapDepth val="100"/>
        <c:shape val="box"/>
        <c:axId val="927740720"/>
        <c:axId val="927738752"/>
        <c:axId val="861109936"/>
      </c:bar3DChart>
      <c:dateAx>
        <c:axId val="927740720"/>
        <c:scaling>
          <c:orientation val="minMax"/>
        </c:scaling>
        <c:delete val="0"/>
        <c:axPos val="b"/>
        <c:numFmt formatCode="mm/yy" sourceLinked="0"/>
        <c:majorTickMark val="none"/>
        <c:minorTickMark val="none"/>
        <c:tickLblPos val="nextTo"/>
        <c:spPr>
          <a:noFill/>
          <a:ln>
            <a:noFill/>
          </a:ln>
          <a:effectLst/>
        </c:spPr>
        <c:txPr>
          <a:bodyPr rot="-4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38752"/>
        <c:crosses val="autoZero"/>
        <c:auto val="1"/>
        <c:lblOffset val="100"/>
        <c:baseTimeUnit val="months"/>
        <c:majorUnit val="3"/>
        <c:majorTimeUnit val="months"/>
      </c:dateAx>
      <c:valAx>
        <c:axId val="927738752"/>
        <c:scaling>
          <c:orientation val="minMax"/>
          <c:max val="3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FPC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40720"/>
        <c:crosses val="autoZero"/>
        <c:crossBetween val="between"/>
        <c:majorUnit val="10"/>
        <c:minorUnit val="5"/>
      </c:valAx>
      <c:serAx>
        <c:axId val="861109936"/>
        <c:scaling>
          <c:orientation val="minMax"/>
        </c:scaling>
        <c:delete val="1"/>
        <c:axPos val="b"/>
        <c:majorTickMark val="none"/>
        <c:minorTickMark val="none"/>
        <c:tickLblPos val="nextTo"/>
        <c:crossAx val="927738752"/>
        <c:crosses val="autoZero"/>
        <c:tickLblSkip val="1"/>
      </c:serAx>
      <c:spPr>
        <a:noFill/>
        <a:ln>
          <a:noFill/>
        </a:ln>
        <a:effectLst/>
      </c:spPr>
    </c:plotArea>
    <c:legend>
      <c:legendPos val="b"/>
      <c:layout>
        <c:manualLayout>
          <c:xMode val="edge"/>
          <c:yMode val="edge"/>
          <c:x val="0.71394819756861216"/>
          <c:y val="4.3590213775676748E-2"/>
          <c:w val="0.26602293456042092"/>
          <c:h val="9.740327913556259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AU"/>
              <a:t>McCoys Bridge  </a:t>
            </a:r>
          </a:p>
          <a:p>
            <a:pPr>
              <a:defRPr sz="1000"/>
            </a:pPr>
            <a:r>
              <a:rPr lang="en-AU"/>
              <a:t> Creeping knotweed (</a:t>
            </a:r>
            <a:r>
              <a:rPr lang="en-AU" i="1"/>
              <a:t>Persicaria prostrata</a:t>
            </a:r>
            <a:r>
              <a:rPr lang="en-AU" i="0"/>
              <a:t>)</a:t>
            </a:r>
          </a:p>
        </c:rich>
      </c:tx>
      <c:layout>
        <c:manualLayout>
          <c:xMode val="edge"/>
          <c:yMode val="edge"/>
          <c:x val="0.30784540245381675"/>
          <c:y val="3.7723387287002821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935446099397805E-2"/>
          <c:y val="9.5600253759749232E-2"/>
          <c:w val="0.90334594132378132"/>
          <c:h val="0.66888233757510174"/>
        </c:manualLayout>
      </c:layout>
      <c:bar3DChart>
        <c:barDir val="col"/>
        <c:grouping val="standard"/>
        <c:varyColors val="0"/>
        <c:ser>
          <c:idx val="4"/>
          <c:order val="0"/>
          <c:tx>
            <c:strRef>
              <c:f>Graphs!$I$174</c:f>
              <c:strCache>
                <c:ptCount val="1"/>
                <c:pt idx="0">
                  <c:v>1a</c:v>
                </c:pt>
              </c:strCache>
            </c:strRef>
          </c:tx>
          <c:spPr>
            <a:solidFill>
              <a:schemeClr val="accent5"/>
            </a:solidFill>
            <a:ln>
              <a:noFill/>
            </a:ln>
            <a:effectLst/>
            <a:sp3d/>
          </c:spPr>
          <c:invertIfNegative val="0"/>
          <c:cat>
            <c:numRef>
              <c:f>Graphs!$H$175:$H$192</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Graphs!$I$175:$I$192</c:f>
              <c:numCache>
                <c:formatCode>General</c:formatCode>
                <c:ptCount val="18"/>
                <c:pt idx="0">
                  <c:v>0</c:v>
                </c:pt>
                <c:pt idx="1">
                  <c:v>0</c:v>
                </c:pt>
                <c:pt idx="2">
                  <c:v>0</c:v>
                </c:pt>
                <c:pt idx="3">
                  <c:v>1.7857142857142858</c:v>
                </c:pt>
                <c:pt idx="4">
                  <c:v>0.39999999999999997</c:v>
                </c:pt>
                <c:pt idx="5">
                  <c:v>4.958333333333333</c:v>
                </c:pt>
                <c:pt idx="6">
                  <c:v>0.34285714285714286</c:v>
                </c:pt>
                <c:pt idx="7">
                  <c:v>0.55555555555555558</c:v>
                </c:pt>
                <c:pt idx="8">
                  <c:v>0</c:v>
                </c:pt>
                <c:pt idx="9">
                  <c:v>0</c:v>
                </c:pt>
                <c:pt idx="10">
                  <c:v>0</c:v>
                </c:pt>
                <c:pt idx="11">
                  <c:v>0</c:v>
                </c:pt>
                <c:pt idx="12">
                  <c:v>0</c:v>
                </c:pt>
                <c:pt idx="13">
                  <c:v>0</c:v>
                </c:pt>
                <c:pt idx="14">
                  <c:v>0</c:v>
                </c:pt>
                <c:pt idx="15">
                  <c:v>0</c:v>
                </c:pt>
                <c:pt idx="16">
                  <c:v>0</c:v>
                </c:pt>
                <c:pt idx="17">
                  <c:v>0</c:v>
                </c:pt>
              </c:numCache>
            </c:numRef>
          </c:val>
          <c:extLst>
            <c:ext xmlns:c16="http://schemas.microsoft.com/office/drawing/2014/chart" uri="{C3380CC4-5D6E-409C-BE32-E72D297353CC}">
              <c16:uniqueId val="{00000000-9DE8-4A3E-85D1-B47A9ECB1E8B}"/>
            </c:ext>
          </c:extLst>
        </c:ser>
        <c:ser>
          <c:idx val="5"/>
          <c:order val="1"/>
          <c:tx>
            <c:strRef>
              <c:f>Graphs!$J$174</c:f>
              <c:strCache>
                <c:ptCount val="1"/>
                <c:pt idx="0">
                  <c:v>1b</c:v>
                </c:pt>
              </c:strCache>
            </c:strRef>
          </c:tx>
          <c:spPr>
            <a:solidFill>
              <a:schemeClr val="accent6"/>
            </a:solidFill>
            <a:ln>
              <a:noFill/>
            </a:ln>
            <a:effectLst/>
            <a:sp3d/>
          </c:spPr>
          <c:invertIfNegative val="0"/>
          <c:cat>
            <c:numRef>
              <c:f>Graphs!$H$175:$H$192</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Graphs!$J$175:$J$192</c:f>
              <c:numCache>
                <c:formatCode>General</c:formatCode>
                <c:ptCount val="18"/>
                <c:pt idx="0">
                  <c:v>7</c:v>
                </c:pt>
                <c:pt idx="1">
                  <c:v>6.875</c:v>
                </c:pt>
                <c:pt idx="2">
                  <c:v>1.875</c:v>
                </c:pt>
                <c:pt idx="3">
                  <c:v>5.5555555555555554</c:v>
                </c:pt>
                <c:pt idx="4">
                  <c:v>0</c:v>
                </c:pt>
                <c:pt idx="5">
                  <c:v>1.2666666666666666</c:v>
                </c:pt>
                <c:pt idx="6">
                  <c:v>0</c:v>
                </c:pt>
                <c:pt idx="7">
                  <c:v>1</c:v>
                </c:pt>
                <c:pt idx="8">
                  <c:v>0</c:v>
                </c:pt>
                <c:pt idx="9">
                  <c:v>2.84</c:v>
                </c:pt>
                <c:pt idx="10">
                  <c:v>2.1976923076923076</c:v>
                </c:pt>
                <c:pt idx="11">
                  <c:v>2.7214285714285715</c:v>
                </c:pt>
                <c:pt idx="12">
                  <c:v>0.38461538461538464</c:v>
                </c:pt>
                <c:pt idx="13">
                  <c:v>3.2142857142857144</c:v>
                </c:pt>
                <c:pt idx="14">
                  <c:v>0</c:v>
                </c:pt>
                <c:pt idx="15">
                  <c:v>0</c:v>
                </c:pt>
                <c:pt idx="16">
                  <c:v>0</c:v>
                </c:pt>
                <c:pt idx="17">
                  <c:v>0</c:v>
                </c:pt>
              </c:numCache>
            </c:numRef>
          </c:val>
          <c:extLst>
            <c:ext xmlns:c16="http://schemas.microsoft.com/office/drawing/2014/chart" uri="{C3380CC4-5D6E-409C-BE32-E72D297353CC}">
              <c16:uniqueId val="{00000001-9DE8-4A3E-85D1-B47A9ECB1E8B}"/>
            </c:ext>
          </c:extLst>
        </c:ser>
        <c:ser>
          <c:idx val="1"/>
          <c:order val="2"/>
          <c:tx>
            <c:strRef>
              <c:f>Graphs!$K$174</c:f>
              <c:strCache>
                <c:ptCount val="1"/>
                <c:pt idx="0">
                  <c:v>2</c:v>
                </c:pt>
              </c:strCache>
            </c:strRef>
          </c:tx>
          <c:spPr>
            <a:solidFill>
              <a:schemeClr val="accent2"/>
            </a:solidFill>
            <a:ln>
              <a:noFill/>
            </a:ln>
            <a:effectLst/>
            <a:sp3d/>
          </c:spPr>
          <c:invertIfNegative val="0"/>
          <c:cat>
            <c:numRef>
              <c:f>Graphs!$H$175:$H$192</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Graphs!$K$175:$K$192</c:f>
              <c:numCache>
                <c:formatCode>General</c:formatCode>
                <c:ptCount val="18"/>
                <c:pt idx="0">
                  <c:v>4.333333333333333</c:v>
                </c:pt>
                <c:pt idx="1">
                  <c:v>4.2857142857142856</c:v>
                </c:pt>
                <c:pt idx="2">
                  <c:v>2.1428571428571428</c:v>
                </c:pt>
                <c:pt idx="3">
                  <c:v>9.3333333333333339</c:v>
                </c:pt>
                <c:pt idx="4">
                  <c:v>6.9</c:v>
                </c:pt>
                <c:pt idx="5">
                  <c:v>9.17</c:v>
                </c:pt>
                <c:pt idx="6">
                  <c:v>6.19</c:v>
                </c:pt>
                <c:pt idx="7">
                  <c:v>4.4736842105263159</c:v>
                </c:pt>
                <c:pt idx="8">
                  <c:v>3.2875000000000001</c:v>
                </c:pt>
                <c:pt idx="9">
                  <c:v>8.7757142857142849</c:v>
                </c:pt>
                <c:pt idx="10">
                  <c:v>5.6304999999999996</c:v>
                </c:pt>
                <c:pt idx="11">
                  <c:v>8.163333333333334</c:v>
                </c:pt>
                <c:pt idx="12">
                  <c:v>5.7142857142857144</c:v>
                </c:pt>
                <c:pt idx="13">
                  <c:v>8.3333333333333339</c:v>
                </c:pt>
                <c:pt idx="14">
                  <c:v>8.5714285714285712</c:v>
                </c:pt>
                <c:pt idx="15">
                  <c:v>5.7894736842105265</c:v>
                </c:pt>
                <c:pt idx="16">
                  <c:v>2</c:v>
                </c:pt>
                <c:pt idx="17">
                  <c:v>10.25</c:v>
                </c:pt>
              </c:numCache>
            </c:numRef>
          </c:val>
          <c:extLst>
            <c:ext xmlns:c16="http://schemas.microsoft.com/office/drawing/2014/chart" uri="{C3380CC4-5D6E-409C-BE32-E72D297353CC}">
              <c16:uniqueId val="{00000002-9DE8-4A3E-85D1-B47A9ECB1E8B}"/>
            </c:ext>
          </c:extLst>
        </c:ser>
        <c:ser>
          <c:idx val="2"/>
          <c:order val="3"/>
          <c:tx>
            <c:strRef>
              <c:f>Graphs!$L$174</c:f>
              <c:strCache>
                <c:ptCount val="1"/>
                <c:pt idx="0">
                  <c:v>3</c:v>
                </c:pt>
              </c:strCache>
            </c:strRef>
          </c:tx>
          <c:spPr>
            <a:solidFill>
              <a:schemeClr val="accent3"/>
            </a:solidFill>
            <a:ln>
              <a:noFill/>
            </a:ln>
            <a:effectLst/>
            <a:sp3d/>
          </c:spPr>
          <c:invertIfNegative val="0"/>
          <c:cat>
            <c:numRef>
              <c:f>Graphs!$H$175:$H$192</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Graphs!$L$175:$L$192</c:f>
              <c:numCache>
                <c:formatCode>General</c:formatCode>
                <c:ptCount val="18"/>
                <c:pt idx="0">
                  <c:v>9.2307692307692299</c:v>
                </c:pt>
                <c:pt idx="1">
                  <c:v>9.8214285714285712</c:v>
                </c:pt>
                <c:pt idx="2">
                  <c:v>9.1071428571428577</c:v>
                </c:pt>
                <c:pt idx="3">
                  <c:v>13.125</c:v>
                </c:pt>
                <c:pt idx="4">
                  <c:v>16.707272727272727</c:v>
                </c:pt>
                <c:pt idx="5">
                  <c:v>15.474074074074075</c:v>
                </c:pt>
                <c:pt idx="6">
                  <c:v>15.735714285714286</c:v>
                </c:pt>
                <c:pt idx="7">
                  <c:v>12.545454545454545</c:v>
                </c:pt>
                <c:pt idx="8">
                  <c:v>10.951785714285714</c:v>
                </c:pt>
                <c:pt idx="9">
                  <c:v>9.9122807017543852</c:v>
                </c:pt>
                <c:pt idx="10">
                  <c:v>11.629615384615384</c:v>
                </c:pt>
                <c:pt idx="11">
                  <c:v>12.925178571428571</c:v>
                </c:pt>
                <c:pt idx="12">
                  <c:v>9.6428571428571423</c:v>
                </c:pt>
                <c:pt idx="13">
                  <c:v>10.535714285714286</c:v>
                </c:pt>
                <c:pt idx="14">
                  <c:v>10</c:v>
                </c:pt>
                <c:pt idx="15">
                  <c:v>9.0740740740740744</c:v>
                </c:pt>
                <c:pt idx="16">
                  <c:v>10.74074074074074</c:v>
                </c:pt>
                <c:pt idx="17">
                  <c:v>13.636363636363637</c:v>
                </c:pt>
              </c:numCache>
            </c:numRef>
          </c:val>
          <c:extLst>
            <c:ext xmlns:c16="http://schemas.microsoft.com/office/drawing/2014/chart" uri="{C3380CC4-5D6E-409C-BE32-E72D297353CC}">
              <c16:uniqueId val="{00000003-9DE8-4A3E-85D1-B47A9ECB1E8B}"/>
            </c:ext>
          </c:extLst>
        </c:ser>
        <c:ser>
          <c:idx val="3"/>
          <c:order val="4"/>
          <c:tx>
            <c:strRef>
              <c:f>Graphs!$M$174</c:f>
              <c:strCache>
                <c:ptCount val="1"/>
                <c:pt idx="0">
                  <c:v>4</c:v>
                </c:pt>
              </c:strCache>
            </c:strRef>
          </c:tx>
          <c:spPr>
            <a:solidFill>
              <a:schemeClr val="accent4"/>
            </a:solidFill>
            <a:ln>
              <a:noFill/>
            </a:ln>
            <a:effectLst/>
            <a:sp3d/>
          </c:spPr>
          <c:invertIfNegative val="0"/>
          <c:cat>
            <c:numRef>
              <c:f>Graphs!$H$175:$H$192</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Graphs!$M$175:$M$192</c:f>
              <c:numCache>
                <c:formatCode>General</c:formatCode>
                <c:ptCount val="18"/>
                <c:pt idx="0">
                  <c:v>7.7358490566037732</c:v>
                </c:pt>
                <c:pt idx="1">
                  <c:v>12.368421052631579</c:v>
                </c:pt>
                <c:pt idx="2">
                  <c:v>7.7586206896551726</c:v>
                </c:pt>
                <c:pt idx="3">
                  <c:v>10.333333333333334</c:v>
                </c:pt>
                <c:pt idx="4">
                  <c:v>11.735714285714286</c:v>
                </c:pt>
                <c:pt idx="5">
                  <c:v>14.114814814814816</c:v>
                </c:pt>
                <c:pt idx="6">
                  <c:v>14.466666666666665</c:v>
                </c:pt>
                <c:pt idx="7">
                  <c:v>8.9214285714285726</c:v>
                </c:pt>
                <c:pt idx="8">
                  <c:v>6.1703703703703709</c:v>
                </c:pt>
                <c:pt idx="9">
                  <c:v>4.4910344827586206</c:v>
                </c:pt>
                <c:pt idx="10">
                  <c:v>11.905000000000001</c:v>
                </c:pt>
                <c:pt idx="11">
                  <c:v>8.0458620689655174</c:v>
                </c:pt>
                <c:pt idx="12">
                  <c:v>3.3333333333333335</c:v>
                </c:pt>
                <c:pt idx="13">
                  <c:v>5.1851851851851851</c:v>
                </c:pt>
                <c:pt idx="14">
                  <c:v>5</c:v>
                </c:pt>
                <c:pt idx="15">
                  <c:v>2.8846153846153846</c:v>
                </c:pt>
                <c:pt idx="16">
                  <c:v>4.375</c:v>
                </c:pt>
                <c:pt idx="17">
                  <c:v>6.666666666666667</c:v>
                </c:pt>
              </c:numCache>
            </c:numRef>
          </c:val>
          <c:extLst>
            <c:ext xmlns:c16="http://schemas.microsoft.com/office/drawing/2014/chart" uri="{C3380CC4-5D6E-409C-BE32-E72D297353CC}">
              <c16:uniqueId val="{00000004-9DE8-4A3E-85D1-B47A9ECB1E8B}"/>
            </c:ext>
          </c:extLst>
        </c:ser>
        <c:dLbls>
          <c:showLegendKey val="0"/>
          <c:showVal val="0"/>
          <c:showCatName val="0"/>
          <c:showSerName val="0"/>
          <c:showPercent val="0"/>
          <c:showBubbleSize val="0"/>
        </c:dLbls>
        <c:gapWidth val="0"/>
        <c:gapDepth val="100"/>
        <c:shape val="box"/>
        <c:axId val="927740720"/>
        <c:axId val="927738752"/>
        <c:axId val="861109936"/>
      </c:bar3DChart>
      <c:dateAx>
        <c:axId val="927740720"/>
        <c:scaling>
          <c:orientation val="minMax"/>
        </c:scaling>
        <c:delete val="0"/>
        <c:axPos val="b"/>
        <c:numFmt formatCode="mm/yy" sourceLinked="0"/>
        <c:majorTickMark val="none"/>
        <c:minorTickMark val="none"/>
        <c:tickLblPos val="nextTo"/>
        <c:spPr>
          <a:noFill/>
          <a:ln>
            <a:noFill/>
          </a:ln>
          <a:effectLst/>
        </c:spPr>
        <c:txPr>
          <a:bodyPr rot="-4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38752"/>
        <c:crosses val="autoZero"/>
        <c:auto val="1"/>
        <c:lblOffset val="100"/>
        <c:baseTimeUnit val="months"/>
        <c:majorUnit val="3"/>
        <c:majorTimeUnit val="months"/>
      </c:dateAx>
      <c:valAx>
        <c:axId val="927738752"/>
        <c:scaling>
          <c:orientation val="minMax"/>
          <c:max val="3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FPC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40720"/>
        <c:crosses val="autoZero"/>
        <c:crossBetween val="between"/>
        <c:majorUnit val="10"/>
        <c:minorUnit val="5"/>
      </c:valAx>
      <c:serAx>
        <c:axId val="861109936"/>
        <c:scaling>
          <c:orientation val="minMax"/>
        </c:scaling>
        <c:delete val="1"/>
        <c:axPos val="b"/>
        <c:majorTickMark val="none"/>
        <c:minorTickMark val="none"/>
        <c:tickLblPos val="nextTo"/>
        <c:crossAx val="927738752"/>
        <c:crosses val="autoZero"/>
        <c:tickLblSkip val="1"/>
      </c:serAx>
      <c:spPr>
        <a:noFill/>
        <a:ln>
          <a:noFill/>
        </a:ln>
        <a:effectLst/>
      </c:spPr>
    </c:plotArea>
    <c:legend>
      <c:legendPos val="b"/>
      <c:layout>
        <c:manualLayout>
          <c:xMode val="edge"/>
          <c:yMode val="edge"/>
          <c:x val="0.72442049833308997"/>
          <c:y val="7.2000179720758867E-2"/>
          <c:w val="0.26602293456042092"/>
          <c:h val="9.740327913556259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Average</a:t>
            </a:r>
            <a:r>
              <a:rPr lang="en-US" baseline="0">
                <a:latin typeface="Times New Roman" panose="02020603050405020304" pitchFamily="18" charset="0"/>
                <a:cs typeface="Times New Roman" panose="02020603050405020304" pitchFamily="18" charset="0"/>
              </a:rPr>
              <a:t> Measured Metabolism </a:t>
            </a:r>
            <a:r>
              <a:rPr lang="en-US">
                <a:latin typeface="Times New Roman" panose="02020603050405020304" pitchFamily="18" charset="0"/>
                <a:cs typeface="Times New Roman" panose="02020603050405020304" pitchFamily="18" charset="0"/>
              </a:rPr>
              <a:t>vs Light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Summary!$E$7</c:f>
              <c:strCache>
                <c:ptCount val="1"/>
                <c:pt idx="0">
                  <c:v>Mean GPP</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Summary!$C$8:$C$49</c:f>
              <c:numCache>
                <c:formatCode>General</c:formatCode>
                <c:ptCount val="42"/>
                <c:pt idx="0">
                  <c:v>1979</c:v>
                </c:pt>
                <c:pt idx="1">
                  <c:v>208</c:v>
                </c:pt>
                <c:pt idx="2">
                  <c:v>12</c:v>
                </c:pt>
                <c:pt idx="3">
                  <c:v>3931</c:v>
                </c:pt>
                <c:pt idx="4">
                  <c:v>46</c:v>
                </c:pt>
                <c:pt idx="5">
                  <c:v>2</c:v>
                </c:pt>
                <c:pt idx="6">
                  <c:v>17977</c:v>
                </c:pt>
                <c:pt idx="7">
                  <c:v>517</c:v>
                </c:pt>
                <c:pt idx="8">
                  <c:v>14</c:v>
                </c:pt>
                <c:pt idx="9">
                  <c:v>6433</c:v>
                </c:pt>
                <c:pt idx="10">
                  <c:v>540</c:v>
                </c:pt>
                <c:pt idx="11">
                  <c:v>181</c:v>
                </c:pt>
                <c:pt idx="12">
                  <c:v>2704</c:v>
                </c:pt>
                <c:pt idx="13">
                  <c:v>886</c:v>
                </c:pt>
                <c:pt idx="14">
                  <c:v>28</c:v>
                </c:pt>
                <c:pt idx="15">
                  <c:v>2254</c:v>
                </c:pt>
                <c:pt idx="16">
                  <c:v>577</c:v>
                </c:pt>
                <c:pt idx="17">
                  <c:v>62</c:v>
                </c:pt>
                <c:pt idx="18">
                  <c:v>1674</c:v>
                </c:pt>
                <c:pt idx="19">
                  <c:v>240</c:v>
                </c:pt>
                <c:pt idx="20">
                  <c:v>23</c:v>
                </c:pt>
                <c:pt idx="21">
                  <c:v>637</c:v>
                </c:pt>
                <c:pt idx="22">
                  <c:v>221</c:v>
                </c:pt>
                <c:pt idx="23">
                  <c:v>219</c:v>
                </c:pt>
                <c:pt idx="24">
                  <c:v>728</c:v>
                </c:pt>
                <c:pt idx="25">
                  <c:v>186</c:v>
                </c:pt>
                <c:pt idx="26">
                  <c:v>46</c:v>
                </c:pt>
                <c:pt idx="27">
                  <c:v>1781</c:v>
                </c:pt>
                <c:pt idx="28">
                  <c:v>588</c:v>
                </c:pt>
                <c:pt idx="29">
                  <c:v>11</c:v>
                </c:pt>
                <c:pt idx="30">
                  <c:v>5655</c:v>
                </c:pt>
                <c:pt idx="31">
                  <c:v>45</c:v>
                </c:pt>
                <c:pt idx="32">
                  <c:v>1</c:v>
                </c:pt>
                <c:pt idx="33">
                  <c:v>8563</c:v>
                </c:pt>
                <c:pt idx="34">
                  <c:v>621</c:v>
                </c:pt>
                <c:pt idx="35">
                  <c:v>61</c:v>
                </c:pt>
                <c:pt idx="36">
                  <c:v>10565</c:v>
                </c:pt>
                <c:pt idx="37">
                  <c:v>1156</c:v>
                </c:pt>
                <c:pt idx="38">
                  <c:v>276</c:v>
                </c:pt>
                <c:pt idx="39">
                  <c:v>9408</c:v>
                </c:pt>
                <c:pt idx="40">
                  <c:v>2182</c:v>
                </c:pt>
                <c:pt idx="41">
                  <c:v>206</c:v>
                </c:pt>
              </c:numCache>
            </c:numRef>
          </c:xVal>
          <c:yVal>
            <c:numRef>
              <c:f>Summary!$E$8:$E$49</c:f>
              <c:numCache>
                <c:formatCode>0.000</c:formatCode>
                <c:ptCount val="42"/>
                <c:pt idx="0">
                  <c:v>0.16666666666666627</c:v>
                </c:pt>
                <c:pt idx="1">
                  <c:v>5.3333333333333184E-2</c:v>
                </c:pt>
                <c:pt idx="2">
                  <c:v>-2.2222222222223705E-3</c:v>
                </c:pt>
                <c:pt idx="3">
                  <c:v>0.27555555555555583</c:v>
                </c:pt>
                <c:pt idx="4">
                  <c:v>2.2222222222223705E-3</c:v>
                </c:pt>
                <c:pt idx="5">
                  <c:v>9.1111111111111323E-2</c:v>
                </c:pt>
                <c:pt idx="6">
                  <c:v>0.36444444444444418</c:v>
                </c:pt>
                <c:pt idx="7">
                  <c:v>0.155555555555555</c:v>
                </c:pt>
                <c:pt idx="8">
                  <c:v>6.2222222222222089E-2</c:v>
                </c:pt>
                <c:pt idx="9">
                  <c:v>0.31111111111111078</c:v>
                </c:pt>
                <c:pt idx="10">
                  <c:v>0.19333333333333316</c:v>
                </c:pt>
                <c:pt idx="11">
                  <c:v>8.4444444444444614E-2</c:v>
                </c:pt>
                <c:pt idx="12">
                  <c:v>4.2222222222222106E-2</c:v>
                </c:pt>
                <c:pt idx="13">
                  <c:v>1.333333333333305E-2</c:v>
                </c:pt>
                <c:pt idx="14">
                  <c:v>-1.1111111111111663E-2</c:v>
                </c:pt>
                <c:pt idx="15">
                  <c:v>0.11555555555555545</c:v>
                </c:pt>
                <c:pt idx="16">
                  <c:v>0.20888888888888879</c:v>
                </c:pt>
                <c:pt idx="17">
                  <c:v>0.17555555555555535</c:v>
                </c:pt>
                <c:pt idx="18">
                  <c:v>9.9999999999999853E-2</c:v>
                </c:pt>
                <c:pt idx="19">
                  <c:v>6.8888888888888805E-2</c:v>
                </c:pt>
                <c:pt idx="20">
                  <c:v>5.1111111111111003E-2</c:v>
                </c:pt>
                <c:pt idx="21">
                  <c:v>0.11555555555555547</c:v>
                </c:pt>
                <c:pt idx="22">
                  <c:v>0.17333333333333359</c:v>
                </c:pt>
                <c:pt idx="23">
                  <c:v>0.14222222222222272</c:v>
                </c:pt>
                <c:pt idx="24">
                  <c:v>7.3333333333333542E-2</c:v>
                </c:pt>
                <c:pt idx="25">
                  <c:v>3.3333333333333215E-2</c:v>
                </c:pt>
                <c:pt idx="26">
                  <c:v>0.25333333333333324</c:v>
                </c:pt>
                <c:pt idx="27">
                  <c:v>0.40222222222222198</c:v>
                </c:pt>
                <c:pt idx="28">
                  <c:v>6.8888888888888791E-2</c:v>
                </c:pt>
                <c:pt idx="29">
                  <c:v>0.11333333333333329</c:v>
                </c:pt>
                <c:pt idx="30">
                  <c:v>0.23999999999999985</c:v>
                </c:pt>
                <c:pt idx="31">
                  <c:v>6.8888888888888611E-2</c:v>
                </c:pt>
                <c:pt idx="32">
                  <c:v>0.16222222222222191</c:v>
                </c:pt>
                <c:pt idx="33">
                  <c:v>0.4022222222222222</c:v>
                </c:pt>
                <c:pt idx="34">
                  <c:v>0.17333333333333301</c:v>
                </c:pt>
                <c:pt idx="35">
                  <c:v>0.1533333333333334</c:v>
                </c:pt>
                <c:pt idx="36">
                  <c:v>0.3777777777777776</c:v>
                </c:pt>
                <c:pt idx="37">
                  <c:v>0.34444444444444461</c:v>
                </c:pt>
                <c:pt idx="38">
                  <c:v>0.18000000000000013</c:v>
                </c:pt>
                <c:pt idx="39">
                  <c:v>0.29333333333333383</c:v>
                </c:pt>
                <c:pt idx="40">
                  <c:v>0.19555555555555534</c:v>
                </c:pt>
                <c:pt idx="41">
                  <c:v>0.13333333333333405</c:v>
                </c:pt>
              </c:numCache>
            </c:numRef>
          </c:yVal>
          <c:smooth val="0"/>
          <c:extLst>
            <c:ext xmlns:c16="http://schemas.microsoft.com/office/drawing/2014/chart" uri="{C3380CC4-5D6E-409C-BE32-E72D297353CC}">
              <c16:uniqueId val="{00000001-BC8F-46AB-9DD3-8881C57510C4}"/>
            </c:ext>
          </c:extLst>
        </c:ser>
        <c:dLbls>
          <c:showLegendKey val="0"/>
          <c:showVal val="0"/>
          <c:showCatName val="0"/>
          <c:showSerName val="0"/>
          <c:showPercent val="0"/>
          <c:showBubbleSize val="0"/>
        </c:dLbls>
        <c:axId val="502856047"/>
        <c:axId val="502860623"/>
      </c:scatterChart>
      <c:valAx>
        <c:axId val="502856047"/>
        <c:scaling>
          <c:logBase val="10"/>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Light (lux)</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02860623"/>
        <c:crosses val="autoZero"/>
        <c:crossBetween val="midCat"/>
      </c:valAx>
      <c:valAx>
        <c:axId val="5028606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GPP </a:t>
                </a:r>
                <a:r>
                  <a:rPr lang="en-AU" sz="1000" b="0" i="0" u="none" strike="noStrike" baseline="0">
                    <a:effectLst/>
                    <a:latin typeface="Times New Roman" panose="02020603050405020304" pitchFamily="18" charset="0"/>
                    <a:cs typeface="Times New Roman" panose="02020603050405020304" pitchFamily="18" charset="0"/>
                  </a:rPr>
                  <a:t>(mg O</a:t>
                </a:r>
                <a:r>
                  <a:rPr lang="en-AU" sz="1000" b="0" i="0" u="none" strike="noStrike" baseline="-25000">
                    <a:effectLst/>
                    <a:latin typeface="Times New Roman" panose="02020603050405020304" pitchFamily="18" charset="0"/>
                    <a:cs typeface="Times New Roman" panose="02020603050405020304" pitchFamily="18" charset="0"/>
                  </a:rPr>
                  <a:t>2</a:t>
                </a:r>
                <a:r>
                  <a:rPr lang="en-AU" sz="1000" b="0" i="0" u="none" strike="noStrike" baseline="0">
                    <a:effectLst/>
                    <a:latin typeface="Times New Roman" panose="02020603050405020304" pitchFamily="18" charset="0"/>
                    <a:cs typeface="Times New Roman" panose="02020603050405020304" pitchFamily="18" charset="0"/>
                  </a:rPr>
                  <a:t>/L/h)</a:t>
                </a:r>
                <a:endParaRPr lang="en-AU">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0285604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Pelagic Metabolism % vs Whole stream metabolism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All!$E$76</c:f>
              <c:strCache>
                <c:ptCount val="1"/>
                <c:pt idx="0">
                  <c:v>Pelagic %</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exp"/>
            <c:dispRSqr val="0"/>
            <c:dispEq val="0"/>
          </c:trendline>
          <c:xVal>
            <c:numRef>
              <c:f>All!$D$77:$D$97</c:f>
              <c:numCache>
                <c:formatCode>General</c:formatCode>
                <c:ptCount val="21"/>
                <c:pt idx="0">
                  <c:v>1.9535499999999999</c:v>
                </c:pt>
                <c:pt idx="1">
                  <c:v>6.1660000000000004</c:v>
                </c:pt>
                <c:pt idx="2">
                  <c:v>4.2465529999999996</c:v>
                </c:pt>
                <c:pt idx="3">
                  <c:v>1.10449</c:v>
                </c:pt>
                <c:pt idx="4">
                  <c:v>1.83</c:v>
                </c:pt>
                <c:pt idx="5">
                  <c:v>1.39</c:v>
                </c:pt>
                <c:pt idx="6">
                  <c:v>1.72</c:v>
                </c:pt>
                <c:pt idx="7">
                  <c:v>2.6975600000000002</c:v>
                </c:pt>
                <c:pt idx="8">
                  <c:v>6.5721499999999997</c:v>
                </c:pt>
                <c:pt idx="9">
                  <c:v>0.68029200000000001</c:v>
                </c:pt>
                <c:pt idx="10">
                  <c:v>3.0674999999999999</c:v>
                </c:pt>
                <c:pt idx="11">
                  <c:v>1.38</c:v>
                </c:pt>
                <c:pt idx="12">
                  <c:v>0.82</c:v>
                </c:pt>
                <c:pt idx="13">
                  <c:v>0.85</c:v>
                </c:pt>
                <c:pt idx="14">
                  <c:v>2.311569714</c:v>
                </c:pt>
                <c:pt idx="15">
                  <c:v>2.7343799999999998</c:v>
                </c:pt>
                <c:pt idx="16">
                  <c:v>9.24</c:v>
                </c:pt>
                <c:pt idx="17">
                  <c:v>0.65</c:v>
                </c:pt>
                <c:pt idx="18">
                  <c:v>3.94</c:v>
                </c:pt>
                <c:pt idx="19">
                  <c:v>1.42</c:v>
                </c:pt>
                <c:pt idx="20">
                  <c:v>1.77</c:v>
                </c:pt>
              </c:numCache>
            </c:numRef>
          </c:xVal>
          <c:yVal>
            <c:numRef>
              <c:f>All!$E$77:$E$97</c:f>
              <c:numCache>
                <c:formatCode>General</c:formatCode>
                <c:ptCount val="21"/>
                <c:pt idx="0">
                  <c:v>6.60783833197085</c:v>
                </c:pt>
                <c:pt idx="1">
                  <c:v>2.1602437303661697</c:v>
                </c:pt>
                <c:pt idx="2">
                  <c:v>3.2697307188791811</c:v>
                </c:pt>
                <c:pt idx="3">
                  <c:v>13.118518489302069</c:v>
                </c:pt>
                <c:pt idx="4">
                  <c:v>7.2077304210053246</c:v>
                </c:pt>
                <c:pt idx="5">
                  <c:v>11.659160157593332</c:v>
                </c:pt>
                <c:pt idx="6">
                  <c:v>9.5617830606015755</c:v>
                </c:pt>
                <c:pt idx="7">
                  <c:v>5.2697038658192445</c:v>
                </c:pt>
                <c:pt idx="8">
                  <c:v>2.1649720142333102</c:v>
                </c:pt>
                <c:pt idx="9">
                  <c:v>19.200887167902462</c:v>
                </c:pt>
                <c:pt idx="10">
                  <c:v>3.2506000737968033</c:v>
                </c:pt>
                <c:pt idx="11">
                  <c:v>11.291035416735136</c:v>
                </c:pt>
                <c:pt idx="12">
                  <c:v>25.570126373871481</c:v>
                </c:pt>
                <c:pt idx="13">
                  <c:v>16.336421836303096</c:v>
                </c:pt>
                <c:pt idx="14">
                  <c:v>6.4542565175831204</c:v>
                </c:pt>
                <c:pt idx="15">
                  <c:v>5.643969685169866</c:v>
                </c:pt>
                <c:pt idx="16">
                  <c:v>1.6848287158378901</c:v>
                </c:pt>
                <c:pt idx="17">
                  <c:v>15.278014385558333</c:v>
                </c:pt>
                <c:pt idx="18">
                  <c:v>4.4949005843846646</c:v>
                </c:pt>
                <c:pt idx="19">
                  <c:v>15.636650454229336</c:v>
                </c:pt>
                <c:pt idx="20">
                  <c:v>13.367074243365987</c:v>
                </c:pt>
              </c:numCache>
            </c:numRef>
          </c:yVal>
          <c:smooth val="0"/>
          <c:extLst>
            <c:ext xmlns:c16="http://schemas.microsoft.com/office/drawing/2014/chart" uri="{C3380CC4-5D6E-409C-BE32-E72D297353CC}">
              <c16:uniqueId val="{00000001-6456-4A47-9C9E-E4FC00CE6E99}"/>
            </c:ext>
          </c:extLst>
        </c:ser>
        <c:dLbls>
          <c:showLegendKey val="0"/>
          <c:showVal val="0"/>
          <c:showCatName val="0"/>
          <c:showSerName val="0"/>
          <c:showPercent val="0"/>
          <c:showBubbleSize val="0"/>
        </c:dLbls>
        <c:axId val="664325936"/>
        <c:axId val="664326352"/>
      </c:scatterChart>
      <c:valAx>
        <c:axId val="6643259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Whole Stream Metabolism </a:t>
                </a:r>
                <a:r>
                  <a:rPr lang="en-AU" sz="1000" b="0" i="0" u="none" strike="noStrike" baseline="0">
                    <a:effectLst/>
                  </a:rPr>
                  <a:t>(g C /m</a:t>
                </a:r>
                <a:r>
                  <a:rPr lang="en-AU" sz="1000" b="0" i="0" u="none" strike="noStrike" baseline="30000">
                    <a:effectLst/>
                  </a:rPr>
                  <a:t>2</a:t>
                </a:r>
                <a:r>
                  <a:rPr lang="en-AU" sz="1000" b="0" i="0" u="none" strike="noStrike" baseline="0">
                    <a:effectLst/>
                  </a:rPr>
                  <a:t> y)</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4326352"/>
        <c:crosses val="autoZero"/>
        <c:crossBetween val="midCat"/>
      </c:valAx>
      <c:valAx>
        <c:axId val="664326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t>
                </a:r>
                <a:r>
                  <a:rPr lang="en-AU" baseline="0"/>
                  <a:t> Pelagic Metabolism</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432593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Euphotic depth vs Pelagic GPP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All!$Q$76</c:f>
              <c:strCache>
                <c:ptCount val="1"/>
                <c:pt idx="0">
                  <c:v>Euphotic depth</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0"/>
            <c:trendlineLbl>
              <c:layout>
                <c:manualLayout>
                  <c:x val="3.9783771709387392E-2"/>
                  <c:y val="0.1319284047827354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All!$Q$77:$Q$97</c:f>
              <c:numCache>
                <c:formatCode>General</c:formatCode>
                <c:ptCount val="21"/>
                <c:pt idx="0">
                  <c:v>2.1044499999999999</c:v>
                </c:pt>
                <c:pt idx="1">
                  <c:v>2.1267999999999998</c:v>
                </c:pt>
                <c:pt idx="2">
                  <c:v>2.0483500000000001</c:v>
                </c:pt>
                <c:pt idx="3">
                  <c:v>2.64</c:v>
                </c:pt>
                <c:pt idx="4">
                  <c:v>2.1789999999999998</c:v>
                </c:pt>
                <c:pt idx="5">
                  <c:v>8.2899999999999991</c:v>
                </c:pt>
                <c:pt idx="6">
                  <c:v>3.33</c:v>
                </c:pt>
                <c:pt idx="7">
                  <c:v>2.0804999999999998</c:v>
                </c:pt>
                <c:pt idx="8">
                  <c:v>2.2255500000000001</c:v>
                </c:pt>
                <c:pt idx="9">
                  <c:v>1.843</c:v>
                </c:pt>
                <c:pt idx="10">
                  <c:v>1.157</c:v>
                </c:pt>
                <c:pt idx="11">
                  <c:v>1.2895000000000001</c:v>
                </c:pt>
                <c:pt idx="12">
                  <c:v>2.4500000000000002</c:v>
                </c:pt>
                <c:pt idx="13">
                  <c:v>2.3849999999999998</c:v>
                </c:pt>
                <c:pt idx="14">
                  <c:v>2.0967500000000001</c:v>
                </c:pt>
                <c:pt idx="15">
                  <c:v>2.069</c:v>
                </c:pt>
                <c:pt idx="16">
                  <c:v>1.9982679999999999</c:v>
                </c:pt>
                <c:pt idx="17">
                  <c:v>1.0263899999999999</c:v>
                </c:pt>
                <c:pt idx="18">
                  <c:v>1.8240000000000001</c:v>
                </c:pt>
                <c:pt idx="19">
                  <c:v>2.4500000000000002</c:v>
                </c:pt>
                <c:pt idx="20">
                  <c:v>2.48</c:v>
                </c:pt>
              </c:numCache>
            </c:numRef>
          </c:xVal>
          <c:yVal>
            <c:numRef>
              <c:f>All!$C$77:$C$97</c:f>
              <c:numCache>
                <c:formatCode>General</c:formatCode>
                <c:ptCount val="21"/>
                <c:pt idx="0">
                  <c:v>0.12908742573421653</c:v>
                </c:pt>
                <c:pt idx="1">
                  <c:v>0.13320062841437802</c:v>
                </c:pt>
                <c:pt idx="2">
                  <c:v>0.13885084793448541</c:v>
                </c:pt>
                <c:pt idx="3">
                  <c:v>0.14489272486249244</c:v>
                </c:pt>
                <c:pt idx="4">
                  <c:v>0.13190146670439745</c:v>
                </c:pt>
                <c:pt idx="5">
                  <c:v>0.16206232619054731</c:v>
                </c:pt>
                <c:pt idx="6">
                  <c:v>0.1644626686423471</c:v>
                </c:pt>
                <c:pt idx="7">
                  <c:v>0.14215342360279362</c:v>
                </c:pt>
                <c:pt idx="8">
                  <c:v>0.14228520823343449</c:v>
                </c:pt>
                <c:pt idx="9">
                  <c:v>0.13062209933226701</c:v>
                </c:pt>
                <c:pt idx="10">
                  <c:v>9.9712157263716947E-2</c:v>
                </c:pt>
                <c:pt idx="11">
                  <c:v>0.15581628875094486</c:v>
                </c:pt>
                <c:pt idx="12">
                  <c:v>0.20967503626574613</c:v>
                </c:pt>
                <c:pt idx="13">
                  <c:v>0.13885958560857631</c:v>
                </c:pt>
                <c:pt idx="14">
                  <c:v>0.1491946389243225</c:v>
                </c:pt>
                <c:pt idx="15">
                  <c:v>0.15432757827734778</c:v>
                </c:pt>
                <c:pt idx="16">
                  <c:v>0.15567817334342104</c:v>
                </c:pt>
                <c:pt idx="17">
                  <c:v>9.9307093506129165E-2</c:v>
                </c:pt>
                <c:pt idx="18">
                  <c:v>0.17709908302475577</c:v>
                </c:pt>
                <c:pt idx="19">
                  <c:v>0.22204043645005656</c:v>
                </c:pt>
                <c:pt idx="20">
                  <c:v>0.23659721410757795</c:v>
                </c:pt>
              </c:numCache>
            </c:numRef>
          </c:yVal>
          <c:smooth val="0"/>
          <c:extLst>
            <c:ext xmlns:c16="http://schemas.microsoft.com/office/drawing/2014/chart" uri="{C3380CC4-5D6E-409C-BE32-E72D297353CC}">
              <c16:uniqueId val="{00000002-0E61-4451-99CE-30A571EC579D}"/>
            </c:ext>
          </c:extLst>
        </c:ser>
        <c:dLbls>
          <c:showLegendKey val="0"/>
          <c:showVal val="0"/>
          <c:showCatName val="0"/>
          <c:showSerName val="0"/>
          <c:showPercent val="0"/>
          <c:showBubbleSize val="0"/>
        </c:dLbls>
        <c:axId val="2032803296"/>
        <c:axId val="2032802048"/>
      </c:scatterChart>
      <c:valAx>
        <c:axId val="20328032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latin typeface="Times New Roman" panose="02020603050405020304" pitchFamily="18" charset="0"/>
                    <a:cs typeface="Times New Roman" panose="02020603050405020304" pitchFamily="18" charset="0"/>
                  </a:rPr>
                  <a:t>Pelagic GPP (mg O</a:t>
                </a:r>
                <a:r>
                  <a:rPr lang="en-AU" sz="1000" b="0" i="0" u="none" strike="noStrike" baseline="-25000">
                    <a:effectLst/>
                    <a:latin typeface="Times New Roman" panose="02020603050405020304" pitchFamily="18" charset="0"/>
                    <a:cs typeface="Times New Roman" panose="02020603050405020304" pitchFamily="18" charset="0"/>
                  </a:rPr>
                  <a:t>2</a:t>
                </a:r>
                <a:r>
                  <a:rPr lang="en-AU" sz="1000" b="0" i="0" u="none" strike="noStrike" baseline="0">
                    <a:effectLst/>
                    <a:latin typeface="Times New Roman" panose="02020603050405020304" pitchFamily="18" charset="0"/>
                    <a:cs typeface="Times New Roman" panose="02020603050405020304" pitchFamily="18" charset="0"/>
                  </a:rPr>
                  <a:t>/L/h)</a:t>
                </a:r>
                <a:endParaRPr lang="en-A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2802048"/>
        <c:crosses val="autoZero"/>
        <c:crossBetween val="midCat"/>
      </c:valAx>
      <c:valAx>
        <c:axId val="2032802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Euphotic depth (m)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280329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Wholestream GPP vs Temperature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All!$G$76</c:f>
              <c:strCache>
                <c:ptCount val="1"/>
                <c:pt idx="0">
                  <c:v>Temp</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0"/>
            <c:trendlineLbl>
              <c:layout>
                <c:manualLayout>
                  <c:x val="-4.3661279182207486E-3"/>
                  <c:y val="-9.088035870516185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All!$G$77:$G$97</c:f>
              <c:numCache>
                <c:formatCode>General</c:formatCode>
                <c:ptCount val="21"/>
                <c:pt idx="0">
                  <c:v>21.3</c:v>
                </c:pt>
                <c:pt idx="1">
                  <c:v>25</c:v>
                </c:pt>
                <c:pt idx="2">
                  <c:v>23.3</c:v>
                </c:pt>
                <c:pt idx="3">
                  <c:v>20.6</c:v>
                </c:pt>
                <c:pt idx="4">
                  <c:v>20</c:v>
                </c:pt>
                <c:pt idx="5">
                  <c:v>18.2</c:v>
                </c:pt>
                <c:pt idx="6">
                  <c:v>18.600000000000001</c:v>
                </c:pt>
                <c:pt idx="7">
                  <c:v>21.9</c:v>
                </c:pt>
                <c:pt idx="8">
                  <c:v>26.3</c:v>
                </c:pt>
                <c:pt idx="9">
                  <c:v>25.7</c:v>
                </c:pt>
                <c:pt idx="10">
                  <c:v>22.8</c:v>
                </c:pt>
                <c:pt idx="11">
                  <c:v>21.7</c:v>
                </c:pt>
                <c:pt idx="12">
                  <c:v>19.899999999999999</c:v>
                </c:pt>
                <c:pt idx="13">
                  <c:v>19.8</c:v>
                </c:pt>
                <c:pt idx="14">
                  <c:v>23</c:v>
                </c:pt>
                <c:pt idx="15">
                  <c:v>25.7</c:v>
                </c:pt>
                <c:pt idx="16">
                  <c:v>24.43</c:v>
                </c:pt>
                <c:pt idx="17">
                  <c:v>22.2</c:v>
                </c:pt>
                <c:pt idx="18">
                  <c:v>21.3</c:v>
                </c:pt>
                <c:pt idx="19">
                  <c:v>19.8</c:v>
                </c:pt>
                <c:pt idx="20">
                  <c:v>19.5</c:v>
                </c:pt>
              </c:numCache>
            </c:numRef>
          </c:xVal>
          <c:yVal>
            <c:numRef>
              <c:f>All!$E$77:$E$97</c:f>
              <c:numCache>
                <c:formatCode>0.00</c:formatCode>
                <c:ptCount val="21"/>
                <c:pt idx="0">
                  <c:v>0.53038882500000006</c:v>
                </c:pt>
                <c:pt idx="1">
                  <c:v>1.2942434</c:v>
                </c:pt>
                <c:pt idx="2">
                  <c:v>0.99131533231999991</c:v>
                </c:pt>
                <c:pt idx="3">
                  <c:v>0.22973391999999998</c:v>
                </c:pt>
                <c:pt idx="4">
                  <c:v>0.32268389999999997</c:v>
                </c:pt>
                <c:pt idx="5">
                  <c:v>0.25701099999999999</c:v>
                </c:pt>
                <c:pt idx="6">
                  <c:v>0.33023999999999998</c:v>
                </c:pt>
                <c:pt idx="7">
                  <c:v>0.41785204400000003</c:v>
                </c:pt>
                <c:pt idx="8">
                  <c:v>0.76499826000000004</c:v>
                </c:pt>
                <c:pt idx="9">
                  <c:v>0.1360584</c:v>
                </c:pt>
                <c:pt idx="10">
                  <c:v>0.74272640000000001</c:v>
                </c:pt>
                <c:pt idx="11">
                  <c:v>0.27599999999999997</c:v>
                </c:pt>
                <c:pt idx="12">
                  <c:v>0.16400000000000001</c:v>
                </c:pt>
                <c:pt idx="13">
                  <c:v>0.17</c:v>
                </c:pt>
                <c:pt idx="14">
                  <c:v>0.33587107944420003</c:v>
                </c:pt>
                <c:pt idx="15">
                  <c:v>0.59254014599999993</c:v>
                </c:pt>
                <c:pt idx="16">
                  <c:v>3.200736</c:v>
                </c:pt>
                <c:pt idx="17">
                  <c:v>0.16276000000000002</c:v>
                </c:pt>
                <c:pt idx="18">
                  <c:v>0.86522399999999999</c:v>
                </c:pt>
                <c:pt idx="19">
                  <c:v>0.32759399999999994</c:v>
                </c:pt>
                <c:pt idx="20">
                  <c:v>0.49489200000000005</c:v>
                </c:pt>
              </c:numCache>
            </c:numRef>
          </c:yVal>
          <c:smooth val="0"/>
          <c:extLst>
            <c:ext xmlns:c16="http://schemas.microsoft.com/office/drawing/2014/chart" uri="{C3380CC4-5D6E-409C-BE32-E72D297353CC}">
              <c16:uniqueId val="{00000002-2CFD-4E27-B35A-4CF286193A2D}"/>
            </c:ext>
          </c:extLst>
        </c:ser>
        <c:dLbls>
          <c:showLegendKey val="0"/>
          <c:showVal val="0"/>
          <c:showCatName val="0"/>
          <c:showSerName val="0"/>
          <c:showPercent val="0"/>
          <c:showBubbleSize val="0"/>
        </c:dLbls>
        <c:axId val="1037410000"/>
        <c:axId val="1037395856"/>
      </c:scatterChart>
      <c:valAx>
        <c:axId val="10374100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latin typeface="Times New Roman" panose="02020603050405020304" pitchFamily="18" charset="0"/>
                    <a:cs typeface="Times New Roman" panose="02020603050405020304" pitchFamily="18" charset="0"/>
                  </a:rPr>
                  <a:t>Temperature (°C)</a:t>
                </a:r>
                <a:endParaRPr lang="en-A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37395856"/>
        <c:crosses val="autoZero"/>
        <c:crossBetween val="midCat"/>
      </c:valAx>
      <c:valAx>
        <c:axId val="1037395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latin typeface="Times New Roman" panose="02020603050405020304" pitchFamily="18" charset="0"/>
                    <a:cs typeface="Times New Roman" panose="02020603050405020304" pitchFamily="18" charset="0"/>
                  </a:rPr>
                  <a:t>Whole stream GPP (mg O</a:t>
                </a:r>
                <a:r>
                  <a:rPr lang="en-AU" sz="1000" b="0" i="0" u="none" strike="noStrike" baseline="-25000">
                    <a:effectLst/>
                    <a:latin typeface="Times New Roman" panose="02020603050405020304" pitchFamily="18" charset="0"/>
                    <a:cs typeface="Times New Roman" panose="02020603050405020304" pitchFamily="18" charset="0"/>
                  </a:rPr>
                  <a:t>2</a:t>
                </a:r>
                <a:r>
                  <a:rPr lang="en-AU" sz="1000" b="0" i="0" u="none" strike="noStrike" baseline="0">
                    <a:effectLst/>
                    <a:latin typeface="Times New Roman" panose="02020603050405020304" pitchFamily="18" charset="0"/>
                    <a:cs typeface="Times New Roman" panose="02020603050405020304" pitchFamily="18" charset="0"/>
                  </a:rPr>
                  <a:t>/L/h)</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3741000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Temperature vs Pelagic Metabolism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All!$H$5</c:f>
              <c:strCache>
                <c:ptCount val="1"/>
                <c:pt idx="0">
                  <c:v>Temp</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0"/>
            <c:trendlineLbl>
              <c:layout>
                <c:manualLayout>
                  <c:x val="0.10222617653019361"/>
                  <c:y val="0.13666712076215387"/>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All!$G$77:$G$97</c:f>
              <c:numCache>
                <c:formatCode>General</c:formatCode>
                <c:ptCount val="21"/>
                <c:pt idx="0">
                  <c:v>21.3</c:v>
                </c:pt>
                <c:pt idx="1">
                  <c:v>25</c:v>
                </c:pt>
                <c:pt idx="2">
                  <c:v>23.3</c:v>
                </c:pt>
                <c:pt idx="3">
                  <c:v>20.6</c:v>
                </c:pt>
                <c:pt idx="4">
                  <c:v>20</c:v>
                </c:pt>
                <c:pt idx="5">
                  <c:v>18.2</c:v>
                </c:pt>
                <c:pt idx="6">
                  <c:v>18.600000000000001</c:v>
                </c:pt>
                <c:pt idx="7">
                  <c:v>21.9</c:v>
                </c:pt>
                <c:pt idx="8">
                  <c:v>26.3</c:v>
                </c:pt>
                <c:pt idx="9">
                  <c:v>25.7</c:v>
                </c:pt>
                <c:pt idx="10">
                  <c:v>22.8</c:v>
                </c:pt>
                <c:pt idx="11">
                  <c:v>21.7</c:v>
                </c:pt>
                <c:pt idx="12">
                  <c:v>19.899999999999999</c:v>
                </c:pt>
                <c:pt idx="13">
                  <c:v>19.8</c:v>
                </c:pt>
                <c:pt idx="14">
                  <c:v>23</c:v>
                </c:pt>
                <c:pt idx="15">
                  <c:v>25.7</c:v>
                </c:pt>
                <c:pt idx="16">
                  <c:v>24.43</c:v>
                </c:pt>
                <c:pt idx="17">
                  <c:v>22.2</c:v>
                </c:pt>
                <c:pt idx="18">
                  <c:v>21.3</c:v>
                </c:pt>
                <c:pt idx="19">
                  <c:v>19.8</c:v>
                </c:pt>
                <c:pt idx="20">
                  <c:v>19.5</c:v>
                </c:pt>
              </c:numCache>
            </c:numRef>
          </c:xVal>
          <c:yVal>
            <c:numRef>
              <c:f>All!$C$77:$C$97</c:f>
              <c:numCache>
                <c:formatCode>General</c:formatCode>
                <c:ptCount val="21"/>
                <c:pt idx="0">
                  <c:v>0.12908742573421653</c:v>
                </c:pt>
                <c:pt idx="1">
                  <c:v>0.13320062841437802</c:v>
                </c:pt>
                <c:pt idx="2">
                  <c:v>0.13885084793448541</c:v>
                </c:pt>
                <c:pt idx="3">
                  <c:v>0.14489272486249244</c:v>
                </c:pt>
                <c:pt idx="4">
                  <c:v>0.13190146670439745</c:v>
                </c:pt>
                <c:pt idx="5">
                  <c:v>0.16206232619054731</c:v>
                </c:pt>
                <c:pt idx="6">
                  <c:v>0.1644626686423471</c:v>
                </c:pt>
                <c:pt idx="7">
                  <c:v>0.14215342360279362</c:v>
                </c:pt>
                <c:pt idx="8">
                  <c:v>0.14228520823343449</c:v>
                </c:pt>
                <c:pt idx="9">
                  <c:v>0.13062209933226701</c:v>
                </c:pt>
                <c:pt idx="10">
                  <c:v>9.9712157263716947E-2</c:v>
                </c:pt>
                <c:pt idx="11">
                  <c:v>0.15581628875094486</c:v>
                </c:pt>
                <c:pt idx="12">
                  <c:v>0.20967503626574613</c:v>
                </c:pt>
                <c:pt idx="13">
                  <c:v>0.13885958560857631</c:v>
                </c:pt>
                <c:pt idx="14">
                  <c:v>0.1491946389243225</c:v>
                </c:pt>
                <c:pt idx="15">
                  <c:v>0.15432757827734778</c:v>
                </c:pt>
                <c:pt idx="16">
                  <c:v>0.15567817334342104</c:v>
                </c:pt>
                <c:pt idx="17">
                  <c:v>9.9307093506129165E-2</c:v>
                </c:pt>
                <c:pt idx="18">
                  <c:v>0.17709908302475577</c:v>
                </c:pt>
                <c:pt idx="19">
                  <c:v>0.22204043645005656</c:v>
                </c:pt>
                <c:pt idx="20">
                  <c:v>0.23659721410757795</c:v>
                </c:pt>
              </c:numCache>
            </c:numRef>
          </c:yVal>
          <c:smooth val="0"/>
          <c:extLst>
            <c:ext xmlns:c16="http://schemas.microsoft.com/office/drawing/2014/chart" uri="{C3380CC4-5D6E-409C-BE32-E72D297353CC}">
              <c16:uniqueId val="{00000002-3E9B-467B-A6EC-DA177CAA4C8F}"/>
            </c:ext>
          </c:extLst>
        </c:ser>
        <c:dLbls>
          <c:showLegendKey val="0"/>
          <c:showVal val="0"/>
          <c:showCatName val="0"/>
          <c:showSerName val="0"/>
          <c:showPercent val="0"/>
          <c:showBubbleSize val="0"/>
        </c:dLbls>
        <c:axId val="823423936"/>
        <c:axId val="823424768"/>
      </c:scatterChart>
      <c:valAx>
        <c:axId val="8234239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latin typeface="Times New Roman" panose="02020603050405020304" pitchFamily="18" charset="0"/>
                    <a:cs typeface="Times New Roman" panose="02020603050405020304" pitchFamily="18" charset="0"/>
                  </a:rPr>
                  <a:t>Temperature (</a:t>
                </a:r>
                <a:r>
                  <a:rPr lang="en-AU" sz="1000" b="0" i="0" u="none" strike="noStrike" baseline="0">
                    <a:effectLst/>
                  </a:rPr>
                  <a:t>°C</a:t>
                </a:r>
                <a:r>
                  <a:rPr lang="en-AU" sz="1000" b="0" i="0" u="none" strike="noStrike" baseline="0">
                    <a:effectLst/>
                    <a:latin typeface="Times New Roman" panose="02020603050405020304" pitchFamily="18" charset="0"/>
                    <a:cs typeface="Times New Roman" panose="02020603050405020304" pitchFamily="18" charset="0"/>
                  </a:rPr>
                  <a:t>)</a:t>
                </a:r>
                <a:endParaRPr lang="en-AU">
                  <a:latin typeface="Times New Roman" panose="02020603050405020304" pitchFamily="18" charset="0"/>
                  <a:cs typeface="Times New Roman" panose="02020603050405020304" pitchFamily="18" charset="0"/>
                </a:endParaRPr>
              </a:p>
            </c:rich>
          </c:tx>
          <c:layout>
            <c:manualLayout>
              <c:xMode val="edge"/>
              <c:yMode val="edge"/>
              <c:x val="0.38150550390240767"/>
              <c:y val="0.8837137745325086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23424768"/>
        <c:crosses val="autoZero"/>
        <c:crossBetween val="midCat"/>
      </c:valAx>
      <c:valAx>
        <c:axId val="823424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latin typeface="Times New Roman" panose="02020603050405020304" pitchFamily="18" charset="0"/>
                    <a:cs typeface="Times New Roman" panose="02020603050405020304" pitchFamily="18" charset="0"/>
                  </a:rPr>
                  <a:t>Pelagic Metabolism (mg O</a:t>
                </a:r>
                <a:r>
                  <a:rPr lang="en-AU" sz="1000" b="0" i="0" u="none" strike="noStrike" baseline="-25000">
                    <a:effectLst/>
                    <a:latin typeface="Times New Roman" panose="02020603050405020304" pitchFamily="18" charset="0"/>
                    <a:cs typeface="Times New Roman" panose="02020603050405020304" pitchFamily="18" charset="0"/>
                  </a:rPr>
                  <a:t>2</a:t>
                </a:r>
                <a:r>
                  <a:rPr lang="en-AU" sz="1000" b="0" i="0" u="none" strike="noStrike" baseline="0">
                    <a:effectLst/>
                    <a:latin typeface="Times New Roman" panose="02020603050405020304" pitchFamily="18" charset="0"/>
                    <a:cs typeface="Times New Roman" panose="02020603050405020304" pitchFamily="18" charset="0"/>
                  </a:rPr>
                  <a:t>/L/</a:t>
                </a:r>
                <a:r>
                  <a:rPr lang="en-AU" baseline="0">
                    <a:latin typeface="Times New Roman" panose="02020603050405020304" pitchFamily="18" charset="0"/>
                    <a:cs typeface="Times New Roman" panose="02020603050405020304" pitchFamily="18" charset="0"/>
                  </a:rPr>
                  <a:t>)</a:t>
                </a:r>
                <a:endParaRPr lang="en-AU">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2342393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TP vs Pelagic Metabolism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All!$H$76</c:f>
              <c:strCache>
                <c:ptCount val="1"/>
                <c:pt idx="0">
                  <c:v>DOC</c:v>
                </c:pt>
              </c:strCache>
            </c:strRef>
          </c:tx>
          <c:spPr>
            <a:ln w="19050" cap="rnd">
              <a:noFill/>
              <a:round/>
            </a:ln>
            <a:effectLst/>
          </c:spPr>
          <c:marker>
            <c:symbol val="circle"/>
            <c:size val="5"/>
            <c:spPr>
              <a:solidFill>
                <a:schemeClr val="accent1"/>
              </a:solidFill>
              <a:ln w="9525">
                <a:solidFill>
                  <a:schemeClr val="accent1"/>
                </a:solidFill>
              </a:ln>
              <a:effectLst/>
            </c:spPr>
          </c:marker>
          <c:xVal>
            <c:numRef>
              <c:f>All!$C$77:$C$97</c:f>
              <c:numCache>
                <c:formatCode>General</c:formatCode>
                <c:ptCount val="21"/>
                <c:pt idx="0">
                  <c:v>0.12908742573421653</c:v>
                </c:pt>
                <c:pt idx="1">
                  <c:v>0.13320062841437802</c:v>
                </c:pt>
                <c:pt idx="2">
                  <c:v>0.13885084793448541</c:v>
                </c:pt>
                <c:pt idx="3">
                  <c:v>0.14489272486249244</c:v>
                </c:pt>
                <c:pt idx="4">
                  <c:v>0.13190146670439745</c:v>
                </c:pt>
                <c:pt idx="5">
                  <c:v>0.16206232619054731</c:v>
                </c:pt>
                <c:pt idx="6">
                  <c:v>0.1644626686423471</c:v>
                </c:pt>
                <c:pt idx="7">
                  <c:v>0.14215342360279362</c:v>
                </c:pt>
                <c:pt idx="8">
                  <c:v>0.14228520823343449</c:v>
                </c:pt>
                <c:pt idx="9">
                  <c:v>0.13062209933226701</c:v>
                </c:pt>
                <c:pt idx="10">
                  <c:v>9.9712157263716947E-2</c:v>
                </c:pt>
                <c:pt idx="11">
                  <c:v>0.15581628875094486</c:v>
                </c:pt>
                <c:pt idx="12">
                  <c:v>0.20967503626574613</c:v>
                </c:pt>
                <c:pt idx="13">
                  <c:v>0.13885958560857631</c:v>
                </c:pt>
                <c:pt idx="14">
                  <c:v>0.1491946389243225</c:v>
                </c:pt>
                <c:pt idx="15">
                  <c:v>0.15432757827734778</c:v>
                </c:pt>
                <c:pt idx="16">
                  <c:v>0.15567817334342104</c:v>
                </c:pt>
                <c:pt idx="17">
                  <c:v>9.9307093506129165E-2</c:v>
                </c:pt>
                <c:pt idx="18">
                  <c:v>0.17709908302475577</c:v>
                </c:pt>
                <c:pt idx="19">
                  <c:v>0.22204043645005656</c:v>
                </c:pt>
                <c:pt idx="20">
                  <c:v>0.23659721410757795</c:v>
                </c:pt>
              </c:numCache>
            </c:numRef>
          </c:xVal>
          <c:yVal>
            <c:numRef>
              <c:f>All!$H$77:$H$97</c:f>
              <c:numCache>
                <c:formatCode>General</c:formatCode>
                <c:ptCount val="21"/>
                <c:pt idx="0">
                  <c:v>2.8125</c:v>
                </c:pt>
                <c:pt idx="1">
                  <c:v>2.02</c:v>
                </c:pt>
                <c:pt idx="2">
                  <c:v>2.62</c:v>
                </c:pt>
                <c:pt idx="3">
                  <c:v>3.0799999999999996</c:v>
                </c:pt>
                <c:pt idx="4">
                  <c:v>3.08</c:v>
                </c:pt>
                <c:pt idx="5">
                  <c:v>2.3200000000000003</c:v>
                </c:pt>
                <c:pt idx="6">
                  <c:v>2.66</c:v>
                </c:pt>
                <c:pt idx="7">
                  <c:v>2.9750000000000001</c:v>
                </c:pt>
                <c:pt idx="8">
                  <c:v>2.6399999999999997</c:v>
                </c:pt>
                <c:pt idx="9">
                  <c:v>2.6</c:v>
                </c:pt>
                <c:pt idx="10">
                  <c:v>3.4799999999999995</c:v>
                </c:pt>
                <c:pt idx="11">
                  <c:v>4.18</c:v>
                </c:pt>
                <c:pt idx="12">
                  <c:v>2.6799999999999997</c:v>
                </c:pt>
                <c:pt idx="13">
                  <c:v>2.8600000000000003</c:v>
                </c:pt>
                <c:pt idx="14">
                  <c:v>3.3</c:v>
                </c:pt>
                <c:pt idx="15">
                  <c:v>2.82</c:v>
                </c:pt>
                <c:pt idx="16">
                  <c:v>2.54</c:v>
                </c:pt>
                <c:pt idx="17">
                  <c:v>4.5599999999999996</c:v>
                </c:pt>
                <c:pt idx="18">
                  <c:v>4.8600000000000003</c:v>
                </c:pt>
                <c:pt idx="19">
                  <c:v>3.0199999999999996</c:v>
                </c:pt>
                <c:pt idx="20">
                  <c:v>3.0199999999999996</c:v>
                </c:pt>
              </c:numCache>
            </c:numRef>
          </c:yVal>
          <c:smooth val="0"/>
          <c:extLst>
            <c:ext xmlns:c16="http://schemas.microsoft.com/office/drawing/2014/chart" uri="{C3380CC4-5D6E-409C-BE32-E72D297353CC}">
              <c16:uniqueId val="{00000000-47F2-4555-AE8A-BC52CAB70B83}"/>
            </c:ext>
          </c:extLst>
        </c:ser>
        <c:dLbls>
          <c:showLegendKey val="0"/>
          <c:showVal val="0"/>
          <c:showCatName val="0"/>
          <c:showSerName val="0"/>
          <c:showPercent val="0"/>
          <c:showBubbleSize val="0"/>
        </c:dLbls>
        <c:axId val="1951167104"/>
        <c:axId val="1951167520"/>
      </c:scatterChart>
      <c:valAx>
        <c:axId val="19511671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Pelagic </a:t>
                </a:r>
                <a:r>
                  <a:rPr lang="en-AU" sz="1000" b="0" i="0" u="none" strike="noStrike" baseline="0">
                    <a:effectLst/>
                    <a:latin typeface="Times New Roman" panose="02020603050405020304" pitchFamily="18" charset="0"/>
                    <a:cs typeface="Times New Roman" panose="02020603050405020304" pitchFamily="18" charset="0"/>
                  </a:rPr>
                  <a:t>GPP (mg O</a:t>
                </a:r>
                <a:r>
                  <a:rPr lang="en-AU" sz="1000" b="0" i="0" u="none" strike="noStrike" baseline="-25000">
                    <a:effectLst/>
                    <a:latin typeface="Times New Roman" panose="02020603050405020304" pitchFamily="18" charset="0"/>
                    <a:cs typeface="Times New Roman" panose="02020603050405020304" pitchFamily="18" charset="0"/>
                  </a:rPr>
                  <a:t>2</a:t>
                </a:r>
                <a:r>
                  <a:rPr lang="en-AU" sz="1000" b="0" i="0" u="none" strike="noStrike" baseline="0">
                    <a:effectLst/>
                    <a:latin typeface="Times New Roman" panose="02020603050405020304" pitchFamily="18" charset="0"/>
                    <a:cs typeface="Times New Roman" panose="02020603050405020304" pitchFamily="18" charset="0"/>
                  </a:rPr>
                  <a:t>/L/h)</a:t>
                </a:r>
                <a:endParaRPr lang="en-A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51167520"/>
        <c:crosses val="autoZero"/>
        <c:crossBetween val="midCat"/>
      </c:valAx>
      <c:valAx>
        <c:axId val="1951167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TP (mg/L)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5116710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AU">
                <a:latin typeface="Times New Roman" panose="02020603050405020304" pitchFamily="18" charset="0"/>
                <a:cs typeface="Times New Roman" panose="02020603050405020304" pitchFamily="18" charset="0"/>
              </a:rPr>
              <a:t>Percentage of River Bed Above Euphotic Depth </a:t>
            </a:r>
          </a:p>
          <a:p>
            <a:pPr>
              <a:defRPr>
                <a:latin typeface="Times New Roman" panose="02020603050405020304" pitchFamily="18" charset="0"/>
                <a:cs typeface="Times New Roman" panose="02020603050405020304" pitchFamily="18" charset="0"/>
              </a:defRPr>
            </a:pPr>
            <a:r>
              <a:rPr lang="en-AU" sz="1400" b="0" i="0" u="none" strike="noStrike" baseline="0">
                <a:effectLst/>
                <a:latin typeface="Times New Roman" panose="02020603050405020304" pitchFamily="18" charset="0"/>
                <a:cs typeface="Times New Roman" panose="02020603050405020304" pitchFamily="18" charset="0"/>
              </a:rPr>
              <a:t>vs Pelagic Metabolism</a:t>
            </a:r>
            <a:endParaRPr lang="en-A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scatterChart>
        <c:scatterStyle val="lineMarker"/>
        <c:varyColors val="0"/>
        <c:ser>
          <c:idx val="0"/>
          <c:order val="0"/>
          <c:tx>
            <c:strRef>
              <c:f>All!$Q$76</c:f>
              <c:strCache>
                <c:ptCount val="1"/>
                <c:pt idx="0">
                  <c:v>Euphotic depth</c:v>
                </c:pt>
              </c:strCache>
            </c:strRef>
          </c:tx>
          <c:spPr>
            <a:ln w="19050" cap="rnd">
              <a:noFill/>
              <a:round/>
            </a:ln>
            <a:effectLst/>
          </c:spPr>
          <c:marker>
            <c:symbol val="circle"/>
            <c:size val="5"/>
            <c:spPr>
              <a:solidFill>
                <a:schemeClr val="accent1"/>
              </a:solidFill>
              <a:ln w="9525">
                <a:solidFill>
                  <a:schemeClr val="accent1"/>
                </a:solidFill>
              </a:ln>
              <a:effectLst/>
            </c:spPr>
          </c:marker>
          <c:xVal>
            <c:numRef>
              <c:f>All!$C$77:$C$97</c:f>
              <c:numCache>
                <c:formatCode>General</c:formatCode>
                <c:ptCount val="21"/>
                <c:pt idx="0">
                  <c:v>0.12908742573421653</c:v>
                </c:pt>
                <c:pt idx="1">
                  <c:v>0.13320062841437802</c:v>
                </c:pt>
                <c:pt idx="2">
                  <c:v>0.13885084793448541</c:v>
                </c:pt>
                <c:pt idx="3">
                  <c:v>0.14489272486249244</c:v>
                </c:pt>
                <c:pt idx="4">
                  <c:v>0.13190146670439745</c:v>
                </c:pt>
                <c:pt idx="5">
                  <c:v>0.16206232619054731</c:v>
                </c:pt>
                <c:pt idx="6">
                  <c:v>0.1644626686423471</c:v>
                </c:pt>
                <c:pt idx="7">
                  <c:v>0.14215342360279362</c:v>
                </c:pt>
                <c:pt idx="8">
                  <c:v>0.14228520823343449</c:v>
                </c:pt>
                <c:pt idx="9">
                  <c:v>0.13062209933226701</c:v>
                </c:pt>
                <c:pt idx="10">
                  <c:v>9.9712157263716947E-2</c:v>
                </c:pt>
                <c:pt idx="11">
                  <c:v>0.15581628875094486</c:v>
                </c:pt>
                <c:pt idx="12">
                  <c:v>0.20967503626574613</c:v>
                </c:pt>
                <c:pt idx="13">
                  <c:v>0.13885958560857631</c:v>
                </c:pt>
                <c:pt idx="14">
                  <c:v>0.1491946389243225</c:v>
                </c:pt>
                <c:pt idx="15">
                  <c:v>0.15432757827734778</c:v>
                </c:pt>
                <c:pt idx="16">
                  <c:v>0.15567817334342104</c:v>
                </c:pt>
                <c:pt idx="17">
                  <c:v>9.9307093506129165E-2</c:v>
                </c:pt>
                <c:pt idx="18">
                  <c:v>0.17709908302475577</c:v>
                </c:pt>
                <c:pt idx="19">
                  <c:v>0.22204043645005656</c:v>
                </c:pt>
                <c:pt idx="20">
                  <c:v>0.23659721410757795</c:v>
                </c:pt>
              </c:numCache>
            </c:numRef>
          </c:xVal>
          <c:yVal>
            <c:numRef>
              <c:f>All!$Q$77:$Q$97</c:f>
              <c:numCache>
                <c:formatCode>General</c:formatCode>
                <c:ptCount val="21"/>
                <c:pt idx="0">
                  <c:v>2.1044499999999999</c:v>
                </c:pt>
                <c:pt idx="1">
                  <c:v>2.1267999999999998</c:v>
                </c:pt>
                <c:pt idx="2">
                  <c:v>2.0483500000000001</c:v>
                </c:pt>
                <c:pt idx="3">
                  <c:v>2.64</c:v>
                </c:pt>
                <c:pt idx="4">
                  <c:v>2.1789999999999998</c:v>
                </c:pt>
                <c:pt idx="5">
                  <c:v>8.2899999999999991</c:v>
                </c:pt>
                <c:pt idx="6">
                  <c:v>3.33</c:v>
                </c:pt>
                <c:pt idx="7">
                  <c:v>2.0804999999999998</c:v>
                </c:pt>
                <c:pt idx="8">
                  <c:v>2.2255500000000001</c:v>
                </c:pt>
                <c:pt idx="9">
                  <c:v>1.843</c:v>
                </c:pt>
                <c:pt idx="10">
                  <c:v>1.157</c:v>
                </c:pt>
                <c:pt idx="11">
                  <c:v>1.2895000000000001</c:v>
                </c:pt>
                <c:pt idx="12">
                  <c:v>2.4500000000000002</c:v>
                </c:pt>
                <c:pt idx="13">
                  <c:v>2.3849999999999998</c:v>
                </c:pt>
                <c:pt idx="14">
                  <c:v>2.0967500000000001</c:v>
                </c:pt>
                <c:pt idx="15">
                  <c:v>2.069</c:v>
                </c:pt>
                <c:pt idx="16">
                  <c:v>1.9982679999999999</c:v>
                </c:pt>
                <c:pt idx="17">
                  <c:v>1.0263899999999999</c:v>
                </c:pt>
                <c:pt idx="18">
                  <c:v>1.8240000000000001</c:v>
                </c:pt>
                <c:pt idx="19">
                  <c:v>2.4500000000000002</c:v>
                </c:pt>
                <c:pt idx="20">
                  <c:v>2.48</c:v>
                </c:pt>
              </c:numCache>
            </c:numRef>
          </c:yVal>
          <c:smooth val="0"/>
          <c:extLst>
            <c:ext xmlns:c16="http://schemas.microsoft.com/office/drawing/2014/chart" uri="{C3380CC4-5D6E-409C-BE32-E72D297353CC}">
              <c16:uniqueId val="{00000000-1D9C-48DE-8519-A08D9267FD87}"/>
            </c:ext>
          </c:extLst>
        </c:ser>
        <c:dLbls>
          <c:showLegendKey val="0"/>
          <c:showVal val="0"/>
          <c:showCatName val="0"/>
          <c:showSerName val="0"/>
          <c:showPercent val="0"/>
          <c:showBubbleSize val="0"/>
        </c:dLbls>
        <c:axId val="2033425680"/>
        <c:axId val="2033415696"/>
      </c:scatterChart>
      <c:valAx>
        <c:axId val="2033425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AU" sz="1000" b="0" i="0" u="none" strike="noStrike" baseline="0">
                    <a:effectLst/>
                    <a:latin typeface="Times New Roman" panose="02020603050405020304" pitchFamily="18" charset="0"/>
                    <a:cs typeface="Times New Roman" panose="02020603050405020304" pitchFamily="18" charset="0"/>
                  </a:rPr>
                  <a:t>Pelagic GPP (mg O</a:t>
                </a:r>
                <a:r>
                  <a:rPr lang="en-AU" sz="1000" b="0" i="0" u="none" strike="noStrike" baseline="-25000">
                    <a:effectLst/>
                    <a:latin typeface="Times New Roman" panose="02020603050405020304" pitchFamily="18" charset="0"/>
                    <a:cs typeface="Times New Roman" panose="02020603050405020304" pitchFamily="18" charset="0"/>
                  </a:rPr>
                  <a:t>2</a:t>
                </a:r>
                <a:r>
                  <a:rPr lang="en-AU" sz="1000" b="0" i="0" u="none" strike="noStrike" baseline="0">
                    <a:effectLst/>
                    <a:latin typeface="Times New Roman" panose="02020603050405020304" pitchFamily="18" charset="0"/>
                    <a:cs typeface="Times New Roman" panose="02020603050405020304" pitchFamily="18" charset="0"/>
                  </a:rPr>
                  <a:t>/L/h)</a:t>
                </a:r>
                <a:endParaRPr lang="en-A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33415696"/>
        <c:crosses val="autoZero"/>
        <c:crossBetween val="midCat"/>
      </c:valAx>
      <c:valAx>
        <c:axId val="2033415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AU">
                    <a:latin typeface="Times New Roman" panose="02020603050405020304" pitchFamily="18" charset="0"/>
                    <a:cs typeface="Times New Roman" panose="02020603050405020304" pitchFamily="18" charset="0"/>
                  </a:rPr>
                  <a:t>River bed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3342568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AU">
                <a:latin typeface="Times New Roman" panose="02020603050405020304" pitchFamily="18" charset="0"/>
                <a:cs typeface="Times New Roman" panose="02020603050405020304" pitchFamily="18" charset="0"/>
              </a:rPr>
              <a:t>Respiration vs Pelagic Metabolism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xVal>
            <c:numRef>
              <c:f>All!$C$77:$C$97</c:f>
              <c:numCache>
                <c:formatCode>General</c:formatCode>
                <c:ptCount val="21"/>
                <c:pt idx="0">
                  <c:v>0.12908742573421653</c:v>
                </c:pt>
                <c:pt idx="1">
                  <c:v>0.13320062841437802</c:v>
                </c:pt>
                <c:pt idx="2">
                  <c:v>0.13885084793448541</c:v>
                </c:pt>
                <c:pt idx="3">
                  <c:v>0.14489272486249244</c:v>
                </c:pt>
                <c:pt idx="4">
                  <c:v>0.13190146670439745</c:v>
                </c:pt>
                <c:pt idx="5">
                  <c:v>0.16206232619054731</c:v>
                </c:pt>
                <c:pt idx="6">
                  <c:v>0.1644626686423471</c:v>
                </c:pt>
                <c:pt idx="7">
                  <c:v>0.14215342360279362</c:v>
                </c:pt>
                <c:pt idx="8">
                  <c:v>0.14228520823343449</c:v>
                </c:pt>
                <c:pt idx="9">
                  <c:v>0.13062209933226701</c:v>
                </c:pt>
                <c:pt idx="10">
                  <c:v>9.9712157263716947E-2</c:v>
                </c:pt>
                <c:pt idx="11">
                  <c:v>0.15581628875094486</c:v>
                </c:pt>
                <c:pt idx="12">
                  <c:v>0.20967503626574613</c:v>
                </c:pt>
                <c:pt idx="13">
                  <c:v>0.13885958560857631</c:v>
                </c:pt>
                <c:pt idx="14">
                  <c:v>0.1491946389243225</c:v>
                </c:pt>
                <c:pt idx="15">
                  <c:v>0.15432757827734778</c:v>
                </c:pt>
                <c:pt idx="16">
                  <c:v>0.15567817334342104</c:v>
                </c:pt>
                <c:pt idx="17">
                  <c:v>9.9307093506129165E-2</c:v>
                </c:pt>
                <c:pt idx="18">
                  <c:v>0.17709908302475577</c:v>
                </c:pt>
                <c:pt idx="19">
                  <c:v>0.22204043645005656</c:v>
                </c:pt>
                <c:pt idx="20">
                  <c:v>0.23659721410757795</c:v>
                </c:pt>
              </c:numCache>
            </c:numRef>
          </c:xVal>
          <c:yVal>
            <c:numRef>
              <c:f>All!$R$77:$R$97</c:f>
              <c:numCache>
                <c:formatCode>General</c:formatCode>
                <c:ptCount val="21"/>
                <c:pt idx="0">
                  <c:v>94.56</c:v>
                </c:pt>
                <c:pt idx="1">
                  <c:v>100</c:v>
                </c:pt>
                <c:pt idx="2">
                  <c:v>100</c:v>
                </c:pt>
                <c:pt idx="3">
                  <c:v>100</c:v>
                </c:pt>
                <c:pt idx="4">
                  <c:v>100</c:v>
                </c:pt>
                <c:pt idx="5">
                  <c:v>100</c:v>
                </c:pt>
                <c:pt idx="6">
                  <c:v>100</c:v>
                </c:pt>
                <c:pt idx="7">
                  <c:v>89.7</c:v>
                </c:pt>
                <c:pt idx="8">
                  <c:v>93.99</c:v>
                </c:pt>
                <c:pt idx="9">
                  <c:v>85.7</c:v>
                </c:pt>
                <c:pt idx="10">
                  <c:v>49.13</c:v>
                </c:pt>
                <c:pt idx="11">
                  <c:v>61.41</c:v>
                </c:pt>
                <c:pt idx="12">
                  <c:v>98.99</c:v>
                </c:pt>
                <c:pt idx="13">
                  <c:v>97.99</c:v>
                </c:pt>
                <c:pt idx="14">
                  <c:v>100</c:v>
                </c:pt>
                <c:pt idx="15">
                  <c:v>100</c:v>
                </c:pt>
                <c:pt idx="16">
                  <c:v>100</c:v>
                </c:pt>
                <c:pt idx="17">
                  <c:v>44.3</c:v>
                </c:pt>
                <c:pt idx="18">
                  <c:v>100</c:v>
                </c:pt>
                <c:pt idx="19">
                  <c:v>100</c:v>
                </c:pt>
                <c:pt idx="20">
                  <c:v>100</c:v>
                </c:pt>
              </c:numCache>
            </c:numRef>
          </c:yVal>
          <c:smooth val="0"/>
          <c:extLst>
            <c:ext xmlns:c16="http://schemas.microsoft.com/office/drawing/2014/chart" uri="{C3380CC4-5D6E-409C-BE32-E72D297353CC}">
              <c16:uniqueId val="{00000000-AD63-4C05-BA3A-1CDBC8437AA0}"/>
            </c:ext>
          </c:extLst>
        </c:ser>
        <c:dLbls>
          <c:showLegendKey val="0"/>
          <c:showVal val="0"/>
          <c:showCatName val="0"/>
          <c:showSerName val="0"/>
          <c:showPercent val="0"/>
          <c:showBubbleSize val="0"/>
        </c:dLbls>
        <c:axId val="2037633840"/>
        <c:axId val="2037649648"/>
      </c:scatterChart>
      <c:valAx>
        <c:axId val="20376338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AU" sz="1000" b="0" i="0" u="none" strike="noStrike" baseline="0">
                    <a:effectLst/>
                    <a:latin typeface="Times New Roman" panose="02020603050405020304" pitchFamily="18" charset="0"/>
                    <a:cs typeface="Times New Roman" panose="02020603050405020304" pitchFamily="18" charset="0"/>
                  </a:rPr>
                  <a:t>Pelagic GPP(mg O</a:t>
                </a:r>
                <a:r>
                  <a:rPr lang="en-AU" sz="1000" b="0" i="0" u="none" strike="noStrike" baseline="-25000">
                    <a:effectLst/>
                    <a:latin typeface="Times New Roman" panose="02020603050405020304" pitchFamily="18" charset="0"/>
                    <a:cs typeface="Times New Roman" panose="02020603050405020304" pitchFamily="18" charset="0"/>
                  </a:rPr>
                  <a:t>2</a:t>
                </a:r>
                <a:r>
                  <a:rPr lang="en-AU" sz="1000" b="0" i="0" u="none" strike="noStrike" baseline="0">
                    <a:effectLst/>
                    <a:latin typeface="Times New Roman" panose="02020603050405020304" pitchFamily="18" charset="0"/>
                    <a:cs typeface="Times New Roman" panose="02020603050405020304" pitchFamily="18" charset="0"/>
                  </a:rPr>
                  <a:t>/L/h)</a:t>
                </a:r>
                <a:endParaRPr lang="en-A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37649648"/>
        <c:crosses val="autoZero"/>
        <c:crossBetween val="midCat"/>
      </c:valAx>
      <c:valAx>
        <c:axId val="2037649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AU">
                    <a:latin typeface="Times New Roman" panose="02020603050405020304" pitchFamily="18" charset="0"/>
                    <a:cs typeface="Times New Roman" panose="02020603050405020304" pitchFamily="18" charset="0"/>
                  </a:rPr>
                  <a:t>Respiration </a:t>
                </a:r>
                <a:r>
                  <a:rPr lang="en-AU" sz="1000" b="0" i="0" u="none" strike="noStrike" baseline="0">
                    <a:effectLst/>
                    <a:latin typeface="Times New Roman" panose="02020603050405020304" pitchFamily="18" charset="0"/>
                    <a:cs typeface="Times New Roman" panose="02020603050405020304" pitchFamily="18" charset="0"/>
                  </a:rPr>
                  <a:t>(mg O</a:t>
                </a:r>
                <a:r>
                  <a:rPr lang="en-AU" sz="1000" b="0" i="0" u="none" strike="noStrike" baseline="-25000">
                    <a:effectLst/>
                    <a:latin typeface="Times New Roman" panose="02020603050405020304" pitchFamily="18" charset="0"/>
                    <a:cs typeface="Times New Roman" panose="02020603050405020304" pitchFamily="18" charset="0"/>
                  </a:rPr>
                  <a:t>2</a:t>
                </a:r>
                <a:r>
                  <a:rPr lang="en-AU" sz="1000" b="0" i="0" u="none" strike="noStrike" baseline="0">
                    <a:effectLst/>
                    <a:latin typeface="Times New Roman" panose="02020603050405020304" pitchFamily="18" charset="0"/>
                    <a:cs typeface="Times New Roman" panose="02020603050405020304" pitchFamily="18" charset="0"/>
                  </a:rPr>
                  <a:t>/L/h)</a:t>
                </a:r>
                <a:endParaRPr lang="en-AU">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3763384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AU"/>
              <a:t>(a)</a:t>
            </a:r>
            <a:r>
              <a:rPr lang="en-AU" baseline="0"/>
              <a:t> McCoys Bridge, </a:t>
            </a:r>
            <a:r>
              <a:rPr lang="en-AU"/>
              <a:t>Total Plants  </a:t>
            </a:r>
          </a:p>
        </c:rich>
      </c:tx>
      <c:layout>
        <c:manualLayout>
          <c:xMode val="edge"/>
          <c:yMode val="edge"/>
          <c:x val="0.33804870776695084"/>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5726631732009113E-2"/>
          <c:y val="3.7347807252248809E-2"/>
          <c:w val="0.88744711789075148"/>
          <c:h val="0.75949698035318403"/>
        </c:manualLayout>
      </c:layout>
      <c:bar3DChart>
        <c:barDir val="col"/>
        <c:grouping val="standard"/>
        <c:varyColors val="0"/>
        <c:ser>
          <c:idx val="4"/>
          <c:order val="0"/>
          <c:tx>
            <c:strRef>
              <c:f>Graphs!$I$31</c:f>
              <c:strCache>
                <c:ptCount val="1"/>
                <c:pt idx="0">
                  <c:v>1a</c:v>
                </c:pt>
              </c:strCache>
            </c:strRef>
          </c:tx>
          <c:spPr>
            <a:solidFill>
              <a:schemeClr val="accent5"/>
            </a:solidFill>
            <a:ln>
              <a:noFill/>
            </a:ln>
            <a:effectLst/>
            <a:sp3d/>
          </c:spPr>
          <c:invertIfNegative val="0"/>
          <c:cat>
            <c:numRef>
              <c:f>Graphs!$H$33:$H$50</c:f>
              <c:numCache>
                <c:formatCode>mm/yy</c:formatCode>
                <c:ptCount val="18"/>
                <c:pt idx="0">
                  <c:v>41990</c:v>
                </c:pt>
                <c:pt idx="1">
                  <c:v>42262</c:v>
                </c:pt>
                <c:pt idx="2">
                  <c:v>42355</c:v>
                </c:pt>
                <c:pt idx="3">
                  <c:v>42717</c:v>
                </c:pt>
                <c:pt idx="4">
                  <c:v>42788</c:v>
                </c:pt>
                <c:pt idx="5">
                  <c:v>42835</c:v>
                </c:pt>
                <c:pt idx="6">
                  <c:v>42986</c:v>
                </c:pt>
                <c:pt idx="7">
                  <c:v>43084</c:v>
                </c:pt>
                <c:pt idx="8">
                  <c:v>43355</c:v>
                </c:pt>
                <c:pt idx="9">
                  <c:v>43444</c:v>
                </c:pt>
                <c:pt idx="10">
                  <c:v>43529</c:v>
                </c:pt>
                <c:pt idx="11">
                  <c:v>43724</c:v>
                </c:pt>
                <c:pt idx="12">
                  <c:v>43796</c:v>
                </c:pt>
                <c:pt idx="13">
                  <c:v>43893</c:v>
                </c:pt>
                <c:pt idx="14">
                  <c:v>44140</c:v>
                </c:pt>
                <c:pt idx="15">
                  <c:v>44175</c:v>
                </c:pt>
                <c:pt idx="16">
                  <c:v>44266</c:v>
                </c:pt>
              </c:numCache>
            </c:numRef>
          </c:cat>
          <c:val>
            <c:numRef>
              <c:f>Graphs!$I$32:$I$49</c:f>
              <c:numCache>
                <c:formatCode>0.0</c:formatCode>
                <c:ptCount val="18"/>
                <c:pt idx="0" formatCode="General">
                  <c:v>0</c:v>
                </c:pt>
                <c:pt idx="1">
                  <c:v>8</c:v>
                </c:pt>
                <c:pt idx="2">
                  <c:v>13.125</c:v>
                </c:pt>
                <c:pt idx="3">
                  <c:v>45.357142857142854</c:v>
                </c:pt>
                <c:pt idx="4">
                  <c:v>21.025000000000002</c:v>
                </c:pt>
                <c:pt idx="5">
                  <c:v>30.150000000000002</c:v>
                </c:pt>
                <c:pt idx="6">
                  <c:v>25.164285714285715</c:v>
                </c:pt>
                <c:pt idx="7">
                  <c:v>16.666666666666668</c:v>
                </c:pt>
                <c:pt idx="8">
                  <c:v>0</c:v>
                </c:pt>
                <c:pt idx="9">
                  <c:v>0.83333333333333337</c:v>
                </c:pt>
                <c:pt idx="10">
                  <c:v>25.971818181818183</c:v>
                </c:pt>
                <c:pt idx="11">
                  <c:v>12.698333333333332</c:v>
                </c:pt>
                <c:pt idx="12">
                  <c:v>16.666666666666668</c:v>
                </c:pt>
                <c:pt idx="13">
                  <c:v>17</c:v>
                </c:pt>
                <c:pt idx="14">
                  <c:v>10.909090909090908</c:v>
                </c:pt>
                <c:pt idx="15">
                  <c:v>0</c:v>
                </c:pt>
                <c:pt idx="16">
                  <c:v>0</c:v>
                </c:pt>
                <c:pt idx="17">
                  <c:v>15.909090909090908</c:v>
                </c:pt>
              </c:numCache>
            </c:numRef>
          </c:val>
          <c:extLst>
            <c:ext xmlns:c16="http://schemas.microsoft.com/office/drawing/2014/chart" uri="{C3380CC4-5D6E-409C-BE32-E72D297353CC}">
              <c16:uniqueId val="{00000000-5832-4610-BB21-E45BC092A526}"/>
            </c:ext>
          </c:extLst>
        </c:ser>
        <c:ser>
          <c:idx val="5"/>
          <c:order val="1"/>
          <c:tx>
            <c:strRef>
              <c:f>Graphs!$J$31</c:f>
              <c:strCache>
                <c:ptCount val="1"/>
                <c:pt idx="0">
                  <c:v>1b</c:v>
                </c:pt>
              </c:strCache>
            </c:strRef>
          </c:tx>
          <c:spPr>
            <a:solidFill>
              <a:schemeClr val="accent6"/>
            </a:solidFill>
            <a:ln>
              <a:noFill/>
            </a:ln>
            <a:effectLst/>
            <a:sp3d/>
          </c:spPr>
          <c:invertIfNegative val="0"/>
          <c:cat>
            <c:numRef>
              <c:f>Graphs!$H$33:$H$50</c:f>
              <c:numCache>
                <c:formatCode>mm/yy</c:formatCode>
                <c:ptCount val="18"/>
                <c:pt idx="0">
                  <c:v>41990</c:v>
                </c:pt>
                <c:pt idx="1">
                  <c:v>42262</c:v>
                </c:pt>
                <c:pt idx="2">
                  <c:v>42355</c:v>
                </c:pt>
                <c:pt idx="3">
                  <c:v>42717</c:v>
                </c:pt>
                <c:pt idx="4">
                  <c:v>42788</c:v>
                </c:pt>
                <c:pt idx="5">
                  <c:v>42835</c:v>
                </c:pt>
                <c:pt idx="6">
                  <c:v>42986</c:v>
                </c:pt>
                <c:pt idx="7">
                  <c:v>43084</c:v>
                </c:pt>
                <c:pt idx="8">
                  <c:v>43355</c:v>
                </c:pt>
                <c:pt idx="9">
                  <c:v>43444</c:v>
                </c:pt>
                <c:pt idx="10">
                  <c:v>43529</c:v>
                </c:pt>
                <c:pt idx="11">
                  <c:v>43724</c:v>
                </c:pt>
                <c:pt idx="12">
                  <c:v>43796</c:v>
                </c:pt>
                <c:pt idx="13">
                  <c:v>43893</c:v>
                </c:pt>
                <c:pt idx="14">
                  <c:v>44140</c:v>
                </c:pt>
                <c:pt idx="15">
                  <c:v>44175</c:v>
                </c:pt>
                <c:pt idx="16">
                  <c:v>44266</c:v>
                </c:pt>
              </c:numCache>
            </c:numRef>
          </c:cat>
          <c:val>
            <c:numRef>
              <c:f>Graphs!$J$32:$J$49</c:f>
              <c:numCache>
                <c:formatCode>0.0</c:formatCode>
                <c:ptCount val="18"/>
                <c:pt idx="0" formatCode="General">
                  <c:v>12</c:v>
                </c:pt>
                <c:pt idx="1">
                  <c:v>36.875</c:v>
                </c:pt>
                <c:pt idx="2">
                  <c:v>41.25</c:v>
                </c:pt>
                <c:pt idx="3">
                  <c:v>52.777777777777779</c:v>
                </c:pt>
                <c:pt idx="4">
                  <c:v>42.873333333333335</c:v>
                </c:pt>
                <c:pt idx="5">
                  <c:v>77.793333333333337</c:v>
                </c:pt>
                <c:pt idx="6">
                  <c:v>51.74666666666667</c:v>
                </c:pt>
                <c:pt idx="7">
                  <c:v>48</c:v>
                </c:pt>
                <c:pt idx="8">
                  <c:v>22.772727272727273</c:v>
                </c:pt>
                <c:pt idx="9">
                  <c:v>15.697142857142856</c:v>
                </c:pt>
                <c:pt idx="10">
                  <c:v>48.35230769230769</c:v>
                </c:pt>
                <c:pt idx="11">
                  <c:v>49.659285714285716</c:v>
                </c:pt>
                <c:pt idx="12">
                  <c:v>30.76923076923077</c:v>
                </c:pt>
                <c:pt idx="13">
                  <c:v>28.214285714285715</c:v>
                </c:pt>
                <c:pt idx="14">
                  <c:v>39</c:v>
                </c:pt>
                <c:pt idx="15">
                  <c:v>6.3636363636363633</c:v>
                </c:pt>
                <c:pt idx="16">
                  <c:v>14.615384615384615</c:v>
                </c:pt>
                <c:pt idx="17">
                  <c:v>93</c:v>
                </c:pt>
              </c:numCache>
            </c:numRef>
          </c:val>
          <c:extLst>
            <c:ext xmlns:c16="http://schemas.microsoft.com/office/drawing/2014/chart" uri="{C3380CC4-5D6E-409C-BE32-E72D297353CC}">
              <c16:uniqueId val="{00000001-5832-4610-BB21-E45BC092A526}"/>
            </c:ext>
          </c:extLst>
        </c:ser>
        <c:ser>
          <c:idx val="1"/>
          <c:order val="2"/>
          <c:tx>
            <c:strRef>
              <c:f>Graphs!$K$31</c:f>
              <c:strCache>
                <c:ptCount val="1"/>
                <c:pt idx="0">
                  <c:v>2</c:v>
                </c:pt>
              </c:strCache>
            </c:strRef>
          </c:tx>
          <c:spPr>
            <a:solidFill>
              <a:schemeClr val="accent2"/>
            </a:solidFill>
            <a:ln>
              <a:noFill/>
            </a:ln>
            <a:effectLst/>
            <a:sp3d/>
          </c:spPr>
          <c:invertIfNegative val="0"/>
          <c:cat>
            <c:numRef>
              <c:f>Graphs!$H$33:$H$50</c:f>
              <c:numCache>
                <c:formatCode>mm/yy</c:formatCode>
                <c:ptCount val="18"/>
                <c:pt idx="0">
                  <c:v>41990</c:v>
                </c:pt>
                <c:pt idx="1">
                  <c:v>42262</c:v>
                </c:pt>
                <c:pt idx="2">
                  <c:v>42355</c:v>
                </c:pt>
                <c:pt idx="3">
                  <c:v>42717</c:v>
                </c:pt>
                <c:pt idx="4">
                  <c:v>42788</c:v>
                </c:pt>
                <c:pt idx="5">
                  <c:v>42835</c:v>
                </c:pt>
                <c:pt idx="6">
                  <c:v>42986</c:v>
                </c:pt>
                <c:pt idx="7">
                  <c:v>43084</c:v>
                </c:pt>
                <c:pt idx="8">
                  <c:v>43355</c:v>
                </c:pt>
                <c:pt idx="9">
                  <c:v>43444</c:v>
                </c:pt>
                <c:pt idx="10">
                  <c:v>43529</c:v>
                </c:pt>
                <c:pt idx="11">
                  <c:v>43724</c:v>
                </c:pt>
                <c:pt idx="12">
                  <c:v>43796</c:v>
                </c:pt>
                <c:pt idx="13">
                  <c:v>43893</c:v>
                </c:pt>
                <c:pt idx="14">
                  <c:v>44140</c:v>
                </c:pt>
                <c:pt idx="15">
                  <c:v>44175</c:v>
                </c:pt>
                <c:pt idx="16">
                  <c:v>44266</c:v>
                </c:pt>
              </c:numCache>
            </c:numRef>
          </c:cat>
          <c:val>
            <c:numRef>
              <c:f>Graphs!$K$32:$K$49</c:f>
              <c:numCache>
                <c:formatCode>0.0</c:formatCode>
                <c:ptCount val="18"/>
                <c:pt idx="0" formatCode="General">
                  <c:v>25.333333333333332</c:v>
                </c:pt>
                <c:pt idx="1">
                  <c:v>27.5</c:v>
                </c:pt>
                <c:pt idx="2">
                  <c:v>46.071428571428569</c:v>
                </c:pt>
                <c:pt idx="3">
                  <c:v>65.333333333333329</c:v>
                </c:pt>
                <c:pt idx="4">
                  <c:v>51.674999999999997</c:v>
                </c:pt>
                <c:pt idx="5">
                  <c:v>61.44</c:v>
                </c:pt>
                <c:pt idx="6">
                  <c:v>59.045000000000002</c:v>
                </c:pt>
                <c:pt idx="7">
                  <c:v>46.842105263157897</c:v>
                </c:pt>
                <c:pt idx="8">
                  <c:v>40.3125</c:v>
                </c:pt>
                <c:pt idx="9">
                  <c:v>50.329523809523813</c:v>
                </c:pt>
                <c:pt idx="10">
                  <c:v>59.547500000000014</c:v>
                </c:pt>
                <c:pt idx="11">
                  <c:v>68.253809523809522</c:v>
                </c:pt>
                <c:pt idx="12">
                  <c:v>49.047619047619051</c:v>
                </c:pt>
                <c:pt idx="13">
                  <c:v>46.19047619047619</c:v>
                </c:pt>
                <c:pt idx="14">
                  <c:v>59.761904761904759</c:v>
                </c:pt>
                <c:pt idx="15">
                  <c:v>30.263157894736842</c:v>
                </c:pt>
                <c:pt idx="16">
                  <c:v>40.25</c:v>
                </c:pt>
                <c:pt idx="17">
                  <c:v>71.25</c:v>
                </c:pt>
              </c:numCache>
            </c:numRef>
          </c:val>
          <c:extLst>
            <c:ext xmlns:c16="http://schemas.microsoft.com/office/drawing/2014/chart" uri="{C3380CC4-5D6E-409C-BE32-E72D297353CC}">
              <c16:uniqueId val="{00000002-5832-4610-BB21-E45BC092A526}"/>
            </c:ext>
          </c:extLst>
        </c:ser>
        <c:ser>
          <c:idx val="2"/>
          <c:order val="3"/>
          <c:tx>
            <c:strRef>
              <c:f>Graphs!$L$31</c:f>
              <c:strCache>
                <c:ptCount val="1"/>
                <c:pt idx="0">
                  <c:v>3</c:v>
                </c:pt>
              </c:strCache>
            </c:strRef>
          </c:tx>
          <c:spPr>
            <a:solidFill>
              <a:schemeClr val="accent3"/>
            </a:solidFill>
            <a:ln>
              <a:noFill/>
            </a:ln>
            <a:effectLst/>
            <a:sp3d/>
          </c:spPr>
          <c:invertIfNegative val="0"/>
          <c:cat>
            <c:numRef>
              <c:f>Graphs!$H$33:$H$50</c:f>
              <c:numCache>
                <c:formatCode>mm/yy</c:formatCode>
                <c:ptCount val="18"/>
                <c:pt idx="0">
                  <c:v>41990</c:v>
                </c:pt>
                <c:pt idx="1">
                  <c:v>42262</c:v>
                </c:pt>
                <c:pt idx="2">
                  <c:v>42355</c:v>
                </c:pt>
                <c:pt idx="3">
                  <c:v>42717</c:v>
                </c:pt>
                <c:pt idx="4">
                  <c:v>42788</c:v>
                </c:pt>
                <c:pt idx="5">
                  <c:v>42835</c:v>
                </c:pt>
                <c:pt idx="6">
                  <c:v>42986</c:v>
                </c:pt>
                <c:pt idx="7">
                  <c:v>43084</c:v>
                </c:pt>
                <c:pt idx="8">
                  <c:v>43355</c:v>
                </c:pt>
                <c:pt idx="9">
                  <c:v>43444</c:v>
                </c:pt>
                <c:pt idx="10">
                  <c:v>43529</c:v>
                </c:pt>
                <c:pt idx="11">
                  <c:v>43724</c:v>
                </c:pt>
                <c:pt idx="12">
                  <c:v>43796</c:v>
                </c:pt>
                <c:pt idx="13">
                  <c:v>43893</c:v>
                </c:pt>
                <c:pt idx="14">
                  <c:v>44140</c:v>
                </c:pt>
                <c:pt idx="15">
                  <c:v>44175</c:v>
                </c:pt>
                <c:pt idx="16">
                  <c:v>44266</c:v>
                </c:pt>
              </c:numCache>
            </c:numRef>
          </c:cat>
          <c:val>
            <c:numRef>
              <c:f>Graphs!$L$32:$L$49</c:f>
              <c:numCache>
                <c:formatCode>0.0</c:formatCode>
                <c:ptCount val="18"/>
                <c:pt idx="0" formatCode="General">
                  <c:v>26.307692307692307</c:v>
                </c:pt>
                <c:pt idx="1">
                  <c:v>35.625</c:v>
                </c:pt>
                <c:pt idx="2">
                  <c:v>38.392857142857146</c:v>
                </c:pt>
                <c:pt idx="3">
                  <c:v>42.053571428571431</c:v>
                </c:pt>
                <c:pt idx="4">
                  <c:v>31.690909090909091</c:v>
                </c:pt>
                <c:pt idx="5">
                  <c:v>42.868518518518513</c:v>
                </c:pt>
                <c:pt idx="6">
                  <c:v>52.912500000000001</c:v>
                </c:pt>
                <c:pt idx="7">
                  <c:v>48</c:v>
                </c:pt>
                <c:pt idx="8">
                  <c:v>49.673214285714288</c:v>
                </c:pt>
                <c:pt idx="9">
                  <c:v>49.28964912280702</c:v>
                </c:pt>
                <c:pt idx="10">
                  <c:v>62.269807692307687</c:v>
                </c:pt>
                <c:pt idx="11">
                  <c:v>51.699642857142841</c:v>
                </c:pt>
                <c:pt idx="12">
                  <c:v>50.892857142857146</c:v>
                </c:pt>
                <c:pt idx="13">
                  <c:v>53.571428571428569</c:v>
                </c:pt>
                <c:pt idx="14">
                  <c:v>46.964285714285715</c:v>
                </c:pt>
                <c:pt idx="15">
                  <c:v>48.611111111111114</c:v>
                </c:pt>
                <c:pt idx="16">
                  <c:v>64.907407407407405</c:v>
                </c:pt>
                <c:pt idx="17">
                  <c:v>56.090909090909093</c:v>
                </c:pt>
              </c:numCache>
            </c:numRef>
          </c:val>
          <c:extLst>
            <c:ext xmlns:c16="http://schemas.microsoft.com/office/drawing/2014/chart" uri="{C3380CC4-5D6E-409C-BE32-E72D297353CC}">
              <c16:uniqueId val="{00000003-5832-4610-BB21-E45BC092A526}"/>
            </c:ext>
          </c:extLst>
        </c:ser>
        <c:ser>
          <c:idx val="3"/>
          <c:order val="4"/>
          <c:tx>
            <c:strRef>
              <c:f>Graphs!$M$31</c:f>
              <c:strCache>
                <c:ptCount val="1"/>
                <c:pt idx="0">
                  <c:v>4</c:v>
                </c:pt>
              </c:strCache>
            </c:strRef>
          </c:tx>
          <c:spPr>
            <a:solidFill>
              <a:schemeClr val="accent4"/>
            </a:solidFill>
            <a:ln>
              <a:noFill/>
            </a:ln>
            <a:effectLst/>
            <a:sp3d/>
          </c:spPr>
          <c:invertIfNegative val="0"/>
          <c:cat>
            <c:numRef>
              <c:f>Graphs!$H$33:$H$50</c:f>
              <c:numCache>
                <c:formatCode>mm/yy</c:formatCode>
                <c:ptCount val="18"/>
                <c:pt idx="0">
                  <c:v>41990</c:v>
                </c:pt>
                <c:pt idx="1">
                  <c:v>42262</c:v>
                </c:pt>
                <c:pt idx="2">
                  <c:v>42355</c:v>
                </c:pt>
                <c:pt idx="3">
                  <c:v>42717</c:v>
                </c:pt>
                <c:pt idx="4">
                  <c:v>42788</c:v>
                </c:pt>
                <c:pt idx="5">
                  <c:v>42835</c:v>
                </c:pt>
                <c:pt idx="6">
                  <c:v>42986</c:v>
                </c:pt>
                <c:pt idx="7">
                  <c:v>43084</c:v>
                </c:pt>
                <c:pt idx="8">
                  <c:v>43355</c:v>
                </c:pt>
                <c:pt idx="9">
                  <c:v>43444</c:v>
                </c:pt>
                <c:pt idx="10">
                  <c:v>43529</c:v>
                </c:pt>
                <c:pt idx="11">
                  <c:v>43724</c:v>
                </c:pt>
                <c:pt idx="12">
                  <c:v>43796</c:v>
                </c:pt>
                <c:pt idx="13">
                  <c:v>43893</c:v>
                </c:pt>
                <c:pt idx="14">
                  <c:v>44140</c:v>
                </c:pt>
                <c:pt idx="15">
                  <c:v>44175</c:v>
                </c:pt>
                <c:pt idx="16">
                  <c:v>44266</c:v>
                </c:pt>
              </c:numCache>
            </c:numRef>
          </c:cat>
          <c:val>
            <c:numRef>
              <c:f>Graphs!$M$32:$M$49</c:f>
              <c:numCache>
                <c:formatCode>0.0</c:formatCode>
                <c:ptCount val="18"/>
                <c:pt idx="0" formatCode="General">
                  <c:v>39.622641509433961</c:v>
                </c:pt>
                <c:pt idx="1">
                  <c:v>52.89473684210526</c:v>
                </c:pt>
                <c:pt idx="2">
                  <c:v>62.586206896551722</c:v>
                </c:pt>
                <c:pt idx="3">
                  <c:v>48.5</c:v>
                </c:pt>
                <c:pt idx="4">
                  <c:v>53.071428571428577</c:v>
                </c:pt>
                <c:pt idx="5">
                  <c:v>60.311111111111117</c:v>
                </c:pt>
                <c:pt idx="6">
                  <c:v>74.229629629629628</c:v>
                </c:pt>
                <c:pt idx="7">
                  <c:v>73.503571428571419</c:v>
                </c:pt>
                <c:pt idx="8">
                  <c:v>62.488888888888887</c:v>
                </c:pt>
                <c:pt idx="9">
                  <c:v>72.75</c:v>
                </c:pt>
                <c:pt idx="10">
                  <c:v>73.214583333333323</c:v>
                </c:pt>
                <c:pt idx="11">
                  <c:v>52.872068965517244</c:v>
                </c:pt>
                <c:pt idx="12">
                  <c:v>70.851851851851848</c:v>
                </c:pt>
                <c:pt idx="13">
                  <c:v>67.407407407407405</c:v>
                </c:pt>
                <c:pt idx="14">
                  <c:v>54.074074074074076</c:v>
                </c:pt>
                <c:pt idx="15">
                  <c:v>84.230769230769226</c:v>
                </c:pt>
                <c:pt idx="16">
                  <c:v>70.625</c:v>
                </c:pt>
                <c:pt idx="17">
                  <c:v>57.962962962962962</c:v>
                </c:pt>
              </c:numCache>
            </c:numRef>
          </c:val>
          <c:extLst>
            <c:ext xmlns:c16="http://schemas.microsoft.com/office/drawing/2014/chart" uri="{C3380CC4-5D6E-409C-BE32-E72D297353CC}">
              <c16:uniqueId val="{00000004-5832-4610-BB21-E45BC092A526}"/>
            </c:ext>
          </c:extLst>
        </c:ser>
        <c:dLbls>
          <c:showLegendKey val="0"/>
          <c:showVal val="0"/>
          <c:showCatName val="0"/>
          <c:showSerName val="0"/>
          <c:showPercent val="0"/>
          <c:showBubbleSize val="0"/>
        </c:dLbls>
        <c:gapWidth val="0"/>
        <c:gapDepth val="100"/>
        <c:shape val="box"/>
        <c:axId val="927740720"/>
        <c:axId val="927738752"/>
        <c:axId val="861109936"/>
      </c:bar3DChart>
      <c:dateAx>
        <c:axId val="927740720"/>
        <c:scaling>
          <c:orientation val="minMax"/>
        </c:scaling>
        <c:delete val="0"/>
        <c:axPos val="b"/>
        <c:numFmt formatCode="mm/yy" sourceLinked="0"/>
        <c:majorTickMark val="none"/>
        <c:minorTickMark val="none"/>
        <c:tickLblPos val="nextTo"/>
        <c:spPr>
          <a:noFill/>
          <a:ln>
            <a:noFill/>
          </a:ln>
          <a:effectLst/>
        </c:spPr>
        <c:txPr>
          <a:bodyPr rot="-4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38752"/>
        <c:crosses val="autoZero"/>
        <c:auto val="1"/>
        <c:lblOffset val="100"/>
        <c:baseTimeUnit val="months"/>
        <c:majorUnit val="3"/>
        <c:majorTimeUnit val="months"/>
      </c:dateAx>
      <c:valAx>
        <c:axId val="927738752"/>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FPC </a:t>
                </a:r>
              </a:p>
            </c:rich>
          </c:tx>
          <c:layout>
            <c:manualLayout>
              <c:xMode val="edge"/>
              <c:yMode val="edge"/>
              <c:x val="1.6906179410500516E-2"/>
              <c:y val="0.4453543307086613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40720"/>
        <c:crosses val="autoZero"/>
        <c:crossBetween val="between"/>
        <c:majorUnit val="20"/>
        <c:minorUnit val="5"/>
      </c:valAx>
      <c:serAx>
        <c:axId val="861109936"/>
        <c:scaling>
          <c:orientation val="minMax"/>
        </c:scaling>
        <c:delete val="1"/>
        <c:axPos val="b"/>
        <c:majorTickMark val="none"/>
        <c:minorTickMark val="none"/>
        <c:tickLblPos val="nextTo"/>
        <c:crossAx val="927738752"/>
        <c:crosses val="autoZero"/>
        <c:tickLblSkip val="1"/>
      </c:serAx>
      <c:spPr>
        <a:noFill/>
        <a:ln>
          <a:noFill/>
        </a:ln>
        <a:effectLst/>
      </c:spPr>
    </c:plotArea>
    <c:legend>
      <c:legendPos val="b"/>
      <c:layout>
        <c:manualLayout>
          <c:xMode val="edge"/>
          <c:yMode val="edge"/>
          <c:x val="0.7161266121902653"/>
          <c:y val="2.3627395632149755E-2"/>
          <c:w val="0.26602293456042092"/>
          <c:h val="9.740327913556259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Cross</a:t>
            </a:r>
            <a:r>
              <a:rPr lang="en-AU" baseline="0">
                <a:latin typeface="Times New Roman" panose="02020603050405020304" pitchFamily="18" charset="0"/>
                <a:cs typeface="Times New Roman" panose="02020603050405020304" pitchFamily="18" charset="0"/>
              </a:rPr>
              <a:t>-section of Darcy's Track</a:t>
            </a:r>
            <a:endParaRPr lang="en-A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2161223749470343E-2"/>
          <c:y val="6.1854768153980749E-2"/>
          <c:w val="0.90776847501330793"/>
          <c:h val="0.81697000989630397"/>
        </c:manualLayout>
      </c:layout>
      <c:scatterChart>
        <c:scatterStyle val="lineMarker"/>
        <c:varyColors val="0"/>
        <c:ser>
          <c:idx val="0"/>
          <c:order val="0"/>
          <c:tx>
            <c:strRef>
              <c:f>'Darcys Track'!$B$3</c:f>
              <c:strCache>
                <c:ptCount val="1"/>
                <c:pt idx="0">
                  <c:v>Elevation (m AHD)</c:v>
                </c:pt>
              </c:strCache>
            </c:strRef>
          </c:tx>
          <c:spPr>
            <a:ln w="19050" cap="rnd">
              <a:solidFill>
                <a:schemeClr val="accent1"/>
              </a:solidFill>
              <a:round/>
            </a:ln>
            <a:effectLst/>
          </c:spPr>
          <c:marker>
            <c:symbol val="none"/>
          </c:marker>
          <c:xVal>
            <c:numRef>
              <c:f>'Darcys Track'!$A$4:$A$200</c:f>
              <c:numCache>
                <c:formatCode>General</c:formatCode>
                <c:ptCount val="197"/>
                <c:pt idx="0">
                  <c:v>0</c:v>
                </c:pt>
                <c:pt idx="1">
                  <c:v>0.89362402872594904</c:v>
                </c:pt>
                <c:pt idx="2">
                  <c:v>1.34244035561658</c:v>
                </c:pt>
                <c:pt idx="3">
                  <c:v>2.2360643843425301</c:v>
                </c:pt>
                <c:pt idx="4">
                  <c:v>3.1296884130684801</c:v>
                </c:pt>
                <c:pt idx="5">
                  <c:v>3.5785047399591199</c:v>
                </c:pt>
                <c:pt idx="6">
                  <c:v>4.4721287686850699</c:v>
                </c:pt>
                <c:pt idx="7">
                  <c:v>5.3657527974110204</c:v>
                </c:pt>
                <c:pt idx="8">
                  <c:v>5.8145691243016504</c:v>
                </c:pt>
                <c:pt idx="9">
                  <c:v>6.7081931530276</c:v>
                </c:pt>
                <c:pt idx="10">
                  <c:v>7.6018171817535496</c:v>
                </c:pt>
                <c:pt idx="11">
                  <c:v>8.0506335086441894</c:v>
                </c:pt>
                <c:pt idx="12">
                  <c:v>8.9442575373701398</c:v>
                </c:pt>
                <c:pt idx="13">
                  <c:v>9.8378815660960903</c:v>
                </c:pt>
                <c:pt idx="14">
                  <c:v>10.2866978929867</c:v>
                </c:pt>
                <c:pt idx="15">
                  <c:v>11.180321921712601</c:v>
                </c:pt>
                <c:pt idx="16">
                  <c:v>12.073945950438601</c:v>
                </c:pt>
                <c:pt idx="17">
                  <c:v>12.5227622773292</c:v>
                </c:pt>
                <c:pt idx="18">
                  <c:v>13.4163863060552</c:v>
                </c:pt>
                <c:pt idx="19">
                  <c:v>14.310010334781101</c:v>
                </c:pt>
                <c:pt idx="20">
                  <c:v>14.758826661671799</c:v>
                </c:pt>
                <c:pt idx="21">
                  <c:v>15.6524506903977</c:v>
                </c:pt>
                <c:pt idx="22">
                  <c:v>16.546074719123698</c:v>
                </c:pt>
                <c:pt idx="23">
                  <c:v>16.994891046014299</c:v>
                </c:pt>
                <c:pt idx="24">
                  <c:v>17.888515074740202</c:v>
                </c:pt>
                <c:pt idx="25">
                  <c:v>18.7821391034662</c:v>
                </c:pt>
                <c:pt idx="26">
                  <c:v>19.230955430356801</c:v>
                </c:pt>
                <c:pt idx="27">
                  <c:v>20.124579459082799</c:v>
                </c:pt>
                <c:pt idx="28">
                  <c:v>21.018203487808702</c:v>
                </c:pt>
                <c:pt idx="29">
                  <c:v>21.467019814699398</c:v>
                </c:pt>
                <c:pt idx="30">
                  <c:v>22.360643843425301</c:v>
                </c:pt>
                <c:pt idx="31">
                  <c:v>23.254267872151299</c:v>
                </c:pt>
                <c:pt idx="32">
                  <c:v>23.7030841990419</c:v>
                </c:pt>
                <c:pt idx="33">
                  <c:v>24.596708227767898</c:v>
                </c:pt>
                <c:pt idx="34">
                  <c:v>25.490332256493801</c:v>
                </c:pt>
                <c:pt idx="35">
                  <c:v>25.939148583384402</c:v>
                </c:pt>
                <c:pt idx="36">
                  <c:v>26.8327726121104</c:v>
                </c:pt>
                <c:pt idx="37">
                  <c:v>27.726396640836299</c:v>
                </c:pt>
                <c:pt idx="38">
                  <c:v>28.175212967726999</c:v>
                </c:pt>
                <c:pt idx="39">
                  <c:v>29.068836996452902</c:v>
                </c:pt>
                <c:pt idx="40">
                  <c:v>30.411277352069501</c:v>
                </c:pt>
                <c:pt idx="41">
                  <c:v>31.304901380795499</c:v>
                </c:pt>
                <c:pt idx="42">
                  <c:v>32.647341736412002</c:v>
                </c:pt>
                <c:pt idx="43">
                  <c:v>33.540965765137997</c:v>
                </c:pt>
                <c:pt idx="44">
                  <c:v>34.8834061207546</c:v>
                </c:pt>
                <c:pt idx="45">
                  <c:v>35.777030149480503</c:v>
                </c:pt>
                <c:pt idx="46">
                  <c:v>37.119470505097098</c:v>
                </c:pt>
                <c:pt idx="47">
                  <c:v>38.0130945338231</c:v>
                </c:pt>
                <c:pt idx="48">
                  <c:v>39.355534889439703</c:v>
                </c:pt>
                <c:pt idx="49">
                  <c:v>40.249158918165598</c:v>
                </c:pt>
                <c:pt idx="50">
                  <c:v>41.591599273782201</c:v>
                </c:pt>
                <c:pt idx="51">
                  <c:v>42.485223302508103</c:v>
                </c:pt>
                <c:pt idx="52">
                  <c:v>43.827663658124699</c:v>
                </c:pt>
                <c:pt idx="53">
                  <c:v>44.721287686850701</c:v>
                </c:pt>
                <c:pt idx="54">
                  <c:v>46.063728042467297</c:v>
                </c:pt>
                <c:pt idx="55">
                  <c:v>46.957352071193199</c:v>
                </c:pt>
                <c:pt idx="56">
                  <c:v>48.299792426809802</c:v>
                </c:pt>
                <c:pt idx="57">
                  <c:v>49.193416455535797</c:v>
                </c:pt>
                <c:pt idx="58">
                  <c:v>50.5358568111523</c:v>
                </c:pt>
                <c:pt idx="59">
                  <c:v>51.429480839878302</c:v>
                </c:pt>
                <c:pt idx="60">
                  <c:v>52.771921195494897</c:v>
                </c:pt>
                <c:pt idx="61">
                  <c:v>53.6655452242208</c:v>
                </c:pt>
                <c:pt idx="62">
                  <c:v>55.007985579837403</c:v>
                </c:pt>
                <c:pt idx="63">
                  <c:v>55.901609608563398</c:v>
                </c:pt>
                <c:pt idx="64">
                  <c:v>57.244049964179901</c:v>
                </c:pt>
                <c:pt idx="65">
                  <c:v>58.137673992905903</c:v>
                </c:pt>
                <c:pt idx="66">
                  <c:v>59.480114348522498</c:v>
                </c:pt>
                <c:pt idx="67">
                  <c:v>60.373738377248401</c:v>
                </c:pt>
                <c:pt idx="68">
                  <c:v>61.716178732865004</c:v>
                </c:pt>
                <c:pt idx="69">
                  <c:v>62.609802761590998</c:v>
                </c:pt>
                <c:pt idx="70">
                  <c:v>63.952243117207601</c:v>
                </c:pt>
                <c:pt idx="71">
                  <c:v>64.845867145933497</c:v>
                </c:pt>
                <c:pt idx="72">
                  <c:v>66.188307501550099</c:v>
                </c:pt>
                <c:pt idx="73">
                  <c:v>67.081931530275995</c:v>
                </c:pt>
                <c:pt idx="74">
                  <c:v>68.424371885892597</c:v>
                </c:pt>
                <c:pt idx="75">
                  <c:v>69.317995914618606</c:v>
                </c:pt>
                <c:pt idx="76">
                  <c:v>70.660436270235195</c:v>
                </c:pt>
                <c:pt idx="77">
                  <c:v>71.554060298961105</c:v>
                </c:pt>
                <c:pt idx="78">
                  <c:v>72.896500654577693</c:v>
                </c:pt>
                <c:pt idx="79">
                  <c:v>73.790124683303702</c:v>
                </c:pt>
                <c:pt idx="80">
                  <c:v>75.132565038920205</c:v>
                </c:pt>
                <c:pt idx="81">
                  <c:v>76.0261890676462</c:v>
                </c:pt>
                <c:pt idx="82">
                  <c:v>77.368629423262803</c:v>
                </c:pt>
                <c:pt idx="83">
                  <c:v>78.262253451988698</c:v>
                </c:pt>
                <c:pt idx="84">
                  <c:v>79.604693807605301</c:v>
                </c:pt>
                <c:pt idx="85">
                  <c:v>80.498317836331296</c:v>
                </c:pt>
                <c:pt idx="86">
                  <c:v>81.840758191947799</c:v>
                </c:pt>
                <c:pt idx="87">
                  <c:v>82.734382220673794</c:v>
                </c:pt>
                <c:pt idx="88">
                  <c:v>84.076822576290397</c:v>
                </c:pt>
                <c:pt idx="89">
                  <c:v>84.970446605016306</c:v>
                </c:pt>
                <c:pt idx="90">
                  <c:v>86.312886960632895</c:v>
                </c:pt>
                <c:pt idx="91">
                  <c:v>87.206510989358904</c:v>
                </c:pt>
                <c:pt idx="92">
                  <c:v>88.548951344975407</c:v>
                </c:pt>
                <c:pt idx="93">
                  <c:v>89.442575373701402</c:v>
                </c:pt>
                <c:pt idx="94">
                  <c:v>90.785015729318005</c:v>
                </c:pt>
                <c:pt idx="95">
                  <c:v>91.6786397580439</c:v>
                </c:pt>
                <c:pt idx="96">
                  <c:v>93.021080113660503</c:v>
                </c:pt>
                <c:pt idx="97">
                  <c:v>93.914704142386498</c:v>
                </c:pt>
                <c:pt idx="98">
                  <c:v>95.2571444980031</c:v>
                </c:pt>
                <c:pt idx="99">
                  <c:v>96.150768526728996</c:v>
                </c:pt>
                <c:pt idx="100">
                  <c:v>97.493208882345598</c:v>
                </c:pt>
                <c:pt idx="101">
                  <c:v>98.386832911071593</c:v>
                </c:pt>
                <c:pt idx="102">
                  <c:v>99.729273266688097</c:v>
                </c:pt>
                <c:pt idx="103">
                  <c:v>100.62289729541401</c:v>
                </c:pt>
                <c:pt idx="104">
                  <c:v>101.96533765103</c:v>
                </c:pt>
                <c:pt idx="105">
                  <c:v>102.85896167975601</c:v>
                </c:pt>
                <c:pt idx="106">
                  <c:v>104.20140203537299</c:v>
                </c:pt>
                <c:pt idx="107">
                  <c:v>105.095026064099</c:v>
                </c:pt>
                <c:pt idx="108">
                  <c:v>106.43746641971499</c:v>
                </c:pt>
                <c:pt idx="109">
                  <c:v>107.331090448441</c:v>
                </c:pt>
                <c:pt idx="110">
                  <c:v>108.673530804058</c:v>
                </c:pt>
                <c:pt idx="111">
                  <c:v>109.567154832784</c:v>
                </c:pt>
                <c:pt idx="112">
                  <c:v>110.9095951884</c:v>
                </c:pt>
                <c:pt idx="113">
                  <c:v>111.803219217126</c:v>
                </c:pt>
                <c:pt idx="114">
                  <c:v>113.145659572743</c:v>
                </c:pt>
                <c:pt idx="115">
                  <c:v>114.03928360146899</c:v>
                </c:pt>
                <c:pt idx="116">
                  <c:v>115.381723957085</c:v>
                </c:pt>
                <c:pt idx="117">
                  <c:v>116.275347985811</c:v>
                </c:pt>
                <c:pt idx="118">
                  <c:v>117.617788341428</c:v>
                </c:pt>
                <c:pt idx="119">
                  <c:v>118.51141237015401</c:v>
                </c:pt>
                <c:pt idx="120">
                  <c:v>119.85385272577101</c:v>
                </c:pt>
                <c:pt idx="121">
                  <c:v>120.74747675449601</c:v>
                </c:pt>
                <c:pt idx="122">
                  <c:v>121.49805187104501</c:v>
                </c:pt>
                <c:pt idx="123">
                  <c:v>122.08882008503301</c:v>
                </c:pt>
                <c:pt idx="124">
                  <c:v>122.984576917892</c:v>
                </c:pt>
                <c:pt idx="125">
                  <c:v>124.32487812017401</c:v>
                </c:pt>
                <c:pt idx="126">
                  <c:v>125.220634953033</c:v>
                </c:pt>
                <c:pt idx="127">
                  <c:v>126.560936155316</c:v>
                </c:pt>
                <c:pt idx="128">
                  <c:v>127.45669298817501</c:v>
                </c:pt>
                <c:pt idx="129">
                  <c:v>128.79699419045801</c:v>
                </c:pt>
                <c:pt idx="130">
                  <c:v>129.69275102331699</c:v>
                </c:pt>
                <c:pt idx="131">
                  <c:v>131.03305222559999</c:v>
                </c:pt>
                <c:pt idx="132">
                  <c:v>131.928809058459</c:v>
                </c:pt>
                <c:pt idx="133">
                  <c:v>133.269110260742</c:v>
                </c:pt>
                <c:pt idx="134">
                  <c:v>134.164867093601</c:v>
                </c:pt>
                <c:pt idx="135">
                  <c:v>135.505168295884</c:v>
                </c:pt>
                <c:pt idx="136">
                  <c:v>136.40092512874199</c:v>
                </c:pt>
                <c:pt idx="137">
                  <c:v>137.74122633102499</c:v>
                </c:pt>
                <c:pt idx="138">
                  <c:v>138.636983163884</c:v>
                </c:pt>
                <c:pt idx="139">
                  <c:v>139.977284366167</c:v>
                </c:pt>
                <c:pt idx="140">
                  <c:v>140.87304119902601</c:v>
                </c:pt>
                <c:pt idx="141">
                  <c:v>142.21334240130901</c:v>
                </c:pt>
                <c:pt idx="142">
                  <c:v>143.10909923416801</c:v>
                </c:pt>
                <c:pt idx="143">
                  <c:v>144.44940043645099</c:v>
                </c:pt>
                <c:pt idx="144">
                  <c:v>145.34515726930999</c:v>
                </c:pt>
                <c:pt idx="145">
                  <c:v>146.68545847159299</c:v>
                </c:pt>
                <c:pt idx="146">
                  <c:v>147.58121530445101</c:v>
                </c:pt>
                <c:pt idx="147">
                  <c:v>148.92151650673401</c:v>
                </c:pt>
                <c:pt idx="148">
                  <c:v>149.81727333959299</c:v>
                </c:pt>
                <c:pt idx="149">
                  <c:v>151.15757454187599</c:v>
                </c:pt>
                <c:pt idx="150">
                  <c:v>152.053331374735</c:v>
                </c:pt>
                <c:pt idx="151">
                  <c:v>153.393632577018</c:v>
                </c:pt>
                <c:pt idx="152">
                  <c:v>154.289389409877</c:v>
                </c:pt>
                <c:pt idx="153">
                  <c:v>155.62969061216</c:v>
                </c:pt>
                <c:pt idx="154">
                  <c:v>156.52544744501901</c:v>
                </c:pt>
                <c:pt idx="155">
                  <c:v>157.86574864730201</c:v>
                </c:pt>
                <c:pt idx="156">
                  <c:v>158.76150548016099</c:v>
                </c:pt>
                <c:pt idx="157">
                  <c:v>160.101806682443</c:v>
                </c:pt>
                <c:pt idx="158">
                  <c:v>160.99756351530201</c:v>
                </c:pt>
                <c:pt idx="159">
                  <c:v>162.33786471758501</c:v>
                </c:pt>
                <c:pt idx="160">
                  <c:v>163.23362155044401</c:v>
                </c:pt>
                <c:pt idx="161">
                  <c:v>164.57392275272699</c:v>
                </c:pt>
                <c:pt idx="162">
                  <c:v>165.46967958558599</c:v>
                </c:pt>
                <c:pt idx="163">
                  <c:v>166.80998078786899</c:v>
                </c:pt>
                <c:pt idx="164">
                  <c:v>167.705737620728</c:v>
                </c:pt>
                <c:pt idx="165">
                  <c:v>169.046038823011</c:v>
                </c:pt>
                <c:pt idx="166">
                  <c:v>169.94179565587001</c:v>
                </c:pt>
                <c:pt idx="167">
                  <c:v>171.28209685815301</c:v>
                </c:pt>
                <c:pt idx="168">
                  <c:v>172.17785369101099</c:v>
                </c:pt>
                <c:pt idx="169">
                  <c:v>173.518154893294</c:v>
                </c:pt>
                <c:pt idx="170">
                  <c:v>174.413911726153</c:v>
                </c:pt>
                <c:pt idx="171">
                  <c:v>175.754212928436</c:v>
                </c:pt>
                <c:pt idx="172">
                  <c:v>176.64996976129501</c:v>
                </c:pt>
                <c:pt idx="173">
                  <c:v>177.54572659415399</c:v>
                </c:pt>
                <c:pt idx="174">
                  <c:v>177.99027096357801</c:v>
                </c:pt>
                <c:pt idx="175">
                  <c:v>178.88602779643699</c:v>
                </c:pt>
                <c:pt idx="176">
                  <c:v>179.781784629296</c:v>
                </c:pt>
                <c:pt idx="177">
                  <c:v>180.22632899871999</c:v>
                </c:pt>
                <c:pt idx="178">
                  <c:v>181.122085831579</c:v>
                </c:pt>
                <c:pt idx="179">
                  <c:v>182.01784266443801</c:v>
                </c:pt>
                <c:pt idx="180">
                  <c:v>182.462387033862</c:v>
                </c:pt>
                <c:pt idx="181">
                  <c:v>183.35814386672001</c:v>
                </c:pt>
                <c:pt idx="182">
                  <c:v>184.25390069957899</c:v>
                </c:pt>
                <c:pt idx="183">
                  <c:v>184.69844506900299</c:v>
                </c:pt>
                <c:pt idx="184">
                  <c:v>185.59420190186199</c:v>
                </c:pt>
                <c:pt idx="185">
                  <c:v>186.489958734721</c:v>
                </c:pt>
                <c:pt idx="186">
                  <c:v>186.93450310414499</c:v>
                </c:pt>
                <c:pt idx="187">
                  <c:v>187.830259937004</c:v>
                </c:pt>
                <c:pt idx="188">
                  <c:v>188.72601676986301</c:v>
                </c:pt>
                <c:pt idx="189">
                  <c:v>189.170561139287</c:v>
                </c:pt>
                <c:pt idx="190">
                  <c:v>190.06631797214601</c:v>
                </c:pt>
                <c:pt idx="191">
                  <c:v>190.96207480500499</c:v>
                </c:pt>
                <c:pt idx="192">
                  <c:v>191.40661917442901</c:v>
                </c:pt>
                <c:pt idx="193">
                  <c:v>192.30237600728799</c:v>
                </c:pt>
                <c:pt idx="194">
                  <c:v>193.198132840147</c:v>
                </c:pt>
                <c:pt idx="195">
                  <c:v>193.64267720957099</c:v>
                </c:pt>
                <c:pt idx="196">
                  <c:v>194.53843404243</c:v>
                </c:pt>
              </c:numCache>
            </c:numRef>
          </c:xVal>
          <c:yVal>
            <c:numRef>
              <c:f>'Darcys Track'!$B$4:$B$200</c:f>
              <c:numCache>
                <c:formatCode>General</c:formatCode>
                <c:ptCount val="197"/>
                <c:pt idx="0">
                  <c:v>111.8199997</c:v>
                </c:pt>
                <c:pt idx="1">
                  <c:v>111.9499969</c:v>
                </c:pt>
                <c:pt idx="2">
                  <c:v>111.7799988</c:v>
                </c:pt>
                <c:pt idx="3">
                  <c:v>111.83000180000001</c:v>
                </c:pt>
                <c:pt idx="4">
                  <c:v>111.8399963</c:v>
                </c:pt>
                <c:pt idx="5">
                  <c:v>111.8499985</c:v>
                </c:pt>
                <c:pt idx="6">
                  <c:v>111.8000031</c:v>
                </c:pt>
                <c:pt idx="7">
                  <c:v>111.91999819999999</c:v>
                </c:pt>
                <c:pt idx="8">
                  <c:v>111.9400024</c:v>
                </c:pt>
                <c:pt idx="9">
                  <c:v>111.9100037</c:v>
                </c:pt>
                <c:pt idx="10">
                  <c:v>111.8499985</c:v>
                </c:pt>
                <c:pt idx="11">
                  <c:v>111.9300003</c:v>
                </c:pt>
                <c:pt idx="12">
                  <c:v>111.98999790000001</c:v>
                </c:pt>
                <c:pt idx="13">
                  <c:v>112.0999985</c:v>
                </c:pt>
                <c:pt idx="14">
                  <c:v>111.98999790000001</c:v>
                </c:pt>
                <c:pt idx="15">
                  <c:v>111.98999790000001</c:v>
                </c:pt>
                <c:pt idx="16">
                  <c:v>112.11000060000001</c:v>
                </c:pt>
                <c:pt idx="17">
                  <c:v>112.1299973</c:v>
                </c:pt>
                <c:pt idx="18">
                  <c:v>112.11000060000001</c:v>
                </c:pt>
                <c:pt idx="19">
                  <c:v>112.0599976</c:v>
                </c:pt>
                <c:pt idx="20">
                  <c:v>112.0999985</c:v>
                </c:pt>
                <c:pt idx="21">
                  <c:v>112.0699997</c:v>
                </c:pt>
                <c:pt idx="22">
                  <c:v>112.0899963</c:v>
                </c:pt>
                <c:pt idx="23">
                  <c:v>112.1500015</c:v>
                </c:pt>
                <c:pt idx="24">
                  <c:v>112.13999939999999</c:v>
                </c:pt>
                <c:pt idx="25">
                  <c:v>112.1299973</c:v>
                </c:pt>
                <c:pt idx="26">
                  <c:v>112.1299973</c:v>
                </c:pt>
                <c:pt idx="27">
                  <c:v>112.11000060000001</c:v>
                </c:pt>
                <c:pt idx="28">
                  <c:v>112.1299973</c:v>
                </c:pt>
                <c:pt idx="29">
                  <c:v>112.1500015</c:v>
                </c:pt>
                <c:pt idx="30">
                  <c:v>112.11000060000001</c:v>
                </c:pt>
                <c:pt idx="31">
                  <c:v>112.13999939999999</c:v>
                </c:pt>
                <c:pt idx="32">
                  <c:v>112.0500031</c:v>
                </c:pt>
                <c:pt idx="33">
                  <c:v>112.11000060000001</c:v>
                </c:pt>
                <c:pt idx="34">
                  <c:v>112.0599976</c:v>
                </c:pt>
                <c:pt idx="35">
                  <c:v>111.9800034</c:v>
                </c:pt>
                <c:pt idx="36">
                  <c:v>112.0699997</c:v>
                </c:pt>
                <c:pt idx="37">
                  <c:v>112.0999985</c:v>
                </c:pt>
                <c:pt idx="38">
                  <c:v>111.98999790000001</c:v>
                </c:pt>
                <c:pt idx="39">
                  <c:v>112.0299988</c:v>
                </c:pt>
                <c:pt idx="40">
                  <c:v>112</c:v>
                </c:pt>
                <c:pt idx="41">
                  <c:v>111.9000015</c:v>
                </c:pt>
                <c:pt idx="42">
                  <c:v>111.76000209999999</c:v>
                </c:pt>
                <c:pt idx="43">
                  <c:v>111.7900009</c:v>
                </c:pt>
                <c:pt idx="44">
                  <c:v>111.88999939999999</c:v>
                </c:pt>
                <c:pt idx="45">
                  <c:v>111.8700027</c:v>
                </c:pt>
                <c:pt idx="46">
                  <c:v>111.86000060000001</c:v>
                </c:pt>
                <c:pt idx="47">
                  <c:v>111.8799973</c:v>
                </c:pt>
                <c:pt idx="48">
                  <c:v>111.8499985</c:v>
                </c:pt>
                <c:pt idx="49">
                  <c:v>111.7799988</c:v>
                </c:pt>
                <c:pt idx="50">
                  <c:v>111.33000180000001</c:v>
                </c:pt>
                <c:pt idx="51">
                  <c:v>110.51000209999999</c:v>
                </c:pt>
                <c:pt idx="52">
                  <c:v>109.6800003</c:v>
                </c:pt>
                <c:pt idx="53">
                  <c:v>109.25</c:v>
                </c:pt>
                <c:pt idx="54">
                  <c:v>108.23999790000001</c:v>
                </c:pt>
                <c:pt idx="55">
                  <c:v>107.9499969</c:v>
                </c:pt>
                <c:pt idx="56">
                  <c:v>107.7099991</c:v>
                </c:pt>
                <c:pt idx="57">
                  <c:v>107.5199966</c:v>
                </c:pt>
                <c:pt idx="58">
                  <c:v>107.1600037</c:v>
                </c:pt>
                <c:pt idx="59">
                  <c:v>106.5999985</c:v>
                </c:pt>
                <c:pt idx="60">
                  <c:v>105.0400009</c:v>
                </c:pt>
                <c:pt idx="61">
                  <c:v>104.28237919999999</c:v>
                </c:pt>
                <c:pt idx="62">
                  <c:v>103.95825960000001</c:v>
                </c:pt>
                <c:pt idx="63">
                  <c:v>103.6960526</c:v>
                </c:pt>
                <c:pt idx="64">
                  <c:v>103.371933</c:v>
                </c:pt>
                <c:pt idx="65">
                  <c:v>103.10972599999999</c:v>
                </c:pt>
                <c:pt idx="66">
                  <c:v>102.78560640000001</c:v>
                </c:pt>
                <c:pt idx="67">
                  <c:v>102.662384</c:v>
                </c:pt>
                <c:pt idx="68">
                  <c:v>102.54090119999999</c:v>
                </c:pt>
                <c:pt idx="69">
                  <c:v>102.46979519999999</c:v>
                </c:pt>
                <c:pt idx="70">
                  <c:v>102.3483124</c:v>
                </c:pt>
                <c:pt idx="71">
                  <c:v>102.2809067</c:v>
                </c:pt>
                <c:pt idx="72">
                  <c:v>102.2512589</c:v>
                </c:pt>
                <c:pt idx="73">
                  <c:v>102.3434448</c:v>
                </c:pt>
                <c:pt idx="74">
                  <c:v>102.5073318</c:v>
                </c:pt>
                <c:pt idx="75">
                  <c:v>102.5995102</c:v>
                </c:pt>
                <c:pt idx="76">
                  <c:v>102.7630463</c:v>
                </c:pt>
                <c:pt idx="77">
                  <c:v>102.8000031</c:v>
                </c:pt>
                <c:pt idx="78">
                  <c:v>102.8000031</c:v>
                </c:pt>
                <c:pt idx="79">
                  <c:v>102.8000031</c:v>
                </c:pt>
                <c:pt idx="80">
                  <c:v>102.8000031</c:v>
                </c:pt>
                <c:pt idx="81">
                  <c:v>102.8000031</c:v>
                </c:pt>
                <c:pt idx="82">
                  <c:v>102.8000031</c:v>
                </c:pt>
                <c:pt idx="83">
                  <c:v>102.8245087</c:v>
                </c:pt>
                <c:pt idx="84">
                  <c:v>102.9422836</c:v>
                </c:pt>
                <c:pt idx="85">
                  <c:v>103.013443</c:v>
                </c:pt>
                <c:pt idx="86">
                  <c:v>103.1203232</c:v>
                </c:pt>
                <c:pt idx="87">
                  <c:v>103.1326523</c:v>
                </c:pt>
                <c:pt idx="88">
                  <c:v>103.1965714</c:v>
                </c:pt>
                <c:pt idx="89">
                  <c:v>103.2088928</c:v>
                </c:pt>
                <c:pt idx="90">
                  <c:v>103.27281189999999</c:v>
                </c:pt>
                <c:pt idx="91">
                  <c:v>103.285141</c:v>
                </c:pt>
                <c:pt idx="92">
                  <c:v>103.3490601</c:v>
                </c:pt>
                <c:pt idx="93">
                  <c:v>103.36138149999999</c:v>
                </c:pt>
                <c:pt idx="94">
                  <c:v>103.7799988</c:v>
                </c:pt>
                <c:pt idx="95">
                  <c:v>103.9599991</c:v>
                </c:pt>
                <c:pt idx="96">
                  <c:v>104.3000031</c:v>
                </c:pt>
                <c:pt idx="97">
                  <c:v>104.5199966</c:v>
                </c:pt>
                <c:pt idx="98">
                  <c:v>105.0299988</c:v>
                </c:pt>
                <c:pt idx="99">
                  <c:v>105.1500015</c:v>
                </c:pt>
                <c:pt idx="100">
                  <c:v>105.1600037</c:v>
                </c:pt>
                <c:pt idx="101">
                  <c:v>105.13999939999999</c:v>
                </c:pt>
                <c:pt idx="102">
                  <c:v>105.0699997</c:v>
                </c:pt>
                <c:pt idx="103">
                  <c:v>105</c:v>
                </c:pt>
                <c:pt idx="104">
                  <c:v>104.9700012</c:v>
                </c:pt>
                <c:pt idx="105">
                  <c:v>105.0199966</c:v>
                </c:pt>
                <c:pt idx="106">
                  <c:v>105.0699997</c:v>
                </c:pt>
                <c:pt idx="107">
                  <c:v>105.11000060000001</c:v>
                </c:pt>
                <c:pt idx="108">
                  <c:v>105.48999790000001</c:v>
                </c:pt>
                <c:pt idx="109">
                  <c:v>105.66999819999999</c:v>
                </c:pt>
                <c:pt idx="110">
                  <c:v>106.0999985</c:v>
                </c:pt>
                <c:pt idx="111">
                  <c:v>106.13999939999999</c:v>
                </c:pt>
                <c:pt idx="112">
                  <c:v>106.13999939999999</c:v>
                </c:pt>
                <c:pt idx="113">
                  <c:v>106.1800003</c:v>
                </c:pt>
                <c:pt idx="114">
                  <c:v>106.1900024</c:v>
                </c:pt>
                <c:pt idx="115">
                  <c:v>106.1800003</c:v>
                </c:pt>
                <c:pt idx="116">
                  <c:v>106.3099976</c:v>
                </c:pt>
                <c:pt idx="117">
                  <c:v>106.3199997</c:v>
                </c:pt>
                <c:pt idx="118">
                  <c:v>106.3700027</c:v>
                </c:pt>
                <c:pt idx="119">
                  <c:v>106.4100037</c:v>
                </c:pt>
                <c:pt idx="120">
                  <c:v>106.5500031</c:v>
                </c:pt>
                <c:pt idx="121">
                  <c:v>106.76000209999999</c:v>
                </c:pt>
                <c:pt idx="122">
                  <c:v>106.80476443237301</c:v>
                </c:pt>
                <c:pt idx="123">
                  <c:v>106.8399963</c:v>
                </c:pt>
                <c:pt idx="124">
                  <c:v>106.9400024</c:v>
                </c:pt>
                <c:pt idx="125">
                  <c:v>107.1299973</c:v>
                </c:pt>
                <c:pt idx="126">
                  <c:v>107.1999969</c:v>
                </c:pt>
                <c:pt idx="127">
                  <c:v>107.36000060000001</c:v>
                </c:pt>
                <c:pt idx="128">
                  <c:v>107.41999819999999</c:v>
                </c:pt>
                <c:pt idx="129">
                  <c:v>107.5400009</c:v>
                </c:pt>
                <c:pt idx="130">
                  <c:v>107.6500015</c:v>
                </c:pt>
                <c:pt idx="131">
                  <c:v>107.66999819999999</c:v>
                </c:pt>
                <c:pt idx="132">
                  <c:v>107.61000060000001</c:v>
                </c:pt>
                <c:pt idx="133">
                  <c:v>107.5999985</c:v>
                </c:pt>
                <c:pt idx="134">
                  <c:v>107.5899963</c:v>
                </c:pt>
                <c:pt idx="135">
                  <c:v>107.6299973</c:v>
                </c:pt>
                <c:pt idx="136">
                  <c:v>107.5599976</c:v>
                </c:pt>
                <c:pt idx="137">
                  <c:v>107.4100037</c:v>
                </c:pt>
                <c:pt idx="138">
                  <c:v>107.3799973</c:v>
                </c:pt>
                <c:pt idx="139">
                  <c:v>107.3099976</c:v>
                </c:pt>
                <c:pt idx="140">
                  <c:v>107.3399963</c:v>
                </c:pt>
                <c:pt idx="141">
                  <c:v>107.3099976</c:v>
                </c:pt>
                <c:pt idx="142">
                  <c:v>107.3099976</c:v>
                </c:pt>
                <c:pt idx="143">
                  <c:v>107.2900009</c:v>
                </c:pt>
                <c:pt idx="144">
                  <c:v>107.3000031</c:v>
                </c:pt>
                <c:pt idx="145">
                  <c:v>107.2200012</c:v>
                </c:pt>
                <c:pt idx="146">
                  <c:v>107.3099976</c:v>
                </c:pt>
                <c:pt idx="147">
                  <c:v>107.33000180000001</c:v>
                </c:pt>
                <c:pt idx="148">
                  <c:v>107.2900009</c:v>
                </c:pt>
                <c:pt idx="149">
                  <c:v>107.38999939999999</c:v>
                </c:pt>
                <c:pt idx="150">
                  <c:v>107.3199997</c:v>
                </c:pt>
                <c:pt idx="151">
                  <c:v>107.3499985</c:v>
                </c:pt>
                <c:pt idx="152">
                  <c:v>107.4700012</c:v>
                </c:pt>
                <c:pt idx="153">
                  <c:v>107.3799973</c:v>
                </c:pt>
                <c:pt idx="154">
                  <c:v>107.3199997</c:v>
                </c:pt>
                <c:pt idx="155">
                  <c:v>107.48999790000001</c:v>
                </c:pt>
                <c:pt idx="156">
                  <c:v>107.4400024</c:v>
                </c:pt>
                <c:pt idx="157">
                  <c:v>107.33000180000001</c:v>
                </c:pt>
                <c:pt idx="158">
                  <c:v>107.3099976</c:v>
                </c:pt>
                <c:pt idx="159">
                  <c:v>107.3799973</c:v>
                </c:pt>
                <c:pt idx="160">
                  <c:v>107.3399963</c:v>
                </c:pt>
                <c:pt idx="161">
                  <c:v>107.4100037</c:v>
                </c:pt>
                <c:pt idx="162">
                  <c:v>107.4800034</c:v>
                </c:pt>
                <c:pt idx="163">
                  <c:v>107.6299973</c:v>
                </c:pt>
                <c:pt idx="164">
                  <c:v>107.5999985</c:v>
                </c:pt>
                <c:pt idx="165">
                  <c:v>107.6299973</c:v>
                </c:pt>
                <c:pt idx="166">
                  <c:v>107.5699997</c:v>
                </c:pt>
                <c:pt idx="167">
                  <c:v>107.6500015</c:v>
                </c:pt>
                <c:pt idx="168">
                  <c:v>107.6999969</c:v>
                </c:pt>
                <c:pt idx="169">
                  <c:v>107.7900009</c:v>
                </c:pt>
                <c:pt idx="170">
                  <c:v>107.8399963</c:v>
                </c:pt>
                <c:pt idx="171">
                  <c:v>107.9000015</c:v>
                </c:pt>
                <c:pt idx="172">
                  <c:v>107.73999790000001</c:v>
                </c:pt>
                <c:pt idx="173">
                  <c:v>107.58000180000001</c:v>
                </c:pt>
                <c:pt idx="174">
                  <c:v>107.6500015</c:v>
                </c:pt>
                <c:pt idx="175">
                  <c:v>107.4700012</c:v>
                </c:pt>
                <c:pt idx="176">
                  <c:v>107.36000060000001</c:v>
                </c:pt>
                <c:pt idx="177">
                  <c:v>107.5599976</c:v>
                </c:pt>
                <c:pt idx="178">
                  <c:v>107.4300003</c:v>
                </c:pt>
                <c:pt idx="179">
                  <c:v>107.38999939999999</c:v>
                </c:pt>
                <c:pt idx="180">
                  <c:v>107.5699997</c:v>
                </c:pt>
                <c:pt idx="181">
                  <c:v>107.6600037</c:v>
                </c:pt>
                <c:pt idx="182">
                  <c:v>107.6999969</c:v>
                </c:pt>
                <c:pt idx="183">
                  <c:v>107.9400024</c:v>
                </c:pt>
                <c:pt idx="184">
                  <c:v>108.0699997</c:v>
                </c:pt>
                <c:pt idx="185">
                  <c:v>108.1900024</c:v>
                </c:pt>
                <c:pt idx="186">
                  <c:v>108.4300003</c:v>
                </c:pt>
                <c:pt idx="187">
                  <c:v>108.4800034</c:v>
                </c:pt>
                <c:pt idx="188">
                  <c:v>108.6200027</c:v>
                </c:pt>
                <c:pt idx="189">
                  <c:v>108.7699966</c:v>
                </c:pt>
                <c:pt idx="190">
                  <c:v>108.8799973</c:v>
                </c:pt>
                <c:pt idx="191">
                  <c:v>109.0599976</c:v>
                </c:pt>
                <c:pt idx="192">
                  <c:v>109.2799988</c:v>
                </c:pt>
                <c:pt idx="193">
                  <c:v>109.5</c:v>
                </c:pt>
                <c:pt idx="194">
                  <c:v>109.6999969</c:v>
                </c:pt>
                <c:pt idx="195">
                  <c:v>109.91999819999999</c:v>
                </c:pt>
                <c:pt idx="196">
                  <c:v>110.0400009</c:v>
                </c:pt>
              </c:numCache>
            </c:numRef>
          </c:yVal>
          <c:smooth val="0"/>
          <c:extLst>
            <c:ext xmlns:c16="http://schemas.microsoft.com/office/drawing/2014/chart" uri="{C3380CC4-5D6E-409C-BE32-E72D297353CC}">
              <c16:uniqueId val="{00000000-A01D-4E6F-9628-32EBFEB790C0}"/>
            </c:ext>
          </c:extLst>
        </c:ser>
        <c:dLbls>
          <c:showLegendKey val="0"/>
          <c:showVal val="0"/>
          <c:showCatName val="0"/>
          <c:showSerName val="0"/>
          <c:showPercent val="0"/>
          <c:showBubbleSize val="0"/>
        </c:dLbls>
        <c:axId val="2118595232"/>
        <c:axId val="127780640"/>
      </c:scatterChart>
      <c:valAx>
        <c:axId val="21185952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←Left Bank                     Distance (m)                           Right Bank→</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7780640"/>
        <c:crosses val="autoZero"/>
        <c:crossBetween val="midCat"/>
      </c:valAx>
      <c:valAx>
        <c:axId val="127780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Elevation (m AHD)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1859523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Cross-section</a:t>
            </a:r>
            <a:r>
              <a:rPr lang="en-AU" baseline="0">
                <a:latin typeface="Times New Roman" panose="02020603050405020304" pitchFamily="18" charset="0"/>
                <a:cs typeface="Times New Roman" panose="02020603050405020304" pitchFamily="18" charset="0"/>
              </a:rPr>
              <a:t> of Loch Garry</a:t>
            </a:r>
            <a:endParaRPr lang="en-AU">
              <a:latin typeface="Times New Roman" panose="02020603050405020304" pitchFamily="18" charset="0"/>
              <a:cs typeface="Times New Roman" panose="02020603050405020304" pitchFamily="18" charset="0"/>
            </a:endParaRPr>
          </a:p>
        </c:rich>
      </c:tx>
      <c:layout>
        <c:manualLayout>
          <c:xMode val="edge"/>
          <c:yMode val="edge"/>
          <c:x val="0.30876971969612949"/>
          <c:y val="2.758620689655172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2161185010138684E-2"/>
          <c:y val="5.0925925925925923E-2"/>
          <c:w val="0.90776847501330793"/>
          <c:h val="0.81697000989630397"/>
        </c:manualLayout>
      </c:layout>
      <c:scatterChart>
        <c:scatterStyle val="lineMarker"/>
        <c:varyColors val="0"/>
        <c:ser>
          <c:idx val="0"/>
          <c:order val="0"/>
          <c:tx>
            <c:strRef>
              <c:f>'Loch Gary'!$B$3</c:f>
              <c:strCache>
                <c:ptCount val="1"/>
                <c:pt idx="0">
                  <c:v>Elevation (m AHD)</c:v>
                </c:pt>
              </c:strCache>
            </c:strRef>
          </c:tx>
          <c:spPr>
            <a:ln w="19050" cap="rnd">
              <a:solidFill>
                <a:schemeClr val="accent1"/>
              </a:solidFill>
              <a:round/>
            </a:ln>
            <a:effectLst/>
          </c:spPr>
          <c:marker>
            <c:symbol val="none"/>
          </c:marker>
          <c:xVal>
            <c:numRef>
              <c:f>'Loch Gary'!$A$4:$A$198</c:f>
              <c:numCache>
                <c:formatCode>General</c:formatCode>
                <c:ptCount val="195"/>
                <c:pt idx="0">
                  <c:v>0</c:v>
                </c:pt>
                <c:pt idx="1">
                  <c:v>0.99103232605991298</c:v>
                </c:pt>
                <c:pt idx="2">
                  <c:v>1.98206465211982</c:v>
                </c:pt>
                <c:pt idx="3">
                  <c:v>2.9730969781797398</c:v>
                </c:pt>
                <c:pt idx="4">
                  <c:v>4.0977516403376102</c:v>
                </c:pt>
                <c:pt idx="5">
                  <c:v>5.0887839663975303</c:v>
                </c:pt>
                <c:pt idx="6">
                  <c:v>6.0798162924574397</c:v>
                </c:pt>
                <c:pt idx="7">
                  <c:v>7.07084861851735</c:v>
                </c:pt>
                <c:pt idx="8">
                  <c:v>8.0618809445772701</c:v>
                </c:pt>
                <c:pt idx="9">
                  <c:v>9.0529132706371804</c:v>
                </c:pt>
                <c:pt idx="10">
                  <c:v>10.0439455966971</c:v>
                </c:pt>
                <c:pt idx="11">
                  <c:v>11.034977922756999</c:v>
                </c:pt>
                <c:pt idx="12">
                  <c:v>12.159632584914799</c:v>
                </c:pt>
                <c:pt idx="13">
                  <c:v>13.1506649109748</c:v>
                </c:pt>
                <c:pt idx="14">
                  <c:v>14.1416972370347</c:v>
                </c:pt>
                <c:pt idx="15">
                  <c:v>15.1327295630946</c:v>
                </c:pt>
                <c:pt idx="16">
                  <c:v>16.123761889154501</c:v>
                </c:pt>
                <c:pt idx="17">
                  <c:v>17.114794215214399</c:v>
                </c:pt>
                <c:pt idx="18">
                  <c:v>18.1058265412743</c:v>
                </c:pt>
                <c:pt idx="19">
                  <c:v>19.230481203432198</c:v>
                </c:pt>
                <c:pt idx="20">
                  <c:v>20.2215135294921</c:v>
                </c:pt>
                <c:pt idx="21">
                  <c:v>21.212545855552001</c:v>
                </c:pt>
                <c:pt idx="22">
                  <c:v>22.203578181611899</c:v>
                </c:pt>
                <c:pt idx="23">
                  <c:v>23.1946105076719</c:v>
                </c:pt>
                <c:pt idx="24">
                  <c:v>24.185642833731801</c:v>
                </c:pt>
                <c:pt idx="25">
                  <c:v>25.176675159791699</c:v>
                </c:pt>
                <c:pt idx="26">
                  <c:v>26.301329821949601</c:v>
                </c:pt>
                <c:pt idx="27">
                  <c:v>27.292362148009499</c:v>
                </c:pt>
                <c:pt idx="28">
                  <c:v>28.2833944740694</c:v>
                </c:pt>
                <c:pt idx="29">
                  <c:v>29.274426800129302</c:v>
                </c:pt>
                <c:pt idx="30">
                  <c:v>30.265459126189199</c:v>
                </c:pt>
                <c:pt idx="31">
                  <c:v>31.256491452249101</c:v>
                </c:pt>
                <c:pt idx="32">
                  <c:v>32.247523778309002</c:v>
                </c:pt>
                <c:pt idx="33">
                  <c:v>33.238556104369003</c:v>
                </c:pt>
                <c:pt idx="34">
                  <c:v>34.363210766526798</c:v>
                </c:pt>
                <c:pt idx="35">
                  <c:v>35.354243092586799</c:v>
                </c:pt>
                <c:pt idx="36">
                  <c:v>36.3452754186467</c:v>
                </c:pt>
                <c:pt idx="37">
                  <c:v>37.336307744706602</c:v>
                </c:pt>
                <c:pt idx="38">
                  <c:v>38.327340070766503</c:v>
                </c:pt>
                <c:pt idx="39">
                  <c:v>39.318372396826398</c:v>
                </c:pt>
                <c:pt idx="40">
                  <c:v>40.309404722886299</c:v>
                </c:pt>
                <c:pt idx="41">
                  <c:v>41.4340593850442</c:v>
                </c:pt>
                <c:pt idx="42">
                  <c:v>42.425091711104102</c:v>
                </c:pt>
                <c:pt idx="43">
                  <c:v>43.416124037164003</c:v>
                </c:pt>
                <c:pt idx="44">
                  <c:v>44.407156363223898</c:v>
                </c:pt>
                <c:pt idx="45">
                  <c:v>45.398188689283799</c:v>
                </c:pt>
                <c:pt idx="46">
                  <c:v>46.3892210153438</c:v>
                </c:pt>
                <c:pt idx="47">
                  <c:v>47.380253341403701</c:v>
                </c:pt>
                <c:pt idx="48">
                  <c:v>48.371285667463603</c:v>
                </c:pt>
                <c:pt idx="49">
                  <c:v>49.495940329621497</c:v>
                </c:pt>
                <c:pt idx="50">
                  <c:v>50.486972655681399</c:v>
                </c:pt>
                <c:pt idx="51">
                  <c:v>51.4780049817413</c:v>
                </c:pt>
                <c:pt idx="52">
                  <c:v>52.469037307801202</c:v>
                </c:pt>
                <c:pt idx="53">
                  <c:v>53.460069633861103</c:v>
                </c:pt>
                <c:pt idx="54">
                  <c:v>54.451101959920997</c:v>
                </c:pt>
                <c:pt idx="55">
                  <c:v>55.442134285980899</c:v>
                </c:pt>
                <c:pt idx="56">
                  <c:v>56.5667889481388</c:v>
                </c:pt>
                <c:pt idx="57">
                  <c:v>57.557821274198702</c:v>
                </c:pt>
                <c:pt idx="58">
                  <c:v>58.548853600258603</c:v>
                </c:pt>
                <c:pt idx="59">
                  <c:v>59.539885926318597</c:v>
                </c:pt>
                <c:pt idx="60">
                  <c:v>60.530918252378498</c:v>
                </c:pt>
                <c:pt idx="61">
                  <c:v>61.5219505784384</c:v>
                </c:pt>
                <c:pt idx="62">
                  <c:v>62.512982904498301</c:v>
                </c:pt>
                <c:pt idx="63">
                  <c:v>63.504015230558203</c:v>
                </c:pt>
                <c:pt idx="64">
                  <c:v>64.628669892716104</c:v>
                </c:pt>
                <c:pt idx="65">
                  <c:v>65.619702218775998</c:v>
                </c:pt>
                <c:pt idx="66">
                  <c:v>66.610734544835907</c:v>
                </c:pt>
                <c:pt idx="67">
                  <c:v>67.601766870895801</c:v>
                </c:pt>
                <c:pt idx="68">
                  <c:v>68.592799196955795</c:v>
                </c:pt>
                <c:pt idx="69">
                  <c:v>69.583831523015704</c:v>
                </c:pt>
                <c:pt idx="70">
                  <c:v>70.574863849075598</c:v>
                </c:pt>
                <c:pt idx="71">
                  <c:v>71.699518511233507</c:v>
                </c:pt>
                <c:pt idx="72">
                  <c:v>72.690550837293401</c:v>
                </c:pt>
                <c:pt idx="73">
                  <c:v>73.681583163353295</c:v>
                </c:pt>
                <c:pt idx="74">
                  <c:v>74.672615489413204</c:v>
                </c:pt>
                <c:pt idx="75">
                  <c:v>75.663647815473098</c:v>
                </c:pt>
                <c:pt idx="76">
                  <c:v>76.654680141533007</c:v>
                </c:pt>
                <c:pt idx="77">
                  <c:v>77.645712467592901</c:v>
                </c:pt>
                <c:pt idx="78">
                  <c:v>78.770367129750795</c:v>
                </c:pt>
                <c:pt idx="79">
                  <c:v>79.761399455810704</c:v>
                </c:pt>
                <c:pt idx="80">
                  <c:v>80.752431781870698</c:v>
                </c:pt>
                <c:pt idx="81">
                  <c:v>81.743464107930606</c:v>
                </c:pt>
                <c:pt idx="82">
                  <c:v>82.7344964339905</c:v>
                </c:pt>
                <c:pt idx="83">
                  <c:v>83.725528760050395</c:v>
                </c:pt>
                <c:pt idx="84">
                  <c:v>84.716561086110303</c:v>
                </c:pt>
                <c:pt idx="85">
                  <c:v>85.707593412170198</c:v>
                </c:pt>
                <c:pt idx="86">
                  <c:v>86.832248074328106</c:v>
                </c:pt>
                <c:pt idx="87">
                  <c:v>87.823280400388001</c:v>
                </c:pt>
                <c:pt idx="88">
                  <c:v>88.814312726447895</c:v>
                </c:pt>
                <c:pt idx="89">
                  <c:v>89.805345052507803</c:v>
                </c:pt>
              </c:numCache>
            </c:numRef>
          </c:xVal>
          <c:yVal>
            <c:numRef>
              <c:f>'Loch Gary'!$B$4:$B$198</c:f>
              <c:numCache>
                <c:formatCode>General</c:formatCode>
                <c:ptCount val="195"/>
                <c:pt idx="0">
                  <c:v>105.86000060000001</c:v>
                </c:pt>
                <c:pt idx="1">
                  <c:v>105.8000031</c:v>
                </c:pt>
                <c:pt idx="2">
                  <c:v>105.73999790000001</c:v>
                </c:pt>
                <c:pt idx="3">
                  <c:v>105.5400009</c:v>
                </c:pt>
                <c:pt idx="4">
                  <c:v>104.5</c:v>
                </c:pt>
                <c:pt idx="5">
                  <c:v>103.8799973</c:v>
                </c:pt>
                <c:pt idx="6">
                  <c:v>103.5999985</c:v>
                </c:pt>
                <c:pt idx="7">
                  <c:v>103.48999790000001</c:v>
                </c:pt>
                <c:pt idx="8">
                  <c:v>103.1800003</c:v>
                </c:pt>
                <c:pt idx="9">
                  <c:v>102.36000060000001</c:v>
                </c:pt>
                <c:pt idx="10">
                  <c:v>101.6200027</c:v>
                </c:pt>
                <c:pt idx="11">
                  <c:v>100.7900009</c:v>
                </c:pt>
                <c:pt idx="12">
                  <c:v>99.58000183</c:v>
                </c:pt>
                <c:pt idx="13">
                  <c:v>98.887405400000006</c:v>
                </c:pt>
                <c:pt idx="14">
                  <c:v>98.331909179999997</c:v>
                </c:pt>
                <c:pt idx="15">
                  <c:v>97.318664549999994</c:v>
                </c:pt>
                <c:pt idx="16">
                  <c:v>96.450576780000006</c:v>
                </c:pt>
                <c:pt idx="17">
                  <c:v>95.582496640000002</c:v>
                </c:pt>
                <c:pt idx="18">
                  <c:v>95.440834050000007</c:v>
                </c:pt>
                <c:pt idx="19">
                  <c:v>95.375450130000004</c:v>
                </c:pt>
                <c:pt idx="20">
                  <c:v>95.310066219999996</c:v>
                </c:pt>
                <c:pt idx="21">
                  <c:v>95.244689940000001</c:v>
                </c:pt>
                <c:pt idx="22">
                  <c:v>95.179306030000006</c:v>
                </c:pt>
                <c:pt idx="23">
                  <c:v>95.113754270000001</c:v>
                </c:pt>
                <c:pt idx="24">
                  <c:v>95.036506650000007</c:v>
                </c:pt>
                <c:pt idx="25">
                  <c:v>94.95544434</c:v>
                </c:pt>
                <c:pt idx="26">
                  <c:v>94.875671389999994</c:v>
                </c:pt>
                <c:pt idx="27">
                  <c:v>94.797180179999998</c:v>
                </c:pt>
                <c:pt idx="28">
                  <c:v>94.716117859999997</c:v>
                </c:pt>
                <c:pt idx="29">
                  <c:v>94.635055539999996</c:v>
                </c:pt>
                <c:pt idx="30">
                  <c:v>94.553993230000003</c:v>
                </c:pt>
                <c:pt idx="31">
                  <c:v>94.472930910000002</c:v>
                </c:pt>
                <c:pt idx="32">
                  <c:v>94.405876160000005</c:v>
                </c:pt>
                <c:pt idx="33">
                  <c:v>94.464393619999996</c:v>
                </c:pt>
                <c:pt idx="34">
                  <c:v>94.520126340000004</c:v>
                </c:pt>
                <c:pt idx="35">
                  <c:v>94.578651429999994</c:v>
                </c:pt>
                <c:pt idx="36">
                  <c:v>94.638153079999995</c:v>
                </c:pt>
                <c:pt idx="37">
                  <c:v>94.701446529999998</c:v>
                </c:pt>
                <c:pt idx="38">
                  <c:v>94.764732359999996</c:v>
                </c:pt>
                <c:pt idx="39">
                  <c:v>94.846382140000003</c:v>
                </c:pt>
                <c:pt idx="40">
                  <c:v>94.951332089999994</c:v>
                </c:pt>
                <c:pt idx="41">
                  <c:v>95.079612729999994</c:v>
                </c:pt>
                <c:pt idx="42">
                  <c:v>95.185081479999994</c:v>
                </c:pt>
                <c:pt idx="43">
                  <c:v>95.290550229999994</c:v>
                </c:pt>
                <c:pt idx="44">
                  <c:v>95.396026610000007</c:v>
                </c:pt>
                <c:pt idx="45">
                  <c:v>95.501495360000007</c:v>
                </c:pt>
                <c:pt idx="46">
                  <c:v>95.581802370000005</c:v>
                </c:pt>
                <c:pt idx="47">
                  <c:v>95.306526180000006</c:v>
                </c:pt>
                <c:pt idx="48">
                  <c:v>95.03125</c:v>
                </c:pt>
                <c:pt idx="49">
                  <c:v>94.696456909999995</c:v>
                </c:pt>
                <c:pt idx="50">
                  <c:v>94.407608030000006</c:v>
                </c:pt>
                <c:pt idx="51">
                  <c:v>94.110939029999997</c:v>
                </c:pt>
                <c:pt idx="52">
                  <c:v>93.814270019999995</c:v>
                </c:pt>
                <c:pt idx="53">
                  <c:v>93.517601010000007</c:v>
                </c:pt>
                <c:pt idx="54">
                  <c:v>93.500686650000006</c:v>
                </c:pt>
                <c:pt idx="55">
                  <c:v>93.667503359999998</c:v>
                </c:pt>
                <c:pt idx="56">
                  <c:v>93.857063289999999</c:v>
                </c:pt>
                <c:pt idx="57">
                  <c:v>94.023880000000005</c:v>
                </c:pt>
                <c:pt idx="58">
                  <c:v>94.202423100000004</c:v>
                </c:pt>
                <c:pt idx="59">
                  <c:v>94.382751459999994</c:v>
                </c:pt>
                <c:pt idx="60">
                  <c:v>94.563072199999993</c:v>
                </c:pt>
                <c:pt idx="61">
                  <c:v>94.743392940000007</c:v>
                </c:pt>
                <c:pt idx="62">
                  <c:v>95.031623839999995</c:v>
                </c:pt>
                <c:pt idx="63">
                  <c:v>95.369232179999997</c:v>
                </c:pt>
                <c:pt idx="64">
                  <c:v>95.728271480000004</c:v>
                </c:pt>
                <c:pt idx="65">
                  <c:v>96.065879820000006</c:v>
                </c:pt>
                <c:pt idx="66">
                  <c:v>96.403480529999996</c:v>
                </c:pt>
                <c:pt idx="67">
                  <c:v>96.738662719999994</c:v>
                </c:pt>
                <c:pt idx="68">
                  <c:v>97.07296753</c:v>
                </c:pt>
                <c:pt idx="69">
                  <c:v>97.537971499999998</c:v>
                </c:pt>
                <c:pt idx="70">
                  <c:v>97.963134769999996</c:v>
                </c:pt>
                <c:pt idx="71">
                  <c:v>98.573364260000005</c:v>
                </c:pt>
                <c:pt idx="72">
                  <c:v>99.22000122</c:v>
                </c:pt>
                <c:pt idx="73">
                  <c:v>99.519996640000002</c:v>
                </c:pt>
                <c:pt idx="74">
                  <c:v>99.790000919999997</c:v>
                </c:pt>
                <c:pt idx="75">
                  <c:v>99.989997860000003</c:v>
                </c:pt>
                <c:pt idx="76">
                  <c:v>100.2900009</c:v>
                </c:pt>
                <c:pt idx="77">
                  <c:v>100.5899963</c:v>
                </c:pt>
                <c:pt idx="78">
                  <c:v>101.2699966</c:v>
                </c:pt>
                <c:pt idx="79">
                  <c:v>101.8700027</c:v>
                </c:pt>
                <c:pt idx="80">
                  <c:v>102.5899963</c:v>
                </c:pt>
                <c:pt idx="81">
                  <c:v>103.1800003</c:v>
                </c:pt>
                <c:pt idx="82">
                  <c:v>103.7900009</c:v>
                </c:pt>
                <c:pt idx="83">
                  <c:v>104.6299973</c:v>
                </c:pt>
                <c:pt idx="84">
                  <c:v>105.51000209999999</c:v>
                </c:pt>
                <c:pt idx="85">
                  <c:v>106.25</c:v>
                </c:pt>
                <c:pt idx="86">
                  <c:v>106.6600037</c:v>
                </c:pt>
                <c:pt idx="87">
                  <c:v>106.6600037</c:v>
                </c:pt>
                <c:pt idx="88">
                  <c:v>106.8499985</c:v>
                </c:pt>
                <c:pt idx="89">
                  <c:v>106.91999819999999</c:v>
                </c:pt>
              </c:numCache>
            </c:numRef>
          </c:yVal>
          <c:smooth val="0"/>
          <c:extLst>
            <c:ext xmlns:c16="http://schemas.microsoft.com/office/drawing/2014/chart" uri="{C3380CC4-5D6E-409C-BE32-E72D297353CC}">
              <c16:uniqueId val="{00000000-5230-48C3-BF7C-8AB8D1B76709}"/>
            </c:ext>
          </c:extLst>
        </c:ser>
        <c:dLbls>
          <c:showLegendKey val="0"/>
          <c:showVal val="0"/>
          <c:showCatName val="0"/>
          <c:showSerName val="0"/>
          <c:showPercent val="0"/>
          <c:showBubbleSize val="0"/>
        </c:dLbls>
        <c:axId val="2118595232"/>
        <c:axId val="127780640"/>
      </c:scatterChart>
      <c:valAx>
        <c:axId val="2118595232"/>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←Left Bank                     Distance (m)                           Right Bank→</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7780640"/>
        <c:crosses val="autoZero"/>
        <c:crossBetween val="midCat"/>
      </c:valAx>
      <c:valAx>
        <c:axId val="127780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Elevation (m AHD)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1859523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Cross-section</a:t>
            </a:r>
            <a:r>
              <a:rPr lang="en-AU" baseline="0">
                <a:latin typeface="Times New Roman" panose="02020603050405020304" pitchFamily="18" charset="0"/>
                <a:cs typeface="Times New Roman" panose="02020603050405020304" pitchFamily="18" charset="0"/>
              </a:rPr>
              <a:t> of McCoy's Bridge</a:t>
            </a:r>
            <a:endParaRPr lang="en-A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2161185010138684E-2"/>
          <c:y val="5.0925806405346871E-2"/>
          <c:w val="0.90776847501330793"/>
          <c:h val="0.81697000989630397"/>
        </c:manualLayout>
      </c:layout>
      <c:scatterChart>
        <c:scatterStyle val="lineMarker"/>
        <c:varyColors val="0"/>
        <c:ser>
          <c:idx val="0"/>
          <c:order val="0"/>
          <c:tx>
            <c:strRef>
              <c:f>'McCoys Bridge'!$B$3</c:f>
              <c:strCache>
                <c:ptCount val="1"/>
                <c:pt idx="0">
                  <c:v>Elevation (m AHD)</c:v>
                </c:pt>
              </c:strCache>
            </c:strRef>
          </c:tx>
          <c:spPr>
            <a:ln w="19050" cap="rnd">
              <a:solidFill>
                <a:schemeClr val="accent1"/>
              </a:solidFill>
              <a:round/>
            </a:ln>
            <a:effectLst/>
          </c:spPr>
          <c:marker>
            <c:symbol val="none"/>
          </c:marker>
          <c:xVal>
            <c:numRef>
              <c:f>'McCoys Bridge'!$A$4:$A$198</c:f>
              <c:numCache>
                <c:formatCode>General</c:formatCode>
                <c:ptCount val="195"/>
                <c:pt idx="0">
                  <c:v>0</c:v>
                </c:pt>
                <c:pt idx="1">
                  <c:v>0.87456541334418703</c:v>
                </c:pt>
                <c:pt idx="2">
                  <c:v>1.35947296925779</c:v>
                </c:pt>
                <c:pt idx="3">
                  <c:v>2.2340383826019798</c:v>
                </c:pt>
                <c:pt idx="4">
                  <c:v>3.5935113518597799</c:v>
                </c:pt>
                <c:pt idx="5">
                  <c:v>4.4680767652039597</c:v>
                </c:pt>
                <c:pt idx="6">
                  <c:v>5.8275497344617602</c:v>
                </c:pt>
                <c:pt idx="7">
                  <c:v>6.7021151478059497</c:v>
                </c:pt>
                <c:pt idx="8">
                  <c:v>8.0615881170637493</c:v>
                </c:pt>
                <c:pt idx="9">
                  <c:v>8.93615353040793</c:v>
                </c:pt>
                <c:pt idx="10">
                  <c:v>9.42106108632154</c:v>
                </c:pt>
                <c:pt idx="11">
                  <c:v>10.295626499665699</c:v>
                </c:pt>
                <c:pt idx="12">
                  <c:v>11.1701919130099</c:v>
                </c:pt>
                <c:pt idx="13">
                  <c:v>11.655099468923501</c:v>
                </c:pt>
                <c:pt idx="14">
                  <c:v>12.529664882267699</c:v>
                </c:pt>
                <c:pt idx="15">
                  <c:v>13.889137851525501</c:v>
                </c:pt>
                <c:pt idx="16">
                  <c:v>14.763703264869701</c:v>
                </c:pt>
                <c:pt idx="17">
                  <c:v>16.123176234127499</c:v>
                </c:pt>
                <c:pt idx="18">
                  <c:v>16.997741647471599</c:v>
                </c:pt>
                <c:pt idx="19">
                  <c:v>18.357214616729401</c:v>
                </c:pt>
                <c:pt idx="20">
                  <c:v>19.231780030073601</c:v>
                </c:pt>
                <c:pt idx="21">
                  <c:v>20.591252999331399</c:v>
                </c:pt>
                <c:pt idx="22">
                  <c:v>21.465818412675599</c:v>
                </c:pt>
                <c:pt idx="23">
                  <c:v>21.9507259685892</c:v>
                </c:pt>
                <c:pt idx="24">
                  <c:v>22.8252913819334</c:v>
                </c:pt>
                <c:pt idx="25">
                  <c:v>24.184764351191198</c:v>
                </c:pt>
                <c:pt idx="26">
                  <c:v>25.059329764535399</c:v>
                </c:pt>
                <c:pt idx="27">
                  <c:v>26.4188027337932</c:v>
                </c:pt>
                <c:pt idx="28">
                  <c:v>27.2933681471374</c:v>
                </c:pt>
                <c:pt idx="29">
                  <c:v>28.652841116395201</c:v>
                </c:pt>
                <c:pt idx="30">
                  <c:v>29.527406529739402</c:v>
                </c:pt>
                <c:pt idx="31">
                  <c:v>30.8868794989972</c:v>
                </c:pt>
                <c:pt idx="32">
                  <c:v>31.7614449123413</c:v>
                </c:pt>
                <c:pt idx="33">
                  <c:v>32.246352468254997</c:v>
                </c:pt>
                <c:pt idx="34">
                  <c:v>33.120917881599098</c:v>
                </c:pt>
                <c:pt idx="35">
                  <c:v>34.480390850856899</c:v>
                </c:pt>
                <c:pt idx="36">
                  <c:v>35.3549562642011</c:v>
                </c:pt>
                <c:pt idx="37">
                  <c:v>36.714429233458901</c:v>
                </c:pt>
                <c:pt idx="38">
                  <c:v>37.588994646803101</c:v>
                </c:pt>
                <c:pt idx="39">
                  <c:v>38.948467616060903</c:v>
                </c:pt>
                <c:pt idx="40">
                  <c:v>39.823033029405103</c:v>
                </c:pt>
                <c:pt idx="41">
                  <c:v>41.182505998662897</c:v>
                </c:pt>
                <c:pt idx="42">
                  <c:v>42.057071412007097</c:v>
                </c:pt>
                <c:pt idx="43">
                  <c:v>42.541978967920699</c:v>
                </c:pt>
                <c:pt idx="44">
                  <c:v>43.416544381264899</c:v>
                </c:pt>
                <c:pt idx="45">
                  <c:v>44.7760173505227</c:v>
                </c:pt>
                <c:pt idx="46">
                  <c:v>45.6505827638669</c:v>
                </c:pt>
                <c:pt idx="47">
                  <c:v>47.010055733124702</c:v>
                </c:pt>
                <c:pt idx="48">
                  <c:v>47.884621146468902</c:v>
                </c:pt>
                <c:pt idx="49">
                  <c:v>49.244094115726597</c:v>
                </c:pt>
                <c:pt idx="50">
                  <c:v>50.118659529070797</c:v>
                </c:pt>
                <c:pt idx="51">
                  <c:v>51.478132498328598</c:v>
                </c:pt>
                <c:pt idx="52">
                  <c:v>52.352697911672799</c:v>
                </c:pt>
                <c:pt idx="53">
                  <c:v>52.8376054675864</c:v>
                </c:pt>
                <c:pt idx="54">
                  <c:v>53.7121708809306</c:v>
                </c:pt>
                <c:pt idx="55">
                  <c:v>55.071643850188401</c:v>
                </c:pt>
                <c:pt idx="56">
                  <c:v>55.946209263532602</c:v>
                </c:pt>
                <c:pt idx="57">
                  <c:v>57.305682232790403</c:v>
                </c:pt>
                <c:pt idx="58">
                  <c:v>58.180247646134603</c:v>
                </c:pt>
                <c:pt idx="59">
                  <c:v>59.539720615392397</c:v>
                </c:pt>
                <c:pt idx="60">
                  <c:v>60.414286028736598</c:v>
                </c:pt>
                <c:pt idx="61">
                  <c:v>61.773758997994399</c:v>
                </c:pt>
                <c:pt idx="62">
                  <c:v>62.648324411338599</c:v>
                </c:pt>
                <c:pt idx="63">
                  <c:v>63.1332319672522</c:v>
                </c:pt>
                <c:pt idx="64">
                  <c:v>64.007797380596401</c:v>
                </c:pt>
                <c:pt idx="65">
                  <c:v>65.367270349854195</c:v>
                </c:pt>
                <c:pt idx="66">
                  <c:v>66.241835763198296</c:v>
                </c:pt>
                <c:pt idx="67">
                  <c:v>67.601308732456104</c:v>
                </c:pt>
                <c:pt idx="68">
                  <c:v>68.475874145800304</c:v>
                </c:pt>
                <c:pt idx="69">
                  <c:v>69.835347115058099</c:v>
                </c:pt>
                <c:pt idx="70">
                  <c:v>70.709912528402299</c:v>
                </c:pt>
                <c:pt idx="71">
                  <c:v>72.069385497660093</c:v>
                </c:pt>
                <c:pt idx="72">
                  <c:v>72.943950911004293</c:v>
                </c:pt>
                <c:pt idx="73">
                  <c:v>73.428858466917902</c:v>
                </c:pt>
                <c:pt idx="74">
                  <c:v>74.303423880262102</c:v>
                </c:pt>
                <c:pt idx="75">
                  <c:v>75.662896849519896</c:v>
                </c:pt>
                <c:pt idx="76">
                  <c:v>76.537462262864096</c:v>
                </c:pt>
                <c:pt idx="77">
                  <c:v>77.896935232121905</c:v>
                </c:pt>
                <c:pt idx="78">
                  <c:v>78.771500645466105</c:v>
                </c:pt>
                <c:pt idx="79">
                  <c:v>80.130973614723899</c:v>
                </c:pt>
                <c:pt idx="80">
                  <c:v>81.005539028068</c:v>
                </c:pt>
                <c:pt idx="81">
                  <c:v>82.365011997325794</c:v>
                </c:pt>
                <c:pt idx="82">
                  <c:v>83.239577410669995</c:v>
                </c:pt>
                <c:pt idx="83">
                  <c:v>83.724484966583603</c:v>
                </c:pt>
                <c:pt idx="84">
                  <c:v>84.599050379927803</c:v>
                </c:pt>
                <c:pt idx="85">
                  <c:v>85.958523349185597</c:v>
                </c:pt>
                <c:pt idx="86">
                  <c:v>86.833088762529798</c:v>
                </c:pt>
                <c:pt idx="87">
                  <c:v>88.192561731787606</c:v>
                </c:pt>
                <c:pt idx="88">
                  <c:v>89.067127145131806</c:v>
                </c:pt>
                <c:pt idx="89">
                  <c:v>90.426600114389601</c:v>
                </c:pt>
                <c:pt idx="90">
                  <c:v>91.301165527733801</c:v>
                </c:pt>
                <c:pt idx="91">
                  <c:v>92.660638496991595</c:v>
                </c:pt>
                <c:pt idx="92">
                  <c:v>93.535203910335795</c:v>
                </c:pt>
                <c:pt idx="93">
                  <c:v>94.020111466249404</c:v>
                </c:pt>
                <c:pt idx="94">
                  <c:v>94.894676879593604</c:v>
                </c:pt>
                <c:pt idx="95">
                  <c:v>96.254149848851398</c:v>
                </c:pt>
                <c:pt idx="96">
                  <c:v>97.128715262195499</c:v>
                </c:pt>
                <c:pt idx="97">
                  <c:v>98.488188231453293</c:v>
                </c:pt>
                <c:pt idx="98">
                  <c:v>99.362753644797493</c:v>
                </c:pt>
                <c:pt idx="99">
                  <c:v>100.722226614055</c:v>
                </c:pt>
                <c:pt idx="100">
                  <c:v>101.596792027399</c:v>
                </c:pt>
                <c:pt idx="101">
                  <c:v>102.956264996657</c:v>
                </c:pt>
                <c:pt idx="102">
                  <c:v>103.830830410001</c:v>
                </c:pt>
                <c:pt idx="103">
                  <c:v>104.31573796591501</c:v>
                </c:pt>
                <c:pt idx="104">
                  <c:v>105.19030337925901</c:v>
                </c:pt>
                <c:pt idx="105">
                  <c:v>106.06486879260299</c:v>
                </c:pt>
                <c:pt idx="106">
                  <c:v>106.549776348517</c:v>
                </c:pt>
                <c:pt idx="107">
                  <c:v>107.424341761861</c:v>
                </c:pt>
                <c:pt idx="108">
                  <c:v>108.78381473111899</c:v>
                </c:pt>
                <c:pt idx="109">
                  <c:v>109.658380144463</c:v>
                </c:pt>
                <c:pt idx="110">
                  <c:v>111.017853113721</c:v>
                </c:pt>
                <c:pt idx="111">
                  <c:v>111.892418527065</c:v>
                </c:pt>
                <c:pt idx="112">
                  <c:v>113.251891496323</c:v>
                </c:pt>
                <c:pt idx="113">
                  <c:v>114.126456909667</c:v>
                </c:pt>
                <c:pt idx="114">
                  <c:v>114.61136446558</c:v>
                </c:pt>
                <c:pt idx="115">
                  <c:v>115.48592987892501</c:v>
                </c:pt>
              </c:numCache>
            </c:numRef>
          </c:xVal>
          <c:yVal>
            <c:numRef>
              <c:f>'McCoys Bridge'!$B$4:$B$198</c:f>
              <c:numCache>
                <c:formatCode>General</c:formatCode>
                <c:ptCount val="195"/>
                <c:pt idx="0">
                  <c:v>100.0899963</c:v>
                </c:pt>
                <c:pt idx="1">
                  <c:v>100.2900009</c:v>
                </c:pt>
                <c:pt idx="2">
                  <c:v>100.3000031</c:v>
                </c:pt>
                <c:pt idx="3">
                  <c:v>100.3199997</c:v>
                </c:pt>
                <c:pt idx="4">
                  <c:v>100.38999939999999</c:v>
                </c:pt>
                <c:pt idx="5">
                  <c:v>100.4000015</c:v>
                </c:pt>
                <c:pt idx="6">
                  <c:v>100.4599991</c:v>
                </c:pt>
                <c:pt idx="7">
                  <c:v>100.51000209999999</c:v>
                </c:pt>
                <c:pt idx="8">
                  <c:v>100.5</c:v>
                </c:pt>
                <c:pt idx="9">
                  <c:v>100.3799973</c:v>
                </c:pt>
                <c:pt idx="10">
                  <c:v>100.3000031</c:v>
                </c:pt>
                <c:pt idx="11">
                  <c:v>100.0299988</c:v>
                </c:pt>
                <c:pt idx="12">
                  <c:v>99.63999939</c:v>
                </c:pt>
                <c:pt idx="13">
                  <c:v>99.559997559999999</c:v>
                </c:pt>
                <c:pt idx="14">
                  <c:v>99</c:v>
                </c:pt>
                <c:pt idx="15">
                  <c:v>98.629997250000002</c:v>
                </c:pt>
                <c:pt idx="16">
                  <c:v>98.309997559999999</c:v>
                </c:pt>
                <c:pt idx="17">
                  <c:v>98.160003660000001</c:v>
                </c:pt>
                <c:pt idx="18">
                  <c:v>98.099998470000003</c:v>
                </c:pt>
                <c:pt idx="19">
                  <c:v>98.300003050000001</c:v>
                </c:pt>
                <c:pt idx="20">
                  <c:v>98.040000919999997</c:v>
                </c:pt>
                <c:pt idx="21">
                  <c:v>97.650001529999997</c:v>
                </c:pt>
                <c:pt idx="22">
                  <c:v>97.27999878</c:v>
                </c:pt>
                <c:pt idx="23">
                  <c:v>97.22000122</c:v>
                </c:pt>
                <c:pt idx="24">
                  <c:v>96.650001529999997</c:v>
                </c:pt>
                <c:pt idx="25">
                  <c:v>96.059997559999999</c:v>
                </c:pt>
                <c:pt idx="26">
                  <c:v>95.709999080000003</c:v>
                </c:pt>
                <c:pt idx="27">
                  <c:v>95.349998470000003</c:v>
                </c:pt>
                <c:pt idx="28">
                  <c:v>94.769996640000002</c:v>
                </c:pt>
                <c:pt idx="29">
                  <c:v>94.25</c:v>
                </c:pt>
                <c:pt idx="30">
                  <c:v>93.940002440000001</c:v>
                </c:pt>
                <c:pt idx="31">
                  <c:v>93.348701480000003</c:v>
                </c:pt>
                <c:pt idx="32">
                  <c:v>93.042457580000004</c:v>
                </c:pt>
                <c:pt idx="33">
                  <c:v>93.145858759999996</c:v>
                </c:pt>
                <c:pt idx="34">
                  <c:v>93.049163820000004</c:v>
                </c:pt>
                <c:pt idx="35">
                  <c:v>93.058532709999994</c:v>
                </c:pt>
                <c:pt idx="36">
                  <c:v>92.967132570000004</c:v>
                </c:pt>
                <c:pt idx="37">
                  <c:v>92.859245299999998</c:v>
                </c:pt>
                <c:pt idx="38">
                  <c:v>92.685707089999994</c:v>
                </c:pt>
                <c:pt idx="39">
                  <c:v>92.492942810000002</c:v>
                </c:pt>
                <c:pt idx="40">
                  <c:v>92.359840390000002</c:v>
                </c:pt>
                <c:pt idx="41">
                  <c:v>92.193275450000002</c:v>
                </c:pt>
                <c:pt idx="42">
                  <c:v>92.082641600000002</c:v>
                </c:pt>
                <c:pt idx="43">
                  <c:v>92.098861690000007</c:v>
                </c:pt>
                <c:pt idx="44">
                  <c:v>91.979141240000004</c:v>
                </c:pt>
                <c:pt idx="45">
                  <c:v>91.915191649999997</c:v>
                </c:pt>
                <c:pt idx="46">
                  <c:v>91.764526369999999</c:v>
                </c:pt>
                <c:pt idx="47">
                  <c:v>91.631729129999997</c:v>
                </c:pt>
                <c:pt idx="48">
                  <c:v>91.440078740000004</c:v>
                </c:pt>
                <c:pt idx="49">
                  <c:v>91.253639219999997</c:v>
                </c:pt>
                <c:pt idx="50">
                  <c:v>91.087715149999994</c:v>
                </c:pt>
                <c:pt idx="51">
                  <c:v>90.901275630000001</c:v>
                </c:pt>
                <c:pt idx="52">
                  <c:v>90.735351559999998</c:v>
                </c:pt>
                <c:pt idx="53">
                  <c:v>90.71484375</c:v>
                </c:pt>
                <c:pt idx="54">
                  <c:v>90.635154720000003</c:v>
                </c:pt>
                <c:pt idx="55">
                  <c:v>90.598022459999996</c:v>
                </c:pt>
                <c:pt idx="56">
                  <c:v>90.568656919999995</c:v>
                </c:pt>
                <c:pt idx="57">
                  <c:v>90.594779970000005</c:v>
                </c:pt>
                <c:pt idx="58">
                  <c:v>90.590171810000001</c:v>
                </c:pt>
                <c:pt idx="59">
                  <c:v>90.657234189999997</c:v>
                </c:pt>
                <c:pt idx="60">
                  <c:v>90.688446040000002</c:v>
                </c:pt>
                <c:pt idx="61">
                  <c:v>90.763328549999997</c:v>
                </c:pt>
                <c:pt idx="62">
                  <c:v>90.789901729999997</c:v>
                </c:pt>
                <c:pt idx="63">
                  <c:v>90.825447080000004</c:v>
                </c:pt>
                <c:pt idx="64">
                  <c:v>90.834053040000001</c:v>
                </c:pt>
                <c:pt idx="65">
                  <c:v>90.880508419999998</c:v>
                </c:pt>
                <c:pt idx="66">
                  <c:v>90.909606929999995</c:v>
                </c:pt>
                <c:pt idx="67">
                  <c:v>90.952781680000001</c:v>
                </c:pt>
                <c:pt idx="68">
                  <c:v>90.993370060000004</c:v>
                </c:pt>
                <c:pt idx="69">
                  <c:v>91.084487920000001</c:v>
                </c:pt>
                <c:pt idx="70">
                  <c:v>91.093437190000003</c:v>
                </c:pt>
                <c:pt idx="71">
                  <c:v>91.201461789999996</c:v>
                </c:pt>
                <c:pt idx="72">
                  <c:v>91.277564999999996</c:v>
                </c:pt>
                <c:pt idx="73">
                  <c:v>91.327850339999998</c:v>
                </c:pt>
                <c:pt idx="74">
                  <c:v>91.419410709999994</c:v>
                </c:pt>
                <c:pt idx="75">
                  <c:v>91.561264039999998</c:v>
                </c:pt>
                <c:pt idx="76">
                  <c:v>91.649581909999995</c:v>
                </c:pt>
                <c:pt idx="77">
                  <c:v>91.79142761</c:v>
                </c:pt>
                <c:pt idx="78">
                  <c:v>91.879745479999997</c:v>
                </c:pt>
                <c:pt idx="79">
                  <c:v>92.021591189999995</c:v>
                </c:pt>
                <c:pt idx="80">
                  <c:v>92.109909060000007</c:v>
                </c:pt>
                <c:pt idx="81">
                  <c:v>92.639144900000005</c:v>
                </c:pt>
                <c:pt idx="82">
                  <c:v>92.976974490000003</c:v>
                </c:pt>
                <c:pt idx="83">
                  <c:v>93.294471740000006</c:v>
                </c:pt>
                <c:pt idx="84">
                  <c:v>93.62953186</c:v>
                </c:pt>
                <c:pt idx="85">
                  <c:v>94.129997250000002</c:v>
                </c:pt>
                <c:pt idx="86">
                  <c:v>94.400001529999997</c:v>
                </c:pt>
                <c:pt idx="87">
                  <c:v>94.739997860000003</c:v>
                </c:pt>
                <c:pt idx="88">
                  <c:v>94.91999817</c:v>
                </c:pt>
                <c:pt idx="89">
                  <c:v>95.449996949999999</c:v>
                </c:pt>
                <c:pt idx="90">
                  <c:v>95.91999817</c:v>
                </c:pt>
                <c:pt idx="91">
                  <c:v>96.819999690000003</c:v>
                </c:pt>
                <c:pt idx="92">
                  <c:v>97.25</c:v>
                </c:pt>
                <c:pt idx="93">
                  <c:v>97.620002749999998</c:v>
                </c:pt>
                <c:pt idx="94">
                  <c:v>97.989997860000003</c:v>
                </c:pt>
                <c:pt idx="95">
                  <c:v>98.870002749999998</c:v>
                </c:pt>
                <c:pt idx="96">
                  <c:v>99.239997860000003</c:v>
                </c:pt>
                <c:pt idx="97">
                  <c:v>99.959999080000003</c:v>
                </c:pt>
                <c:pt idx="98">
                  <c:v>100.5299988</c:v>
                </c:pt>
                <c:pt idx="99">
                  <c:v>101.13999939999999</c:v>
                </c:pt>
                <c:pt idx="100">
                  <c:v>101.1800003</c:v>
                </c:pt>
                <c:pt idx="101">
                  <c:v>101.25</c:v>
                </c:pt>
                <c:pt idx="102">
                  <c:v>101.23999790000001</c:v>
                </c:pt>
                <c:pt idx="103">
                  <c:v>101.23999790000001</c:v>
                </c:pt>
                <c:pt idx="104">
                  <c:v>101.1900024</c:v>
                </c:pt>
                <c:pt idx="105">
                  <c:v>101.13999939999999</c:v>
                </c:pt>
                <c:pt idx="106">
                  <c:v>101.0899963</c:v>
                </c:pt>
                <c:pt idx="107">
                  <c:v>101.0500031</c:v>
                </c:pt>
                <c:pt idx="108">
                  <c:v>101.25</c:v>
                </c:pt>
                <c:pt idx="109">
                  <c:v>101.1299973</c:v>
                </c:pt>
                <c:pt idx="110">
                  <c:v>101.0999985</c:v>
                </c:pt>
                <c:pt idx="111">
                  <c:v>101.11000060000001</c:v>
                </c:pt>
                <c:pt idx="112">
                  <c:v>101.1200027</c:v>
                </c:pt>
                <c:pt idx="113">
                  <c:v>101.13999939999999</c:v>
                </c:pt>
                <c:pt idx="114">
                  <c:v>101.1600037</c:v>
                </c:pt>
                <c:pt idx="115">
                  <c:v>101.1299973</c:v>
                </c:pt>
              </c:numCache>
            </c:numRef>
          </c:yVal>
          <c:smooth val="0"/>
          <c:extLst>
            <c:ext xmlns:c16="http://schemas.microsoft.com/office/drawing/2014/chart" uri="{C3380CC4-5D6E-409C-BE32-E72D297353CC}">
              <c16:uniqueId val="{00000000-FD7A-41BE-8437-3207FF0C81E9}"/>
            </c:ext>
          </c:extLst>
        </c:ser>
        <c:dLbls>
          <c:showLegendKey val="0"/>
          <c:showVal val="0"/>
          <c:showCatName val="0"/>
          <c:showSerName val="0"/>
          <c:showPercent val="0"/>
          <c:showBubbleSize val="0"/>
        </c:dLbls>
        <c:axId val="2118595232"/>
        <c:axId val="127780640"/>
      </c:scatterChart>
      <c:valAx>
        <c:axId val="2118595232"/>
        <c:scaling>
          <c:orientation val="minMax"/>
          <c:max val="1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←Left Bank                        Distance (m)                           Right Bank→</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7780640"/>
        <c:crosses val="autoZero"/>
        <c:crossBetween val="midCat"/>
      </c:valAx>
      <c:valAx>
        <c:axId val="127780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latin typeface="Times New Roman" panose="02020603050405020304" pitchFamily="18" charset="0"/>
                    <a:cs typeface="Times New Roman" panose="02020603050405020304" pitchFamily="18" charset="0"/>
                  </a:rPr>
                  <a:t>Elevation (m AHD)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1859523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AU"/>
              <a:t>(b) Loch Garry,</a:t>
            </a:r>
            <a:r>
              <a:rPr lang="en-AU" baseline="0"/>
              <a:t> </a:t>
            </a:r>
            <a:r>
              <a:rPr lang="en-AU"/>
              <a:t>Total plants</a:t>
            </a:r>
          </a:p>
        </c:rich>
      </c:tx>
      <c:layout>
        <c:manualLayout>
          <c:xMode val="edge"/>
          <c:yMode val="edge"/>
          <c:x val="0.3733291433450337"/>
          <c:y val="1.5502798595958637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7241553390163576E-2"/>
          <c:y val="7.7527748790437334E-2"/>
          <c:w val="0.8873827706777615"/>
          <c:h val="0.68695474812636381"/>
        </c:manualLayout>
      </c:layout>
      <c:bar3DChart>
        <c:barDir val="col"/>
        <c:grouping val="standard"/>
        <c:varyColors val="0"/>
        <c:ser>
          <c:idx val="4"/>
          <c:order val="0"/>
          <c:tx>
            <c:strRef>
              <c:f>Graphs!$C$31</c:f>
              <c:strCache>
                <c:ptCount val="1"/>
                <c:pt idx="0">
                  <c:v>1a</c:v>
                </c:pt>
              </c:strCache>
            </c:strRef>
          </c:tx>
          <c:spPr>
            <a:solidFill>
              <a:schemeClr val="accent5"/>
            </a:solidFill>
            <a:ln>
              <a:noFill/>
            </a:ln>
            <a:effectLst/>
            <a:sp3d/>
          </c:spPr>
          <c:invertIfNegative val="0"/>
          <c:cat>
            <c:numRef>
              <c:f>Graphs!$A$32:$A$49</c:f>
              <c:numCache>
                <c:formatCode>mm/yyyy</c:formatCode>
                <c:ptCount val="18"/>
                <c:pt idx="0">
                  <c:v>41905</c:v>
                </c:pt>
                <c:pt idx="1">
                  <c:v>41989</c:v>
                </c:pt>
                <c:pt idx="2">
                  <c:v>42263</c:v>
                </c:pt>
                <c:pt idx="3">
                  <c:v>42354</c:v>
                </c:pt>
                <c:pt idx="4">
                  <c:v>42716</c:v>
                </c:pt>
                <c:pt idx="5">
                  <c:v>42787</c:v>
                </c:pt>
                <c:pt idx="6">
                  <c:v>42836</c:v>
                </c:pt>
                <c:pt idx="7">
                  <c:v>42985</c:v>
                </c:pt>
                <c:pt idx="8">
                  <c:v>43083</c:v>
                </c:pt>
                <c:pt idx="9">
                  <c:v>43354</c:v>
                </c:pt>
                <c:pt idx="10">
                  <c:v>43445</c:v>
                </c:pt>
                <c:pt idx="12">
                  <c:v>43725</c:v>
                </c:pt>
                <c:pt idx="13">
                  <c:v>43797</c:v>
                </c:pt>
                <c:pt idx="14">
                  <c:v>43892</c:v>
                </c:pt>
                <c:pt idx="15">
                  <c:v>44139</c:v>
                </c:pt>
                <c:pt idx="16">
                  <c:v>44174</c:v>
                </c:pt>
                <c:pt idx="17">
                  <c:v>44265</c:v>
                </c:pt>
              </c:numCache>
            </c:numRef>
          </c:cat>
          <c:val>
            <c:numRef>
              <c:f>Graphs!$C$32:$C$49</c:f>
              <c:numCache>
                <c:formatCode>0.0</c:formatCode>
                <c:ptCount val="18"/>
                <c:pt idx="0" formatCode="General">
                  <c:v>0</c:v>
                </c:pt>
                <c:pt idx="1">
                  <c:v>18.571428571428573</c:v>
                </c:pt>
                <c:pt idx="2">
                  <c:v>25.555555555555557</c:v>
                </c:pt>
                <c:pt idx="3">
                  <c:v>65.625</c:v>
                </c:pt>
                <c:pt idx="4">
                  <c:v>45.216666666666669</c:v>
                </c:pt>
                <c:pt idx="5">
                  <c:v>0</c:v>
                </c:pt>
                <c:pt idx="6">
                  <c:v>19.849999999999998</c:v>
                </c:pt>
                <c:pt idx="7">
                  <c:v>16.666666666666668</c:v>
                </c:pt>
                <c:pt idx="8">
                  <c:v>0</c:v>
                </c:pt>
                <c:pt idx="9">
                  <c:v>20</c:v>
                </c:pt>
                <c:pt idx="10">
                  <c:v>22.449999999999996</c:v>
                </c:pt>
                <c:pt idx="12">
                  <c:v>19.583333333333332</c:v>
                </c:pt>
                <c:pt idx="13">
                  <c:v>0</c:v>
                </c:pt>
                <c:pt idx="14">
                  <c:v>2.1428571428571428</c:v>
                </c:pt>
                <c:pt idx="15">
                  <c:v>42.727272727272727</c:v>
                </c:pt>
                <c:pt idx="16">
                  <c:v>0.7142857142857143</c:v>
                </c:pt>
                <c:pt idx="17">
                  <c:v>6</c:v>
                </c:pt>
              </c:numCache>
            </c:numRef>
          </c:val>
          <c:extLst>
            <c:ext xmlns:c16="http://schemas.microsoft.com/office/drawing/2014/chart" uri="{C3380CC4-5D6E-409C-BE32-E72D297353CC}">
              <c16:uniqueId val="{00000000-97D8-42C6-B91E-EFCC2C51DB0A}"/>
            </c:ext>
          </c:extLst>
        </c:ser>
        <c:ser>
          <c:idx val="5"/>
          <c:order val="1"/>
          <c:tx>
            <c:strRef>
              <c:f>Graphs!$D$31</c:f>
              <c:strCache>
                <c:ptCount val="1"/>
                <c:pt idx="0">
                  <c:v>1b</c:v>
                </c:pt>
              </c:strCache>
            </c:strRef>
          </c:tx>
          <c:spPr>
            <a:solidFill>
              <a:schemeClr val="accent6"/>
            </a:solidFill>
            <a:ln>
              <a:noFill/>
            </a:ln>
            <a:effectLst/>
            <a:sp3d/>
          </c:spPr>
          <c:invertIfNegative val="0"/>
          <c:cat>
            <c:numRef>
              <c:f>Graphs!$A$32:$A$49</c:f>
              <c:numCache>
                <c:formatCode>mm/yyyy</c:formatCode>
                <c:ptCount val="18"/>
                <c:pt idx="0">
                  <c:v>41905</c:v>
                </c:pt>
                <c:pt idx="1">
                  <c:v>41989</c:v>
                </c:pt>
                <c:pt idx="2">
                  <c:v>42263</c:v>
                </c:pt>
                <c:pt idx="3">
                  <c:v>42354</c:v>
                </c:pt>
                <c:pt idx="4">
                  <c:v>42716</c:v>
                </c:pt>
                <c:pt idx="5">
                  <c:v>42787</c:v>
                </c:pt>
                <c:pt idx="6">
                  <c:v>42836</c:v>
                </c:pt>
                <c:pt idx="7">
                  <c:v>42985</c:v>
                </c:pt>
                <c:pt idx="8">
                  <c:v>43083</c:v>
                </c:pt>
                <c:pt idx="9">
                  <c:v>43354</c:v>
                </c:pt>
                <c:pt idx="10">
                  <c:v>43445</c:v>
                </c:pt>
                <c:pt idx="12">
                  <c:v>43725</c:v>
                </c:pt>
                <c:pt idx="13">
                  <c:v>43797</c:v>
                </c:pt>
                <c:pt idx="14">
                  <c:v>43892</c:v>
                </c:pt>
                <c:pt idx="15">
                  <c:v>44139</c:v>
                </c:pt>
                <c:pt idx="16">
                  <c:v>44174</c:v>
                </c:pt>
                <c:pt idx="17">
                  <c:v>44265</c:v>
                </c:pt>
              </c:numCache>
            </c:numRef>
          </c:cat>
          <c:val>
            <c:numRef>
              <c:f>Graphs!$D$32:$D$49</c:f>
              <c:numCache>
                <c:formatCode>0.0</c:formatCode>
                <c:ptCount val="18"/>
                <c:pt idx="0" formatCode="General">
                  <c:v>0</c:v>
                </c:pt>
                <c:pt idx="1">
                  <c:v>17.5</c:v>
                </c:pt>
                <c:pt idx="2">
                  <c:v>12.5</c:v>
                </c:pt>
                <c:pt idx="3">
                  <c:v>68.75</c:v>
                </c:pt>
                <c:pt idx="4">
                  <c:v>62.977777777777774</c:v>
                </c:pt>
                <c:pt idx="5">
                  <c:v>51.855555555555554</c:v>
                </c:pt>
                <c:pt idx="6">
                  <c:v>78.550000000000011</c:v>
                </c:pt>
                <c:pt idx="7">
                  <c:v>33.75</c:v>
                </c:pt>
                <c:pt idx="8">
                  <c:v>0</c:v>
                </c:pt>
                <c:pt idx="9">
                  <c:v>45.058749999999996</c:v>
                </c:pt>
                <c:pt idx="10">
                  <c:v>33.333333333333336</c:v>
                </c:pt>
                <c:pt idx="12">
                  <c:v>31.875</c:v>
                </c:pt>
                <c:pt idx="13">
                  <c:v>52.777777777777779</c:v>
                </c:pt>
                <c:pt idx="14">
                  <c:v>38.333333333333336</c:v>
                </c:pt>
                <c:pt idx="15">
                  <c:v>4.2857142857142856</c:v>
                </c:pt>
                <c:pt idx="16">
                  <c:v>7.2222222222222223</c:v>
                </c:pt>
                <c:pt idx="17">
                  <c:v>58.125</c:v>
                </c:pt>
              </c:numCache>
            </c:numRef>
          </c:val>
          <c:extLst>
            <c:ext xmlns:c16="http://schemas.microsoft.com/office/drawing/2014/chart" uri="{C3380CC4-5D6E-409C-BE32-E72D297353CC}">
              <c16:uniqueId val="{00000001-97D8-42C6-B91E-EFCC2C51DB0A}"/>
            </c:ext>
          </c:extLst>
        </c:ser>
        <c:ser>
          <c:idx val="1"/>
          <c:order val="2"/>
          <c:tx>
            <c:strRef>
              <c:f>Graphs!$E$31</c:f>
              <c:strCache>
                <c:ptCount val="1"/>
                <c:pt idx="0">
                  <c:v>2</c:v>
                </c:pt>
              </c:strCache>
            </c:strRef>
          </c:tx>
          <c:spPr>
            <a:solidFill>
              <a:schemeClr val="accent2"/>
            </a:solidFill>
            <a:ln>
              <a:noFill/>
            </a:ln>
            <a:effectLst/>
            <a:sp3d/>
          </c:spPr>
          <c:invertIfNegative val="0"/>
          <c:cat>
            <c:numRef>
              <c:f>Graphs!$A$32:$A$49</c:f>
              <c:numCache>
                <c:formatCode>mm/yyyy</c:formatCode>
                <c:ptCount val="18"/>
                <c:pt idx="0">
                  <c:v>41905</c:v>
                </c:pt>
                <c:pt idx="1">
                  <c:v>41989</c:v>
                </c:pt>
                <c:pt idx="2">
                  <c:v>42263</c:v>
                </c:pt>
                <c:pt idx="3">
                  <c:v>42354</c:v>
                </c:pt>
                <c:pt idx="4">
                  <c:v>42716</c:v>
                </c:pt>
                <c:pt idx="5">
                  <c:v>42787</c:v>
                </c:pt>
                <c:pt idx="6">
                  <c:v>42836</c:v>
                </c:pt>
                <c:pt idx="7">
                  <c:v>42985</c:v>
                </c:pt>
                <c:pt idx="8">
                  <c:v>43083</c:v>
                </c:pt>
                <c:pt idx="9">
                  <c:v>43354</c:v>
                </c:pt>
                <c:pt idx="10">
                  <c:v>43445</c:v>
                </c:pt>
                <c:pt idx="12">
                  <c:v>43725</c:v>
                </c:pt>
                <c:pt idx="13">
                  <c:v>43797</c:v>
                </c:pt>
                <c:pt idx="14">
                  <c:v>43892</c:v>
                </c:pt>
                <c:pt idx="15">
                  <c:v>44139</c:v>
                </c:pt>
                <c:pt idx="16">
                  <c:v>44174</c:v>
                </c:pt>
                <c:pt idx="17">
                  <c:v>44265</c:v>
                </c:pt>
              </c:numCache>
            </c:numRef>
          </c:cat>
          <c:val>
            <c:numRef>
              <c:f>Graphs!$E$32:$E$49</c:f>
              <c:numCache>
                <c:formatCode>0.0</c:formatCode>
                <c:ptCount val="18"/>
                <c:pt idx="0" formatCode="General">
                  <c:v>25</c:v>
                </c:pt>
                <c:pt idx="1">
                  <c:v>30</c:v>
                </c:pt>
                <c:pt idx="2">
                  <c:v>43.80952380952381</c:v>
                </c:pt>
                <c:pt idx="3">
                  <c:v>50</c:v>
                </c:pt>
                <c:pt idx="4">
                  <c:v>52.142105263157895</c:v>
                </c:pt>
                <c:pt idx="5">
                  <c:v>63.349999999999987</c:v>
                </c:pt>
                <c:pt idx="6">
                  <c:v>80.972222222222229</c:v>
                </c:pt>
                <c:pt idx="7">
                  <c:v>66.25</c:v>
                </c:pt>
                <c:pt idx="8">
                  <c:v>58.009090909090908</c:v>
                </c:pt>
                <c:pt idx="9">
                  <c:v>87.411249999999995</c:v>
                </c:pt>
                <c:pt idx="10">
                  <c:v>77.191578947368413</c:v>
                </c:pt>
                <c:pt idx="12">
                  <c:v>62.5</c:v>
                </c:pt>
                <c:pt idx="13">
                  <c:v>69.736842105263165</c:v>
                </c:pt>
                <c:pt idx="14">
                  <c:v>84.21052631578948</c:v>
                </c:pt>
                <c:pt idx="15">
                  <c:v>54.411764705882355</c:v>
                </c:pt>
                <c:pt idx="16">
                  <c:v>63.94736842105263</c:v>
                </c:pt>
                <c:pt idx="17">
                  <c:v>68.055555555555557</c:v>
                </c:pt>
              </c:numCache>
            </c:numRef>
          </c:val>
          <c:extLst>
            <c:ext xmlns:c16="http://schemas.microsoft.com/office/drawing/2014/chart" uri="{C3380CC4-5D6E-409C-BE32-E72D297353CC}">
              <c16:uniqueId val="{00000002-97D8-42C6-B91E-EFCC2C51DB0A}"/>
            </c:ext>
          </c:extLst>
        </c:ser>
        <c:ser>
          <c:idx val="2"/>
          <c:order val="3"/>
          <c:tx>
            <c:strRef>
              <c:f>Graphs!$F$31</c:f>
              <c:strCache>
                <c:ptCount val="1"/>
                <c:pt idx="0">
                  <c:v>3</c:v>
                </c:pt>
              </c:strCache>
            </c:strRef>
          </c:tx>
          <c:spPr>
            <a:solidFill>
              <a:schemeClr val="accent3"/>
            </a:solidFill>
            <a:ln>
              <a:noFill/>
            </a:ln>
            <a:effectLst/>
            <a:sp3d/>
          </c:spPr>
          <c:invertIfNegative val="0"/>
          <c:cat>
            <c:numRef>
              <c:f>Graphs!$A$32:$A$49</c:f>
              <c:numCache>
                <c:formatCode>mm/yyyy</c:formatCode>
                <c:ptCount val="18"/>
                <c:pt idx="0">
                  <c:v>41905</c:v>
                </c:pt>
                <c:pt idx="1">
                  <c:v>41989</c:v>
                </c:pt>
                <c:pt idx="2">
                  <c:v>42263</c:v>
                </c:pt>
                <c:pt idx="3">
                  <c:v>42354</c:v>
                </c:pt>
                <c:pt idx="4">
                  <c:v>42716</c:v>
                </c:pt>
                <c:pt idx="5">
                  <c:v>42787</c:v>
                </c:pt>
                <c:pt idx="6">
                  <c:v>42836</c:v>
                </c:pt>
                <c:pt idx="7">
                  <c:v>42985</c:v>
                </c:pt>
                <c:pt idx="8">
                  <c:v>43083</c:v>
                </c:pt>
                <c:pt idx="9">
                  <c:v>43354</c:v>
                </c:pt>
                <c:pt idx="10">
                  <c:v>43445</c:v>
                </c:pt>
                <c:pt idx="12">
                  <c:v>43725</c:v>
                </c:pt>
                <c:pt idx="13">
                  <c:v>43797</c:v>
                </c:pt>
                <c:pt idx="14">
                  <c:v>43892</c:v>
                </c:pt>
                <c:pt idx="15">
                  <c:v>44139</c:v>
                </c:pt>
                <c:pt idx="16">
                  <c:v>44174</c:v>
                </c:pt>
                <c:pt idx="17">
                  <c:v>44265</c:v>
                </c:pt>
              </c:numCache>
            </c:numRef>
          </c:cat>
          <c:val>
            <c:numRef>
              <c:f>Graphs!$F$32:$F$49</c:f>
              <c:numCache>
                <c:formatCode>0.0</c:formatCode>
                <c:ptCount val="18"/>
                <c:pt idx="0" formatCode="General">
                  <c:v>60</c:v>
                </c:pt>
                <c:pt idx="1">
                  <c:v>67.040816326530617</c:v>
                </c:pt>
                <c:pt idx="2">
                  <c:v>82.954545454545453</c:v>
                </c:pt>
                <c:pt idx="3">
                  <c:v>82.222222222222229</c:v>
                </c:pt>
                <c:pt idx="4">
                  <c:v>73.17</c:v>
                </c:pt>
                <c:pt idx="5">
                  <c:v>90.774000000000015</c:v>
                </c:pt>
                <c:pt idx="6">
                  <c:v>109.33404255319151</c:v>
                </c:pt>
                <c:pt idx="7">
                  <c:v>93.61702127659575</c:v>
                </c:pt>
                <c:pt idx="8">
                  <c:v>86.44285714285715</c:v>
                </c:pt>
                <c:pt idx="9">
                  <c:v>101.33212765957448</c:v>
                </c:pt>
                <c:pt idx="10">
                  <c:v>116.47459999999997</c:v>
                </c:pt>
                <c:pt idx="12">
                  <c:v>84.2</c:v>
                </c:pt>
                <c:pt idx="13">
                  <c:v>100.5</c:v>
                </c:pt>
                <c:pt idx="14">
                  <c:v>94.1</c:v>
                </c:pt>
                <c:pt idx="15">
                  <c:v>92.5</c:v>
                </c:pt>
                <c:pt idx="16">
                  <c:v>104.6</c:v>
                </c:pt>
                <c:pt idx="17">
                  <c:v>83.8</c:v>
                </c:pt>
              </c:numCache>
            </c:numRef>
          </c:val>
          <c:extLst>
            <c:ext xmlns:c16="http://schemas.microsoft.com/office/drawing/2014/chart" uri="{C3380CC4-5D6E-409C-BE32-E72D297353CC}">
              <c16:uniqueId val="{00000003-97D8-42C6-B91E-EFCC2C51DB0A}"/>
            </c:ext>
          </c:extLst>
        </c:ser>
        <c:ser>
          <c:idx val="3"/>
          <c:order val="4"/>
          <c:tx>
            <c:strRef>
              <c:f>Graphs!$G$31</c:f>
              <c:strCache>
                <c:ptCount val="1"/>
                <c:pt idx="0">
                  <c:v>4</c:v>
                </c:pt>
              </c:strCache>
            </c:strRef>
          </c:tx>
          <c:spPr>
            <a:solidFill>
              <a:schemeClr val="accent4"/>
            </a:solidFill>
            <a:ln>
              <a:noFill/>
            </a:ln>
            <a:effectLst/>
            <a:sp3d/>
          </c:spPr>
          <c:invertIfNegative val="0"/>
          <c:cat>
            <c:numRef>
              <c:f>Graphs!$A$32:$A$49</c:f>
              <c:numCache>
                <c:formatCode>mm/yyyy</c:formatCode>
                <c:ptCount val="18"/>
                <c:pt idx="0">
                  <c:v>41905</c:v>
                </c:pt>
                <c:pt idx="1">
                  <c:v>41989</c:v>
                </c:pt>
                <c:pt idx="2">
                  <c:v>42263</c:v>
                </c:pt>
                <c:pt idx="3">
                  <c:v>42354</c:v>
                </c:pt>
                <c:pt idx="4">
                  <c:v>42716</c:v>
                </c:pt>
                <c:pt idx="5">
                  <c:v>42787</c:v>
                </c:pt>
                <c:pt idx="6">
                  <c:v>42836</c:v>
                </c:pt>
                <c:pt idx="7">
                  <c:v>42985</c:v>
                </c:pt>
                <c:pt idx="8">
                  <c:v>43083</c:v>
                </c:pt>
                <c:pt idx="9">
                  <c:v>43354</c:v>
                </c:pt>
                <c:pt idx="10">
                  <c:v>43445</c:v>
                </c:pt>
                <c:pt idx="12">
                  <c:v>43725</c:v>
                </c:pt>
                <c:pt idx="13">
                  <c:v>43797</c:v>
                </c:pt>
                <c:pt idx="14">
                  <c:v>43892</c:v>
                </c:pt>
                <c:pt idx="15">
                  <c:v>44139</c:v>
                </c:pt>
                <c:pt idx="16">
                  <c:v>44174</c:v>
                </c:pt>
                <c:pt idx="17">
                  <c:v>44265</c:v>
                </c:pt>
              </c:numCache>
            </c:numRef>
          </c:cat>
          <c:val>
            <c:numRef>
              <c:f>Graphs!$G$32:$G$49</c:f>
              <c:numCache>
                <c:formatCode>0.0</c:formatCode>
                <c:ptCount val="18"/>
                <c:pt idx="0" formatCode="General">
                  <c:v>98.620689655172413</c:v>
                </c:pt>
                <c:pt idx="1">
                  <c:v>72.5</c:v>
                </c:pt>
                <c:pt idx="2">
                  <c:v>94.736842105263165</c:v>
                </c:pt>
                <c:pt idx="3">
                  <c:v>56.315789473684212</c:v>
                </c:pt>
                <c:pt idx="4">
                  <c:v>72.509090909090901</c:v>
                </c:pt>
                <c:pt idx="5">
                  <c:v>74.045000000000002</c:v>
                </c:pt>
                <c:pt idx="6">
                  <c:v>89.994736842105269</c:v>
                </c:pt>
                <c:pt idx="7">
                  <c:v>103.08888888888889</c:v>
                </c:pt>
                <c:pt idx="8">
                  <c:v>77.961538461538467</c:v>
                </c:pt>
                <c:pt idx="9">
                  <c:v>98.146666666666661</c:v>
                </c:pt>
                <c:pt idx="10">
                  <c:v>93.094000000000008</c:v>
                </c:pt>
                <c:pt idx="12">
                  <c:v>92.5</c:v>
                </c:pt>
                <c:pt idx="13">
                  <c:v>69</c:v>
                </c:pt>
                <c:pt idx="14">
                  <c:v>63</c:v>
                </c:pt>
                <c:pt idx="15">
                  <c:v>114.16666666666667</c:v>
                </c:pt>
                <c:pt idx="16">
                  <c:v>75.5</c:v>
                </c:pt>
                <c:pt idx="17">
                  <c:v>48.75</c:v>
                </c:pt>
              </c:numCache>
            </c:numRef>
          </c:val>
          <c:extLst>
            <c:ext xmlns:c16="http://schemas.microsoft.com/office/drawing/2014/chart" uri="{C3380CC4-5D6E-409C-BE32-E72D297353CC}">
              <c16:uniqueId val="{00000004-97D8-42C6-B91E-EFCC2C51DB0A}"/>
            </c:ext>
          </c:extLst>
        </c:ser>
        <c:dLbls>
          <c:showLegendKey val="0"/>
          <c:showVal val="0"/>
          <c:showCatName val="0"/>
          <c:showSerName val="0"/>
          <c:showPercent val="0"/>
          <c:showBubbleSize val="0"/>
        </c:dLbls>
        <c:gapWidth val="0"/>
        <c:gapDepth val="100"/>
        <c:shape val="box"/>
        <c:axId val="927740720"/>
        <c:axId val="927738752"/>
        <c:axId val="861109936"/>
      </c:bar3DChart>
      <c:dateAx>
        <c:axId val="927740720"/>
        <c:scaling>
          <c:orientation val="minMax"/>
        </c:scaling>
        <c:delete val="0"/>
        <c:axPos val="b"/>
        <c:numFmt formatCode="mm/yy" sourceLinked="0"/>
        <c:majorTickMark val="none"/>
        <c:minorTickMark val="none"/>
        <c:tickLblPos val="nextTo"/>
        <c:spPr>
          <a:noFill/>
          <a:ln>
            <a:noFill/>
          </a:ln>
          <a:effectLst/>
        </c:spPr>
        <c:txPr>
          <a:bodyPr rot="-4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38752"/>
        <c:crosses val="autoZero"/>
        <c:auto val="1"/>
        <c:lblOffset val="100"/>
        <c:baseTimeUnit val="months"/>
        <c:majorUnit val="3"/>
        <c:majorTimeUnit val="months"/>
      </c:dateAx>
      <c:valAx>
        <c:axId val="927738752"/>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FPC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40720"/>
        <c:crosses val="autoZero"/>
        <c:crossBetween val="between"/>
        <c:majorUnit val="20"/>
        <c:minorUnit val="5"/>
      </c:valAx>
      <c:serAx>
        <c:axId val="861109936"/>
        <c:scaling>
          <c:orientation val="minMax"/>
        </c:scaling>
        <c:delete val="1"/>
        <c:axPos val="b"/>
        <c:majorTickMark val="none"/>
        <c:minorTickMark val="none"/>
        <c:tickLblPos val="nextTo"/>
        <c:crossAx val="927738752"/>
        <c:crosses val="autoZero"/>
        <c:tickLblSkip val="1"/>
      </c:serAx>
      <c:spPr>
        <a:noFill/>
        <a:ln>
          <a:noFill/>
        </a:ln>
        <a:effectLst/>
      </c:spPr>
    </c:plotArea>
    <c:legend>
      <c:legendPos val="b"/>
      <c:layout>
        <c:manualLayout>
          <c:xMode val="edge"/>
          <c:yMode val="edge"/>
          <c:x val="0.70102795885454083"/>
          <c:y val="4.0607627359833025E-2"/>
          <c:w val="0.26602293456042092"/>
          <c:h val="9.740327913556259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AU"/>
              <a:t>(c) McCoys Bridge,</a:t>
            </a:r>
            <a:r>
              <a:rPr lang="en-AU" baseline="0"/>
              <a:t> </a:t>
            </a:r>
            <a:r>
              <a:rPr lang="en-AU"/>
              <a:t> Water Dependant spp.</a:t>
            </a:r>
          </a:p>
        </c:rich>
      </c:tx>
      <c:layout>
        <c:manualLayout>
          <c:xMode val="edge"/>
          <c:yMode val="edge"/>
          <c:x val="0.31062190678421231"/>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5864493682475738E-2"/>
          <c:y val="3.373293889444922E-2"/>
          <c:w val="0.88705878044314224"/>
          <c:h val="0.78699237398474808"/>
        </c:manualLayout>
      </c:layout>
      <c:bar3DChart>
        <c:barDir val="col"/>
        <c:grouping val="standard"/>
        <c:varyColors val="0"/>
        <c:ser>
          <c:idx val="4"/>
          <c:order val="0"/>
          <c:tx>
            <c:strRef>
              <c:f>Graphs!$I$6</c:f>
              <c:strCache>
                <c:ptCount val="1"/>
                <c:pt idx="0">
                  <c:v>1a</c:v>
                </c:pt>
              </c:strCache>
            </c:strRef>
          </c:tx>
          <c:spPr>
            <a:solidFill>
              <a:schemeClr val="accent5"/>
            </a:solidFill>
            <a:ln>
              <a:noFill/>
            </a:ln>
            <a:effectLst/>
            <a:sp3d/>
          </c:spPr>
          <c:invertIfNegative val="0"/>
          <c:cat>
            <c:numRef>
              <c:f>Graphs!$H$7:$H$24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Graphs!$I$7:$I$24</c:f>
              <c:numCache>
                <c:formatCode>0</c:formatCode>
                <c:ptCount val="18"/>
                <c:pt idx="0">
                  <c:v>0</c:v>
                </c:pt>
                <c:pt idx="1">
                  <c:v>1</c:v>
                </c:pt>
                <c:pt idx="2">
                  <c:v>11.25</c:v>
                </c:pt>
                <c:pt idx="3">
                  <c:v>32.142857142857146</c:v>
                </c:pt>
                <c:pt idx="4">
                  <c:v>18.25</c:v>
                </c:pt>
                <c:pt idx="5">
                  <c:v>25.583333333333332</c:v>
                </c:pt>
                <c:pt idx="6">
                  <c:v>17.678571428571427</c:v>
                </c:pt>
                <c:pt idx="7">
                  <c:v>6.1111111111111107</c:v>
                </c:pt>
                <c:pt idx="8">
                  <c:v>0</c:v>
                </c:pt>
                <c:pt idx="9">
                  <c:v>0.83333333333333337</c:v>
                </c:pt>
                <c:pt idx="10">
                  <c:v>16.015454545454546</c:v>
                </c:pt>
                <c:pt idx="11">
                  <c:v>9.9208333333333325</c:v>
                </c:pt>
                <c:pt idx="12">
                  <c:v>14.166666666666666</c:v>
                </c:pt>
                <c:pt idx="13">
                  <c:v>13</c:v>
                </c:pt>
                <c:pt idx="14">
                  <c:v>10.909090909090908</c:v>
                </c:pt>
                <c:pt idx="15">
                  <c:v>0</c:v>
                </c:pt>
                <c:pt idx="16" formatCode="General">
                  <c:v>0</c:v>
                </c:pt>
                <c:pt idx="17" formatCode="General">
                  <c:v>15</c:v>
                </c:pt>
              </c:numCache>
            </c:numRef>
          </c:val>
          <c:extLst>
            <c:ext xmlns:c16="http://schemas.microsoft.com/office/drawing/2014/chart" uri="{C3380CC4-5D6E-409C-BE32-E72D297353CC}">
              <c16:uniqueId val="{00000000-28ED-4BE1-9FE7-002736324197}"/>
            </c:ext>
          </c:extLst>
        </c:ser>
        <c:ser>
          <c:idx val="5"/>
          <c:order val="1"/>
          <c:tx>
            <c:strRef>
              <c:f>Graphs!$J$6</c:f>
              <c:strCache>
                <c:ptCount val="1"/>
                <c:pt idx="0">
                  <c:v>1b</c:v>
                </c:pt>
              </c:strCache>
            </c:strRef>
          </c:tx>
          <c:spPr>
            <a:solidFill>
              <a:schemeClr val="accent6"/>
            </a:solidFill>
            <a:ln>
              <a:noFill/>
            </a:ln>
            <a:effectLst/>
            <a:sp3d/>
          </c:spPr>
          <c:invertIfNegative val="0"/>
          <c:cat>
            <c:numRef>
              <c:f>Graphs!$H$7:$H$24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Graphs!$J$7:$J$24</c:f>
              <c:numCache>
                <c:formatCode>0.0</c:formatCode>
                <c:ptCount val="18"/>
                <c:pt idx="0" formatCode="General">
                  <c:v>12</c:v>
                </c:pt>
                <c:pt idx="1">
                  <c:v>21.25</c:v>
                </c:pt>
                <c:pt idx="2">
                  <c:v>28.75</c:v>
                </c:pt>
                <c:pt idx="3">
                  <c:v>47.222222222222221</c:v>
                </c:pt>
                <c:pt idx="4">
                  <c:v>30.813333333333336</c:v>
                </c:pt>
                <c:pt idx="5">
                  <c:v>77.793333333333337</c:v>
                </c:pt>
                <c:pt idx="6">
                  <c:v>51.74666666666667</c:v>
                </c:pt>
                <c:pt idx="7">
                  <c:v>35.333333333333336</c:v>
                </c:pt>
                <c:pt idx="8">
                  <c:v>15.845454545454546</c:v>
                </c:pt>
                <c:pt idx="9">
                  <c:v>14.268571428571429</c:v>
                </c:pt>
                <c:pt idx="10">
                  <c:v>40.293846153846147</c:v>
                </c:pt>
                <c:pt idx="11">
                  <c:v>36.055</c:v>
                </c:pt>
                <c:pt idx="12">
                  <c:v>26.923076923076923</c:v>
                </c:pt>
                <c:pt idx="13">
                  <c:v>25.714285714285715</c:v>
                </c:pt>
                <c:pt idx="14">
                  <c:v>33.333333333333336</c:v>
                </c:pt>
                <c:pt idx="15">
                  <c:v>4.0909090909090908</c:v>
                </c:pt>
                <c:pt idx="16">
                  <c:v>7.6923076923076925</c:v>
                </c:pt>
                <c:pt idx="17">
                  <c:v>74.666666666666671</c:v>
                </c:pt>
              </c:numCache>
            </c:numRef>
          </c:val>
          <c:extLst>
            <c:ext xmlns:c16="http://schemas.microsoft.com/office/drawing/2014/chart" uri="{C3380CC4-5D6E-409C-BE32-E72D297353CC}">
              <c16:uniqueId val="{00000001-28ED-4BE1-9FE7-002736324197}"/>
            </c:ext>
          </c:extLst>
        </c:ser>
        <c:ser>
          <c:idx val="1"/>
          <c:order val="2"/>
          <c:tx>
            <c:strRef>
              <c:f>Graphs!$K$6</c:f>
              <c:strCache>
                <c:ptCount val="1"/>
                <c:pt idx="0">
                  <c:v>2</c:v>
                </c:pt>
              </c:strCache>
            </c:strRef>
          </c:tx>
          <c:spPr>
            <a:solidFill>
              <a:schemeClr val="accent2"/>
            </a:solidFill>
            <a:ln>
              <a:noFill/>
            </a:ln>
            <a:effectLst/>
            <a:sp3d/>
          </c:spPr>
          <c:invertIfNegative val="0"/>
          <c:cat>
            <c:numRef>
              <c:f>Graphs!$H$7:$H$24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Graphs!$K$7:$K$24</c:f>
              <c:numCache>
                <c:formatCode>0.0</c:formatCode>
                <c:ptCount val="18"/>
                <c:pt idx="0" formatCode="General">
                  <c:v>23</c:v>
                </c:pt>
                <c:pt idx="1">
                  <c:v>24.285714285714285</c:v>
                </c:pt>
                <c:pt idx="2">
                  <c:v>30.714285714285715</c:v>
                </c:pt>
                <c:pt idx="3">
                  <c:v>56</c:v>
                </c:pt>
                <c:pt idx="4">
                  <c:v>26.669999999999998</c:v>
                </c:pt>
                <c:pt idx="5">
                  <c:v>49.649999999999991</c:v>
                </c:pt>
                <c:pt idx="6">
                  <c:v>43.325000000000003</c:v>
                </c:pt>
                <c:pt idx="7">
                  <c:v>33.421052631578945</c:v>
                </c:pt>
                <c:pt idx="8">
                  <c:v>23.762500000000003</c:v>
                </c:pt>
                <c:pt idx="9">
                  <c:v>29.4</c:v>
                </c:pt>
                <c:pt idx="10">
                  <c:v>37.856999999999999</c:v>
                </c:pt>
                <c:pt idx="11">
                  <c:v>43.763809523809527</c:v>
                </c:pt>
                <c:pt idx="12">
                  <c:v>21.666666666666668</c:v>
                </c:pt>
                <c:pt idx="13">
                  <c:v>27.857142857142858</c:v>
                </c:pt>
                <c:pt idx="14">
                  <c:v>33.80952380952381</c:v>
                </c:pt>
                <c:pt idx="15">
                  <c:v>15.526315789473685</c:v>
                </c:pt>
                <c:pt idx="16">
                  <c:v>20.25</c:v>
                </c:pt>
                <c:pt idx="17">
                  <c:v>41.75</c:v>
                </c:pt>
              </c:numCache>
            </c:numRef>
          </c:val>
          <c:extLst>
            <c:ext xmlns:c16="http://schemas.microsoft.com/office/drawing/2014/chart" uri="{C3380CC4-5D6E-409C-BE32-E72D297353CC}">
              <c16:uniqueId val="{00000002-28ED-4BE1-9FE7-002736324197}"/>
            </c:ext>
          </c:extLst>
        </c:ser>
        <c:ser>
          <c:idx val="2"/>
          <c:order val="3"/>
          <c:tx>
            <c:strRef>
              <c:f>Graphs!$L$6</c:f>
              <c:strCache>
                <c:ptCount val="1"/>
                <c:pt idx="0">
                  <c:v>3</c:v>
                </c:pt>
              </c:strCache>
            </c:strRef>
          </c:tx>
          <c:spPr>
            <a:solidFill>
              <a:schemeClr val="accent3"/>
            </a:solidFill>
            <a:ln>
              <a:noFill/>
            </a:ln>
            <a:effectLst/>
            <a:sp3d/>
          </c:spPr>
          <c:invertIfNegative val="0"/>
          <c:cat>
            <c:numRef>
              <c:f>Graphs!$H$7:$H$24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Graphs!$L$7:$L$24</c:f>
              <c:numCache>
                <c:formatCode>0.0</c:formatCode>
                <c:ptCount val="18"/>
                <c:pt idx="0" formatCode="General">
                  <c:v>22.692307692307693</c:v>
                </c:pt>
                <c:pt idx="1">
                  <c:v>29.107142857142858</c:v>
                </c:pt>
                <c:pt idx="2">
                  <c:v>17.5</c:v>
                </c:pt>
                <c:pt idx="3">
                  <c:v>25.535714285714285</c:v>
                </c:pt>
                <c:pt idx="4">
                  <c:v>20.172727272727272</c:v>
                </c:pt>
                <c:pt idx="5">
                  <c:v>26.770370370370365</c:v>
                </c:pt>
                <c:pt idx="6">
                  <c:v>32.587499999999999</c:v>
                </c:pt>
                <c:pt idx="7">
                  <c:v>22.636363636363637</c:v>
                </c:pt>
                <c:pt idx="8">
                  <c:v>25.282142857142851</c:v>
                </c:pt>
                <c:pt idx="9">
                  <c:v>22.397719298245612</c:v>
                </c:pt>
                <c:pt idx="10">
                  <c:v>30.768846153846155</c:v>
                </c:pt>
                <c:pt idx="11">
                  <c:v>24.404464285714283</c:v>
                </c:pt>
                <c:pt idx="12">
                  <c:v>18.571428571428573</c:v>
                </c:pt>
                <c:pt idx="13">
                  <c:v>23.482142857142858</c:v>
                </c:pt>
                <c:pt idx="14">
                  <c:v>18.75</c:v>
                </c:pt>
                <c:pt idx="15">
                  <c:v>21.851851851851851</c:v>
                </c:pt>
                <c:pt idx="16">
                  <c:v>29.722222222222221</c:v>
                </c:pt>
                <c:pt idx="17">
                  <c:v>26.363636363636363</c:v>
                </c:pt>
              </c:numCache>
            </c:numRef>
          </c:val>
          <c:extLst>
            <c:ext xmlns:c16="http://schemas.microsoft.com/office/drawing/2014/chart" uri="{C3380CC4-5D6E-409C-BE32-E72D297353CC}">
              <c16:uniqueId val="{00000003-28ED-4BE1-9FE7-002736324197}"/>
            </c:ext>
          </c:extLst>
        </c:ser>
        <c:ser>
          <c:idx val="3"/>
          <c:order val="4"/>
          <c:tx>
            <c:strRef>
              <c:f>Graphs!$M$6</c:f>
              <c:strCache>
                <c:ptCount val="1"/>
                <c:pt idx="0">
                  <c:v>4</c:v>
                </c:pt>
              </c:strCache>
            </c:strRef>
          </c:tx>
          <c:spPr>
            <a:solidFill>
              <a:schemeClr val="accent4"/>
            </a:solidFill>
            <a:ln>
              <a:noFill/>
            </a:ln>
            <a:effectLst/>
            <a:sp3d/>
          </c:spPr>
          <c:invertIfNegative val="0"/>
          <c:cat>
            <c:numRef>
              <c:f>Graphs!$H$7:$H$24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Graphs!$M$7:$M$24</c:f>
              <c:numCache>
                <c:formatCode>0.0</c:formatCode>
                <c:ptCount val="18"/>
                <c:pt idx="0" formatCode="General">
                  <c:v>13.962264150943396</c:v>
                </c:pt>
                <c:pt idx="1">
                  <c:v>33.157894736842103</c:v>
                </c:pt>
                <c:pt idx="2">
                  <c:v>13.275862068965518</c:v>
                </c:pt>
                <c:pt idx="3">
                  <c:v>22.666666666666668</c:v>
                </c:pt>
                <c:pt idx="4">
                  <c:v>15.314285714285715</c:v>
                </c:pt>
                <c:pt idx="5">
                  <c:v>22.229629629629631</c:v>
                </c:pt>
                <c:pt idx="6">
                  <c:v>19.459259259259259</c:v>
                </c:pt>
                <c:pt idx="7">
                  <c:v>13.028571428571428</c:v>
                </c:pt>
                <c:pt idx="8">
                  <c:v>10.685185185185185</c:v>
                </c:pt>
                <c:pt idx="9">
                  <c:v>8.6289655172413795</c:v>
                </c:pt>
                <c:pt idx="10">
                  <c:v>16.666666666666668</c:v>
                </c:pt>
                <c:pt idx="11">
                  <c:v>11.165517241379311</c:v>
                </c:pt>
                <c:pt idx="12">
                  <c:v>5.3703703703703702</c:v>
                </c:pt>
                <c:pt idx="13">
                  <c:v>5.9259259259259256</c:v>
                </c:pt>
                <c:pt idx="14">
                  <c:v>8.3333333333333339</c:v>
                </c:pt>
                <c:pt idx="15">
                  <c:v>5.384615384615385</c:v>
                </c:pt>
                <c:pt idx="16">
                  <c:v>7.291666666666667</c:v>
                </c:pt>
                <c:pt idx="17">
                  <c:v>8.3333333333333339</c:v>
                </c:pt>
              </c:numCache>
            </c:numRef>
          </c:val>
          <c:extLst>
            <c:ext xmlns:c16="http://schemas.microsoft.com/office/drawing/2014/chart" uri="{C3380CC4-5D6E-409C-BE32-E72D297353CC}">
              <c16:uniqueId val="{00000004-28ED-4BE1-9FE7-002736324197}"/>
            </c:ext>
          </c:extLst>
        </c:ser>
        <c:dLbls>
          <c:showLegendKey val="0"/>
          <c:showVal val="0"/>
          <c:showCatName val="0"/>
          <c:showSerName val="0"/>
          <c:showPercent val="0"/>
          <c:showBubbleSize val="0"/>
        </c:dLbls>
        <c:gapWidth val="0"/>
        <c:gapDepth val="100"/>
        <c:shape val="box"/>
        <c:axId val="927740720"/>
        <c:axId val="927738752"/>
        <c:axId val="861109936"/>
      </c:bar3DChart>
      <c:dateAx>
        <c:axId val="927740720"/>
        <c:scaling>
          <c:orientation val="minMax"/>
        </c:scaling>
        <c:delete val="0"/>
        <c:axPos val="b"/>
        <c:numFmt formatCode="mm/yy" sourceLinked="0"/>
        <c:majorTickMark val="none"/>
        <c:minorTickMark val="none"/>
        <c:tickLblPos val="nextTo"/>
        <c:spPr>
          <a:noFill/>
          <a:ln>
            <a:noFill/>
          </a:ln>
          <a:effectLst/>
        </c:spPr>
        <c:txPr>
          <a:bodyPr rot="-4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38752"/>
        <c:crosses val="autoZero"/>
        <c:auto val="1"/>
        <c:lblOffset val="100"/>
        <c:baseTimeUnit val="months"/>
        <c:majorUnit val="3"/>
        <c:majorTimeUnit val="months"/>
      </c:dateAx>
      <c:valAx>
        <c:axId val="927738752"/>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FPC </a:t>
                </a:r>
              </a:p>
            </c:rich>
          </c:tx>
          <c:layout>
            <c:manualLayout>
              <c:xMode val="edge"/>
              <c:yMode val="edge"/>
              <c:x val="1.2301043764878228E-2"/>
              <c:y val="0.3684566144620083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40720"/>
        <c:crosses val="autoZero"/>
        <c:crossBetween val="between"/>
        <c:majorUnit val="20"/>
        <c:minorUnit val="5"/>
      </c:valAx>
      <c:serAx>
        <c:axId val="861109936"/>
        <c:scaling>
          <c:orientation val="minMax"/>
        </c:scaling>
        <c:delete val="1"/>
        <c:axPos val="b"/>
        <c:majorTickMark val="none"/>
        <c:minorTickMark val="none"/>
        <c:tickLblPos val="nextTo"/>
        <c:crossAx val="927738752"/>
        <c:crosses val="autoZero"/>
        <c:tickLblSkip val="1"/>
      </c:serAx>
      <c:spPr>
        <a:noFill/>
        <a:ln>
          <a:noFill/>
        </a:ln>
        <a:effectLst/>
      </c:spPr>
    </c:plotArea>
    <c:legend>
      <c:legendPos val="b"/>
      <c:layout>
        <c:manualLayout>
          <c:xMode val="edge"/>
          <c:yMode val="edge"/>
          <c:x val="0.7059503763498608"/>
          <c:y val="4.5620078740157274E-4"/>
          <c:w val="0.26602293456042092"/>
          <c:h val="9.740327913556259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AU"/>
              <a:t>(d) Loch Garry,</a:t>
            </a:r>
            <a:r>
              <a:rPr lang="en-AU" baseline="0"/>
              <a:t> </a:t>
            </a:r>
            <a:r>
              <a:rPr lang="en-AU"/>
              <a:t>Water Dependant spp. </a:t>
            </a:r>
          </a:p>
        </c:rich>
      </c:tx>
      <c:layout>
        <c:manualLayout>
          <c:xMode val="edge"/>
          <c:yMode val="edge"/>
          <c:x val="0.30130313721278018"/>
          <c:y val="3.4364261168384883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2322958580859454E-2"/>
          <c:y val="6.8108883296804396E-2"/>
          <c:w val="0.89285141823169267"/>
          <c:h val="0.69637362340016773"/>
        </c:manualLayout>
      </c:layout>
      <c:bar3DChart>
        <c:barDir val="col"/>
        <c:grouping val="standard"/>
        <c:varyColors val="0"/>
        <c:ser>
          <c:idx val="4"/>
          <c:order val="0"/>
          <c:tx>
            <c:strRef>
              <c:f>Graphs!$C$6</c:f>
              <c:strCache>
                <c:ptCount val="1"/>
                <c:pt idx="0">
                  <c:v>1a</c:v>
                </c:pt>
              </c:strCache>
            </c:strRef>
          </c:tx>
          <c:spPr>
            <a:solidFill>
              <a:schemeClr val="accent5"/>
            </a:solidFill>
            <a:ln>
              <a:noFill/>
            </a:ln>
            <a:effectLst/>
            <a:sp3d/>
          </c:spPr>
          <c:invertIfNegative val="0"/>
          <c:cat>
            <c:numRef>
              <c:f>Graphs!$H$7:$H$24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Graphs!$C$7:$C$24</c:f>
              <c:numCache>
                <c:formatCode>0.0</c:formatCode>
                <c:ptCount val="18"/>
                <c:pt idx="0" formatCode="0">
                  <c:v>0</c:v>
                </c:pt>
                <c:pt idx="1">
                  <c:v>6.4285714285714288</c:v>
                </c:pt>
                <c:pt idx="2">
                  <c:v>17.222222222222221</c:v>
                </c:pt>
                <c:pt idx="3">
                  <c:v>49.375</c:v>
                </c:pt>
                <c:pt idx="4">
                  <c:v>19.833333333333332</c:v>
                </c:pt>
                <c:pt idx="5">
                  <c:v>0</c:v>
                </c:pt>
                <c:pt idx="6">
                  <c:v>4.7666666666666666</c:v>
                </c:pt>
                <c:pt idx="7">
                  <c:v>0</c:v>
                </c:pt>
                <c:pt idx="8">
                  <c:v>0</c:v>
                </c:pt>
                <c:pt idx="9">
                  <c:v>0</c:v>
                </c:pt>
                <c:pt idx="10">
                  <c:v>9.5257142857142849</c:v>
                </c:pt>
                <c:pt idx="12">
                  <c:v>2.0833333333333335</c:v>
                </c:pt>
                <c:pt idx="13">
                  <c:v>0</c:v>
                </c:pt>
                <c:pt idx="14">
                  <c:v>2.1428571428571428</c:v>
                </c:pt>
                <c:pt idx="15">
                  <c:v>5</c:v>
                </c:pt>
                <c:pt idx="16">
                  <c:v>0.7142857142857143</c:v>
                </c:pt>
                <c:pt idx="17">
                  <c:v>6</c:v>
                </c:pt>
              </c:numCache>
            </c:numRef>
          </c:val>
          <c:extLst>
            <c:ext xmlns:c16="http://schemas.microsoft.com/office/drawing/2014/chart" uri="{C3380CC4-5D6E-409C-BE32-E72D297353CC}">
              <c16:uniqueId val="{00000000-A5E4-475E-9774-C49198A6E838}"/>
            </c:ext>
          </c:extLst>
        </c:ser>
        <c:ser>
          <c:idx val="5"/>
          <c:order val="1"/>
          <c:tx>
            <c:strRef>
              <c:f>Graphs!$D$6</c:f>
              <c:strCache>
                <c:ptCount val="1"/>
                <c:pt idx="0">
                  <c:v>1b</c:v>
                </c:pt>
              </c:strCache>
            </c:strRef>
          </c:tx>
          <c:spPr>
            <a:solidFill>
              <a:schemeClr val="accent6"/>
            </a:solidFill>
            <a:ln>
              <a:noFill/>
            </a:ln>
            <a:effectLst/>
            <a:sp3d/>
          </c:spPr>
          <c:invertIfNegative val="0"/>
          <c:cat>
            <c:numRef>
              <c:f>Graphs!$H$7:$H$24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Graphs!$D$7:$D$24</c:f>
              <c:numCache>
                <c:formatCode>0.0</c:formatCode>
                <c:ptCount val="18"/>
                <c:pt idx="0" formatCode="0">
                  <c:v>0</c:v>
                </c:pt>
                <c:pt idx="1">
                  <c:v>14.166666666666666</c:v>
                </c:pt>
                <c:pt idx="2">
                  <c:v>12.5</c:v>
                </c:pt>
                <c:pt idx="3">
                  <c:v>67.5</c:v>
                </c:pt>
                <c:pt idx="4">
                  <c:v>41.266666666666673</c:v>
                </c:pt>
                <c:pt idx="5">
                  <c:v>38.633333333333326</c:v>
                </c:pt>
                <c:pt idx="6">
                  <c:v>57.737500000000011</c:v>
                </c:pt>
                <c:pt idx="7">
                  <c:v>23.75</c:v>
                </c:pt>
                <c:pt idx="8">
                  <c:v>0</c:v>
                </c:pt>
                <c:pt idx="9">
                  <c:v>23.63</c:v>
                </c:pt>
                <c:pt idx="10">
                  <c:v>16.402222222222221</c:v>
                </c:pt>
                <c:pt idx="12">
                  <c:v>8.75</c:v>
                </c:pt>
                <c:pt idx="13">
                  <c:v>30</c:v>
                </c:pt>
                <c:pt idx="14">
                  <c:v>18.888888888888889</c:v>
                </c:pt>
                <c:pt idx="15">
                  <c:v>2.1428571428571428</c:v>
                </c:pt>
                <c:pt idx="16">
                  <c:v>2.7777777777777777</c:v>
                </c:pt>
                <c:pt idx="17">
                  <c:v>35.625</c:v>
                </c:pt>
              </c:numCache>
            </c:numRef>
          </c:val>
          <c:extLst>
            <c:ext xmlns:c16="http://schemas.microsoft.com/office/drawing/2014/chart" uri="{C3380CC4-5D6E-409C-BE32-E72D297353CC}">
              <c16:uniqueId val="{00000001-A5E4-475E-9774-C49198A6E838}"/>
            </c:ext>
          </c:extLst>
        </c:ser>
        <c:ser>
          <c:idx val="1"/>
          <c:order val="2"/>
          <c:tx>
            <c:strRef>
              <c:f>Graphs!$E$6</c:f>
              <c:strCache>
                <c:ptCount val="1"/>
                <c:pt idx="0">
                  <c:v>2</c:v>
                </c:pt>
              </c:strCache>
            </c:strRef>
          </c:tx>
          <c:spPr>
            <a:solidFill>
              <a:schemeClr val="accent2"/>
            </a:solidFill>
            <a:ln>
              <a:noFill/>
            </a:ln>
            <a:effectLst/>
            <a:sp3d/>
          </c:spPr>
          <c:invertIfNegative val="0"/>
          <c:cat>
            <c:numRef>
              <c:f>Graphs!$H$7:$H$24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Graphs!$E$7:$E$24</c:f>
              <c:numCache>
                <c:formatCode>0.0</c:formatCode>
                <c:ptCount val="18"/>
                <c:pt idx="0" formatCode="0">
                  <c:v>23.75</c:v>
                </c:pt>
                <c:pt idx="1">
                  <c:v>27.6</c:v>
                </c:pt>
                <c:pt idx="2">
                  <c:v>28.571428571428573</c:v>
                </c:pt>
                <c:pt idx="3">
                  <c:v>39.347826086956523</c:v>
                </c:pt>
                <c:pt idx="4">
                  <c:v>35.59473684210527</c:v>
                </c:pt>
                <c:pt idx="5">
                  <c:v>41.209999999999994</c:v>
                </c:pt>
                <c:pt idx="6">
                  <c:v>62.172222222222217</c:v>
                </c:pt>
                <c:pt idx="7">
                  <c:v>48.125</c:v>
                </c:pt>
                <c:pt idx="8">
                  <c:v>38.936363636363645</c:v>
                </c:pt>
                <c:pt idx="9">
                  <c:v>50.14875</c:v>
                </c:pt>
                <c:pt idx="10">
                  <c:v>50.875789473684208</c:v>
                </c:pt>
                <c:pt idx="12">
                  <c:v>31.25</c:v>
                </c:pt>
                <c:pt idx="13">
                  <c:v>41.842105263157897</c:v>
                </c:pt>
                <c:pt idx="14">
                  <c:v>46.578947368421055</c:v>
                </c:pt>
                <c:pt idx="15">
                  <c:v>33.529411764705884</c:v>
                </c:pt>
                <c:pt idx="16">
                  <c:v>42.10526315789474</c:v>
                </c:pt>
                <c:pt idx="17">
                  <c:v>40.277777777777779</c:v>
                </c:pt>
              </c:numCache>
            </c:numRef>
          </c:val>
          <c:extLst>
            <c:ext xmlns:c16="http://schemas.microsoft.com/office/drawing/2014/chart" uri="{C3380CC4-5D6E-409C-BE32-E72D297353CC}">
              <c16:uniqueId val="{00000002-A5E4-475E-9774-C49198A6E838}"/>
            </c:ext>
          </c:extLst>
        </c:ser>
        <c:ser>
          <c:idx val="2"/>
          <c:order val="3"/>
          <c:tx>
            <c:strRef>
              <c:f>Graphs!$F$6</c:f>
              <c:strCache>
                <c:ptCount val="1"/>
                <c:pt idx="0">
                  <c:v>3</c:v>
                </c:pt>
              </c:strCache>
            </c:strRef>
          </c:tx>
          <c:spPr>
            <a:solidFill>
              <a:schemeClr val="accent3"/>
            </a:solidFill>
            <a:ln>
              <a:noFill/>
            </a:ln>
            <a:effectLst/>
            <a:sp3d/>
          </c:spPr>
          <c:invertIfNegative val="0"/>
          <c:cat>
            <c:numRef>
              <c:f>Graphs!$H$7:$H$24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Graphs!$F$7:$F$24</c:f>
              <c:numCache>
                <c:formatCode>0.0</c:formatCode>
                <c:ptCount val="18"/>
                <c:pt idx="0" formatCode="0">
                  <c:v>24.90566037735849</c:v>
                </c:pt>
                <c:pt idx="1">
                  <c:v>41.938775510204081</c:v>
                </c:pt>
                <c:pt idx="2">
                  <c:v>33.18181818181818</c:v>
                </c:pt>
                <c:pt idx="3">
                  <c:v>44.111111111111114</c:v>
                </c:pt>
                <c:pt idx="4">
                  <c:v>38.396000000000001</c:v>
                </c:pt>
                <c:pt idx="5">
                  <c:v>43.051999999999992</c:v>
                </c:pt>
                <c:pt idx="6">
                  <c:v>51.680851063829778</c:v>
                </c:pt>
                <c:pt idx="7">
                  <c:v>39.042553191489361</c:v>
                </c:pt>
                <c:pt idx="8">
                  <c:v>38.47999999999999</c:v>
                </c:pt>
                <c:pt idx="9">
                  <c:v>35.364468085106381</c:v>
                </c:pt>
                <c:pt idx="10">
                  <c:v>45.141200000000005</c:v>
                </c:pt>
                <c:pt idx="12">
                  <c:v>25.3</c:v>
                </c:pt>
                <c:pt idx="13">
                  <c:v>32.4</c:v>
                </c:pt>
                <c:pt idx="14">
                  <c:v>39.799999999999997</c:v>
                </c:pt>
                <c:pt idx="15">
                  <c:v>39.891304347826086</c:v>
                </c:pt>
                <c:pt idx="16">
                  <c:v>41</c:v>
                </c:pt>
                <c:pt idx="17">
                  <c:v>30.3</c:v>
                </c:pt>
              </c:numCache>
            </c:numRef>
          </c:val>
          <c:extLst>
            <c:ext xmlns:c16="http://schemas.microsoft.com/office/drawing/2014/chart" uri="{C3380CC4-5D6E-409C-BE32-E72D297353CC}">
              <c16:uniqueId val="{00000003-A5E4-475E-9774-C49198A6E838}"/>
            </c:ext>
          </c:extLst>
        </c:ser>
        <c:ser>
          <c:idx val="3"/>
          <c:order val="4"/>
          <c:tx>
            <c:strRef>
              <c:f>Graphs!$G$6</c:f>
              <c:strCache>
                <c:ptCount val="1"/>
                <c:pt idx="0">
                  <c:v>4</c:v>
                </c:pt>
              </c:strCache>
            </c:strRef>
          </c:tx>
          <c:spPr>
            <a:solidFill>
              <a:schemeClr val="accent4"/>
            </a:solidFill>
            <a:ln>
              <a:noFill/>
            </a:ln>
            <a:effectLst/>
            <a:sp3d/>
          </c:spPr>
          <c:invertIfNegative val="0"/>
          <c:cat>
            <c:numRef>
              <c:f>Graphs!$H$7:$H$24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Graphs!$G$7:$G$24</c:f>
              <c:numCache>
                <c:formatCode>0.0</c:formatCode>
                <c:ptCount val="18"/>
                <c:pt idx="0" formatCode="0">
                  <c:v>22.068965517241381</c:v>
                </c:pt>
                <c:pt idx="1">
                  <c:v>16.25</c:v>
                </c:pt>
                <c:pt idx="2">
                  <c:v>8.9473684210526319</c:v>
                </c:pt>
                <c:pt idx="3">
                  <c:v>8.9473684210526319</c:v>
                </c:pt>
                <c:pt idx="4">
                  <c:v>15.372727272727273</c:v>
                </c:pt>
                <c:pt idx="5">
                  <c:v>15.24</c:v>
                </c:pt>
                <c:pt idx="6">
                  <c:v>19.05263157894737</c:v>
                </c:pt>
                <c:pt idx="7">
                  <c:v>8.0555555555555554</c:v>
                </c:pt>
                <c:pt idx="8">
                  <c:v>11.361538461538462</c:v>
                </c:pt>
                <c:pt idx="9">
                  <c:v>12.01</c:v>
                </c:pt>
                <c:pt idx="10">
                  <c:v>14.523499999999999</c:v>
                </c:pt>
                <c:pt idx="12">
                  <c:v>6.666666666666667</c:v>
                </c:pt>
                <c:pt idx="13">
                  <c:v>11</c:v>
                </c:pt>
                <c:pt idx="14">
                  <c:v>5.25</c:v>
                </c:pt>
                <c:pt idx="15">
                  <c:v>8.0555555555555554</c:v>
                </c:pt>
                <c:pt idx="16">
                  <c:v>10.25</c:v>
                </c:pt>
                <c:pt idx="17">
                  <c:v>6.75</c:v>
                </c:pt>
              </c:numCache>
            </c:numRef>
          </c:val>
          <c:extLst>
            <c:ext xmlns:c16="http://schemas.microsoft.com/office/drawing/2014/chart" uri="{C3380CC4-5D6E-409C-BE32-E72D297353CC}">
              <c16:uniqueId val="{00000004-A5E4-475E-9774-C49198A6E838}"/>
            </c:ext>
          </c:extLst>
        </c:ser>
        <c:dLbls>
          <c:showLegendKey val="0"/>
          <c:showVal val="0"/>
          <c:showCatName val="0"/>
          <c:showSerName val="0"/>
          <c:showPercent val="0"/>
          <c:showBubbleSize val="0"/>
        </c:dLbls>
        <c:gapWidth val="0"/>
        <c:gapDepth val="100"/>
        <c:shape val="box"/>
        <c:axId val="927740720"/>
        <c:axId val="927738752"/>
        <c:axId val="861109936"/>
      </c:bar3DChart>
      <c:dateAx>
        <c:axId val="927740720"/>
        <c:scaling>
          <c:orientation val="minMax"/>
        </c:scaling>
        <c:delete val="0"/>
        <c:axPos val="b"/>
        <c:numFmt formatCode="mm/yy" sourceLinked="0"/>
        <c:majorTickMark val="none"/>
        <c:minorTickMark val="none"/>
        <c:tickLblPos val="nextTo"/>
        <c:spPr>
          <a:noFill/>
          <a:ln>
            <a:noFill/>
          </a:ln>
          <a:effectLst/>
        </c:spPr>
        <c:txPr>
          <a:bodyPr rot="-4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38752"/>
        <c:crosses val="autoZero"/>
        <c:auto val="1"/>
        <c:lblOffset val="100"/>
        <c:baseTimeUnit val="months"/>
        <c:majorUnit val="3"/>
        <c:majorTimeUnit val="months"/>
      </c:dateAx>
      <c:valAx>
        <c:axId val="927738752"/>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FPC</a:t>
                </a:r>
              </a:p>
            </c:rich>
          </c:tx>
          <c:layout>
            <c:manualLayout>
              <c:xMode val="edge"/>
              <c:yMode val="edge"/>
              <c:x val="6.4259569862266689E-3"/>
              <c:y val="0.4423984630787131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40720"/>
        <c:crosses val="autoZero"/>
        <c:crossBetween val="between"/>
        <c:majorUnit val="20"/>
        <c:minorUnit val="5"/>
      </c:valAx>
      <c:serAx>
        <c:axId val="861109936"/>
        <c:scaling>
          <c:orientation val="minMax"/>
        </c:scaling>
        <c:delete val="1"/>
        <c:axPos val="b"/>
        <c:majorTickMark val="none"/>
        <c:minorTickMark val="none"/>
        <c:tickLblPos val="nextTo"/>
        <c:crossAx val="927738752"/>
        <c:crosses val="autoZero"/>
        <c:tickLblSkip val="1"/>
      </c:serAx>
      <c:spPr>
        <a:noFill/>
        <a:ln>
          <a:noFill/>
        </a:ln>
        <a:effectLst/>
      </c:spPr>
    </c:plotArea>
    <c:legend>
      <c:legendPos val="b"/>
      <c:layout>
        <c:manualLayout>
          <c:xMode val="edge"/>
          <c:yMode val="edge"/>
          <c:x val="0.71714916013252805"/>
          <c:y val="3.2969126281895168E-2"/>
          <c:w val="0.26602293456042092"/>
          <c:h val="9.740327913556259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AU"/>
              <a:t>Grasses</a:t>
            </a:r>
          </a:p>
        </c:rich>
      </c:tx>
      <c:layout>
        <c:manualLayout>
          <c:xMode val="edge"/>
          <c:yMode val="edge"/>
          <c:x val="0.46145178168292622"/>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7924293572495765E-2"/>
          <c:y val="5.1156105486814159E-2"/>
          <c:w val="0.90688425289754149"/>
          <c:h val="0.74507286589176358"/>
        </c:manualLayout>
      </c:layout>
      <c:bar3DChart>
        <c:barDir val="col"/>
        <c:grouping val="standard"/>
        <c:varyColors val="0"/>
        <c:ser>
          <c:idx val="4"/>
          <c:order val="0"/>
          <c:tx>
            <c:strRef>
              <c:f>Graphs!$I$56</c:f>
              <c:strCache>
                <c:ptCount val="1"/>
                <c:pt idx="0">
                  <c:v>1a</c:v>
                </c:pt>
              </c:strCache>
            </c:strRef>
          </c:tx>
          <c:spPr>
            <a:solidFill>
              <a:schemeClr val="accent5"/>
            </a:solidFill>
            <a:ln>
              <a:noFill/>
            </a:ln>
            <a:effectLst/>
            <a:sp3d/>
          </c:spPr>
          <c:invertIfNegative val="0"/>
          <c:cat>
            <c:numRef>
              <c:f>Graphs!$H$57:$H$74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Graphs!$I$57:$I$74</c:f>
              <c:numCache>
                <c:formatCode>0.0</c:formatCode>
                <c:ptCount val="18"/>
                <c:pt idx="0">
                  <c:v>0</c:v>
                </c:pt>
                <c:pt idx="1">
                  <c:v>6</c:v>
                </c:pt>
                <c:pt idx="2">
                  <c:v>0</c:v>
                </c:pt>
                <c:pt idx="3">
                  <c:v>7.1428571428571432</c:v>
                </c:pt>
                <c:pt idx="4">
                  <c:v>0</c:v>
                </c:pt>
                <c:pt idx="5">
                  <c:v>4.166666666666667</c:v>
                </c:pt>
                <c:pt idx="6">
                  <c:v>9.1857142857142851</c:v>
                </c:pt>
                <c:pt idx="7">
                  <c:v>10.555555555555555</c:v>
                </c:pt>
                <c:pt idx="8">
                  <c:v>0</c:v>
                </c:pt>
                <c:pt idx="9">
                  <c:v>0</c:v>
                </c:pt>
                <c:pt idx="10">
                  <c:v>2.1645454545454546</c:v>
                </c:pt>
                <c:pt idx="11">
                  <c:v>11.110833333333332</c:v>
                </c:pt>
                <c:pt idx="12">
                  <c:v>10.833333333333334</c:v>
                </c:pt>
                <c:pt idx="13">
                  <c:v>10</c:v>
                </c:pt>
                <c:pt idx="14">
                  <c:v>9.0909090909090917</c:v>
                </c:pt>
                <c:pt idx="15">
                  <c:v>0</c:v>
                </c:pt>
                <c:pt idx="16">
                  <c:v>0</c:v>
                </c:pt>
                <c:pt idx="17">
                  <c:v>9.0909090909090917</c:v>
                </c:pt>
              </c:numCache>
            </c:numRef>
          </c:val>
          <c:extLst>
            <c:ext xmlns:c16="http://schemas.microsoft.com/office/drawing/2014/chart" uri="{C3380CC4-5D6E-409C-BE32-E72D297353CC}">
              <c16:uniqueId val="{00000000-B644-45EE-933C-743E938AA03E}"/>
            </c:ext>
          </c:extLst>
        </c:ser>
        <c:ser>
          <c:idx val="5"/>
          <c:order val="1"/>
          <c:tx>
            <c:strRef>
              <c:f>Graphs!$J$56</c:f>
              <c:strCache>
                <c:ptCount val="1"/>
                <c:pt idx="0">
                  <c:v>1b</c:v>
                </c:pt>
              </c:strCache>
            </c:strRef>
          </c:tx>
          <c:spPr>
            <a:solidFill>
              <a:schemeClr val="accent6"/>
            </a:solidFill>
            <a:ln>
              <a:noFill/>
            </a:ln>
            <a:effectLst/>
            <a:sp3d/>
          </c:spPr>
          <c:invertIfNegative val="0"/>
          <c:cat>
            <c:numRef>
              <c:f>Graphs!$H$57:$H$74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Graphs!$J$57:$J$74</c:f>
              <c:numCache>
                <c:formatCode>0.0</c:formatCode>
                <c:ptCount val="18"/>
                <c:pt idx="0">
                  <c:v>0</c:v>
                </c:pt>
                <c:pt idx="1">
                  <c:v>6.875</c:v>
                </c:pt>
                <c:pt idx="2">
                  <c:v>5.625</c:v>
                </c:pt>
                <c:pt idx="3">
                  <c:v>2.7777777777777777</c:v>
                </c:pt>
                <c:pt idx="4">
                  <c:v>7.293333333333333</c:v>
                </c:pt>
                <c:pt idx="5">
                  <c:v>0</c:v>
                </c:pt>
                <c:pt idx="6">
                  <c:v>0</c:v>
                </c:pt>
                <c:pt idx="7">
                  <c:v>2.6666666666666665</c:v>
                </c:pt>
                <c:pt idx="8">
                  <c:v>6.9272727272727277</c:v>
                </c:pt>
                <c:pt idx="9">
                  <c:v>1.0714285714285714</c:v>
                </c:pt>
                <c:pt idx="10">
                  <c:v>8.0584615384615397</c:v>
                </c:pt>
                <c:pt idx="11">
                  <c:v>13.604285714285714</c:v>
                </c:pt>
                <c:pt idx="12">
                  <c:v>3.8461538461538463</c:v>
                </c:pt>
                <c:pt idx="13">
                  <c:v>2.5</c:v>
                </c:pt>
                <c:pt idx="14">
                  <c:v>5.666666666666667</c:v>
                </c:pt>
                <c:pt idx="15">
                  <c:v>2.2727272727272729</c:v>
                </c:pt>
                <c:pt idx="16">
                  <c:v>6.9230769230769234</c:v>
                </c:pt>
                <c:pt idx="17">
                  <c:v>17</c:v>
                </c:pt>
              </c:numCache>
            </c:numRef>
          </c:val>
          <c:extLst>
            <c:ext xmlns:c16="http://schemas.microsoft.com/office/drawing/2014/chart" uri="{C3380CC4-5D6E-409C-BE32-E72D297353CC}">
              <c16:uniqueId val="{00000001-B644-45EE-933C-743E938AA03E}"/>
            </c:ext>
          </c:extLst>
        </c:ser>
        <c:ser>
          <c:idx val="1"/>
          <c:order val="2"/>
          <c:tx>
            <c:strRef>
              <c:f>Graphs!$K$56</c:f>
              <c:strCache>
                <c:ptCount val="1"/>
                <c:pt idx="0">
                  <c:v>2</c:v>
                </c:pt>
              </c:strCache>
            </c:strRef>
          </c:tx>
          <c:spPr>
            <a:solidFill>
              <a:schemeClr val="accent2"/>
            </a:solidFill>
            <a:ln>
              <a:noFill/>
            </a:ln>
            <a:effectLst/>
            <a:sp3d/>
          </c:spPr>
          <c:invertIfNegative val="0"/>
          <c:cat>
            <c:numRef>
              <c:f>Graphs!$H$57:$H$74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Graphs!$K$57:$K$74</c:f>
              <c:numCache>
                <c:formatCode>0.0</c:formatCode>
                <c:ptCount val="18"/>
                <c:pt idx="0">
                  <c:v>1.3333333333333333</c:v>
                </c:pt>
                <c:pt idx="1">
                  <c:v>2.1428571428571428</c:v>
                </c:pt>
                <c:pt idx="2">
                  <c:v>5.7142857142857144</c:v>
                </c:pt>
                <c:pt idx="3">
                  <c:v>2.6666666666666665</c:v>
                </c:pt>
                <c:pt idx="4">
                  <c:v>7.8549999999999995</c:v>
                </c:pt>
                <c:pt idx="5">
                  <c:v>8.4550000000000018</c:v>
                </c:pt>
                <c:pt idx="6">
                  <c:v>9.76</c:v>
                </c:pt>
                <c:pt idx="7">
                  <c:v>5</c:v>
                </c:pt>
                <c:pt idx="8">
                  <c:v>6.25</c:v>
                </c:pt>
                <c:pt idx="9">
                  <c:v>14.75047619047619</c:v>
                </c:pt>
                <c:pt idx="10">
                  <c:v>14.047499999999999</c:v>
                </c:pt>
                <c:pt idx="11">
                  <c:v>18.140476190476189</c:v>
                </c:pt>
                <c:pt idx="12">
                  <c:v>23.095238095238095</c:v>
                </c:pt>
                <c:pt idx="13">
                  <c:v>20</c:v>
                </c:pt>
                <c:pt idx="14">
                  <c:v>27.857142857142858</c:v>
                </c:pt>
                <c:pt idx="15">
                  <c:v>10</c:v>
                </c:pt>
                <c:pt idx="16">
                  <c:v>18.75</c:v>
                </c:pt>
                <c:pt idx="17">
                  <c:v>29</c:v>
                </c:pt>
              </c:numCache>
            </c:numRef>
          </c:val>
          <c:extLst>
            <c:ext xmlns:c16="http://schemas.microsoft.com/office/drawing/2014/chart" uri="{C3380CC4-5D6E-409C-BE32-E72D297353CC}">
              <c16:uniqueId val="{00000002-B644-45EE-933C-743E938AA03E}"/>
            </c:ext>
          </c:extLst>
        </c:ser>
        <c:ser>
          <c:idx val="2"/>
          <c:order val="3"/>
          <c:tx>
            <c:strRef>
              <c:f>Graphs!$L$56</c:f>
              <c:strCache>
                <c:ptCount val="1"/>
                <c:pt idx="0">
                  <c:v>3</c:v>
                </c:pt>
              </c:strCache>
            </c:strRef>
          </c:tx>
          <c:spPr>
            <a:solidFill>
              <a:schemeClr val="accent3"/>
            </a:solidFill>
            <a:ln>
              <a:noFill/>
            </a:ln>
            <a:effectLst/>
            <a:sp3d/>
          </c:spPr>
          <c:invertIfNegative val="0"/>
          <c:cat>
            <c:numRef>
              <c:f>Graphs!$H$57:$H$74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Graphs!$L$57:$L$74</c:f>
              <c:numCache>
                <c:formatCode>0.0</c:formatCode>
                <c:ptCount val="18"/>
                <c:pt idx="0">
                  <c:v>2.1538461538461537</c:v>
                </c:pt>
                <c:pt idx="1">
                  <c:v>3.9285714285714284</c:v>
                </c:pt>
                <c:pt idx="2">
                  <c:v>13.571428571428571</c:v>
                </c:pt>
                <c:pt idx="3">
                  <c:v>12.767857142857142</c:v>
                </c:pt>
                <c:pt idx="4">
                  <c:v>6.7545454545454549</c:v>
                </c:pt>
                <c:pt idx="5">
                  <c:v>11.95</c:v>
                </c:pt>
                <c:pt idx="6">
                  <c:v>14.033928571428573</c:v>
                </c:pt>
                <c:pt idx="7">
                  <c:v>22</c:v>
                </c:pt>
                <c:pt idx="8">
                  <c:v>20.530357142857145</c:v>
                </c:pt>
                <c:pt idx="9">
                  <c:v>24.097368421052632</c:v>
                </c:pt>
                <c:pt idx="10">
                  <c:v>26.739615384615384</c:v>
                </c:pt>
                <c:pt idx="11">
                  <c:v>25.084821428571423</c:v>
                </c:pt>
                <c:pt idx="12">
                  <c:v>29.910714285714285</c:v>
                </c:pt>
                <c:pt idx="13">
                  <c:v>30.178571428571427</c:v>
                </c:pt>
                <c:pt idx="14">
                  <c:v>27.946428571428573</c:v>
                </c:pt>
                <c:pt idx="15">
                  <c:v>26.203703703703702</c:v>
                </c:pt>
                <c:pt idx="16">
                  <c:v>33.148148148148145</c:v>
                </c:pt>
                <c:pt idx="17">
                  <c:v>29.272727272727273</c:v>
                </c:pt>
              </c:numCache>
            </c:numRef>
          </c:val>
          <c:extLst>
            <c:ext xmlns:c16="http://schemas.microsoft.com/office/drawing/2014/chart" uri="{C3380CC4-5D6E-409C-BE32-E72D297353CC}">
              <c16:uniqueId val="{00000003-B644-45EE-933C-743E938AA03E}"/>
            </c:ext>
          </c:extLst>
        </c:ser>
        <c:ser>
          <c:idx val="3"/>
          <c:order val="4"/>
          <c:tx>
            <c:strRef>
              <c:f>Graphs!$M$56</c:f>
              <c:strCache>
                <c:ptCount val="1"/>
                <c:pt idx="0">
                  <c:v>4</c:v>
                </c:pt>
              </c:strCache>
            </c:strRef>
          </c:tx>
          <c:spPr>
            <a:solidFill>
              <a:schemeClr val="accent4"/>
            </a:solidFill>
            <a:ln>
              <a:noFill/>
            </a:ln>
            <a:effectLst/>
            <a:sp3d/>
          </c:spPr>
          <c:invertIfNegative val="0"/>
          <c:cat>
            <c:numRef>
              <c:f>Graphs!$H$57:$H$74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Graphs!$M$57:$M$74</c:f>
              <c:numCache>
                <c:formatCode>0.0</c:formatCode>
                <c:ptCount val="18"/>
                <c:pt idx="0">
                  <c:v>21.320754716981131</c:v>
                </c:pt>
                <c:pt idx="1">
                  <c:v>10</c:v>
                </c:pt>
                <c:pt idx="2">
                  <c:v>41.379310344827587</c:v>
                </c:pt>
                <c:pt idx="3">
                  <c:v>20.5</c:v>
                </c:pt>
                <c:pt idx="4">
                  <c:v>31.464285714285715</c:v>
                </c:pt>
                <c:pt idx="5">
                  <c:v>31.025925925925929</c:v>
                </c:pt>
                <c:pt idx="6">
                  <c:v>41.407407407407419</c:v>
                </c:pt>
                <c:pt idx="7">
                  <c:v>49.582142857142856</c:v>
                </c:pt>
                <c:pt idx="8">
                  <c:v>39.603703703703701</c:v>
                </c:pt>
                <c:pt idx="9">
                  <c:v>53.497586206896543</c:v>
                </c:pt>
                <c:pt idx="10">
                  <c:v>50.992083333333333</c:v>
                </c:pt>
                <c:pt idx="11">
                  <c:v>37.437586206896547</c:v>
                </c:pt>
                <c:pt idx="12">
                  <c:v>49.444444444444443</c:v>
                </c:pt>
                <c:pt idx="13">
                  <c:v>52.777777777777779</c:v>
                </c:pt>
                <c:pt idx="14">
                  <c:v>42.592592592592595</c:v>
                </c:pt>
                <c:pt idx="15">
                  <c:v>57.884615384615387</c:v>
                </c:pt>
                <c:pt idx="16">
                  <c:v>51.666666666666664</c:v>
                </c:pt>
                <c:pt idx="17">
                  <c:v>46.481481481481481</c:v>
                </c:pt>
              </c:numCache>
            </c:numRef>
          </c:val>
          <c:extLst>
            <c:ext xmlns:c16="http://schemas.microsoft.com/office/drawing/2014/chart" uri="{C3380CC4-5D6E-409C-BE32-E72D297353CC}">
              <c16:uniqueId val="{00000004-B644-45EE-933C-743E938AA03E}"/>
            </c:ext>
          </c:extLst>
        </c:ser>
        <c:dLbls>
          <c:showLegendKey val="0"/>
          <c:showVal val="0"/>
          <c:showCatName val="0"/>
          <c:showSerName val="0"/>
          <c:showPercent val="0"/>
          <c:showBubbleSize val="0"/>
        </c:dLbls>
        <c:gapWidth val="0"/>
        <c:gapDepth val="100"/>
        <c:shape val="box"/>
        <c:axId val="927740720"/>
        <c:axId val="927738752"/>
        <c:axId val="861109936"/>
      </c:bar3DChart>
      <c:dateAx>
        <c:axId val="927740720"/>
        <c:scaling>
          <c:orientation val="minMax"/>
        </c:scaling>
        <c:delete val="0"/>
        <c:axPos val="b"/>
        <c:numFmt formatCode="mm/yy" sourceLinked="0"/>
        <c:majorTickMark val="none"/>
        <c:minorTickMark val="none"/>
        <c:tickLblPos val="nextTo"/>
        <c:spPr>
          <a:noFill/>
          <a:ln>
            <a:noFill/>
          </a:ln>
          <a:effectLst/>
        </c:spPr>
        <c:txPr>
          <a:bodyPr rot="-4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38752"/>
        <c:crosses val="autoZero"/>
        <c:auto val="1"/>
        <c:lblOffset val="100"/>
        <c:baseTimeUnit val="months"/>
        <c:majorUnit val="3"/>
        <c:majorTimeUnit val="months"/>
      </c:dateAx>
      <c:valAx>
        <c:axId val="927738752"/>
        <c:scaling>
          <c:orientation val="minMax"/>
          <c:max val="6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FPC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40720"/>
        <c:crosses val="autoZero"/>
        <c:crossBetween val="between"/>
        <c:majorUnit val="10"/>
        <c:minorUnit val="5"/>
      </c:valAx>
      <c:serAx>
        <c:axId val="861109936"/>
        <c:scaling>
          <c:orientation val="minMax"/>
        </c:scaling>
        <c:delete val="1"/>
        <c:axPos val="b"/>
        <c:majorTickMark val="none"/>
        <c:minorTickMark val="none"/>
        <c:tickLblPos val="nextTo"/>
        <c:crossAx val="927738752"/>
        <c:crosses val="autoZero"/>
        <c:tickLblSkip val="1"/>
      </c:serAx>
      <c:spPr>
        <a:noFill/>
        <a:ln>
          <a:noFill/>
        </a:ln>
        <a:effectLst/>
      </c:spPr>
    </c:plotArea>
    <c:legend>
      <c:legendPos val="b"/>
      <c:layout>
        <c:manualLayout>
          <c:xMode val="edge"/>
          <c:yMode val="edge"/>
          <c:x val="0.70160917753992535"/>
          <c:y val="3.1332583427071618E-2"/>
          <c:w val="0.26602293456042092"/>
          <c:h val="9.740327913556259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AU"/>
              <a:t>Herbs</a:t>
            </a:r>
          </a:p>
        </c:rich>
      </c:tx>
      <c:layout>
        <c:manualLayout>
          <c:xMode val="edge"/>
          <c:yMode val="edge"/>
          <c:x val="0.47217794278986608"/>
          <c:y val="3.4795175919465758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1982194572562484E-2"/>
          <c:y val="3.3663080847288453E-2"/>
          <c:w val="0.93441952023438946"/>
          <c:h val="0.85625063768437393"/>
        </c:manualLayout>
      </c:layout>
      <c:bar3DChart>
        <c:barDir val="col"/>
        <c:grouping val="standard"/>
        <c:varyColors val="0"/>
        <c:ser>
          <c:idx val="4"/>
          <c:order val="0"/>
          <c:tx>
            <c:strRef>
              <c:f>Graphs!$I$103</c:f>
              <c:strCache>
                <c:ptCount val="1"/>
                <c:pt idx="0">
                  <c:v>1a</c:v>
                </c:pt>
              </c:strCache>
            </c:strRef>
          </c:tx>
          <c:spPr>
            <a:solidFill>
              <a:schemeClr val="accent5"/>
            </a:solidFill>
            <a:ln>
              <a:noFill/>
            </a:ln>
            <a:effectLst/>
            <a:sp3d/>
          </c:spPr>
          <c:invertIfNegative val="0"/>
          <c:cat>
            <c:numRef>
              <c:f>Graphs!$H$104:$H$121</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Graphs!$I$104:$I$121</c:f>
              <c:numCache>
                <c:formatCode>0.0</c:formatCode>
                <c:ptCount val="18"/>
                <c:pt idx="0">
                  <c:v>0</c:v>
                </c:pt>
                <c:pt idx="1">
                  <c:v>1</c:v>
                </c:pt>
                <c:pt idx="2">
                  <c:v>3.75</c:v>
                </c:pt>
                <c:pt idx="3">
                  <c:v>31.428571428571427</c:v>
                </c:pt>
                <c:pt idx="4">
                  <c:v>16.266666666666666</c:v>
                </c:pt>
                <c:pt idx="5">
                  <c:v>23.599999999999998</c:v>
                </c:pt>
                <c:pt idx="6">
                  <c:v>12.921428571428569</c:v>
                </c:pt>
                <c:pt idx="7">
                  <c:v>5</c:v>
                </c:pt>
                <c:pt idx="8">
                  <c:v>0</c:v>
                </c:pt>
                <c:pt idx="9">
                  <c:v>0.83333333333333337</c:v>
                </c:pt>
                <c:pt idx="10">
                  <c:v>19.046363636363637</c:v>
                </c:pt>
                <c:pt idx="11">
                  <c:v>0</c:v>
                </c:pt>
                <c:pt idx="12">
                  <c:v>2.0833333333333335</c:v>
                </c:pt>
                <c:pt idx="13">
                  <c:v>3</c:v>
                </c:pt>
                <c:pt idx="14">
                  <c:v>0</c:v>
                </c:pt>
                <c:pt idx="15">
                  <c:v>0</c:v>
                </c:pt>
                <c:pt idx="16">
                  <c:v>0</c:v>
                </c:pt>
                <c:pt idx="17">
                  <c:v>0.90909090909090906</c:v>
                </c:pt>
              </c:numCache>
            </c:numRef>
          </c:val>
          <c:extLst>
            <c:ext xmlns:c16="http://schemas.microsoft.com/office/drawing/2014/chart" uri="{C3380CC4-5D6E-409C-BE32-E72D297353CC}">
              <c16:uniqueId val="{00000000-2838-41D3-9336-E99E6D59C4D7}"/>
            </c:ext>
          </c:extLst>
        </c:ser>
        <c:ser>
          <c:idx val="5"/>
          <c:order val="1"/>
          <c:tx>
            <c:strRef>
              <c:f>Graphs!$J$103</c:f>
              <c:strCache>
                <c:ptCount val="1"/>
                <c:pt idx="0">
                  <c:v>1b</c:v>
                </c:pt>
              </c:strCache>
            </c:strRef>
          </c:tx>
          <c:spPr>
            <a:solidFill>
              <a:schemeClr val="accent6"/>
            </a:solidFill>
            <a:ln>
              <a:noFill/>
            </a:ln>
            <a:effectLst/>
            <a:sp3d/>
          </c:spPr>
          <c:invertIfNegative val="0"/>
          <c:cat>
            <c:numRef>
              <c:f>Graphs!$H$104:$H$121</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Graphs!$J$104:$J$121</c:f>
              <c:numCache>
                <c:formatCode>0.0</c:formatCode>
                <c:ptCount val="18"/>
                <c:pt idx="0">
                  <c:v>9</c:v>
                </c:pt>
                <c:pt idx="1">
                  <c:v>18.75</c:v>
                </c:pt>
                <c:pt idx="2">
                  <c:v>19.375</c:v>
                </c:pt>
                <c:pt idx="3">
                  <c:v>15.555555555555555</c:v>
                </c:pt>
                <c:pt idx="4">
                  <c:v>31.133333333333336</c:v>
                </c:pt>
                <c:pt idx="5">
                  <c:v>63.18666666666666</c:v>
                </c:pt>
                <c:pt idx="6">
                  <c:v>45.073333333333338</c:v>
                </c:pt>
                <c:pt idx="7">
                  <c:v>27.333333333333332</c:v>
                </c:pt>
                <c:pt idx="8">
                  <c:v>9.954545454545455</c:v>
                </c:pt>
                <c:pt idx="9">
                  <c:v>10.697142857142856</c:v>
                </c:pt>
                <c:pt idx="10">
                  <c:v>36.996923076923075</c:v>
                </c:pt>
                <c:pt idx="11">
                  <c:v>28.232142857142861</c:v>
                </c:pt>
                <c:pt idx="12">
                  <c:v>25.76923076923077</c:v>
                </c:pt>
                <c:pt idx="13">
                  <c:v>25.357142857142858</c:v>
                </c:pt>
                <c:pt idx="14">
                  <c:v>31.333333333333332</c:v>
                </c:pt>
                <c:pt idx="15">
                  <c:v>0.45454545454545453</c:v>
                </c:pt>
                <c:pt idx="16">
                  <c:v>4.615384615384615</c:v>
                </c:pt>
                <c:pt idx="17">
                  <c:v>58.666666666666664</c:v>
                </c:pt>
              </c:numCache>
            </c:numRef>
          </c:val>
          <c:extLst>
            <c:ext xmlns:c16="http://schemas.microsoft.com/office/drawing/2014/chart" uri="{C3380CC4-5D6E-409C-BE32-E72D297353CC}">
              <c16:uniqueId val="{00000001-2838-41D3-9336-E99E6D59C4D7}"/>
            </c:ext>
          </c:extLst>
        </c:ser>
        <c:ser>
          <c:idx val="1"/>
          <c:order val="2"/>
          <c:tx>
            <c:strRef>
              <c:f>Graphs!$K$103</c:f>
              <c:strCache>
                <c:ptCount val="1"/>
                <c:pt idx="0">
                  <c:v>2</c:v>
                </c:pt>
              </c:strCache>
            </c:strRef>
          </c:tx>
          <c:spPr>
            <a:solidFill>
              <a:schemeClr val="accent2"/>
            </a:solidFill>
            <a:ln>
              <a:noFill/>
            </a:ln>
            <a:effectLst/>
            <a:sp3d/>
          </c:spPr>
          <c:invertIfNegative val="0"/>
          <c:cat>
            <c:numRef>
              <c:f>Graphs!$H$104:$H$121</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Graphs!$K$104:$K$121</c:f>
              <c:numCache>
                <c:formatCode>0.0</c:formatCode>
                <c:ptCount val="18"/>
                <c:pt idx="0">
                  <c:v>16</c:v>
                </c:pt>
                <c:pt idx="1">
                  <c:v>15.714285714285714</c:v>
                </c:pt>
                <c:pt idx="2">
                  <c:v>17.142857142857142</c:v>
                </c:pt>
                <c:pt idx="3">
                  <c:v>29.333333333333332</c:v>
                </c:pt>
                <c:pt idx="4">
                  <c:v>30.24</c:v>
                </c:pt>
                <c:pt idx="5">
                  <c:v>47.265000000000001</c:v>
                </c:pt>
                <c:pt idx="6">
                  <c:v>43.575000000000003</c:v>
                </c:pt>
                <c:pt idx="7">
                  <c:v>30.526315789473685</c:v>
                </c:pt>
                <c:pt idx="8">
                  <c:v>24.331250000000004</c:v>
                </c:pt>
                <c:pt idx="9">
                  <c:v>24.195238095238096</c:v>
                </c:pt>
                <c:pt idx="10">
                  <c:v>30</c:v>
                </c:pt>
                <c:pt idx="11">
                  <c:v>32.426666666666669</c:v>
                </c:pt>
                <c:pt idx="12">
                  <c:v>14.761904761904763</c:v>
                </c:pt>
                <c:pt idx="13">
                  <c:v>15.952380952380953</c:v>
                </c:pt>
                <c:pt idx="14">
                  <c:v>18.571428571428573</c:v>
                </c:pt>
                <c:pt idx="15">
                  <c:v>11.578947368421053</c:v>
                </c:pt>
                <c:pt idx="16">
                  <c:v>12</c:v>
                </c:pt>
                <c:pt idx="17">
                  <c:v>26</c:v>
                </c:pt>
              </c:numCache>
            </c:numRef>
          </c:val>
          <c:extLst>
            <c:ext xmlns:c16="http://schemas.microsoft.com/office/drawing/2014/chart" uri="{C3380CC4-5D6E-409C-BE32-E72D297353CC}">
              <c16:uniqueId val="{00000002-2838-41D3-9336-E99E6D59C4D7}"/>
            </c:ext>
          </c:extLst>
        </c:ser>
        <c:ser>
          <c:idx val="2"/>
          <c:order val="3"/>
          <c:tx>
            <c:strRef>
              <c:f>Graphs!$L$103</c:f>
              <c:strCache>
                <c:ptCount val="1"/>
                <c:pt idx="0">
                  <c:v>3</c:v>
                </c:pt>
              </c:strCache>
            </c:strRef>
          </c:tx>
          <c:spPr>
            <a:solidFill>
              <a:schemeClr val="accent3"/>
            </a:solidFill>
            <a:ln>
              <a:noFill/>
            </a:ln>
            <a:effectLst/>
            <a:sp3d/>
          </c:spPr>
          <c:invertIfNegative val="0"/>
          <c:cat>
            <c:numRef>
              <c:f>Graphs!$H$104:$H$121</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Graphs!$L$104:$L$121</c:f>
              <c:numCache>
                <c:formatCode>0.0</c:formatCode>
                <c:ptCount val="18"/>
                <c:pt idx="0">
                  <c:v>20</c:v>
                </c:pt>
                <c:pt idx="1">
                  <c:v>24.464285714285715</c:v>
                </c:pt>
                <c:pt idx="2">
                  <c:v>16.607142857142858</c:v>
                </c:pt>
                <c:pt idx="3">
                  <c:v>19.285714285714285</c:v>
                </c:pt>
                <c:pt idx="4">
                  <c:v>19.394545454545455</c:v>
                </c:pt>
                <c:pt idx="5">
                  <c:v>25.977777777777774</c:v>
                </c:pt>
                <c:pt idx="6">
                  <c:v>33.258928571428569</c:v>
                </c:pt>
                <c:pt idx="7">
                  <c:v>20.636363636363637</c:v>
                </c:pt>
                <c:pt idx="8">
                  <c:v>21.799999999999994</c:v>
                </c:pt>
                <c:pt idx="9">
                  <c:v>15.497192982456141</c:v>
                </c:pt>
                <c:pt idx="10">
                  <c:v>19.595961538461538</c:v>
                </c:pt>
                <c:pt idx="11">
                  <c:v>15.050357142857141</c:v>
                </c:pt>
                <c:pt idx="12">
                  <c:v>10.892857142857142</c:v>
                </c:pt>
                <c:pt idx="13">
                  <c:v>11.160714285714286</c:v>
                </c:pt>
                <c:pt idx="14">
                  <c:v>11.160714285714286</c:v>
                </c:pt>
                <c:pt idx="15">
                  <c:v>10.37037037037037</c:v>
                </c:pt>
                <c:pt idx="16">
                  <c:v>14.62962962962963</c:v>
                </c:pt>
                <c:pt idx="17">
                  <c:v>15.636363636363637</c:v>
                </c:pt>
              </c:numCache>
            </c:numRef>
          </c:val>
          <c:extLst>
            <c:ext xmlns:c16="http://schemas.microsoft.com/office/drawing/2014/chart" uri="{C3380CC4-5D6E-409C-BE32-E72D297353CC}">
              <c16:uniqueId val="{00000003-2838-41D3-9336-E99E6D59C4D7}"/>
            </c:ext>
          </c:extLst>
        </c:ser>
        <c:ser>
          <c:idx val="3"/>
          <c:order val="4"/>
          <c:tx>
            <c:strRef>
              <c:f>Graphs!$M$103</c:f>
              <c:strCache>
                <c:ptCount val="1"/>
                <c:pt idx="0">
                  <c:v>4</c:v>
                </c:pt>
              </c:strCache>
            </c:strRef>
          </c:tx>
          <c:spPr>
            <a:solidFill>
              <a:schemeClr val="accent4"/>
            </a:solidFill>
            <a:ln>
              <a:noFill/>
            </a:ln>
            <a:effectLst/>
            <a:sp3d/>
          </c:spPr>
          <c:invertIfNegative val="0"/>
          <c:cat>
            <c:numRef>
              <c:f>Graphs!$H$104:$H$121</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Graphs!$M$104:$M$121</c:f>
              <c:numCache>
                <c:formatCode>0.0</c:formatCode>
                <c:ptCount val="18"/>
                <c:pt idx="0">
                  <c:v>15.188679245283019</c:v>
                </c:pt>
                <c:pt idx="1">
                  <c:v>31.578947368421051</c:v>
                </c:pt>
                <c:pt idx="2">
                  <c:v>16.03448275862069</c:v>
                </c:pt>
                <c:pt idx="3">
                  <c:v>15.666666666666666</c:v>
                </c:pt>
                <c:pt idx="4">
                  <c:v>17.182142857142857</c:v>
                </c:pt>
                <c:pt idx="5">
                  <c:v>22.233333333333334</c:v>
                </c:pt>
                <c:pt idx="6">
                  <c:v>25.24074074074074</c:v>
                </c:pt>
                <c:pt idx="7">
                  <c:v>19.635714285714283</c:v>
                </c:pt>
                <c:pt idx="8">
                  <c:v>19.296296296296298</c:v>
                </c:pt>
                <c:pt idx="9">
                  <c:v>12.191724137931034</c:v>
                </c:pt>
                <c:pt idx="10">
                  <c:v>14.88125</c:v>
                </c:pt>
                <c:pt idx="11">
                  <c:v>10.508620689655173</c:v>
                </c:pt>
                <c:pt idx="12">
                  <c:v>16.148148148148149</c:v>
                </c:pt>
                <c:pt idx="13">
                  <c:v>12.407407407407407</c:v>
                </c:pt>
                <c:pt idx="14">
                  <c:v>7.9629629629629628</c:v>
                </c:pt>
                <c:pt idx="15">
                  <c:v>23.846153846153847</c:v>
                </c:pt>
                <c:pt idx="16">
                  <c:v>14.166666666666666</c:v>
                </c:pt>
                <c:pt idx="17">
                  <c:v>9.8148148148148149</c:v>
                </c:pt>
              </c:numCache>
            </c:numRef>
          </c:val>
          <c:extLst>
            <c:ext xmlns:c16="http://schemas.microsoft.com/office/drawing/2014/chart" uri="{C3380CC4-5D6E-409C-BE32-E72D297353CC}">
              <c16:uniqueId val="{00000004-2838-41D3-9336-E99E6D59C4D7}"/>
            </c:ext>
          </c:extLst>
        </c:ser>
        <c:dLbls>
          <c:showLegendKey val="0"/>
          <c:showVal val="0"/>
          <c:showCatName val="0"/>
          <c:showSerName val="0"/>
          <c:showPercent val="0"/>
          <c:showBubbleSize val="0"/>
        </c:dLbls>
        <c:gapWidth val="0"/>
        <c:gapDepth val="100"/>
        <c:shape val="box"/>
        <c:axId val="927740720"/>
        <c:axId val="927738752"/>
        <c:axId val="861109936"/>
      </c:bar3DChart>
      <c:dateAx>
        <c:axId val="927740720"/>
        <c:scaling>
          <c:orientation val="minMax"/>
        </c:scaling>
        <c:delete val="0"/>
        <c:axPos val="b"/>
        <c:numFmt formatCode="mm/yy" sourceLinked="0"/>
        <c:majorTickMark val="none"/>
        <c:minorTickMark val="none"/>
        <c:tickLblPos val="nextTo"/>
        <c:spPr>
          <a:noFill/>
          <a:ln>
            <a:noFill/>
          </a:ln>
          <a:effectLst/>
        </c:spPr>
        <c:txPr>
          <a:bodyPr rot="-4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38752"/>
        <c:crosses val="autoZero"/>
        <c:auto val="1"/>
        <c:lblOffset val="100"/>
        <c:baseTimeUnit val="months"/>
        <c:majorUnit val="3"/>
        <c:majorTimeUnit val="months"/>
      </c:dateAx>
      <c:valAx>
        <c:axId val="927738752"/>
        <c:scaling>
          <c:orientation val="minMax"/>
          <c:max val="6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40720"/>
        <c:crosses val="autoZero"/>
        <c:crossBetween val="between"/>
        <c:majorUnit val="10"/>
        <c:minorUnit val="5"/>
      </c:valAx>
      <c:serAx>
        <c:axId val="861109936"/>
        <c:scaling>
          <c:orientation val="minMax"/>
        </c:scaling>
        <c:delete val="1"/>
        <c:axPos val="b"/>
        <c:majorTickMark val="none"/>
        <c:minorTickMark val="none"/>
        <c:tickLblPos val="nextTo"/>
        <c:crossAx val="927738752"/>
        <c:crosses val="autoZero"/>
        <c:tickLblSkip val="1"/>
      </c:serAx>
      <c:spPr>
        <a:noFill/>
        <a:ln>
          <a:noFill/>
        </a:ln>
        <a:effectLst/>
      </c:spPr>
    </c:plotArea>
    <c:legend>
      <c:legendPos val="b"/>
      <c:layout>
        <c:manualLayout>
          <c:xMode val="edge"/>
          <c:yMode val="edge"/>
          <c:x val="0.69088301643298555"/>
          <c:y val="3.153343964915778E-2"/>
          <c:w val="0.26602293456042092"/>
          <c:h val="9.740327913556259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AU"/>
              <a:t>Sedges</a:t>
            </a:r>
          </a:p>
        </c:rich>
      </c:tx>
      <c:layout>
        <c:manualLayout>
          <c:xMode val="edge"/>
          <c:yMode val="edge"/>
          <c:x val="0.46269534070763946"/>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916256552882087E-2"/>
          <c:y val="4.346755233794828E-2"/>
          <c:w val="0.91082202089321052"/>
          <c:h val="0.64930131972939997"/>
        </c:manualLayout>
      </c:layout>
      <c:bar3DChart>
        <c:barDir val="col"/>
        <c:grouping val="standard"/>
        <c:varyColors val="0"/>
        <c:ser>
          <c:idx val="4"/>
          <c:order val="0"/>
          <c:tx>
            <c:strRef>
              <c:f>Graphs!$I$79</c:f>
              <c:strCache>
                <c:ptCount val="1"/>
                <c:pt idx="0">
                  <c:v>1a</c:v>
                </c:pt>
              </c:strCache>
            </c:strRef>
          </c:tx>
          <c:spPr>
            <a:solidFill>
              <a:schemeClr val="accent5"/>
            </a:solidFill>
            <a:ln>
              <a:noFill/>
            </a:ln>
            <a:effectLst/>
            <a:sp3d/>
          </c:spPr>
          <c:invertIfNegative val="0"/>
          <c:cat>
            <c:numRef>
              <c:f>Graphs!$H$80:$H$97</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Graphs!$I$80:$I$97</c:f>
              <c:numCache>
                <c:formatCode>General</c:formatCode>
                <c:ptCount val="18"/>
                <c:pt idx="0">
                  <c:v>0</c:v>
                </c:pt>
                <c:pt idx="1">
                  <c:v>0</c:v>
                </c:pt>
                <c:pt idx="2">
                  <c:v>4.375</c:v>
                </c:pt>
                <c:pt idx="3">
                  <c:v>5.7142857142857144</c:v>
                </c:pt>
                <c:pt idx="4">
                  <c:v>2.7749999999999999</c:v>
                </c:pt>
                <c:pt idx="5">
                  <c:v>1.9833333333333334</c:v>
                </c:pt>
                <c:pt idx="6">
                  <c:v>3.0571428571428569</c:v>
                </c:pt>
                <c:pt idx="7">
                  <c:v>1.1111111111111112</c:v>
                </c:pt>
                <c:pt idx="8">
                  <c:v>0</c:v>
                </c:pt>
                <c:pt idx="9">
                  <c:v>0</c:v>
                </c:pt>
                <c:pt idx="10">
                  <c:v>4.7609090909090908</c:v>
                </c:pt>
                <c:pt idx="11">
                  <c:v>1.5875000000000001</c:v>
                </c:pt>
                <c:pt idx="12">
                  <c:v>2.9166666666666665</c:v>
                </c:pt>
                <c:pt idx="13">
                  <c:v>0</c:v>
                </c:pt>
                <c:pt idx="14">
                  <c:v>1.8181818181818181</c:v>
                </c:pt>
                <c:pt idx="15">
                  <c:v>0</c:v>
                </c:pt>
                <c:pt idx="16">
                  <c:v>0</c:v>
                </c:pt>
                <c:pt idx="17">
                  <c:v>5.9090909090909092</c:v>
                </c:pt>
              </c:numCache>
            </c:numRef>
          </c:val>
          <c:extLst>
            <c:ext xmlns:c16="http://schemas.microsoft.com/office/drawing/2014/chart" uri="{C3380CC4-5D6E-409C-BE32-E72D297353CC}">
              <c16:uniqueId val="{00000000-6BD0-4D1A-A2BE-DD8CC167A111}"/>
            </c:ext>
          </c:extLst>
        </c:ser>
        <c:ser>
          <c:idx val="5"/>
          <c:order val="1"/>
          <c:tx>
            <c:strRef>
              <c:f>Graphs!$J$79</c:f>
              <c:strCache>
                <c:ptCount val="1"/>
                <c:pt idx="0">
                  <c:v>1b</c:v>
                </c:pt>
              </c:strCache>
            </c:strRef>
          </c:tx>
          <c:spPr>
            <a:solidFill>
              <a:schemeClr val="accent6"/>
            </a:solidFill>
            <a:ln>
              <a:noFill/>
            </a:ln>
            <a:effectLst/>
            <a:sp3d/>
          </c:spPr>
          <c:invertIfNegative val="0"/>
          <c:cat>
            <c:numRef>
              <c:f>Graphs!$H$80:$H$97</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Graphs!$J$80:$J$97</c:f>
              <c:numCache>
                <c:formatCode>General</c:formatCode>
                <c:ptCount val="18"/>
                <c:pt idx="0">
                  <c:v>2</c:v>
                </c:pt>
                <c:pt idx="1">
                  <c:v>10</c:v>
                </c:pt>
                <c:pt idx="2">
                  <c:v>7.5</c:v>
                </c:pt>
                <c:pt idx="3">
                  <c:v>12.777777777777779</c:v>
                </c:pt>
                <c:pt idx="4">
                  <c:v>0.95333333333333337</c:v>
                </c:pt>
                <c:pt idx="5">
                  <c:v>14.606666666666666</c:v>
                </c:pt>
                <c:pt idx="6">
                  <c:v>6.6733333333333329</c:v>
                </c:pt>
                <c:pt idx="7">
                  <c:v>17.333333333333332</c:v>
                </c:pt>
                <c:pt idx="8">
                  <c:v>5.8909090909090907</c:v>
                </c:pt>
                <c:pt idx="9">
                  <c:v>3.2142857142857144</c:v>
                </c:pt>
                <c:pt idx="10">
                  <c:v>3.2969230769230768</c:v>
                </c:pt>
                <c:pt idx="11">
                  <c:v>7.4828571428571422</c:v>
                </c:pt>
                <c:pt idx="12">
                  <c:v>1.1538461538461537</c:v>
                </c:pt>
                <c:pt idx="13">
                  <c:v>0</c:v>
                </c:pt>
                <c:pt idx="14">
                  <c:v>1.3333333333333333</c:v>
                </c:pt>
                <c:pt idx="15">
                  <c:v>2.2727272727272729</c:v>
                </c:pt>
                <c:pt idx="16">
                  <c:v>3.0769230769230771</c:v>
                </c:pt>
                <c:pt idx="17">
                  <c:v>16.333333333333332</c:v>
                </c:pt>
              </c:numCache>
            </c:numRef>
          </c:val>
          <c:extLst>
            <c:ext xmlns:c16="http://schemas.microsoft.com/office/drawing/2014/chart" uri="{C3380CC4-5D6E-409C-BE32-E72D297353CC}">
              <c16:uniqueId val="{00000001-6BD0-4D1A-A2BE-DD8CC167A111}"/>
            </c:ext>
          </c:extLst>
        </c:ser>
        <c:ser>
          <c:idx val="1"/>
          <c:order val="2"/>
          <c:tx>
            <c:strRef>
              <c:f>Graphs!$K$79</c:f>
              <c:strCache>
                <c:ptCount val="1"/>
                <c:pt idx="0">
                  <c:v>2</c:v>
                </c:pt>
              </c:strCache>
            </c:strRef>
          </c:tx>
          <c:spPr>
            <a:solidFill>
              <a:schemeClr val="accent2"/>
            </a:solidFill>
            <a:ln>
              <a:noFill/>
            </a:ln>
            <a:effectLst/>
            <a:sp3d/>
          </c:spPr>
          <c:invertIfNegative val="0"/>
          <c:cat>
            <c:numRef>
              <c:f>Graphs!$H$80:$H$97</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Graphs!$K$80:$K$97</c:f>
              <c:numCache>
                <c:formatCode>General</c:formatCode>
                <c:ptCount val="18"/>
                <c:pt idx="0">
                  <c:v>6</c:v>
                </c:pt>
                <c:pt idx="1">
                  <c:v>6.4285714285714288</c:v>
                </c:pt>
                <c:pt idx="2">
                  <c:v>8.2142857142857135</c:v>
                </c:pt>
                <c:pt idx="3">
                  <c:v>19.666666666666668</c:v>
                </c:pt>
                <c:pt idx="4">
                  <c:v>3.5750000000000002</c:v>
                </c:pt>
                <c:pt idx="5">
                  <c:v>5.72</c:v>
                </c:pt>
                <c:pt idx="6">
                  <c:v>5.47</c:v>
                </c:pt>
                <c:pt idx="7">
                  <c:v>9.7368421052631575</c:v>
                </c:pt>
                <c:pt idx="8">
                  <c:v>9.7312499999999993</c:v>
                </c:pt>
                <c:pt idx="9">
                  <c:v>10.193333333333333</c:v>
                </c:pt>
                <c:pt idx="10">
                  <c:v>10.952499999999997</c:v>
                </c:pt>
                <c:pt idx="11">
                  <c:v>13.831904761904761</c:v>
                </c:pt>
                <c:pt idx="12">
                  <c:v>6.4285714285714288</c:v>
                </c:pt>
                <c:pt idx="13">
                  <c:v>3.3333333333333335</c:v>
                </c:pt>
                <c:pt idx="14">
                  <c:v>7.3809523809523814</c:v>
                </c:pt>
                <c:pt idx="15">
                  <c:v>5</c:v>
                </c:pt>
                <c:pt idx="16">
                  <c:v>5.25</c:v>
                </c:pt>
                <c:pt idx="17">
                  <c:v>12.5</c:v>
                </c:pt>
              </c:numCache>
            </c:numRef>
          </c:val>
          <c:extLst>
            <c:ext xmlns:c16="http://schemas.microsoft.com/office/drawing/2014/chart" uri="{C3380CC4-5D6E-409C-BE32-E72D297353CC}">
              <c16:uniqueId val="{00000002-6BD0-4D1A-A2BE-DD8CC167A111}"/>
            </c:ext>
          </c:extLst>
        </c:ser>
        <c:ser>
          <c:idx val="2"/>
          <c:order val="3"/>
          <c:tx>
            <c:strRef>
              <c:f>Graphs!$L$79</c:f>
              <c:strCache>
                <c:ptCount val="1"/>
                <c:pt idx="0">
                  <c:v>3</c:v>
                </c:pt>
              </c:strCache>
            </c:strRef>
          </c:tx>
          <c:spPr>
            <a:solidFill>
              <a:schemeClr val="accent3"/>
            </a:solidFill>
            <a:ln>
              <a:noFill/>
            </a:ln>
            <a:effectLst/>
            <a:sp3d/>
          </c:spPr>
          <c:invertIfNegative val="0"/>
          <c:cat>
            <c:numRef>
              <c:f>Graphs!$H$80:$H$97</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Graphs!$L$80:$L$97</c:f>
              <c:numCache>
                <c:formatCode>General</c:formatCode>
                <c:ptCount val="18"/>
                <c:pt idx="0">
                  <c:v>2.8461538461538463</c:v>
                </c:pt>
                <c:pt idx="1">
                  <c:v>5.9821428571428568</c:v>
                </c:pt>
                <c:pt idx="2">
                  <c:v>5.8928571428571432</c:v>
                </c:pt>
                <c:pt idx="3">
                  <c:v>6.875</c:v>
                </c:pt>
                <c:pt idx="4">
                  <c:v>0.17454545454545453</c:v>
                </c:pt>
                <c:pt idx="5">
                  <c:v>1.1481481481481481</c:v>
                </c:pt>
                <c:pt idx="6">
                  <c:v>1.7017857142857142</c:v>
                </c:pt>
                <c:pt idx="7">
                  <c:v>1.6363636363636365</c:v>
                </c:pt>
                <c:pt idx="8">
                  <c:v>4.5196428571428573</c:v>
                </c:pt>
                <c:pt idx="9">
                  <c:v>5.3508771929824563</c:v>
                </c:pt>
                <c:pt idx="10">
                  <c:v>8.9744230769230775</c:v>
                </c:pt>
                <c:pt idx="11">
                  <c:v>6.0374999999999996</c:v>
                </c:pt>
                <c:pt idx="12">
                  <c:v>5.8035714285714288</c:v>
                </c:pt>
                <c:pt idx="13">
                  <c:v>6.7857142857142856</c:v>
                </c:pt>
                <c:pt idx="14">
                  <c:v>4.375</c:v>
                </c:pt>
                <c:pt idx="15">
                  <c:v>7.3148148148148149</c:v>
                </c:pt>
                <c:pt idx="16">
                  <c:v>10.277777777777779</c:v>
                </c:pt>
                <c:pt idx="17">
                  <c:v>5.6363636363636367</c:v>
                </c:pt>
              </c:numCache>
            </c:numRef>
          </c:val>
          <c:extLst>
            <c:ext xmlns:c16="http://schemas.microsoft.com/office/drawing/2014/chart" uri="{C3380CC4-5D6E-409C-BE32-E72D297353CC}">
              <c16:uniqueId val="{00000003-6BD0-4D1A-A2BE-DD8CC167A111}"/>
            </c:ext>
          </c:extLst>
        </c:ser>
        <c:ser>
          <c:idx val="3"/>
          <c:order val="4"/>
          <c:tx>
            <c:strRef>
              <c:f>Graphs!$M$79</c:f>
              <c:strCache>
                <c:ptCount val="1"/>
                <c:pt idx="0">
                  <c:v>4</c:v>
                </c:pt>
              </c:strCache>
            </c:strRef>
          </c:tx>
          <c:spPr>
            <a:solidFill>
              <a:schemeClr val="accent4"/>
            </a:solidFill>
            <a:ln>
              <a:noFill/>
            </a:ln>
            <a:effectLst/>
            <a:sp3d/>
          </c:spPr>
          <c:invertIfNegative val="0"/>
          <c:cat>
            <c:numRef>
              <c:f>Graphs!$H$80:$H$97</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Graphs!$M$80:$M$97</c:f>
              <c:numCache>
                <c:formatCode>General</c:formatCode>
                <c:ptCount val="18"/>
                <c:pt idx="0">
                  <c:v>0.47169811320754718</c:v>
                </c:pt>
                <c:pt idx="1">
                  <c:v>1.8421052631578947</c:v>
                </c:pt>
                <c:pt idx="2">
                  <c:v>0</c:v>
                </c:pt>
                <c:pt idx="3">
                  <c:v>2.5</c:v>
                </c:pt>
                <c:pt idx="4">
                  <c:v>2.2107142857142859</c:v>
                </c:pt>
                <c:pt idx="5">
                  <c:v>2.2925925925925927</c:v>
                </c:pt>
                <c:pt idx="6">
                  <c:v>0.70740740740740748</c:v>
                </c:pt>
                <c:pt idx="7">
                  <c:v>1.9642857142857142</c:v>
                </c:pt>
                <c:pt idx="8">
                  <c:v>0.9</c:v>
                </c:pt>
                <c:pt idx="9">
                  <c:v>1.2068965517241379</c:v>
                </c:pt>
                <c:pt idx="10">
                  <c:v>1.1904166666666667</c:v>
                </c:pt>
                <c:pt idx="11">
                  <c:v>1.1496551724137931</c:v>
                </c:pt>
                <c:pt idx="12">
                  <c:v>0.7407407407407407</c:v>
                </c:pt>
                <c:pt idx="13">
                  <c:v>0.7407407407407407</c:v>
                </c:pt>
                <c:pt idx="14">
                  <c:v>0.37037037037037035</c:v>
                </c:pt>
                <c:pt idx="15">
                  <c:v>1.1538461538461537</c:v>
                </c:pt>
                <c:pt idx="16">
                  <c:v>1.25</c:v>
                </c:pt>
                <c:pt idx="17">
                  <c:v>0</c:v>
                </c:pt>
              </c:numCache>
            </c:numRef>
          </c:val>
          <c:extLst>
            <c:ext xmlns:c16="http://schemas.microsoft.com/office/drawing/2014/chart" uri="{C3380CC4-5D6E-409C-BE32-E72D297353CC}">
              <c16:uniqueId val="{00000004-6BD0-4D1A-A2BE-DD8CC167A111}"/>
            </c:ext>
          </c:extLst>
        </c:ser>
        <c:dLbls>
          <c:showLegendKey val="0"/>
          <c:showVal val="0"/>
          <c:showCatName val="0"/>
          <c:showSerName val="0"/>
          <c:showPercent val="0"/>
          <c:showBubbleSize val="0"/>
        </c:dLbls>
        <c:gapWidth val="0"/>
        <c:gapDepth val="100"/>
        <c:shape val="box"/>
        <c:axId val="927740720"/>
        <c:axId val="927738752"/>
        <c:axId val="861109936"/>
      </c:bar3DChart>
      <c:dateAx>
        <c:axId val="927740720"/>
        <c:scaling>
          <c:orientation val="minMax"/>
        </c:scaling>
        <c:delete val="0"/>
        <c:axPos val="b"/>
        <c:numFmt formatCode="mm/yy" sourceLinked="0"/>
        <c:majorTickMark val="none"/>
        <c:minorTickMark val="none"/>
        <c:tickLblPos val="nextTo"/>
        <c:spPr>
          <a:noFill/>
          <a:ln>
            <a:noFill/>
          </a:ln>
          <a:effectLst/>
        </c:spPr>
        <c:txPr>
          <a:bodyPr rot="-4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38752"/>
        <c:crosses val="autoZero"/>
        <c:auto val="1"/>
        <c:lblOffset val="100"/>
        <c:baseTimeUnit val="months"/>
        <c:majorUnit val="3"/>
        <c:majorTimeUnit val="months"/>
      </c:dateAx>
      <c:valAx>
        <c:axId val="927738752"/>
        <c:scaling>
          <c:orientation val="minMax"/>
          <c:max val="4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FPC</a:t>
                </a:r>
              </a:p>
            </c:rich>
          </c:tx>
          <c:layout>
            <c:manualLayout>
              <c:xMode val="edge"/>
              <c:yMode val="edge"/>
              <c:x val="6.6196461042498404E-3"/>
              <c:y val="0.4577079754005304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40720"/>
        <c:crosses val="autoZero"/>
        <c:crossBetween val="between"/>
        <c:majorUnit val="10"/>
        <c:minorUnit val="5"/>
      </c:valAx>
      <c:serAx>
        <c:axId val="861109936"/>
        <c:scaling>
          <c:orientation val="minMax"/>
        </c:scaling>
        <c:delete val="1"/>
        <c:axPos val="b"/>
        <c:majorTickMark val="none"/>
        <c:minorTickMark val="none"/>
        <c:tickLblPos val="nextTo"/>
        <c:crossAx val="927738752"/>
        <c:crosses val="autoZero"/>
        <c:tickLblSkip val="1"/>
      </c:serAx>
      <c:spPr>
        <a:noFill/>
        <a:ln>
          <a:noFill/>
        </a:ln>
        <a:effectLst/>
      </c:spPr>
    </c:plotArea>
    <c:legend>
      <c:legendPos val="b"/>
      <c:layout>
        <c:manualLayout>
          <c:xMode val="edge"/>
          <c:yMode val="edge"/>
          <c:x val="0.68230208754743371"/>
          <c:y val="1.8453598091205999E-3"/>
          <c:w val="0.26602293456042092"/>
          <c:h val="9.740327913556259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AU"/>
              <a:t>Rushes (</a:t>
            </a:r>
            <a:r>
              <a:rPr lang="en-AU" i="1"/>
              <a:t>Juncus spp.)</a:t>
            </a:r>
          </a:p>
        </c:rich>
      </c:tx>
      <c:layout>
        <c:manualLayout>
          <c:xMode val="edge"/>
          <c:yMode val="edge"/>
          <c:x val="0.39183760644587645"/>
          <c:y val="5.1775463550927103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917955002487276E-2"/>
          <c:y val="5.3780738946093268E-2"/>
          <c:w val="0.89795062756488275"/>
          <c:h val="0.71070187764990911"/>
        </c:manualLayout>
      </c:layout>
      <c:bar3DChart>
        <c:barDir val="col"/>
        <c:grouping val="standard"/>
        <c:varyColors val="0"/>
        <c:ser>
          <c:idx val="4"/>
          <c:order val="0"/>
          <c:tx>
            <c:strRef>
              <c:f>Graphs!$I$126</c:f>
              <c:strCache>
                <c:ptCount val="1"/>
                <c:pt idx="0">
                  <c:v>1a</c:v>
                </c:pt>
              </c:strCache>
            </c:strRef>
          </c:tx>
          <c:spPr>
            <a:solidFill>
              <a:schemeClr val="accent5"/>
            </a:solidFill>
            <a:ln>
              <a:noFill/>
            </a:ln>
            <a:effectLst/>
            <a:sp3d/>
          </c:spPr>
          <c:invertIfNegative val="0"/>
          <c:cat>
            <c:numRef>
              <c:f>Graphs!$H$127:$H$144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Graphs!$I$127:$I$144</c:f>
              <c:numCache>
                <c:formatCode>General</c:formatCode>
                <c:ptCount val="18"/>
                <c:pt idx="0">
                  <c:v>0</c:v>
                </c:pt>
                <c:pt idx="1">
                  <c:v>0</c:v>
                </c:pt>
                <c:pt idx="2">
                  <c:v>5</c:v>
                </c:pt>
                <c:pt idx="3">
                  <c:v>1.0714285714285714</c:v>
                </c:pt>
                <c:pt idx="4">
                  <c:v>0</c:v>
                </c:pt>
                <c:pt idx="5">
                  <c:v>0</c:v>
                </c:pt>
                <c:pt idx="6">
                  <c:v>0</c:v>
                </c:pt>
                <c:pt idx="7">
                  <c:v>0</c:v>
                </c:pt>
                <c:pt idx="8">
                  <c:v>0</c:v>
                </c:pt>
                <c:pt idx="9">
                  <c:v>0</c:v>
                </c:pt>
                <c:pt idx="10">
                  <c:v>0</c:v>
                </c:pt>
                <c:pt idx="11">
                  <c:v>0</c:v>
                </c:pt>
                <c:pt idx="12">
                  <c:v>0.83333333333333337</c:v>
                </c:pt>
                <c:pt idx="13">
                  <c:v>0</c:v>
                </c:pt>
                <c:pt idx="14">
                  <c:v>0</c:v>
                </c:pt>
                <c:pt idx="15">
                  <c:v>0</c:v>
                </c:pt>
                <c:pt idx="16">
                  <c:v>0</c:v>
                </c:pt>
                <c:pt idx="17">
                  <c:v>0</c:v>
                </c:pt>
              </c:numCache>
            </c:numRef>
          </c:val>
          <c:extLst>
            <c:ext xmlns:c16="http://schemas.microsoft.com/office/drawing/2014/chart" uri="{C3380CC4-5D6E-409C-BE32-E72D297353CC}">
              <c16:uniqueId val="{00000000-990E-426A-9239-AB9F2505E6C4}"/>
            </c:ext>
          </c:extLst>
        </c:ser>
        <c:ser>
          <c:idx val="5"/>
          <c:order val="1"/>
          <c:tx>
            <c:strRef>
              <c:f>Graphs!$J$126</c:f>
              <c:strCache>
                <c:ptCount val="1"/>
                <c:pt idx="0">
                  <c:v>1b</c:v>
                </c:pt>
              </c:strCache>
            </c:strRef>
          </c:tx>
          <c:spPr>
            <a:solidFill>
              <a:schemeClr val="accent6"/>
            </a:solidFill>
            <a:ln>
              <a:noFill/>
            </a:ln>
            <a:effectLst/>
            <a:sp3d/>
          </c:spPr>
          <c:invertIfNegative val="0"/>
          <c:cat>
            <c:numRef>
              <c:f>Graphs!$H$127:$H$144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Graphs!$J$127:$J$144</c:f>
              <c:numCache>
                <c:formatCode>General</c:formatCode>
                <c:ptCount val="18"/>
                <c:pt idx="0">
                  <c:v>1</c:v>
                </c:pt>
                <c:pt idx="1">
                  <c:v>0</c:v>
                </c:pt>
                <c:pt idx="2">
                  <c:v>8.125</c:v>
                </c:pt>
                <c:pt idx="3">
                  <c:v>21.666666666666668</c:v>
                </c:pt>
                <c:pt idx="4">
                  <c:v>0.32</c:v>
                </c:pt>
                <c:pt idx="5">
                  <c:v>0</c:v>
                </c:pt>
                <c:pt idx="6">
                  <c:v>0</c:v>
                </c:pt>
                <c:pt idx="7">
                  <c:v>0.66666666666666663</c:v>
                </c:pt>
                <c:pt idx="8">
                  <c:v>0</c:v>
                </c:pt>
                <c:pt idx="9">
                  <c:v>0.7142857142857143</c:v>
                </c:pt>
                <c:pt idx="10">
                  <c:v>0</c:v>
                </c:pt>
                <c:pt idx="11">
                  <c:v>0.33999999999999997</c:v>
                </c:pt>
                <c:pt idx="12">
                  <c:v>0</c:v>
                </c:pt>
                <c:pt idx="13">
                  <c:v>0.35714285714285715</c:v>
                </c:pt>
                <c:pt idx="14">
                  <c:v>0.66666666666666663</c:v>
                </c:pt>
                <c:pt idx="15">
                  <c:v>1.3636363636363635</c:v>
                </c:pt>
                <c:pt idx="16">
                  <c:v>0</c:v>
                </c:pt>
                <c:pt idx="17">
                  <c:v>1</c:v>
                </c:pt>
              </c:numCache>
            </c:numRef>
          </c:val>
          <c:extLst>
            <c:ext xmlns:c16="http://schemas.microsoft.com/office/drawing/2014/chart" uri="{C3380CC4-5D6E-409C-BE32-E72D297353CC}">
              <c16:uniqueId val="{00000001-990E-426A-9239-AB9F2505E6C4}"/>
            </c:ext>
          </c:extLst>
        </c:ser>
        <c:ser>
          <c:idx val="1"/>
          <c:order val="2"/>
          <c:tx>
            <c:strRef>
              <c:f>Graphs!$K$126</c:f>
              <c:strCache>
                <c:ptCount val="1"/>
                <c:pt idx="0">
                  <c:v>2</c:v>
                </c:pt>
              </c:strCache>
            </c:strRef>
          </c:tx>
          <c:spPr>
            <a:solidFill>
              <a:schemeClr val="accent2"/>
            </a:solidFill>
            <a:ln>
              <a:noFill/>
            </a:ln>
            <a:effectLst/>
            <a:sp3d/>
          </c:spPr>
          <c:invertIfNegative val="0"/>
          <c:cat>
            <c:numRef>
              <c:f>Graphs!$H$127:$H$144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Graphs!$K$127:$K$144</c:f>
              <c:numCache>
                <c:formatCode>General</c:formatCode>
                <c:ptCount val="18"/>
                <c:pt idx="0">
                  <c:v>1.6666666666666667</c:v>
                </c:pt>
                <c:pt idx="1">
                  <c:v>2.1428571428571428</c:v>
                </c:pt>
                <c:pt idx="2">
                  <c:v>14.642857142857142</c:v>
                </c:pt>
                <c:pt idx="3">
                  <c:v>13.666666666666666</c:v>
                </c:pt>
                <c:pt idx="4">
                  <c:v>0.95500000000000007</c:v>
                </c:pt>
                <c:pt idx="5">
                  <c:v>0</c:v>
                </c:pt>
                <c:pt idx="6">
                  <c:v>0</c:v>
                </c:pt>
                <c:pt idx="7">
                  <c:v>1.3157894736842106</c:v>
                </c:pt>
                <c:pt idx="8">
                  <c:v>0</c:v>
                </c:pt>
                <c:pt idx="9">
                  <c:v>1.1904761904761905</c:v>
                </c:pt>
                <c:pt idx="10">
                  <c:v>3.8094999999999999</c:v>
                </c:pt>
                <c:pt idx="11">
                  <c:v>2.7209523809523803</c:v>
                </c:pt>
                <c:pt idx="12">
                  <c:v>4.7619047619047619</c:v>
                </c:pt>
                <c:pt idx="13">
                  <c:v>6.9047619047619051</c:v>
                </c:pt>
                <c:pt idx="14">
                  <c:v>5.9523809523809526</c:v>
                </c:pt>
                <c:pt idx="15">
                  <c:v>3.6842105263157894</c:v>
                </c:pt>
                <c:pt idx="16">
                  <c:v>4.25</c:v>
                </c:pt>
                <c:pt idx="17">
                  <c:v>3.75</c:v>
                </c:pt>
              </c:numCache>
            </c:numRef>
          </c:val>
          <c:extLst>
            <c:ext xmlns:c16="http://schemas.microsoft.com/office/drawing/2014/chart" uri="{C3380CC4-5D6E-409C-BE32-E72D297353CC}">
              <c16:uniqueId val="{00000002-990E-426A-9239-AB9F2505E6C4}"/>
            </c:ext>
          </c:extLst>
        </c:ser>
        <c:ser>
          <c:idx val="2"/>
          <c:order val="3"/>
          <c:tx>
            <c:strRef>
              <c:f>Graphs!$L$126</c:f>
              <c:strCache>
                <c:ptCount val="1"/>
                <c:pt idx="0">
                  <c:v>3</c:v>
                </c:pt>
              </c:strCache>
            </c:strRef>
          </c:tx>
          <c:spPr>
            <a:solidFill>
              <a:schemeClr val="accent3"/>
            </a:solidFill>
            <a:ln>
              <a:noFill/>
            </a:ln>
            <a:effectLst/>
            <a:sp3d/>
          </c:spPr>
          <c:invertIfNegative val="0"/>
          <c:cat>
            <c:numRef>
              <c:f>Graphs!$H$127:$H$144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Graphs!$L$127:$L$144</c:f>
              <c:numCache>
                <c:formatCode>General</c:formatCode>
                <c:ptCount val="18"/>
                <c:pt idx="0">
                  <c:v>1</c:v>
                </c:pt>
                <c:pt idx="1">
                  <c:v>0.625</c:v>
                </c:pt>
                <c:pt idx="2">
                  <c:v>1.9642857142857142</c:v>
                </c:pt>
                <c:pt idx="3">
                  <c:v>2.5892857142857144</c:v>
                </c:pt>
                <c:pt idx="4">
                  <c:v>1.9036363636363638</c:v>
                </c:pt>
                <c:pt idx="5">
                  <c:v>2.5592592592592589</c:v>
                </c:pt>
                <c:pt idx="6">
                  <c:v>2.3857142857142857</c:v>
                </c:pt>
                <c:pt idx="7">
                  <c:v>3</c:v>
                </c:pt>
                <c:pt idx="8">
                  <c:v>2.3767857142857141</c:v>
                </c:pt>
                <c:pt idx="9">
                  <c:v>3.2915789473684209</c:v>
                </c:pt>
                <c:pt idx="10">
                  <c:v>5.3115384615384622</c:v>
                </c:pt>
                <c:pt idx="11">
                  <c:v>4.1664285714285709</c:v>
                </c:pt>
                <c:pt idx="12">
                  <c:v>2.6785714285714284</c:v>
                </c:pt>
                <c:pt idx="13">
                  <c:v>4.0178571428571432</c:v>
                </c:pt>
                <c:pt idx="14">
                  <c:v>2.4107142857142856</c:v>
                </c:pt>
                <c:pt idx="15">
                  <c:v>4.5370370370370372</c:v>
                </c:pt>
                <c:pt idx="16">
                  <c:v>5.5555555555555554</c:v>
                </c:pt>
                <c:pt idx="17">
                  <c:v>5.5454545454545459</c:v>
                </c:pt>
              </c:numCache>
            </c:numRef>
          </c:val>
          <c:extLst>
            <c:ext xmlns:c16="http://schemas.microsoft.com/office/drawing/2014/chart" uri="{C3380CC4-5D6E-409C-BE32-E72D297353CC}">
              <c16:uniqueId val="{00000003-990E-426A-9239-AB9F2505E6C4}"/>
            </c:ext>
          </c:extLst>
        </c:ser>
        <c:ser>
          <c:idx val="3"/>
          <c:order val="4"/>
          <c:tx>
            <c:strRef>
              <c:f>Graphs!$M$126</c:f>
              <c:strCache>
                <c:ptCount val="1"/>
                <c:pt idx="0">
                  <c:v>4</c:v>
                </c:pt>
              </c:strCache>
            </c:strRef>
          </c:tx>
          <c:spPr>
            <a:solidFill>
              <a:schemeClr val="accent4"/>
            </a:solidFill>
            <a:ln>
              <a:noFill/>
            </a:ln>
            <a:effectLst/>
            <a:sp3d/>
          </c:spPr>
          <c:invertIfNegative val="0"/>
          <c:cat>
            <c:numRef>
              <c:f>Graphs!$H$127:$H$144</c:f>
              <c:numCache>
                <c:formatCode>mm/yy</c:formatCode>
                <c:ptCount val="18"/>
                <c:pt idx="0">
                  <c:v>41906</c:v>
                </c:pt>
                <c:pt idx="1">
                  <c:v>41990</c:v>
                </c:pt>
                <c:pt idx="2">
                  <c:v>42262</c:v>
                </c:pt>
                <c:pt idx="3">
                  <c:v>42355</c:v>
                </c:pt>
                <c:pt idx="4">
                  <c:v>42717</c:v>
                </c:pt>
                <c:pt idx="5">
                  <c:v>42788</c:v>
                </c:pt>
                <c:pt idx="6">
                  <c:v>42835</c:v>
                </c:pt>
                <c:pt idx="7">
                  <c:v>42986</c:v>
                </c:pt>
                <c:pt idx="8">
                  <c:v>43084</c:v>
                </c:pt>
                <c:pt idx="9">
                  <c:v>43355</c:v>
                </c:pt>
                <c:pt idx="10">
                  <c:v>43444</c:v>
                </c:pt>
                <c:pt idx="11">
                  <c:v>43529</c:v>
                </c:pt>
                <c:pt idx="12">
                  <c:v>43724</c:v>
                </c:pt>
                <c:pt idx="13">
                  <c:v>43796</c:v>
                </c:pt>
                <c:pt idx="14">
                  <c:v>43893</c:v>
                </c:pt>
                <c:pt idx="15">
                  <c:v>44140</c:v>
                </c:pt>
                <c:pt idx="16">
                  <c:v>44175</c:v>
                </c:pt>
                <c:pt idx="17">
                  <c:v>44266</c:v>
                </c:pt>
              </c:numCache>
            </c:numRef>
          </c:cat>
          <c:val>
            <c:numRef>
              <c:f>Graphs!$M$127:$M$144</c:f>
              <c:numCache>
                <c:formatCode>General</c:formatCode>
                <c:ptCount val="18"/>
                <c:pt idx="0">
                  <c:v>2.358490566037736</c:v>
                </c:pt>
                <c:pt idx="1">
                  <c:v>6.5789473684210522</c:v>
                </c:pt>
                <c:pt idx="2">
                  <c:v>5.1724137931034484</c:v>
                </c:pt>
                <c:pt idx="3">
                  <c:v>7.333333333333333</c:v>
                </c:pt>
                <c:pt idx="4">
                  <c:v>0.51071428571428579</c:v>
                </c:pt>
                <c:pt idx="5">
                  <c:v>2.8222222222222224</c:v>
                </c:pt>
                <c:pt idx="6">
                  <c:v>1.9851851851851852</c:v>
                </c:pt>
                <c:pt idx="7">
                  <c:v>2.1428571428571428</c:v>
                </c:pt>
                <c:pt idx="8">
                  <c:v>2.3185185185185184</c:v>
                </c:pt>
                <c:pt idx="9">
                  <c:v>2.9310344827586206</c:v>
                </c:pt>
                <c:pt idx="10">
                  <c:v>2.7779166666666666</c:v>
                </c:pt>
                <c:pt idx="11">
                  <c:v>1.8058620689655172</c:v>
                </c:pt>
                <c:pt idx="12">
                  <c:v>1.2962962962962963</c:v>
                </c:pt>
                <c:pt idx="13">
                  <c:v>0</c:v>
                </c:pt>
                <c:pt idx="14">
                  <c:v>1.8518518518518519</c:v>
                </c:pt>
                <c:pt idx="15">
                  <c:v>1.3461538461538463</c:v>
                </c:pt>
                <c:pt idx="16">
                  <c:v>1.6666666666666667</c:v>
                </c:pt>
                <c:pt idx="17">
                  <c:v>1.6666666666666667</c:v>
                </c:pt>
              </c:numCache>
            </c:numRef>
          </c:val>
          <c:extLst>
            <c:ext xmlns:c16="http://schemas.microsoft.com/office/drawing/2014/chart" uri="{C3380CC4-5D6E-409C-BE32-E72D297353CC}">
              <c16:uniqueId val="{00000004-990E-426A-9239-AB9F2505E6C4}"/>
            </c:ext>
          </c:extLst>
        </c:ser>
        <c:dLbls>
          <c:showLegendKey val="0"/>
          <c:showVal val="0"/>
          <c:showCatName val="0"/>
          <c:showSerName val="0"/>
          <c:showPercent val="0"/>
          <c:showBubbleSize val="0"/>
        </c:dLbls>
        <c:gapWidth val="0"/>
        <c:gapDepth val="100"/>
        <c:shape val="box"/>
        <c:axId val="927740720"/>
        <c:axId val="927738752"/>
        <c:axId val="861109936"/>
      </c:bar3DChart>
      <c:dateAx>
        <c:axId val="927740720"/>
        <c:scaling>
          <c:orientation val="minMax"/>
        </c:scaling>
        <c:delete val="0"/>
        <c:axPos val="b"/>
        <c:numFmt formatCode="mm/yy" sourceLinked="0"/>
        <c:majorTickMark val="none"/>
        <c:minorTickMark val="none"/>
        <c:tickLblPos val="nextTo"/>
        <c:spPr>
          <a:noFill/>
          <a:ln>
            <a:noFill/>
          </a:ln>
          <a:effectLst/>
        </c:spPr>
        <c:txPr>
          <a:bodyPr rot="-4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38752"/>
        <c:crosses val="autoZero"/>
        <c:auto val="1"/>
        <c:lblOffset val="100"/>
        <c:baseTimeUnit val="months"/>
        <c:majorUnit val="3"/>
        <c:majorTimeUnit val="months"/>
      </c:dateAx>
      <c:valAx>
        <c:axId val="927738752"/>
        <c:scaling>
          <c:orientation val="minMax"/>
          <c:max val="3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FPC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40720"/>
        <c:crosses val="autoZero"/>
        <c:crossBetween val="between"/>
        <c:majorUnit val="10"/>
        <c:minorUnit val="5"/>
      </c:valAx>
      <c:serAx>
        <c:axId val="861109936"/>
        <c:scaling>
          <c:orientation val="minMax"/>
        </c:scaling>
        <c:delete val="1"/>
        <c:axPos val="b"/>
        <c:majorTickMark val="none"/>
        <c:minorTickMark val="none"/>
        <c:tickLblPos val="nextTo"/>
        <c:crossAx val="927738752"/>
        <c:crosses val="autoZero"/>
        <c:tickLblSkip val="1"/>
      </c:serAx>
      <c:spPr>
        <a:noFill/>
        <a:ln>
          <a:noFill/>
        </a:ln>
        <a:effectLst/>
      </c:spPr>
    </c:plotArea>
    <c:legend>
      <c:legendPos val="b"/>
      <c:layout>
        <c:manualLayout>
          <c:xMode val="edge"/>
          <c:yMode val="edge"/>
          <c:x val="0.68695876171115211"/>
          <c:y val="3.9241187159297385E-2"/>
          <c:w val="0.26602293456042092"/>
          <c:h val="9.740327913556259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CABB285BFB24A53963FF9E4D76384D0"/>
        <w:category>
          <w:name w:val="General"/>
          <w:gallery w:val="placeholder"/>
        </w:category>
        <w:types>
          <w:type w:val="bbPlcHdr"/>
        </w:types>
        <w:behaviors>
          <w:behavior w:val="content"/>
        </w:behaviors>
        <w:guid w:val="{19E6396F-1B04-444C-AF5C-B6C809BD3D5D}"/>
      </w:docPartPr>
      <w:docPartBody>
        <w:p w:rsidR="00D95ECF" w:rsidRDefault="00AA48EB">
          <w:pPr>
            <w:pStyle w:val="FCABB285BFB24A53963FF9E4D76384D0"/>
          </w:pPr>
          <w:r w:rsidRPr="007D029B">
            <w:rPr>
              <w:highlight w:val="lightGray"/>
            </w:rPr>
            <w:t>[Click to insert contact details]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Jacobs Chronos">
    <w:altName w:val="Calibri"/>
    <w:charset w:val="00"/>
    <w:family w:val="swiss"/>
    <w:pitch w:val="variable"/>
    <w:sig w:usb0="A00000EF" w:usb1="0000E0EB" w:usb2="00000008"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Frutiger 45 Light">
    <w:charset w:val="00"/>
    <w:family w:val="auto"/>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imes-Roman">
    <w:panose1 w:val="00000000000000000000"/>
    <w:charset w:val="00"/>
    <w:family w:val="auto"/>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7B46"/>
    <w:rsid w:val="00042A8F"/>
    <w:rsid w:val="00084F69"/>
    <w:rsid w:val="000A3D6F"/>
    <w:rsid w:val="000A7F8C"/>
    <w:rsid w:val="000E7A66"/>
    <w:rsid w:val="000F0F80"/>
    <w:rsid w:val="00111BE4"/>
    <w:rsid w:val="001555DC"/>
    <w:rsid w:val="00167ABF"/>
    <w:rsid w:val="00173C70"/>
    <w:rsid w:val="00185789"/>
    <w:rsid w:val="001A28AF"/>
    <w:rsid w:val="001B5AD1"/>
    <w:rsid w:val="001F6BF2"/>
    <w:rsid w:val="00235A66"/>
    <w:rsid w:val="00286EB9"/>
    <w:rsid w:val="002A2134"/>
    <w:rsid w:val="002E6952"/>
    <w:rsid w:val="002F2501"/>
    <w:rsid w:val="003A1200"/>
    <w:rsid w:val="003B23E5"/>
    <w:rsid w:val="003B7B46"/>
    <w:rsid w:val="003E2912"/>
    <w:rsid w:val="0049212C"/>
    <w:rsid w:val="004B4B82"/>
    <w:rsid w:val="004C6CD1"/>
    <w:rsid w:val="00500DA5"/>
    <w:rsid w:val="00592E5D"/>
    <w:rsid w:val="005C1366"/>
    <w:rsid w:val="005C51D2"/>
    <w:rsid w:val="005E12F1"/>
    <w:rsid w:val="005E5ACE"/>
    <w:rsid w:val="005F2D37"/>
    <w:rsid w:val="006040E7"/>
    <w:rsid w:val="006107C5"/>
    <w:rsid w:val="00645210"/>
    <w:rsid w:val="00653E12"/>
    <w:rsid w:val="00670340"/>
    <w:rsid w:val="00671A5C"/>
    <w:rsid w:val="006A06AC"/>
    <w:rsid w:val="006C3271"/>
    <w:rsid w:val="006D69F8"/>
    <w:rsid w:val="007137B4"/>
    <w:rsid w:val="00743AFC"/>
    <w:rsid w:val="00743D65"/>
    <w:rsid w:val="00787C91"/>
    <w:rsid w:val="007A14F4"/>
    <w:rsid w:val="007C7467"/>
    <w:rsid w:val="007F70BA"/>
    <w:rsid w:val="0081434D"/>
    <w:rsid w:val="0089336F"/>
    <w:rsid w:val="008A7EE2"/>
    <w:rsid w:val="008E5952"/>
    <w:rsid w:val="00902E6B"/>
    <w:rsid w:val="00912463"/>
    <w:rsid w:val="00912CF4"/>
    <w:rsid w:val="009411AD"/>
    <w:rsid w:val="009464DB"/>
    <w:rsid w:val="0097295D"/>
    <w:rsid w:val="009943E9"/>
    <w:rsid w:val="009A769B"/>
    <w:rsid w:val="00A95D72"/>
    <w:rsid w:val="00A974C2"/>
    <w:rsid w:val="00AA48EB"/>
    <w:rsid w:val="00AC737B"/>
    <w:rsid w:val="00AF54D6"/>
    <w:rsid w:val="00B22154"/>
    <w:rsid w:val="00B60D94"/>
    <w:rsid w:val="00B76E33"/>
    <w:rsid w:val="00B77A29"/>
    <w:rsid w:val="00BD3896"/>
    <w:rsid w:val="00BD66B3"/>
    <w:rsid w:val="00C237C8"/>
    <w:rsid w:val="00C36337"/>
    <w:rsid w:val="00C64FA3"/>
    <w:rsid w:val="00C65174"/>
    <w:rsid w:val="00C87FEC"/>
    <w:rsid w:val="00CB3660"/>
    <w:rsid w:val="00D6428C"/>
    <w:rsid w:val="00D77B1A"/>
    <w:rsid w:val="00D83D42"/>
    <w:rsid w:val="00D95ECF"/>
    <w:rsid w:val="00DB1121"/>
    <w:rsid w:val="00DC235E"/>
    <w:rsid w:val="00DC70E6"/>
    <w:rsid w:val="00DD5E46"/>
    <w:rsid w:val="00DD5EF4"/>
    <w:rsid w:val="00DE0554"/>
    <w:rsid w:val="00E223D8"/>
    <w:rsid w:val="00E3083B"/>
    <w:rsid w:val="00E95E99"/>
    <w:rsid w:val="00EC3B18"/>
    <w:rsid w:val="00EF71D8"/>
    <w:rsid w:val="00F00EDF"/>
    <w:rsid w:val="00F15716"/>
    <w:rsid w:val="00F1728D"/>
    <w:rsid w:val="00F254A1"/>
    <w:rsid w:val="00F37DEC"/>
    <w:rsid w:val="00F45CC7"/>
    <w:rsid w:val="00F50477"/>
    <w:rsid w:val="00F83760"/>
    <w:rsid w:val="00FB08DC"/>
    <w:rsid w:val="00FE382B"/>
    <w:rsid w:val="00FE6867"/>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5345A75C"/>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link w:val="DateChar"/>
    <w:uiPriority w:val="99"/>
    <w:unhideWhenUsed/>
    <w:rsid w:val="003B7B46"/>
    <w:pPr>
      <w:framePr w:w="6804" w:hSpace="2835" w:wrap="around" w:vAnchor="page" w:hAnchor="margin" w:y="5104" w:anchorLock="1"/>
      <w:spacing w:after="120" w:line="264" w:lineRule="auto"/>
    </w:pPr>
    <w:rPr>
      <w:sz w:val="20"/>
      <w:lang w:eastAsia="zh-CN"/>
    </w:rPr>
  </w:style>
  <w:style w:type="character" w:customStyle="1" w:styleId="DateChar">
    <w:name w:val="Date Char"/>
    <w:basedOn w:val="DefaultParagraphFont"/>
    <w:link w:val="Date"/>
    <w:uiPriority w:val="99"/>
    <w:rsid w:val="003B7B46"/>
    <w:rPr>
      <w:sz w:val="20"/>
      <w:lang w:eastAsia="zh-CN"/>
    </w:rPr>
  </w:style>
  <w:style w:type="character" w:styleId="PlaceholderText">
    <w:name w:val="Placeholder Text"/>
    <w:basedOn w:val="DefaultParagraphFont"/>
    <w:uiPriority w:val="99"/>
    <w:semiHidden/>
    <w:rPr>
      <w:color w:val="808080"/>
    </w:rPr>
  </w:style>
  <w:style w:type="paragraph" w:customStyle="1" w:styleId="FCABB285BFB24A53963FF9E4D76384D0">
    <w:name w:val="FCABB285BFB24A53963FF9E4D76384D0"/>
  </w:style>
  <w:style w:type="character" w:styleId="Strong">
    <w:name w:val="Strong"/>
    <w:basedOn w:val="DefaultParagraphFont"/>
    <w:uiPriority w:val="22"/>
    <w:rsid w:val="003B7B46"/>
    <w:rPr>
      <w:b/>
      <w:bCs/>
    </w:rPr>
  </w:style>
  <w:style w:type="paragraph" w:styleId="Subtitle">
    <w:name w:val="Subtitle"/>
    <w:basedOn w:val="Normal"/>
    <w:next w:val="Normal"/>
    <w:link w:val="SubtitleChar"/>
    <w:uiPriority w:val="11"/>
    <w:qFormat/>
    <w:rsid w:val="003B7B46"/>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3B7B46"/>
    <w:rPr>
      <w:color w:val="5A5A5A" w:themeColor="text1" w:themeTint="A5"/>
      <w:spacing w:val="15"/>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5-28T06:16:16.413"/>
    </inkml:context>
    <inkml:brush xml:id="br0">
      <inkml:brushProperty name="width" value="0.025" units="cm"/>
      <inkml:brushProperty name="height" value="0.025" units="cm"/>
      <inkml:brushProperty name="color" value="#E71224"/>
    </inkml:brush>
  </inkml:definitions>
  <inkml:trace contextRef="#ctx0" brushRef="#br0">383 173 3224 0 0,'0'0'4816'0'0,"0"0"-4763"0"0,-1 1-42 0 0,-1 1 2546 0 0,2-2-2501 0 0,-1 2 1493 0 0,0-9-859 0 0,1 6-622 0 0,0 0 0 0 0,0 0 1 0 0,0 0-1 0 0,0 0 0 0 0,0 0 0 0 0,0 0 0 0 0,0 0 0 0 0,1 0 1 0 0,-1 0-1 0 0,0 0 0 0 0,0 0 0 0 0,1-2 0 0 0,0 3 114 0 0,0-5-40 0 0,-1 5-83 0 0,-2-2-44 0 0,1 1-15 0 0,0 0 0 0 0,-1 0 0 0 0,1 1 0 0 0,-1-1 0 0 0,1 1 0 0 0,1 0 0 0 0,0 0 0 0 0,0 0 0 0 0,-1 0 0 0 0,1 0 0 0 0,0 0 0 0 0,0 0 0 0 0,0 0 0 0 0,-1 0 0 0 0,1 0 0 0 0,0-1 0 0 0,0 1 0 0 0,0 0 0 0 0,-1 0 0 0 0,1 0 0 0 0,0 0 0 0 0,0 0 0 0 0,0-1 0 0 0,0 1 0 0 0,0 0 0 0 0,-1 0 0 0 0,1 0 0 0 0,0-1 0 0 0,0 1 0 0 0,0 0 0 0 0,0 0 0 0 0,0 0 0 0 0,0-1 0 0 0,0 1 0 0 0,0 0 0 0 0,0 0 0 0 0,0 0 0 0 0,0-1 0 0 0,0 1 0 0 0,0 0 0 0 0,0-1 0 0 0,0 0 14 0 0,0 1 61 0 0,-1 0 4 0 0,0-1-63 0 0,-15-9 48 0 0,-5 7-64 0 0,20 4 0 0 0,-1 0 0 0 0,-8-4 0 0 0,9 2 0 0 0,0 0 1 0 0,1 1 4 0 0,-1 0-1 0 0,1 0 1 0 0,0 0 0 0 0,-1-1 0 0 0,1 1-1 0 0,0 0 1 0 0,-1 0 0 0 0,1-1 0 0 0,0 1-1 0 0,-1 0 1 0 0,1-1 0 0 0,0 1 0 0 0,0 0 0 0 0,-1-1-1 0 0,1 1 1 0 0,0-1 0 0 0,0 1 0 0 0,0 0-1 0 0,0-1 1 0 0,0 1 0 0 0,-1-1 0 0 0,1 1-1 0 0,0 0 1 0 0,0-1 0 0 0,0 1 0 0 0,0-1-1 0 0,0 1 1 0 0,0-1 0 0 0,0 1 0 0 0,0 0 0 0 0,1-1-1 0 0,-1 1 1 0 0,0-1 0 0 0,0 0 0 0 0,-1-14 59 0 0,-1 9-58 0 0,1 5-2 0 0,1-1-1 0 0,-1 1 1 0 0,1 0 0 0 0,-1-1-1 0 0,0 1 1 0 0,1 0-1 0 0,-1-1 1 0 0,0 1 0 0 0,0 0-1 0 0,0 0 1 0 0,0 0-1 0 0,0-1 1 0 0,-1 1-1 0 0,1 1 1 0 0,-2-3 0 0 0,2 3-1 0 0,-1-1 1 0 0,1 1-1 0 0,0-1 1 0 0,-1 1-1 0 0,1 0 1 0 0,-1-1-1 0 0,1 1 1 0 0,0 0 0 0 0,-1 0-1 0 0,1 0 1 0 0,-1 0-1 0 0,1 0 1 0 0,-1 0-1 0 0,1 1 1 0 0,-1-1-1 0 0,1 0 1 0 0,-3 2 0 0 0,4-2 1 0 0,-1 0 1 0 0,1 0 0 0 0,-1 1-1 0 0,1-1 1 0 0,-1 0 0 0 0,1 0 0 0 0,-1 0-1 0 0,0 0 1 0 0,1 0 0 0 0,-1 0-1 0 0,1 0 1 0 0,-1 0 0 0 0,1 0 0 0 0,-1 0-1 0 0,1 0 1 0 0,-1 0 0 0 0,1-1-1 0 0,-1 1 1 0 0,1 0 0 0 0,-1 0 0 0 0,1 0-1 0 0,-1-1 1 0 0,1 1 0 0 0,-1 0-1 0 0,1-1 1 0 0,0 1 0 0 0,-1 0 0 0 0,1-1-1 0 0,-1 1 1 0 0,1 0 0 0 0,0-1-1 0 0,-1 1 1 0 0,1-1 0 0 0,0 0 0 0 0,-1 1-12 0 0,1-1 0 0 0,-1 1 0 0 0,1-1 0 0 0,-1 1 0 0 0,1-1 0 0 0,-1 1 0 0 0,1-1 0 0 0,-1 1 0 0 0,1 0 0 0 0,-1-1 0 0 0,0 1 0 0 0,1 0 0 0 0,-1-1 0 0 0,0 1 0 0 0,1 0 0 0 0,-1 0 0 0 0,0 0 0 0 0,1 0 0 0 0,-1-1 0 0 0,0 1 0 0 0,1 0 0 0 0,-1 0 0 0 0,0 0 0 0 0,1 0 0 0 0,-1 1 0 0 0,0-1 0 0 0,1 0 0 0 0,-1 0 0 0 0,0 0 0 0 0,1 1 0 0 0,-1-1 0 0 0,0 0 0 0 0,1 0 0 0 0,-1 1 0 0 0,0 0 0 0 0,1 0 6 0 0,0-1 0 0 0,-1 0 0 0 0,1 1 0 0 0,-2-1 10 0 0,1 0 0 0 0,0 1 0 0 0,0-1 0 0 0,0 0 0 0 0,0 0 0 0 0,-1 0 0 0 0,1 0 0 0 0,0 0 0 0 0,0 0 0 0 0,0 0 0 0 0,0 0 0 0 0,-1 0 1 0 0,1-1-1 0 0,0 1 0 0 0,0 0 0 0 0,0-1 0 0 0,0 1 0 0 0,0-1 0 0 0,-2 0 0 0 0,2 1-79 0 0,1-1 11 0 0,-16 0 95 0 0,-1 0-20 0 0,8 1-17 0 0,7 0 0 0 0,1 0 0 0 0,0 0 0 0 0,-1 0 0 0 0,1-1 0 0 0,0 1 0 0 0,-1 0 0 0 0,1-1 0 0 0,0 1 0 0 0,-1-1 0 0 0,1 1 0 0 0,0-1 0 0 0,0 0 0 0 0,0 0 0 0 0,0 1 0 0 0,0-1 0 0 0,0 0 0 0 0,-2-2 0 0 0,-8-5 10 0 0,11 7 33 0 0,-24-11-18 0 0,24 12 45 0 0,0-1-67 0 0,-1 1 0 0 0,1 0 1 0 0,0-1-1 0 0,0 1 0 0 0,0 0 1 0 0,-1-1-1 0 0,1 1 1 0 0,0 0-1 0 0,0 0 0 0 0,-1-1 1 0 0,1 1-1 0 0,0 0 0 0 0,0 0 1 0 0,-1-1-1 0 0,1 1 1 0 0,0 0-1 0 0,-1 0 0 0 0,1 0 1 0 0,-1-1-1 0 0,1 1 0 0 0,0 0 1 0 0,-1 0-1 0 0,1 0 1 0 0,0 0-1 0 0,-1 0 0 0 0,-20-2 82 0 0,3 2-121 0 0,14 0-4 0 0,1 0 1 0 0,-1 0-1 0 0,1 0 1 0 0,-1 0-1 0 0,1-1 1 0 0,-5-1 0 0 0,7 2 42 0 0,0 0-14 0 0,-1-1 0 0 0,1 1-1 0 0,-1-1 1 0 0,1 1 0 0 0,-1-1 0 0 0,1 0-1 0 0,-1 0 1 0 0,1 0 0 0 0,0 0 0 0 0,-2-1 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5-28T06:16:08.317"/>
    </inkml:context>
    <inkml:brush xml:id="br0">
      <inkml:brushProperty name="width" value="0.025" units="cm"/>
      <inkml:brushProperty name="height" value="0.025" units="cm"/>
      <inkml:brushProperty name="color" value="#E71224"/>
    </inkml:brush>
  </inkml:definitions>
  <inkml:trace contextRef="#ctx0" brushRef="#br0">38 384 944 0 0,'0'0'73'0'0,"1"0"-47"0"0,-1 0 182 0 0,-4 2 1389 0 0,10-3 1002 0 0,-15 2-1142 0 0,10-1-1391 0 0,0 1-42 0 0,-1-1 19 0 0,2 0-22 0 0,-2 0 225 0 0,0 0-193 0 0,-1 0-32 0 0,1 0 33 0 0,0 0-1 0 0,1 0-32 0 0,-1 0 22 0 0,2 0-22 0 0,-1 0 22 0 0,0 0-22 0 0,-1 0 22 0 0,-5 2 57 0 0,8-5 13 0 0,-3 3-59 0 0,3-7 906 0 0,-5 7-950 0 0,2 0 172 0 0,0-1-263 0 0,0 1 105 0 0,1 0 0 0 0,-1 0 0 0 0,0 0 0 0 0,0-1 0 0 0,0 1 0 0 0,0 0 0 0 0,0 0 0 0 0,0 0 0 0 0,0 0 0 0 0,0 0 0 0 0,0 0 0 0 0,0 0 0 0 0,0 0 0 0 0,0-1 0 0 0,0 1 0 0 0,0 0 0 0 0,0 0 0 0 0,0 0 0 0 0,0 0 0 0 0,0 0 0 0 0,0 0 0 0 0,0 0 0 0 0,0-1 0 0 0,0 1 0 0 0,0 0 0 0 0,0 0 0 0 0,0 0 0 0 0,0 0 0 0 0,0 0 0 0 0,0 0 0 0 0,0 0 0 0 0,-1 0 0 0 0,1-1 0 0 0,0 1 0 0 0,0 0 0 0 0,0 0 0 0 0,0 0 0 0 0,0 0-1 0 0,0 0 1 0 0,0 0 0 0 0,0 0 0 0 0,0 0 0 0 0,-1 0 0 0 0,1 0 0 0 0,0 0 0 0 0,0 0 0 0 0,0 0 0 0 0,0 0 0 0 0,0 0 0 0 0,0 0 0 0 0,0 0 0 0 0,-1 0 0 0 0,1 0 0 0 0,0 0 0 0 0,0 0 0 0 0,0 0 0 0 0,0 0 0 0 0,0 0 0 0 0,0 0 0 0 0,0 0 0 0 0,-1 0 0 0 0,1 0 3 0 0,1 0 0 0 0,-1 0-1 0 0,0 0 1 0 0,0 0-1 0 0,0 0 1 0 0,0-1-1 0 0,1 1 1 0 0,-1 0 0 0 0,0 0-1 0 0,0 0 1 0 0,0 0-1 0 0,0 0 1 0 0,0 0 0 0 0,0 0-1 0 0,0-1 1 0 0,1 1-1 0 0,-1 0 1 0 0,0 0-1 0 0,0 0 1 0 0,0 0 0 0 0,0 0-1 0 0,0-1 1 0 0,0 1-1 0 0,0 0 1 0 0,0 0 0 0 0,0 0-1 0 0,0 0 1 0 0,0-1-1 0 0,0 1 1 0 0,0 0 0 0 0,0 0-1 0 0,0 0 1 0 0,0 0-1 0 0,0-1 1 0 0,0 1-1 0 0,0 0 1 0 0,0 0 0 0 0,0 0-1 0 0,0 0 1 0 0,0-1-1 0 0,0 1 1 0 0,0 0 0 0 0,0 0-1 0 0,-1 0 1 0 0,1 0-1 0 0,0 0 1 0 0,0 0-1 0 0,0-1 1 0 0,0 1 0 0 0,-2-1-27 0 0,6-5 0 0 0,-5 5 0 0 0,0 0 0 0 0,-1 1 0 0 0,2-2 94 0 0,0 2-91 0 0,0 0 0 0 0,0 0 0 0 0,0-1 0 0 0,0 1 0 0 0,0 0 0 0 0,0 0 0 0 0,0 0 0 0 0,0 0 1 0 0,0 0-1 0 0,0 0 0 0 0,0 0 0 0 0,0-1 0 0 0,-1 1 0 0 0,1 0 0 0 0,0 0 0 0 0,0 0 0 0 0,0 0 0 0 0,0 0 0 0 0,0 0 0 0 0,0 0 0 0 0,0 0 0 0 0,0 0 0 0 0,0-1 0 0 0,0 1 1 0 0,0 0-1 0 0,0 0 0 0 0,0 0 0 0 0,-1 0 0 0 0,1 0 0 0 0,0 0 0 0 0,0 0 0 0 0,0 0 0 0 0,0 0 0 0 0,0 0 0 0 0,0 0 0 0 0,0 0 0 0 0,0 0 0 0 0,-1 0 0 0 0,1 0 0 0 0,0 0 1 0 0,0 0-1 0 0,0 0 0 0 0,0 0 0 0 0,0 0 0 0 0,0 0 0 0 0,0 0 0 0 0,-1 0 0 0 0,1 0 0 0 0,0 0 0 0 0,0 0 0 0 0,0 0 0 0 0,0 0 0 0 0,0 0 0 0 0,0 0 0 0 0,0 0 1 0 0,0 0-1 0 0,-1 0 0 0 0,0 0-3 0 0,1-1 0 0 0,0 1-1 0 0,0 0 1 0 0,0 0 0 0 0,0 0 0 0 0,0 0-1 0 0,0 0 1 0 0,0 0 0 0 0,0 0 0 0 0,1 0 0 0 0,-1 0-1 0 0,0 0 1 0 0,0 0 0 0 0,0 0 0 0 0,0 0-1 0 0,0 0 1 0 0,0 0 0 0 0,-1 0 0 0 0,1 0 0 0 0,0-1-1 0 0,0 1 1 0 0,0 0 0 0 0,0 0 0 0 0,0 0-1 0 0,0 0 1 0 0,0 0 0 0 0,0 0 0 0 0,0 0-1 0 0,0 0 1 0 0,0 0 0 0 0,0 0 0 0 0,0 0 0 0 0,0 0-1 0 0,0 0 1 0 0,0 0 0 0 0,0 0 0 0 0,0 0-1 0 0,0 0 1 0 0,0 0 0 0 0,0 0 0 0 0,0 0-1 0 0,0 0 1 0 0,0 0 0 0 0,0 0 0 0 0,-1 0 0 0 0,1 0-1 0 0,0 0 1 0 0,0 0 0 0 0,0 0 0 0 0,0 0-1 0 0,0 0 1 0 0,0 0 0 0 0,0 0 0 0 0,0 0 0 0 0,0 0-1 0 0,0 0 1 0 0,0 0 0 0 0,0 0 0 0 0,0 0-1 0 0,0 0 1 0 0,0 0 0 0 0,0 0 0 0 0,0 0-1 0 0,-1 0 1 0 0,-1-1-17 0 0,4-3 9 0 0,-2 3 8 0 0,0-7 94 0 0,0 7-35 0 0,-1 1-44 0 0,2-1-15 0 0,0 0 0 0 0,0 1 0 0 0,-1-2 0 0 0,-1 1 0 0 0,0-1 0 0 0,1 1 0 0 0,0 1 0 0 0,-1 0 0 0 0,1 0 0 0 0,0 0 0 0 0,0 0 0 0 0,0 0 0 0 0,0 0 0 0 0,0 0 0 0 0,0 0 0 0 0,0 0 0 0 0,0 0 0 0 0,0 0 0 0 0,0 0 0 0 0,0 0 0 0 0,0 0 0 0 0,0-1 0 0 0,0 1 0 0 0,0 0 0 0 0,0 0 0 0 0,0 0 0 0 0,0 0 0 0 0,0 0 0 0 0,0 0 0 0 0,0 0 0 0 0,0 0 0 0 0,0 0 0 0 0,0 0 0 0 0,0-1 0 0 0,0 1 0 0 0,0 0 0 0 0,0 0 0 0 0,0 0 0 0 0,0 0 0 0 0,0 0 0 0 0,0 0 0 0 0,0 0 0 0 0,0 0 0 0 0,0 0 0 0 0,0 0 0 0 0,0 0 0 0 0,0 0 0 0 0,1 0 0 0 0,-1-1 0 0 0,0 1 0 0 0,0 0 0 0 0,0 0 0 0 0,0 0 0 0 0,0 0 0 0 0,0 0 0 0 0,0 0 0 0 0,0 0 0 0 0,0 0 0 0 0,1-1 0 0 0,0 1 0 0 0,-3-1 0 0 0,0 0 0 0 0,1 1 0 0 0,1-1 0 0 0,-1 1 0 0 0,-6-1 0 0 0,6 1 0 0 0,0 0 0 0 0,0 0 0 0 0,1 0 0 0 0,-1 0 0 0 0,0-1 0 0 0,0 1 0 0 0,0 0 0 0 0,0 0 0 0 0,1-1 0 0 0,-1 1 0 0 0,0-1 0 0 0,0 1 0 0 0,0-1 0 0 0,0 0 0 0 0,0-8 64 0 0,1 9-80 0 0,0 0 15 0 0,-1 0 1 0 0,1 0-1 0 0,0 0 0 0 0,0 0 1 0 0,0 0-1 0 0,0 0 0 0 0,0 0 1 0 0,0 0-1 0 0,0 0 0 0 0,0 0 1 0 0,0 0-1 0 0,0 0 0 0 0,-1 0 0 0 0,1 0 1 0 0,0 0-1 0 0,0 0 0 0 0,0 0 1 0 0,0 0-1 0 0,0 0 0 0 0,0 0 1 0 0,0 0-1 0 0,0 0 0 0 0,0 0 1 0 0,0-1-1 0 0,0 1 0 0 0,0 0 1 0 0,0 0-1 0 0,0 0 0 0 0,-1 0 0 0 0,1 0 1 0 0,0 0-1 0 0,0 0 0 0 0,0 0 1 0 0,0 0-1 0 0,0 0 0 0 0,0 0 1 0 0,0-1-1 0 0,0 1 0 0 0,0 0 1 0 0,0 0-1 0 0,0 0 0 0 0,0 0 1 0 0,0 0-1 0 0,0 0 0 0 0,0 0 1 0 0,0 0-1 0 0,0 0 0 0 0,0 0 0 0 0,0-1 1 0 0,0 1-1 0 0,0 0 0 0 0,0 0 1 0 0,1 0-1 0 0,-1 0 0 0 0,0 0 1 0 0,0 0-1 0 0,0 0 0 0 0,0 0 1 0 0,1-1 0 0 0,-1 0 1 0 0,0 1 1 0 0,0 0-1 0 0,0 0 1 0 0,1-1 0 0 0,-1 1 0 0 0,0 0 0 0 0,0 0-1 0 0,0 0 1 0 0,0-1 0 0 0,1 1 0 0 0,-1 0 0 0 0,0 0-1 0 0,0-1 1 0 0,0 1 0 0 0,0 0 0 0 0,0 0 0 0 0,0-1-1 0 0,0 1 1 0 0,0 0 0 0 0,0 0 0 0 0,0-1 0 0 0,0 1-1 0 0,0 0 1 0 0,0-1 0 0 0,0 1 0 0 0,0 0-1 0 0,0 0 1 0 0,0-1 0 0 0,0 1 0 0 0,0 0 0 0 0,0 0-1 0 0,0-1 1 0 0,0 1 0 0 0,0 0 0 0 0,-1-1 0 0 0,1 0-2 0 0,1 0 0 0 0,0-2 19 0 0,8-6 26 0 0,-8 8-45 0 0,0 0 0 0 0,0 0 0 0 0,0 0 0 0 0,0 1 10 0 0,5-1 44 0 0,-5 1-54 0 0,-1 0 0 0 0,1-1 0 0 0,0 1 10 0 0,0 0 33 0 0,0 1-32 0 0,-2-2-11 0 0,0 0 0 0 0,1 0 10 0 0,1 1 33 0 0,0-1-32 0 0,-1 1-5 0 0,0-1 0 0 0,0 1 1 0 0,0 0-1 0 0,1 0 0 0 0,-1 0 1 0 0,0-1-1 0 0,0 1 0 0 0,0 0 1 0 0,0 0-1 0 0,0 0 0 0 0,0-1 1 0 0,0 1-1 0 0,0 0 0 0 0,0 0 1 0 0,0-1-1 0 0,0 1 0 0 0,0 0 1 0 0,-1 0-1 0 0,1-1 0 0 0,0 1 1 0 0,0 0-1 0 0,0 0 0 0 0,0 0 1 0 0,0-1-1 0 0,0 1 0 0 0,0 0 1 0 0,-1 0-1 0 0,1 0 0 0 0,0 0 1 0 0,0-1-1 0 0,0 1 0 0 0,0 0 1 0 0,-1 0-1 0 0,0-3 11 0 0,3 1 9 0 0,-2 2-24 0 0,0 0-1 0 0,0 0 1 0 0,1-1-1 0 0,-1 1 1 0 0,0 0-1 0 0,0 0 0 0 0,1 0 1 0 0,-1 0-1 0 0,0 0 1 0 0,0-1-1 0 0,0 1 1 0 0,1 0-1 0 0,-1 0 0 0 0,0 0 1 0 0,0-1-1 0 0,0 1 1 0 0,0 0-1 0 0,0 0 1 0 0,1 0-1 0 0,-1-1 1 0 0,0 1-1 0 0,0 0 0 0 0,0 0 1 0 0,0-1-1 0 0,0 1 1 0 0,0 0-1 0 0,0 0 1 0 0,0-1-1 0 0,0 1 1 0 0,0 0-1 0 0,0-1 0 0 0,0 1 1 0 0,0 0-1 0 0,0 0 1 0 0,0-1-1 0 0,0 1 1 0 0,-1-1 11 0 0,1 1 40 0 0,-1-1-39 0 0,2 0-14 0 0,0-1 8 0 0,-1 2-7 0 0,1-1 0 0 0,-1 1 0 0 0,0-1 0 0 0,0 1 0 0 0,1-1 0 0 0,-1 1 0 0 0,0-1 0 0 0,1 1 0 0 0,-1 0 0 0 0,0-1 0 0 0,1 1 0 0 0,-1-1 0 0 0,1 1 0 0 0,-1 0 0 0 0,0 0 0 0 0,1-1 0 0 0,-1 1 0 0 0,1 0 0 0 0,-1 0 0 0 0,1-1 0 0 0,-1 1 0 0 0,1 0 0 0 0,-1 0 0 0 0,1 0 0 0 0,-1 0 0 0 0,1 0 0 0 0,0 0 0 0 0,-1 0 0 0 0,1 0 0 0 0,-1 0 0 0 0,1 0 0 0 0,-1 0 0 0 0,1 0 0 0 0,-1 0 0 0 0,1 0 0 0 0,0 1 0 0 0,-1-1-33 0 0,1 0 64 0 0,0 0-21 0 0,0-1-11 0 0,-1 0 0 0 0,2-1 0 0 0,-1-3 0 0 0,-1 4 0 0 0,0 0 0 0 0,2-2 18 0 0,-2 3-16 0 0,1 0 0 0 0,-1-1 0 0 0,0 1 0 0 0,0 0 0 0 0,1-1 0 0 0,-1 1 0 0 0,0 0 1 0 0,0-1-1 0 0,1 1 0 0 0,-1 0 0 0 0,0-1 0 0 0,0 1 0 0 0,0 0 0 0 0,0-1 0 0 0,1 1 0 0 0,-1-1 0 0 0,0 1 0 0 0,0 0 0 0 0,0-1 0 0 0,0 1 1 0 0,0-1-1 0 0,0 0-2 0 0,0 1 0 0 0,0 0 0 0 0,0 0 0 0 0,0 0 0 0 0,0-1 0 0 0,0 1 0 0 0,0 0 0 0 0,0 0 0 0 0,0 0 0 0 0,0-1 0 0 0,0 1 0 0 0,0 0 0 0 0,0 0 0 0 0,0 0 0 0 0,0-1 0 0 0,0 1 0 0 0,0 0 0 0 0,0 0 0 0 0,0 0 0 0 0,0 0 0 0 0,1-1 0 0 0,-1 1 0 0 0,0 0 0 0 0,0 0 0 0 0,0 0 0 0 0,0 0 0 0 0,0 0 0 0 0,1-1 0 0 0,-1 1 0 0 0,15-5 0 0 0,-13 5 0 0 0,-1 0 0 0 0,2-1 6 0 0,-3 1-3 0 0,1 0 0 0 0,-1 0 0 0 0,1 0 1 0 0,0 0-1 0 0,-1 0 0 0 0,1-1 0 0 0,-1 1 0 0 0,1 0 0 0 0,-1 0 0 0 0,0 0 0 0 0,1-1 0 0 0,-1 1 1 0 0,1 0-1 0 0,-1 0 0 0 0,1-1 0 0 0,-1 1 0 0 0,0 0 0 0 0,1-1 0 0 0,-1 1 0 0 0,1-1 1 0 0,-1 1-1 0 0,0 0 0 0 0,0-1 0 0 0,1 1 0 0 0,-1-1 0 0 0,0 1 0 0 0,0-1 0 0 0,1 1 0 0 0,-1-1 1 0 0,0 1-1 0 0,0-1 0 0 0,0 1 0 0 0,0-1 0 0 0,0 1 0 0 0,0-1 0 0 0,0 1 0 0 0,0-1 0 0 0,0 0 1 0 0,0 0-4 0 0,1 0 0 0 0,-2 0 0 0 0,2-1 0 0 0,-1 2 1 0 0,0 0 1 0 0,0-1 0 0 0,0 1-1 0 0,0 0 1 0 0,0-1-1 0 0,0 1 1 0 0,0 0 0 0 0,0-1-1 0 0,0 1 1 0 0,0 0 0 0 0,-1-1-1 0 0,1 1 1 0 0,0 0 0 0 0,0-1-1 0 0,0 1 1 0 0,-1 0-1 0 0,1 0 1 0 0,0-1 0 0 0,0 1-1 0 0,-1 0 1 0 0,1 0 0 0 0,0 0-1 0 0,0-1 1 0 0,-1 1 0 0 0,1 0-1 0 0,0 0 1 0 0,-1 0 0 0 0,1 0-1 0 0,0 0 1 0 0,-1 0-1 0 0,1-1 1 0 0,0 1 0 0 0,-1 0-1 0 0,1 0 1 0 0,0 0 0 0 0,-1 0-1 0 0,1 0 1 0 0,-1 0 0 0 0,1 0-2 0 0,0-1 0 0 0,0 0 0 0 0,0 0 0 0 0,0 0 0 0 0,0 0 0 0 0,0 0 0 0 0,0 1 0 0 0,0-1 0 0 0,0 0 0 0 0,0 0 0 0 0,0 0 0 0 0,1 0 0 0 0,-1 1 0 0 0,0-1 0 0 0,1 0 0 0 0,-1 0 0 0 0,1 1 0 0 0,-1-1 0 0 0,1 0 0 0 0,0 0 0 0 0,-1 0 3 0 0,1 1-1 0 0,-1 0 1 0 0,1-1-1 0 0,-1 0 1 0 0,1 1-1 0 0,-1-1 1 0 0,1 1 0 0 0,-1-1-1 0 0,0 1 1 0 0,1-1-1 0 0,-1 0 1 0 0,0 1-1 0 0,0-1 1 0 0,1 0-1 0 0,-1 1 1 0 0,0-1-1 0 0,0 0 1 0 0,0 1-1 0 0,0-1 1 0 0,0 0-1 0 0,0 0 1 0 0,0 1 0 0 0,0-1-1 0 0,0-1 1 0 0,0 1 128 0 0,0 1-140 0 0,0-1 0 0 0,-1 1 0 0 0,1-1-1 0 0,0 1 1 0 0,0-1 0 0 0,0 1 0 0 0,0 0-1 0 0,0-1 1 0 0,0 1 0 0 0,0-1 0 0 0,1 1-1 0 0,-1-1 1 0 0,0 1 0 0 0,0-1 0 0 0,0 1-1 0 0,0 0 1 0 0,0-1 0 0 0,1 1 0 0 0,-1-1 0 0 0,0 1-1 0 0,0 0 1 0 0,1-1 0 0 0,-1 1 0 0 0,0 0-1 0 0,1-1 1 0 0,-1 1 0 0 0,2-2 15 0 0,-2 2-86 0 0,1-1 84 0 0,-1 1 0 0 0,1 0 1 0 0,0-1-1 0 0,0 1 1 0 0,-1 0-1 0 0,1 0 1 0 0,0-1-1 0 0,0 1 0 0 0,0 0 1 0 0,0 0-1 0 0,-1 0 1 0 0,1 0-1 0 0,2 0 0 0 0,4-1-115 0 0,-6 1 171 0 0,11-1-340 0 0,7-9 366 0 0,-18 10-166 0 0,-1-1 85 0 0,0 1 98 0 0,11-4 79 0 0,-11 4-284 0 0,0 0-86 0 0,1 0 197 0 0,-1 0 0 0 0,0 0 0 0 0,0 0 0 0 0,1 0 0 0 0,-1 0-1 0 0,0 0 1 0 0,1 0 0 0 0,-1-1 0 0 0,0 1 0 0 0,1 0 0 0 0,-1 0 0 0 0,0 0 0 0 0,0 0 0 0 0,1 0 0 0 0,-1 0 0 0 0,0-1 0 0 0,0 1 0 0 0,1 0 0 0 0,-1 0 0 0 0,0-1 0 0 0,0 1 0 0 0,0 0 0 0 0,1 0 0 0 0,-1 0 0 0 0,0-1 0 0 0,0 1 0 0 0,0-1 0 0 0,7-7 116 0 0,-6 7-125 0 0,-1 0 12 0 0,0 0-5 0 0,0 1-1 0 0,0-1 1 0 0,0 1 0 0 0,0-1 0 0 0,0 1 0 0 0,0-1 0 0 0,0 1 0 0 0,0-1 0 0 0,-1 1 0 0 0,1-1 0 0 0,0 1 0 0 0,0-1 0 0 0,0 1 0 0 0,-1 0 0 0 0,1-1 0 0 0,0 1-1 0 0,0-1 1 0 0,-1 1 0 0 0,1 0 0 0 0,-1-1 0 0 0,-8-14 116 0 0,9 15 149 0 0,0 0-276 0 0,0 0 1 0 0,0 0-1 0 0,0 0 1 0 0,0 1 0 0 0,0-1-1 0 0,0 0 1 0 0,0 0-1 0 0,0 0 1 0 0,0 0 0 0 0,0 0-1 0 0,-1 0 1 0 0,1 0 0 0 0,0 0-1 0 0,0 0 1 0 0,0 0-1 0 0,0 0 1 0 0,0 0 0 0 0,0 0-1 0 0,0 0 1 0 0,0 0-1 0 0,0 0 1 0 0,0 0 0 0 0,0 0-1 0 0,0 0 1 0 0,-1 0 0 0 0,1 0-1 0 0,0 0 1 0 0,0 0-1 0 0,0 0 1 0 0,0 0 0 0 0,0 0-1 0 0,0 0 1 0 0,0 0-1 0 0,0 0 1 0 0,0 0 0 0 0,0 0-1 0 0,0 0 1 0 0,0 0 0 0 0,0-1-1 0 0,0 1 1 0 0,0 0-1 0 0,-1 0 1 0 0,1 0 0 0 0,0 0-1 0 0,0 0 1 0 0,0 0-1 0 0,0 0 1 0 0,0 0 0 0 0,0 0-1 0 0,0 0 1 0 0,0 0-1 0 0,0 0 1 0 0,0 0 0 0 0,0 0-1 0 0,0-1 1 0 0,0 1 0 0 0,0 0-1 0 0,0 0 1 0 0,0 0-1 0 0,0 0 1 0 0,0 0 0 0 0,0 0-1 0 0,0 0 1 0 0,0 0-1 0 0,0 0 1 0 0,0 0 0 0 0,4-3-425 0 0,-4 3 492 0 0,28 0 607 0 0,-26 0-671 0 0,0-1 0 0 0,0 0 0 0 0,-1 0-12 0 0,2-1-34 0 0,-3 2 45 0 0,0 0 0 0 0,0 0 1 0 0,1 0-1 0 0,-1 0 0 0 0,0 0 0 0 0,0 0 0 0 0,1-1 0 0 0,-1 1 0 0 0,0 0 0 0 0,0 0 0 0 0,0 0 0 0 0,1 0 1 0 0,-1-1-1 0 0,0 1 0 0 0,0 0 0 0 0,0 0 0 0 0,0-1 0 0 0,0 1 0 0 0,1 0 0 0 0,-1 0 0 0 0,0-1 0 0 0,0 1 1 0 0,0 0-1 0 0,0 0 0 0 0,0-1 0 0 0,0 1 0 0 0,0 0 0 0 0,0-1 0 0 0,0 1 0 0 0,0 0 0 0 0,0 0 0 0 0,0-1 0 0 0,0 1 1 0 0,0 0-12 0 0,0-1 81 0 0,0 0-54 0 0,0 0-31 0 0,1 0-48 0 0,-1 0 64 0 0,0-1 16 0 0,0 2-14 0 0,0-1 0 0 0,0 0 1 0 0,0 0-1 0 0,0 1 0 0 0,0-1 0 0 0,0 0 1 0 0,0 1-1 0 0,0-1 0 0 0,0 0 0 0 0,0 0 1 0 0,-1 1-1 0 0,1-1 0 0 0,0 0 1 0 0,-1 1-1 0 0,1-1 0 0 0,0 1 0 0 0,-1-1 1 0 0,1 0-1 0 0,-1 1 0 0 0,1-1 1 0 0,-1 1-1 0 0,1-1 0 0 0,-1 1 0 0 0,1-1 1 0 0,-1 1-1 0 0,1-1 0 0 0,-2 0 1 0 0,1 1-9 0 0,1-1 0 0 0,-1 0-1 0 0,1 0 1 0 0,0 0 0 0 0,-1 0 0 0 0,1 0 0 0 0,0 0 0 0 0,0 0 0 0 0,0 0 0 0 0,0 0 0 0 0,-1 0 0 0 0,1 0 0 0 0,1 0 0 0 0,-1 0 0 0 0,0 0 0 0 0,0 0 0 0 0,0 0 0 0 0,0 0 0 0 0,1 0 0 0 0,0-2 0 0 0,6 0-2381 0 0,-3 2 1469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5-28T06:15:57.285"/>
    </inkml:context>
    <inkml:brush xml:id="br0">
      <inkml:brushProperty name="width" value="0.025" units="cm"/>
      <inkml:brushProperty name="height" value="0.025" units="cm"/>
      <inkml:brushProperty name="color" value="#E71224"/>
    </inkml:brush>
  </inkml:definitions>
  <inkml:trace contextRef="#ctx0" brushRef="#br0">779 347 1840 0 0,'0'0'7480'0'0,"4"6"-5846"0"0,6-2-1431 0 0,-10-4-235 0 0,0 0 64 0 0,2 0-21 0 0,0 1-22 0 0,-1-1-32 0 0,0 1 43 0 0,0-1 32 0 0,3 0-21 0 0,-2 1-43 0 0,13 4 563 0 0,-14-4-548 0 0,-1-1 42 0 0,0 0 0 0 0,0 0 0 0 0,0 0 0 0 0,1 0 0 0 0,-1 1 1 0 0,0-1-1 0 0,0 0 0 0 0,1 0 0 0 0,-1 0 0 0 0,0 0 0 0 0,0 0 0 0 0,1 0 0 0 0,-1 0 0 0 0,0 0 1 0 0,0 0-1 0 0,1 0 0 0 0,-1 0 0 0 0,0 0 0 0 0,0 0 0 0 0,1 0 0 0 0,-1 0 0 0 0,0 0 0 0 0,1 0 0 0 0,-1 0 1 0 0,0 0-1 0 0,0 0 0 0 0,0-1 0 0 0,1 1 0 0 0,-1 0 0 0 0,0 0 0 0 0,1-1 0 0 0,-1 1 661 0 0,0 0-586 0 0,2 0-80 0 0,-1-1-6 0 0,-1 1 58 0 0,1 0-50 0 0,-1 0-1 0 0,1 0 1 0 0,-1-1-1 0 0,1 1 1 0 0,-1 0 0 0 0,1-1-1 0 0,0 1 1 0 0,-1-1-1 0 0,1 1 1 0 0,-1 0-1 0 0,0-1 1 0 0,1 1-1 0 0,-1-1 1 0 0,1 1-1 0 0,-1-1 1 0 0,0 1-1 0 0,1-1 1 0 0,-1 0 0 0 0,0 1-1 0 0,0-1 1 0 0,1 1-1 0 0,-1-1 1 0 0,0 0-1 0 0,0 1 1 0 0,0-1-1 0 0,0 0 1 0 0,0 1-1 0 0,0-1 1 0 0,0 0 0 0 0,0 1-1 0 0,0-2 1 0 0,0 2 52 0 0,0-1-4 0 0,0 0-17 0 0,-1 0-42 0 0,2-1-11 0 0,0 0 147 0 0,0 2-107 0 0,-1-1 0 0 0,1 1 1 0 0,-1 0-1 0 0,1-1 0 0 0,-1 1 0 0 0,1-1 0 0 0,-1 1 1 0 0,0-1-1 0 0,1 0 0 0 0,-1 1 0 0 0,0-1 0 0 0,0 1 1 0 0,0-1-1 0 0,1 0 0 0 0,-1 1 0 0 0,0-1 0 0 0,0 1 1 0 0,0-1-1 0 0,0 0 0 0 0,0 1 0 0 0,0-2 1 0 0,-1 0-41 0 0,1 1 0 0 0,-2 0 0 0 0,1 0 0 0 0,1-1 0 0 0,-1 1 0 0 0,0 0 0 0 0,1 0 0 0 0,0-1 0 0 0,-1 1 0 0 0,1-1 0 0 0,-1 1 0 0 0,0 0 496 0 0,-8-6-880 0 0,9 6 473 0 0,-3-4-177 0 0,3 5-20 0 0,-7-5-24 0 0,7 5 186 0 0,-6-3 115 0 0,5 2-169 0 0,1 1 0 0 0,-1-1 0 0 0,0 0 12 0 0,-11-13 48 0 0,11 12-60 0 0,0-7-24 0 0,3-5 40 0 0,-1 11-40 0 0,-1 2 23 0 0,1 0 0 0 0,-1 0-1 0 0,1 1 1 0 0,-1-1-1 0 0,0 0 1 0 0,0 0 0 0 0,1 0-1 0 0,-1 0 1 0 0,0 0-1 0 0,0 0 1 0 0,0 0 0 0 0,0-1 509 0 0,2-3-982 0 0,-2 4 517 0 0,-1 1-46 0 0,1-1-50 0 0,-1 1 40 0 0,1 0-1 0 0,-1-1 1 0 0,1 1-1 0 0,-1 0 1 0 0,1 0 0 0 0,-1-1-1 0 0,1 1 1 0 0,-1 0 0 0 0,1 0-1 0 0,-1 0 1 0 0,1-1 0 0 0,-1 1-1 0 0,1 0 1 0 0,-1 0-1 0 0,1 0 1 0 0,-1 0 0 0 0,1 0-1 0 0,-1 0 1 0 0,1 0 0 0 0,-1 0-1 0 0,0 0 1 0 0,0 1 0 0 0,-7 0 356 0 0,8-1-231 0 0,-9-5-257 0 0,7 1 405 0 0,-3-5-498 0 0,4 9 608 0 0,1-1-264 0 0,-1 0-84 0 0,-1 1-34 0 0,-7-4-572 0 0,9 4 566 0 0,-1-1 1 0 0,0 1-1 0 0,0-1 0 0 0,0 1 1 0 0,1 0-1 0 0,-1-1 0 0 0,0 1 1 0 0,0 0-1 0 0,0-1 0 0 0,0 1 1 0 0,0 0-1 0 0,0 0 1 0 0,-1 0-1 0 0,-11-8-107 0 0,12 7 125 0 0,0 0-11 0 0,1 1-32 0 0,-1-1 33 0 0,1 0 10 0 0,-2 0 0 0 0,3-7 0 0 0,-1 7 0 0 0,1 0 0 0 0,-1 0 0 0 0,1 0 0 0 0,3-9 0 0 0,-6 3 0 0 0,-1-2 0 0 0,3 9-1 0 0,0 0 0 0 0,0 0 0 0 0,0-1 1 0 0,0 1-1 0 0,0 0 0 0 0,0 0 0 0 0,0-1 0 0 0,0 1 1 0 0,0 0-1 0 0,1 0 0 0 0,-1-1 0 0 0,0 1 1 0 0,0 0-1 0 0,-1 0 0 0 0,1-1 0 0 0,0 1 1 0 0,0 0-1 0 0,0 0 0 0 0,0-1 0 0 0,0 1 1 0 0,0 0-1 0 0,0 0 0 0 0,0-1 0 0 0,0 1 1 0 0,0 0-1 0 0,-1 0 0 0 0,1 0 0 0 0,0-1 0 0 0,0 1 1 0 0,0 0-1 0 0,-1 0 0 0 0,1 0 0 0 0,0-1 1 0 0,0 1-1 0 0,0 0 0 0 0,-1 0 0 0 0,1 0 1 0 0,-15-5-35 0 0,12 4 35 0 0,2 1-1 0 0,1 0 1 0 0,0 0 0 0 0,-1 0 0 0 0,1 0 0 0 0,0 0 0 0 0,0 0 0 0 0,-1 0 0 0 0,1-1 0 0 0,0 1-1 0 0,-1 0 1 0 0,1 0 0 0 0,0 0 0 0 0,0 0 0 0 0,-1-1 0 0 0,1 1 0 0 0,0 0 0 0 0,0 0-1 0 0,0-1 1 0 0,-1 1 0 0 0,1 0 0 0 0,0 0 0 0 0,0-1 0 0 0,0 1 0 0 0,0 0 0 0 0,-1-1 0 0 0,0-18 15 0 0,1 19 49 0 0,-1-2 12 0 0,1 0-60 0 0,0 1-32 0 0,0 1-60 0 0,0-1 12 0 0,-1 0 52 0 0,1-1 12 0 0,-1 2 0 0 0,1-1 0 0 0,-1 1 0 0 0,1-1 0 0 0,-1 1 0 0 0,0-1 0 0 0,1 1 0 0 0,-1-1 0 0 0,0 1 0 0 0,1-1 0 0 0,-1 1 0 0 0,0 0 0 0 0,0-1 0 0 0,-1 1 0 0 0,2 0 0 0 0,0 0 0 0 0,-1-1 0 0 0,-11-2 0 0 0,3 5 0 0 0,8-1-11 0 0,-3 0-44 0 0,1 1 56 0 0,-5 10-64 0 0,7-11 63 0 0,1 0 10 0 0,0-1 44 0 0,0 0-1 0 0,-1-1-42 0 0,0 0-11 0 0,0 0 0 0 0,-1-1 0 0 0,0 1 0 0 0,-7 4 0 0 0,7-2 16 0 0,0 0 1 0 0,0-1 0 0 0,0 1 0 0 0,-1 0 0 0 0,1-1 0 0 0,0 0 0 0 0,0 1 0 0 0,-3-1 0 0 0,-3-3 47 0 0,5 0-76 0 0,-6-2-107 0 0,8 6 112 0 0,0-1 1 0 0,0 0 0 0 0,0 0 0 0 0,0 1 0 0 0,0-1 0 0 0,0 1 0 0 0,0-1 0 0 0,0 1 0 0 0,0 0 0 0 0,0-1 0 0 0,0 1 0 0 0,0 0 0 0 0,-1 1 0 0 0,1-2 6 0 0,-13 8 0 0 0,14-7 0 0 0,-11 3 0 0 0,8-3 0 0 0,0-1 0 0 0,1 1 0 0 0,-1-1 0 0 0,0 0 0 0 0,1 0 0 0 0,-1 0 0 0 0,0 0 0 0 0,1-1 0 0 0,-1 1 0 0 0,-2-1 0 0 0,-24-3 0 0 0,28 4 0 0 0,0 0 0 0 0,-22-4 0 0 0,23 4 0 0 0,-2-1 0 0 0,0 1 0 0 0,0 0 0 0 0,0-1 0 0 0,0 1 0 0 0,0 0 0 0 0,-1 0 0 0 0,1 0 0 0 0,0 0 0 0 0,-4 1 0 0 0,5-1 0 0 0,-1 0 0 0 0,0 0 0 0 0,1 0 0 0 0,-1 0 0 0 0,0 0 0 0 0,-22-1-128 0 0,23 2 138 0 0,1-1 22 0 0,0-1-64 0 0,-1 1 22 0 0,1-1 12 0 0,0 0 0 0 0,-1 0 1 0 0,1 1-1 0 0,0-1 0 0 0,0 0 1 0 0,0 1-1 0 0,0-1 0 0 0,-1 0 1 0 0,1 0-1 0 0,0 1 0 0 0,0-1 1 0 0,0 0-1 0 0,1 0 1 0 0,-1 1-1 0 0,0-1 0 0 0,0-1 1 0 0,2-9 21 0 0,-2 9-24 0 0,-1 2-11 0 0,1-1-32 0 0,-1 1 43 0 0,1-1 43 0 0,-2 1-32 0 0,2-1-11 0 0,-1 1 0 0 0,-1 0 0 0 0,-19 1 0 0 0,4-1 0 0 0,16 0 0 0 0,-8 1 0 0 0,8-1 0 0 0,1-1 0 0 0,3-16-54 0 0,-4 16 55 0 0,1 1 0 0 0,0-1 0 0 0,0 1 0 0 0,0-1 0 0 0,0 1 0 0 0,0 0-1 0 0,-1-1 1 0 0,1 1 0 0 0,0-1 0 0 0,0 1 0 0 0,-1 0 0 0 0,1-1 0 0 0,0 1 0 0 0,-1-1 0 0 0,1 1-1 0 0,0 0 1 0 0,-1 0 0 0 0,1-1 0 0 0,-1 1 0 0 0,1 0 0 0 0,0 0 0 0 0,-1-1 0 0 0,1 1 0 0 0,-1 0-1 0 0,1 0 1 0 0,-1 0 0 0 0,1 0 0 0 0,-1 0 0 0 0,1-1 0 0 0,0 1 0 0 0,-1 0 0 0 0,1 0 0 0 0,-1 0-1 0 0,1 0 1 0 0,-1 0 0 0 0,1 1 0 0 0,-1-1 0 0 0,0 0 0 0 0,-25 5 18 0 0,24-5-19 0 0,1-1 0 0 0,-1 1 0 0 0,-1 0 0 0 0,2 0 0 0 0,-1-1 0 0 0,1 1 0 0 0,-1 0 0 0 0,0-1 0 0 0,0 1 0 0 0,1-1 0 0 0,-1 0 0 0 0,-1-1 0 0 0,2 2 0 0 0,-19 0 0 0 0,19 0 0 0 0,0 0 0 0 0,-1-1 0 0 0,0 0 0 0 0,-1 1 0 0 0,1-1 0 0 0,0 1 0 0 0,0-1 0 0 0,-1 1 0 0 0,1-1 0 0 0,0 1 0 0 0,-1 0 0 0 0,-2 1 0 0 0,-10-1 0 0 0,1 2 0 0 0,13-2-11 0 0,0 0-32 0 0,-1 1 33 0 0,0-1 10 0 0,1 1 0 0 0,-1 0 0 0 0,0-1 0 0 0,-12 7 0 0 0,11-7 0 0 0,-5 0 0 0 0,7 0 10 0 0,0-1 8 0 0,2 2-1 0 0,-12-2 2 0 0,-5-2-19 0 0,15 3 0 0 0,-1-1-6 0 0,0 0 0 0 0,1 0 1 0 0,-1 0-1 0 0,0 0 1 0 0,0 0-1 0 0,0 1 1 0 0,-4-1-1 0 0,-9-3-5 0 0,4 1 11 0 0,-3 1 0 0 0,12 2 0 0 0,3-1 0 0 0,-2 1 0 0 0,0-1 0 0 0,0 1 0 0 0,0 0 0 0 0,0-1 0 0 0,1 1 0 0 0,-1-1 0 0 0,0 1 0 0 0,0-1 0 0 0,1 1 0 0 0,-1-1 0 0 0,0 1 0 0 0,1-1 0 0 0,-1 0 0 0 0,0 1 0 0 0,1-1 0 0 0,-1-1 0 0 0,0 1 0 0 0,1 0 0 0 0,0-1 10 0 0,0 2 33 0 0,0-1-32 0 0,0 0-11 0 0,0 0 0 0 0,0 0 0 0 0,0-1 0 0 0,-1 1 0 0 0,0 0 0 0 0,0 0 0 0 0,0 0 0 0 0,1 1 0 0 0,-1-1 0 0 0,0 1 0 0 0,0-3-24 0 0,1 3 47 0 0,0-1 0 0 0,0 1-1 0 0,0 0 1 0 0,0-1 0 0 0,0 1-1 0 0,0-1 1 0 0,0 1 0 0 0,0-1 0 0 0,-1 1-1 0 0,1 0 1 0 0,0-1 0 0 0,0 1-1 0 0,0 0 1 0 0,-1-1 0 0 0,1 1-1 0 0,0 0 1 0 0,-1-1 0 0 0,1 1-1 0 0,0 0 1 0 0,-1-1 0 0 0,1 1-1 0 0,0 0 1 0 0,-1 0 0 0 0,0-1 0 0 0,0 1-23 0 0,0 0 0 0 0,-8-2 0 0 0,8 2-14 0 0,1 0-60 0 0,-30 2 162 0 0,29-1-102 0 0,0-1-60 0 0,-3 0 162 0 0,3 0-88 0 0,0-1-14 0 0,1 1-59 0 0</inkml:trace>
</inkml:ink>
</file>

<file path=word/theme/theme1.xml><?xml version="1.0" encoding="utf-8"?>
<a:theme xmlns:a="http://schemas.openxmlformats.org/drawingml/2006/main" name="Office Theme">
  <a:themeElements>
    <a:clrScheme name="University of Melbourne">
      <a:dk1>
        <a:sysClr val="windowText" lastClr="000000"/>
      </a:dk1>
      <a:lt1>
        <a:sysClr val="window" lastClr="FFFFFF"/>
      </a:lt1>
      <a:dk2>
        <a:srgbClr val="094183"/>
      </a:dk2>
      <a:lt2>
        <a:srgbClr val="FFFFFF"/>
      </a:lt2>
      <a:accent1>
        <a:srgbClr val="094183"/>
      </a:accent1>
      <a:accent2>
        <a:srgbClr val="4597AD"/>
      </a:accent2>
      <a:accent3>
        <a:srgbClr val="6DAF7F"/>
      </a:accent3>
      <a:accent4>
        <a:srgbClr val="5D7FBE"/>
      </a:accent4>
      <a:accent5>
        <a:srgbClr val="DDAD6A"/>
      </a:accent5>
      <a:accent6>
        <a:srgbClr val="D1694C"/>
      </a:accent6>
      <a:hlink>
        <a:srgbClr val="000000"/>
      </a:hlink>
      <a:folHlink>
        <a:srgbClr val="000000"/>
      </a:folHlink>
    </a:clrScheme>
    <a:fontScheme name="University of Melbourne">
      <a:majorFont>
        <a:latin typeface="Georgia"/>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A9CAB8-2382-4991-B10A-0A1C9A950B9D}"/>
</file>

<file path=customXml/itemProps2.xml><?xml version="1.0" encoding="utf-8"?>
<ds:datastoreItem xmlns:ds="http://schemas.openxmlformats.org/officeDocument/2006/customXml" ds:itemID="{06BCCAB8-3A99-4D28-BCBD-36536ADA7721}">
  <ds:schemaRefs>
    <ds:schemaRef ds:uri="http://schemas.microsoft.com/sharepoint/v3/contenttype/forms"/>
  </ds:schemaRefs>
</ds:datastoreItem>
</file>

<file path=customXml/itemProps3.xml><?xml version="1.0" encoding="utf-8"?>
<ds:datastoreItem xmlns:ds="http://schemas.openxmlformats.org/officeDocument/2006/customXml" ds:itemID="{557BAF4C-4978-4215-B7A5-C6100B6B13DE}">
  <ds:schemaRefs>
    <ds:schemaRef ds:uri="8a90d589-eeda-4827-b301-2e77f8b8c415"/>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d57ef475-03a6-44c1-8f10-828cdf4b7346"/>
    <ds:schemaRef ds:uri="http://www.w3.org/XML/1998/namespace"/>
  </ds:schemaRefs>
</ds:datastoreItem>
</file>

<file path=customXml/itemProps4.xml><?xml version="1.0" encoding="utf-8"?>
<ds:datastoreItem xmlns:ds="http://schemas.openxmlformats.org/officeDocument/2006/customXml" ds:itemID="{8164473B-5EC2-49BC-816C-1C5F09ADAB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A4-Long-Report.dotx</Template>
  <TotalTime>1</TotalTime>
  <Pages>234</Pages>
  <Words>75387</Words>
  <Characters>429709</Characters>
  <Application>Microsoft Office Word</Application>
  <DocSecurity>4</DocSecurity>
  <Lines>3580</Lines>
  <Paragraphs>1008</Paragraphs>
  <ScaleCrop>false</ScaleCrop>
  <HeadingPairs>
    <vt:vector size="2" baseType="variant">
      <vt:variant>
        <vt:lpstr>Title</vt:lpstr>
      </vt:variant>
      <vt:variant>
        <vt:i4>1</vt:i4>
      </vt:variant>
    </vt:vector>
  </HeadingPairs>
  <TitlesOfParts>
    <vt:vector size="1" baseType="lpstr">
      <vt:lpstr>Goulburn River Selected Area Scientific Report 2020-21</vt:lpstr>
    </vt:vector>
  </TitlesOfParts>
  <Company/>
  <LinksUpToDate>false</LinksUpToDate>
  <CharactersWithSpaces>504088</CharactersWithSpaces>
  <SharedDoc>false</SharedDoc>
  <HLinks>
    <vt:vector size="1440" baseType="variant">
      <vt:variant>
        <vt:i4>2752551</vt:i4>
      </vt:variant>
      <vt:variant>
        <vt:i4>3275</vt:i4>
      </vt:variant>
      <vt:variant>
        <vt:i4>0</vt:i4>
      </vt:variant>
      <vt:variant>
        <vt:i4>5</vt:i4>
      </vt:variant>
      <vt:variant>
        <vt:lpwstr>https://data.water.vic.gov.au/</vt:lpwstr>
      </vt:variant>
      <vt:variant>
        <vt:lpwstr/>
      </vt:variant>
      <vt:variant>
        <vt:i4>8060960</vt:i4>
      </vt:variant>
      <vt:variant>
        <vt:i4>3025</vt:i4>
      </vt:variant>
      <vt:variant>
        <vt:i4>0</vt:i4>
      </vt:variant>
      <vt:variant>
        <vt:i4>5</vt:i4>
      </vt:variant>
      <vt:variant>
        <vt:lpwstr>http://www.environment.gov.au/sprat</vt:lpwstr>
      </vt:variant>
      <vt:variant>
        <vt:lpwstr/>
      </vt:variant>
      <vt:variant>
        <vt:i4>4522060</vt:i4>
      </vt:variant>
      <vt:variant>
        <vt:i4>3020</vt:i4>
      </vt:variant>
      <vt:variant>
        <vt:i4>0</vt:i4>
      </vt:variant>
      <vt:variant>
        <vt:i4>5</vt:i4>
      </vt:variant>
      <vt:variant>
        <vt:lpwstr>https://burnanga.com.au/</vt:lpwstr>
      </vt:variant>
      <vt:variant>
        <vt:lpwstr/>
      </vt:variant>
      <vt:variant>
        <vt:i4>1507394</vt:i4>
      </vt:variant>
      <vt:variant>
        <vt:i4>3017</vt:i4>
      </vt:variant>
      <vt:variant>
        <vt:i4>0</vt:i4>
      </vt:variant>
      <vt:variant>
        <vt:i4>5</vt:i4>
      </vt:variant>
      <vt:variant>
        <vt:lpwstr>https://www.instagram.com/goulburnbrokencma/</vt:lpwstr>
      </vt:variant>
      <vt:variant>
        <vt:lpwstr/>
      </vt:variant>
      <vt:variant>
        <vt:i4>1441873</vt:i4>
      </vt:variant>
      <vt:variant>
        <vt:i4>3014</vt:i4>
      </vt:variant>
      <vt:variant>
        <vt:i4>0</vt:i4>
      </vt:variant>
      <vt:variant>
        <vt:i4>5</vt:i4>
      </vt:variant>
      <vt:variant>
        <vt:lpwstr>https://twitter.com/gbcma</vt:lpwstr>
      </vt:variant>
      <vt:variant>
        <vt:lpwstr/>
      </vt:variant>
      <vt:variant>
        <vt:i4>2293801</vt:i4>
      </vt:variant>
      <vt:variant>
        <vt:i4>3011</vt:i4>
      </vt:variant>
      <vt:variant>
        <vt:i4>0</vt:i4>
      </vt:variant>
      <vt:variant>
        <vt:i4>5</vt:i4>
      </vt:variant>
      <vt:variant>
        <vt:lpwstr>https://www.facebook.com/gbcma</vt:lpwstr>
      </vt:variant>
      <vt:variant>
        <vt:lpwstr/>
      </vt:variant>
      <vt:variant>
        <vt:i4>5570669</vt:i4>
      </vt:variant>
      <vt:variant>
        <vt:i4>3005</vt:i4>
      </vt:variant>
      <vt:variant>
        <vt:i4>0</vt:i4>
      </vt:variant>
      <vt:variant>
        <vt:i4>5</vt:i4>
      </vt:variant>
      <vt:variant>
        <vt:lpwstr>https://jacobsengineering.sharepoint.com/sites/IC_WaterwaysandCatchments/Shared Documents/Goulburn MER/201920 scientific report/(IAP2 public participation spectrum - https:/www.iap2.org.au/resources/spectrum/).</vt:lpwstr>
      </vt:variant>
      <vt:variant>
        <vt:lpwstr/>
      </vt:variant>
      <vt:variant>
        <vt:i4>2752551</vt:i4>
      </vt:variant>
      <vt:variant>
        <vt:i4>2839</vt:i4>
      </vt:variant>
      <vt:variant>
        <vt:i4>0</vt:i4>
      </vt:variant>
      <vt:variant>
        <vt:i4>5</vt:i4>
      </vt:variant>
      <vt:variant>
        <vt:lpwstr>https://data.water.vic.gov.au/</vt:lpwstr>
      </vt:variant>
      <vt:variant>
        <vt:lpwstr/>
      </vt:variant>
      <vt:variant>
        <vt:i4>6225944</vt:i4>
      </vt:variant>
      <vt:variant>
        <vt:i4>2542</vt:i4>
      </vt:variant>
      <vt:variant>
        <vt:i4>0</vt:i4>
      </vt:variant>
      <vt:variant>
        <vt:i4>5</vt:i4>
      </vt:variant>
      <vt:variant>
        <vt:lpwstr>https://flow-mer.org.au/basin-theme-fish/</vt:lpwstr>
      </vt:variant>
      <vt:variant>
        <vt:lpwstr/>
      </vt:variant>
      <vt:variant>
        <vt:i4>6225944</vt:i4>
      </vt:variant>
      <vt:variant>
        <vt:i4>2539</vt:i4>
      </vt:variant>
      <vt:variant>
        <vt:i4>0</vt:i4>
      </vt:variant>
      <vt:variant>
        <vt:i4>5</vt:i4>
      </vt:variant>
      <vt:variant>
        <vt:lpwstr>https://flow-mer.org.au/basin-theme-fish/</vt:lpwstr>
      </vt:variant>
      <vt:variant>
        <vt:lpwstr/>
      </vt:variant>
      <vt:variant>
        <vt:i4>3080302</vt:i4>
      </vt:variant>
      <vt:variant>
        <vt:i4>1481</vt:i4>
      </vt:variant>
      <vt:variant>
        <vt:i4>0</vt:i4>
      </vt:variant>
      <vt:variant>
        <vt:i4>5</vt:i4>
      </vt:variant>
      <vt:variant>
        <vt:lpwstr>https://urldefense.com/v3/__https:/fchmccoys.hydronet.com/__;!!B5cixuoO7ltTeg!UeZUkbtCa8U8J9NXKOCPc5-n6d6CndFK27N5C6j83LAPRS6qTr4oPTzmOXnwVS5skm1M$</vt:lpwstr>
      </vt:variant>
      <vt:variant>
        <vt:lpwstr/>
      </vt:variant>
      <vt:variant>
        <vt:i4>4849695</vt:i4>
      </vt:variant>
      <vt:variant>
        <vt:i4>1439</vt:i4>
      </vt:variant>
      <vt:variant>
        <vt:i4>0</vt:i4>
      </vt:variant>
      <vt:variant>
        <vt:i4>5</vt:i4>
      </vt:variant>
      <vt:variant>
        <vt:lpwstr>http://www.environment.gov.au/water/cewo/about/water-holdings</vt:lpwstr>
      </vt:variant>
      <vt:variant>
        <vt:lpwstr/>
      </vt:variant>
      <vt:variant>
        <vt:i4>1048625</vt:i4>
      </vt:variant>
      <vt:variant>
        <vt:i4>1370</vt:i4>
      </vt:variant>
      <vt:variant>
        <vt:i4>0</vt:i4>
      </vt:variant>
      <vt:variant>
        <vt:i4>5</vt:i4>
      </vt:variant>
      <vt:variant>
        <vt:lpwstr/>
      </vt:variant>
      <vt:variant>
        <vt:lpwstr>_Toc84258137</vt:lpwstr>
      </vt:variant>
      <vt:variant>
        <vt:i4>1114161</vt:i4>
      </vt:variant>
      <vt:variant>
        <vt:i4>1364</vt:i4>
      </vt:variant>
      <vt:variant>
        <vt:i4>0</vt:i4>
      </vt:variant>
      <vt:variant>
        <vt:i4>5</vt:i4>
      </vt:variant>
      <vt:variant>
        <vt:lpwstr/>
      </vt:variant>
      <vt:variant>
        <vt:lpwstr>_Toc84258136</vt:lpwstr>
      </vt:variant>
      <vt:variant>
        <vt:i4>1179697</vt:i4>
      </vt:variant>
      <vt:variant>
        <vt:i4>1358</vt:i4>
      </vt:variant>
      <vt:variant>
        <vt:i4>0</vt:i4>
      </vt:variant>
      <vt:variant>
        <vt:i4>5</vt:i4>
      </vt:variant>
      <vt:variant>
        <vt:lpwstr/>
      </vt:variant>
      <vt:variant>
        <vt:lpwstr>_Toc84258135</vt:lpwstr>
      </vt:variant>
      <vt:variant>
        <vt:i4>1245233</vt:i4>
      </vt:variant>
      <vt:variant>
        <vt:i4>1352</vt:i4>
      </vt:variant>
      <vt:variant>
        <vt:i4>0</vt:i4>
      </vt:variant>
      <vt:variant>
        <vt:i4>5</vt:i4>
      </vt:variant>
      <vt:variant>
        <vt:lpwstr/>
      </vt:variant>
      <vt:variant>
        <vt:lpwstr>_Toc84258134</vt:lpwstr>
      </vt:variant>
      <vt:variant>
        <vt:i4>1310769</vt:i4>
      </vt:variant>
      <vt:variant>
        <vt:i4>1346</vt:i4>
      </vt:variant>
      <vt:variant>
        <vt:i4>0</vt:i4>
      </vt:variant>
      <vt:variant>
        <vt:i4>5</vt:i4>
      </vt:variant>
      <vt:variant>
        <vt:lpwstr/>
      </vt:variant>
      <vt:variant>
        <vt:lpwstr>_Toc84258133</vt:lpwstr>
      </vt:variant>
      <vt:variant>
        <vt:i4>1376305</vt:i4>
      </vt:variant>
      <vt:variant>
        <vt:i4>1340</vt:i4>
      </vt:variant>
      <vt:variant>
        <vt:i4>0</vt:i4>
      </vt:variant>
      <vt:variant>
        <vt:i4>5</vt:i4>
      </vt:variant>
      <vt:variant>
        <vt:lpwstr/>
      </vt:variant>
      <vt:variant>
        <vt:lpwstr>_Toc84258132</vt:lpwstr>
      </vt:variant>
      <vt:variant>
        <vt:i4>1441841</vt:i4>
      </vt:variant>
      <vt:variant>
        <vt:i4>1334</vt:i4>
      </vt:variant>
      <vt:variant>
        <vt:i4>0</vt:i4>
      </vt:variant>
      <vt:variant>
        <vt:i4>5</vt:i4>
      </vt:variant>
      <vt:variant>
        <vt:lpwstr/>
      </vt:variant>
      <vt:variant>
        <vt:lpwstr>_Toc84258131</vt:lpwstr>
      </vt:variant>
      <vt:variant>
        <vt:i4>1507377</vt:i4>
      </vt:variant>
      <vt:variant>
        <vt:i4>1328</vt:i4>
      </vt:variant>
      <vt:variant>
        <vt:i4>0</vt:i4>
      </vt:variant>
      <vt:variant>
        <vt:i4>5</vt:i4>
      </vt:variant>
      <vt:variant>
        <vt:lpwstr/>
      </vt:variant>
      <vt:variant>
        <vt:lpwstr>_Toc84258130</vt:lpwstr>
      </vt:variant>
      <vt:variant>
        <vt:i4>1966128</vt:i4>
      </vt:variant>
      <vt:variant>
        <vt:i4>1322</vt:i4>
      </vt:variant>
      <vt:variant>
        <vt:i4>0</vt:i4>
      </vt:variant>
      <vt:variant>
        <vt:i4>5</vt:i4>
      </vt:variant>
      <vt:variant>
        <vt:lpwstr/>
      </vt:variant>
      <vt:variant>
        <vt:lpwstr>_Toc84258129</vt:lpwstr>
      </vt:variant>
      <vt:variant>
        <vt:i4>2031664</vt:i4>
      </vt:variant>
      <vt:variant>
        <vt:i4>1316</vt:i4>
      </vt:variant>
      <vt:variant>
        <vt:i4>0</vt:i4>
      </vt:variant>
      <vt:variant>
        <vt:i4>5</vt:i4>
      </vt:variant>
      <vt:variant>
        <vt:lpwstr/>
      </vt:variant>
      <vt:variant>
        <vt:lpwstr>_Toc84258128</vt:lpwstr>
      </vt:variant>
      <vt:variant>
        <vt:i4>1048624</vt:i4>
      </vt:variant>
      <vt:variant>
        <vt:i4>1310</vt:i4>
      </vt:variant>
      <vt:variant>
        <vt:i4>0</vt:i4>
      </vt:variant>
      <vt:variant>
        <vt:i4>5</vt:i4>
      </vt:variant>
      <vt:variant>
        <vt:lpwstr/>
      </vt:variant>
      <vt:variant>
        <vt:lpwstr>_Toc84258127</vt:lpwstr>
      </vt:variant>
      <vt:variant>
        <vt:i4>1114160</vt:i4>
      </vt:variant>
      <vt:variant>
        <vt:i4>1304</vt:i4>
      </vt:variant>
      <vt:variant>
        <vt:i4>0</vt:i4>
      </vt:variant>
      <vt:variant>
        <vt:i4>5</vt:i4>
      </vt:variant>
      <vt:variant>
        <vt:lpwstr/>
      </vt:variant>
      <vt:variant>
        <vt:lpwstr>_Toc84258126</vt:lpwstr>
      </vt:variant>
      <vt:variant>
        <vt:i4>1179696</vt:i4>
      </vt:variant>
      <vt:variant>
        <vt:i4>1298</vt:i4>
      </vt:variant>
      <vt:variant>
        <vt:i4>0</vt:i4>
      </vt:variant>
      <vt:variant>
        <vt:i4>5</vt:i4>
      </vt:variant>
      <vt:variant>
        <vt:lpwstr/>
      </vt:variant>
      <vt:variant>
        <vt:lpwstr>_Toc84258125</vt:lpwstr>
      </vt:variant>
      <vt:variant>
        <vt:i4>1245232</vt:i4>
      </vt:variant>
      <vt:variant>
        <vt:i4>1292</vt:i4>
      </vt:variant>
      <vt:variant>
        <vt:i4>0</vt:i4>
      </vt:variant>
      <vt:variant>
        <vt:i4>5</vt:i4>
      </vt:variant>
      <vt:variant>
        <vt:lpwstr/>
      </vt:variant>
      <vt:variant>
        <vt:lpwstr>_Toc84258124</vt:lpwstr>
      </vt:variant>
      <vt:variant>
        <vt:i4>1310768</vt:i4>
      </vt:variant>
      <vt:variant>
        <vt:i4>1286</vt:i4>
      </vt:variant>
      <vt:variant>
        <vt:i4>0</vt:i4>
      </vt:variant>
      <vt:variant>
        <vt:i4>5</vt:i4>
      </vt:variant>
      <vt:variant>
        <vt:lpwstr/>
      </vt:variant>
      <vt:variant>
        <vt:lpwstr>_Toc84258123</vt:lpwstr>
      </vt:variant>
      <vt:variant>
        <vt:i4>1376304</vt:i4>
      </vt:variant>
      <vt:variant>
        <vt:i4>1280</vt:i4>
      </vt:variant>
      <vt:variant>
        <vt:i4>0</vt:i4>
      </vt:variant>
      <vt:variant>
        <vt:i4>5</vt:i4>
      </vt:variant>
      <vt:variant>
        <vt:lpwstr/>
      </vt:variant>
      <vt:variant>
        <vt:lpwstr>_Toc84258122</vt:lpwstr>
      </vt:variant>
      <vt:variant>
        <vt:i4>1441840</vt:i4>
      </vt:variant>
      <vt:variant>
        <vt:i4>1274</vt:i4>
      </vt:variant>
      <vt:variant>
        <vt:i4>0</vt:i4>
      </vt:variant>
      <vt:variant>
        <vt:i4>5</vt:i4>
      </vt:variant>
      <vt:variant>
        <vt:lpwstr/>
      </vt:variant>
      <vt:variant>
        <vt:lpwstr>_Toc84258121</vt:lpwstr>
      </vt:variant>
      <vt:variant>
        <vt:i4>1507376</vt:i4>
      </vt:variant>
      <vt:variant>
        <vt:i4>1268</vt:i4>
      </vt:variant>
      <vt:variant>
        <vt:i4>0</vt:i4>
      </vt:variant>
      <vt:variant>
        <vt:i4>5</vt:i4>
      </vt:variant>
      <vt:variant>
        <vt:lpwstr/>
      </vt:variant>
      <vt:variant>
        <vt:lpwstr>_Toc84258120</vt:lpwstr>
      </vt:variant>
      <vt:variant>
        <vt:i4>1966131</vt:i4>
      </vt:variant>
      <vt:variant>
        <vt:i4>1262</vt:i4>
      </vt:variant>
      <vt:variant>
        <vt:i4>0</vt:i4>
      </vt:variant>
      <vt:variant>
        <vt:i4>5</vt:i4>
      </vt:variant>
      <vt:variant>
        <vt:lpwstr/>
      </vt:variant>
      <vt:variant>
        <vt:lpwstr>_Toc84258119</vt:lpwstr>
      </vt:variant>
      <vt:variant>
        <vt:i4>2031667</vt:i4>
      </vt:variant>
      <vt:variant>
        <vt:i4>1256</vt:i4>
      </vt:variant>
      <vt:variant>
        <vt:i4>0</vt:i4>
      </vt:variant>
      <vt:variant>
        <vt:i4>5</vt:i4>
      </vt:variant>
      <vt:variant>
        <vt:lpwstr/>
      </vt:variant>
      <vt:variant>
        <vt:lpwstr>_Toc84258118</vt:lpwstr>
      </vt:variant>
      <vt:variant>
        <vt:i4>1048627</vt:i4>
      </vt:variant>
      <vt:variant>
        <vt:i4>1250</vt:i4>
      </vt:variant>
      <vt:variant>
        <vt:i4>0</vt:i4>
      </vt:variant>
      <vt:variant>
        <vt:i4>5</vt:i4>
      </vt:variant>
      <vt:variant>
        <vt:lpwstr/>
      </vt:variant>
      <vt:variant>
        <vt:lpwstr>_Toc84258117</vt:lpwstr>
      </vt:variant>
      <vt:variant>
        <vt:i4>1114163</vt:i4>
      </vt:variant>
      <vt:variant>
        <vt:i4>1244</vt:i4>
      </vt:variant>
      <vt:variant>
        <vt:i4>0</vt:i4>
      </vt:variant>
      <vt:variant>
        <vt:i4>5</vt:i4>
      </vt:variant>
      <vt:variant>
        <vt:lpwstr/>
      </vt:variant>
      <vt:variant>
        <vt:lpwstr>_Toc84258116</vt:lpwstr>
      </vt:variant>
      <vt:variant>
        <vt:i4>1179699</vt:i4>
      </vt:variant>
      <vt:variant>
        <vt:i4>1238</vt:i4>
      </vt:variant>
      <vt:variant>
        <vt:i4>0</vt:i4>
      </vt:variant>
      <vt:variant>
        <vt:i4>5</vt:i4>
      </vt:variant>
      <vt:variant>
        <vt:lpwstr/>
      </vt:variant>
      <vt:variant>
        <vt:lpwstr>_Toc84258115</vt:lpwstr>
      </vt:variant>
      <vt:variant>
        <vt:i4>1245235</vt:i4>
      </vt:variant>
      <vt:variant>
        <vt:i4>1232</vt:i4>
      </vt:variant>
      <vt:variant>
        <vt:i4>0</vt:i4>
      </vt:variant>
      <vt:variant>
        <vt:i4>5</vt:i4>
      </vt:variant>
      <vt:variant>
        <vt:lpwstr/>
      </vt:variant>
      <vt:variant>
        <vt:lpwstr>_Toc84258114</vt:lpwstr>
      </vt:variant>
      <vt:variant>
        <vt:i4>1310771</vt:i4>
      </vt:variant>
      <vt:variant>
        <vt:i4>1226</vt:i4>
      </vt:variant>
      <vt:variant>
        <vt:i4>0</vt:i4>
      </vt:variant>
      <vt:variant>
        <vt:i4>5</vt:i4>
      </vt:variant>
      <vt:variant>
        <vt:lpwstr/>
      </vt:variant>
      <vt:variant>
        <vt:lpwstr>_Toc84258113</vt:lpwstr>
      </vt:variant>
      <vt:variant>
        <vt:i4>1376307</vt:i4>
      </vt:variant>
      <vt:variant>
        <vt:i4>1220</vt:i4>
      </vt:variant>
      <vt:variant>
        <vt:i4>0</vt:i4>
      </vt:variant>
      <vt:variant>
        <vt:i4>5</vt:i4>
      </vt:variant>
      <vt:variant>
        <vt:lpwstr/>
      </vt:variant>
      <vt:variant>
        <vt:lpwstr>_Toc84258112</vt:lpwstr>
      </vt:variant>
      <vt:variant>
        <vt:i4>1441843</vt:i4>
      </vt:variant>
      <vt:variant>
        <vt:i4>1214</vt:i4>
      </vt:variant>
      <vt:variant>
        <vt:i4>0</vt:i4>
      </vt:variant>
      <vt:variant>
        <vt:i4>5</vt:i4>
      </vt:variant>
      <vt:variant>
        <vt:lpwstr/>
      </vt:variant>
      <vt:variant>
        <vt:lpwstr>_Toc84258111</vt:lpwstr>
      </vt:variant>
      <vt:variant>
        <vt:i4>1507379</vt:i4>
      </vt:variant>
      <vt:variant>
        <vt:i4>1208</vt:i4>
      </vt:variant>
      <vt:variant>
        <vt:i4>0</vt:i4>
      </vt:variant>
      <vt:variant>
        <vt:i4>5</vt:i4>
      </vt:variant>
      <vt:variant>
        <vt:lpwstr/>
      </vt:variant>
      <vt:variant>
        <vt:lpwstr>_Toc84258110</vt:lpwstr>
      </vt:variant>
      <vt:variant>
        <vt:i4>1966130</vt:i4>
      </vt:variant>
      <vt:variant>
        <vt:i4>1202</vt:i4>
      </vt:variant>
      <vt:variant>
        <vt:i4>0</vt:i4>
      </vt:variant>
      <vt:variant>
        <vt:i4>5</vt:i4>
      </vt:variant>
      <vt:variant>
        <vt:lpwstr/>
      </vt:variant>
      <vt:variant>
        <vt:lpwstr>_Toc84258109</vt:lpwstr>
      </vt:variant>
      <vt:variant>
        <vt:i4>2031666</vt:i4>
      </vt:variant>
      <vt:variant>
        <vt:i4>1196</vt:i4>
      </vt:variant>
      <vt:variant>
        <vt:i4>0</vt:i4>
      </vt:variant>
      <vt:variant>
        <vt:i4>5</vt:i4>
      </vt:variant>
      <vt:variant>
        <vt:lpwstr/>
      </vt:variant>
      <vt:variant>
        <vt:lpwstr>_Toc84258108</vt:lpwstr>
      </vt:variant>
      <vt:variant>
        <vt:i4>1048626</vt:i4>
      </vt:variant>
      <vt:variant>
        <vt:i4>1190</vt:i4>
      </vt:variant>
      <vt:variant>
        <vt:i4>0</vt:i4>
      </vt:variant>
      <vt:variant>
        <vt:i4>5</vt:i4>
      </vt:variant>
      <vt:variant>
        <vt:lpwstr/>
      </vt:variant>
      <vt:variant>
        <vt:lpwstr>_Toc84258107</vt:lpwstr>
      </vt:variant>
      <vt:variant>
        <vt:i4>1114162</vt:i4>
      </vt:variant>
      <vt:variant>
        <vt:i4>1184</vt:i4>
      </vt:variant>
      <vt:variant>
        <vt:i4>0</vt:i4>
      </vt:variant>
      <vt:variant>
        <vt:i4>5</vt:i4>
      </vt:variant>
      <vt:variant>
        <vt:lpwstr/>
      </vt:variant>
      <vt:variant>
        <vt:lpwstr>_Toc84258106</vt:lpwstr>
      </vt:variant>
      <vt:variant>
        <vt:i4>1179698</vt:i4>
      </vt:variant>
      <vt:variant>
        <vt:i4>1178</vt:i4>
      </vt:variant>
      <vt:variant>
        <vt:i4>0</vt:i4>
      </vt:variant>
      <vt:variant>
        <vt:i4>5</vt:i4>
      </vt:variant>
      <vt:variant>
        <vt:lpwstr/>
      </vt:variant>
      <vt:variant>
        <vt:lpwstr>_Toc84258105</vt:lpwstr>
      </vt:variant>
      <vt:variant>
        <vt:i4>1245234</vt:i4>
      </vt:variant>
      <vt:variant>
        <vt:i4>1172</vt:i4>
      </vt:variant>
      <vt:variant>
        <vt:i4>0</vt:i4>
      </vt:variant>
      <vt:variant>
        <vt:i4>5</vt:i4>
      </vt:variant>
      <vt:variant>
        <vt:lpwstr/>
      </vt:variant>
      <vt:variant>
        <vt:lpwstr>_Toc84258104</vt:lpwstr>
      </vt:variant>
      <vt:variant>
        <vt:i4>1310770</vt:i4>
      </vt:variant>
      <vt:variant>
        <vt:i4>1166</vt:i4>
      </vt:variant>
      <vt:variant>
        <vt:i4>0</vt:i4>
      </vt:variant>
      <vt:variant>
        <vt:i4>5</vt:i4>
      </vt:variant>
      <vt:variant>
        <vt:lpwstr/>
      </vt:variant>
      <vt:variant>
        <vt:lpwstr>_Toc84258103</vt:lpwstr>
      </vt:variant>
      <vt:variant>
        <vt:i4>1376306</vt:i4>
      </vt:variant>
      <vt:variant>
        <vt:i4>1160</vt:i4>
      </vt:variant>
      <vt:variant>
        <vt:i4>0</vt:i4>
      </vt:variant>
      <vt:variant>
        <vt:i4>5</vt:i4>
      </vt:variant>
      <vt:variant>
        <vt:lpwstr/>
      </vt:variant>
      <vt:variant>
        <vt:lpwstr>_Toc84258102</vt:lpwstr>
      </vt:variant>
      <vt:variant>
        <vt:i4>1441842</vt:i4>
      </vt:variant>
      <vt:variant>
        <vt:i4>1154</vt:i4>
      </vt:variant>
      <vt:variant>
        <vt:i4>0</vt:i4>
      </vt:variant>
      <vt:variant>
        <vt:i4>5</vt:i4>
      </vt:variant>
      <vt:variant>
        <vt:lpwstr/>
      </vt:variant>
      <vt:variant>
        <vt:lpwstr>_Toc84258101</vt:lpwstr>
      </vt:variant>
      <vt:variant>
        <vt:i4>1507378</vt:i4>
      </vt:variant>
      <vt:variant>
        <vt:i4>1148</vt:i4>
      </vt:variant>
      <vt:variant>
        <vt:i4>0</vt:i4>
      </vt:variant>
      <vt:variant>
        <vt:i4>5</vt:i4>
      </vt:variant>
      <vt:variant>
        <vt:lpwstr/>
      </vt:variant>
      <vt:variant>
        <vt:lpwstr>_Toc84258100</vt:lpwstr>
      </vt:variant>
      <vt:variant>
        <vt:i4>2031675</vt:i4>
      </vt:variant>
      <vt:variant>
        <vt:i4>1142</vt:i4>
      </vt:variant>
      <vt:variant>
        <vt:i4>0</vt:i4>
      </vt:variant>
      <vt:variant>
        <vt:i4>5</vt:i4>
      </vt:variant>
      <vt:variant>
        <vt:lpwstr/>
      </vt:variant>
      <vt:variant>
        <vt:lpwstr>_Toc84258099</vt:lpwstr>
      </vt:variant>
      <vt:variant>
        <vt:i4>1966139</vt:i4>
      </vt:variant>
      <vt:variant>
        <vt:i4>1136</vt:i4>
      </vt:variant>
      <vt:variant>
        <vt:i4>0</vt:i4>
      </vt:variant>
      <vt:variant>
        <vt:i4>5</vt:i4>
      </vt:variant>
      <vt:variant>
        <vt:lpwstr/>
      </vt:variant>
      <vt:variant>
        <vt:lpwstr>_Toc84258098</vt:lpwstr>
      </vt:variant>
      <vt:variant>
        <vt:i4>1114171</vt:i4>
      </vt:variant>
      <vt:variant>
        <vt:i4>1130</vt:i4>
      </vt:variant>
      <vt:variant>
        <vt:i4>0</vt:i4>
      </vt:variant>
      <vt:variant>
        <vt:i4>5</vt:i4>
      </vt:variant>
      <vt:variant>
        <vt:lpwstr/>
      </vt:variant>
      <vt:variant>
        <vt:lpwstr>_Toc84258097</vt:lpwstr>
      </vt:variant>
      <vt:variant>
        <vt:i4>1048635</vt:i4>
      </vt:variant>
      <vt:variant>
        <vt:i4>1124</vt:i4>
      </vt:variant>
      <vt:variant>
        <vt:i4>0</vt:i4>
      </vt:variant>
      <vt:variant>
        <vt:i4>5</vt:i4>
      </vt:variant>
      <vt:variant>
        <vt:lpwstr/>
      </vt:variant>
      <vt:variant>
        <vt:lpwstr>_Toc84258096</vt:lpwstr>
      </vt:variant>
      <vt:variant>
        <vt:i4>1245243</vt:i4>
      </vt:variant>
      <vt:variant>
        <vt:i4>1118</vt:i4>
      </vt:variant>
      <vt:variant>
        <vt:i4>0</vt:i4>
      </vt:variant>
      <vt:variant>
        <vt:i4>5</vt:i4>
      </vt:variant>
      <vt:variant>
        <vt:lpwstr/>
      </vt:variant>
      <vt:variant>
        <vt:lpwstr>_Toc84258095</vt:lpwstr>
      </vt:variant>
      <vt:variant>
        <vt:i4>1179707</vt:i4>
      </vt:variant>
      <vt:variant>
        <vt:i4>1112</vt:i4>
      </vt:variant>
      <vt:variant>
        <vt:i4>0</vt:i4>
      </vt:variant>
      <vt:variant>
        <vt:i4>5</vt:i4>
      </vt:variant>
      <vt:variant>
        <vt:lpwstr/>
      </vt:variant>
      <vt:variant>
        <vt:lpwstr>_Toc84258094</vt:lpwstr>
      </vt:variant>
      <vt:variant>
        <vt:i4>1376315</vt:i4>
      </vt:variant>
      <vt:variant>
        <vt:i4>1106</vt:i4>
      </vt:variant>
      <vt:variant>
        <vt:i4>0</vt:i4>
      </vt:variant>
      <vt:variant>
        <vt:i4>5</vt:i4>
      </vt:variant>
      <vt:variant>
        <vt:lpwstr/>
      </vt:variant>
      <vt:variant>
        <vt:lpwstr>_Toc84258093</vt:lpwstr>
      </vt:variant>
      <vt:variant>
        <vt:i4>1310779</vt:i4>
      </vt:variant>
      <vt:variant>
        <vt:i4>1100</vt:i4>
      </vt:variant>
      <vt:variant>
        <vt:i4>0</vt:i4>
      </vt:variant>
      <vt:variant>
        <vt:i4>5</vt:i4>
      </vt:variant>
      <vt:variant>
        <vt:lpwstr/>
      </vt:variant>
      <vt:variant>
        <vt:lpwstr>_Toc84258092</vt:lpwstr>
      </vt:variant>
      <vt:variant>
        <vt:i4>1507387</vt:i4>
      </vt:variant>
      <vt:variant>
        <vt:i4>1094</vt:i4>
      </vt:variant>
      <vt:variant>
        <vt:i4>0</vt:i4>
      </vt:variant>
      <vt:variant>
        <vt:i4>5</vt:i4>
      </vt:variant>
      <vt:variant>
        <vt:lpwstr/>
      </vt:variant>
      <vt:variant>
        <vt:lpwstr>_Toc84258091</vt:lpwstr>
      </vt:variant>
      <vt:variant>
        <vt:i4>1441851</vt:i4>
      </vt:variant>
      <vt:variant>
        <vt:i4>1088</vt:i4>
      </vt:variant>
      <vt:variant>
        <vt:i4>0</vt:i4>
      </vt:variant>
      <vt:variant>
        <vt:i4>5</vt:i4>
      </vt:variant>
      <vt:variant>
        <vt:lpwstr/>
      </vt:variant>
      <vt:variant>
        <vt:lpwstr>_Toc84258090</vt:lpwstr>
      </vt:variant>
      <vt:variant>
        <vt:i4>2031674</vt:i4>
      </vt:variant>
      <vt:variant>
        <vt:i4>1082</vt:i4>
      </vt:variant>
      <vt:variant>
        <vt:i4>0</vt:i4>
      </vt:variant>
      <vt:variant>
        <vt:i4>5</vt:i4>
      </vt:variant>
      <vt:variant>
        <vt:lpwstr/>
      </vt:variant>
      <vt:variant>
        <vt:lpwstr>_Toc84258089</vt:lpwstr>
      </vt:variant>
      <vt:variant>
        <vt:i4>1966138</vt:i4>
      </vt:variant>
      <vt:variant>
        <vt:i4>1076</vt:i4>
      </vt:variant>
      <vt:variant>
        <vt:i4>0</vt:i4>
      </vt:variant>
      <vt:variant>
        <vt:i4>5</vt:i4>
      </vt:variant>
      <vt:variant>
        <vt:lpwstr/>
      </vt:variant>
      <vt:variant>
        <vt:lpwstr>_Toc84258088</vt:lpwstr>
      </vt:variant>
      <vt:variant>
        <vt:i4>1114170</vt:i4>
      </vt:variant>
      <vt:variant>
        <vt:i4>1070</vt:i4>
      </vt:variant>
      <vt:variant>
        <vt:i4>0</vt:i4>
      </vt:variant>
      <vt:variant>
        <vt:i4>5</vt:i4>
      </vt:variant>
      <vt:variant>
        <vt:lpwstr/>
      </vt:variant>
      <vt:variant>
        <vt:lpwstr>_Toc84258087</vt:lpwstr>
      </vt:variant>
      <vt:variant>
        <vt:i4>1048634</vt:i4>
      </vt:variant>
      <vt:variant>
        <vt:i4>1064</vt:i4>
      </vt:variant>
      <vt:variant>
        <vt:i4>0</vt:i4>
      </vt:variant>
      <vt:variant>
        <vt:i4>5</vt:i4>
      </vt:variant>
      <vt:variant>
        <vt:lpwstr/>
      </vt:variant>
      <vt:variant>
        <vt:lpwstr>_Toc84258086</vt:lpwstr>
      </vt:variant>
      <vt:variant>
        <vt:i4>1245242</vt:i4>
      </vt:variant>
      <vt:variant>
        <vt:i4>1058</vt:i4>
      </vt:variant>
      <vt:variant>
        <vt:i4>0</vt:i4>
      </vt:variant>
      <vt:variant>
        <vt:i4>5</vt:i4>
      </vt:variant>
      <vt:variant>
        <vt:lpwstr/>
      </vt:variant>
      <vt:variant>
        <vt:lpwstr>_Toc84258085</vt:lpwstr>
      </vt:variant>
      <vt:variant>
        <vt:i4>1179706</vt:i4>
      </vt:variant>
      <vt:variant>
        <vt:i4>1052</vt:i4>
      </vt:variant>
      <vt:variant>
        <vt:i4>0</vt:i4>
      </vt:variant>
      <vt:variant>
        <vt:i4>5</vt:i4>
      </vt:variant>
      <vt:variant>
        <vt:lpwstr/>
      </vt:variant>
      <vt:variant>
        <vt:lpwstr>_Toc84258084</vt:lpwstr>
      </vt:variant>
      <vt:variant>
        <vt:i4>1048638</vt:i4>
      </vt:variant>
      <vt:variant>
        <vt:i4>1043</vt:i4>
      </vt:variant>
      <vt:variant>
        <vt:i4>0</vt:i4>
      </vt:variant>
      <vt:variant>
        <vt:i4>5</vt:i4>
      </vt:variant>
      <vt:variant>
        <vt:lpwstr/>
      </vt:variant>
      <vt:variant>
        <vt:lpwstr>_Toc84325908</vt:lpwstr>
      </vt:variant>
      <vt:variant>
        <vt:i4>2031678</vt:i4>
      </vt:variant>
      <vt:variant>
        <vt:i4>1037</vt:i4>
      </vt:variant>
      <vt:variant>
        <vt:i4>0</vt:i4>
      </vt:variant>
      <vt:variant>
        <vt:i4>5</vt:i4>
      </vt:variant>
      <vt:variant>
        <vt:lpwstr/>
      </vt:variant>
      <vt:variant>
        <vt:lpwstr>_Toc84325907</vt:lpwstr>
      </vt:variant>
      <vt:variant>
        <vt:i4>1966142</vt:i4>
      </vt:variant>
      <vt:variant>
        <vt:i4>1031</vt:i4>
      </vt:variant>
      <vt:variant>
        <vt:i4>0</vt:i4>
      </vt:variant>
      <vt:variant>
        <vt:i4>5</vt:i4>
      </vt:variant>
      <vt:variant>
        <vt:lpwstr/>
      </vt:variant>
      <vt:variant>
        <vt:lpwstr>_Toc84325906</vt:lpwstr>
      </vt:variant>
      <vt:variant>
        <vt:i4>1900606</vt:i4>
      </vt:variant>
      <vt:variant>
        <vt:i4>1025</vt:i4>
      </vt:variant>
      <vt:variant>
        <vt:i4>0</vt:i4>
      </vt:variant>
      <vt:variant>
        <vt:i4>5</vt:i4>
      </vt:variant>
      <vt:variant>
        <vt:lpwstr/>
      </vt:variant>
      <vt:variant>
        <vt:lpwstr>_Toc84325905</vt:lpwstr>
      </vt:variant>
      <vt:variant>
        <vt:i4>1835070</vt:i4>
      </vt:variant>
      <vt:variant>
        <vt:i4>1019</vt:i4>
      </vt:variant>
      <vt:variant>
        <vt:i4>0</vt:i4>
      </vt:variant>
      <vt:variant>
        <vt:i4>5</vt:i4>
      </vt:variant>
      <vt:variant>
        <vt:lpwstr/>
      </vt:variant>
      <vt:variant>
        <vt:lpwstr>_Toc84325904</vt:lpwstr>
      </vt:variant>
      <vt:variant>
        <vt:i4>1769534</vt:i4>
      </vt:variant>
      <vt:variant>
        <vt:i4>1013</vt:i4>
      </vt:variant>
      <vt:variant>
        <vt:i4>0</vt:i4>
      </vt:variant>
      <vt:variant>
        <vt:i4>5</vt:i4>
      </vt:variant>
      <vt:variant>
        <vt:lpwstr/>
      </vt:variant>
      <vt:variant>
        <vt:lpwstr>_Toc84325903</vt:lpwstr>
      </vt:variant>
      <vt:variant>
        <vt:i4>1703998</vt:i4>
      </vt:variant>
      <vt:variant>
        <vt:i4>1007</vt:i4>
      </vt:variant>
      <vt:variant>
        <vt:i4>0</vt:i4>
      </vt:variant>
      <vt:variant>
        <vt:i4>5</vt:i4>
      </vt:variant>
      <vt:variant>
        <vt:lpwstr/>
      </vt:variant>
      <vt:variant>
        <vt:lpwstr>_Toc84325902</vt:lpwstr>
      </vt:variant>
      <vt:variant>
        <vt:i4>1638462</vt:i4>
      </vt:variant>
      <vt:variant>
        <vt:i4>1001</vt:i4>
      </vt:variant>
      <vt:variant>
        <vt:i4>0</vt:i4>
      </vt:variant>
      <vt:variant>
        <vt:i4>5</vt:i4>
      </vt:variant>
      <vt:variant>
        <vt:lpwstr/>
      </vt:variant>
      <vt:variant>
        <vt:lpwstr>_Toc84325901</vt:lpwstr>
      </vt:variant>
      <vt:variant>
        <vt:i4>1572926</vt:i4>
      </vt:variant>
      <vt:variant>
        <vt:i4>995</vt:i4>
      </vt:variant>
      <vt:variant>
        <vt:i4>0</vt:i4>
      </vt:variant>
      <vt:variant>
        <vt:i4>5</vt:i4>
      </vt:variant>
      <vt:variant>
        <vt:lpwstr/>
      </vt:variant>
      <vt:variant>
        <vt:lpwstr>_Toc84325900</vt:lpwstr>
      </vt:variant>
      <vt:variant>
        <vt:i4>1048631</vt:i4>
      </vt:variant>
      <vt:variant>
        <vt:i4>989</vt:i4>
      </vt:variant>
      <vt:variant>
        <vt:i4>0</vt:i4>
      </vt:variant>
      <vt:variant>
        <vt:i4>5</vt:i4>
      </vt:variant>
      <vt:variant>
        <vt:lpwstr/>
      </vt:variant>
      <vt:variant>
        <vt:lpwstr>_Toc84325899</vt:lpwstr>
      </vt:variant>
      <vt:variant>
        <vt:i4>1114167</vt:i4>
      </vt:variant>
      <vt:variant>
        <vt:i4>983</vt:i4>
      </vt:variant>
      <vt:variant>
        <vt:i4>0</vt:i4>
      </vt:variant>
      <vt:variant>
        <vt:i4>5</vt:i4>
      </vt:variant>
      <vt:variant>
        <vt:lpwstr/>
      </vt:variant>
      <vt:variant>
        <vt:lpwstr>_Toc84325898</vt:lpwstr>
      </vt:variant>
      <vt:variant>
        <vt:i4>1966135</vt:i4>
      </vt:variant>
      <vt:variant>
        <vt:i4>977</vt:i4>
      </vt:variant>
      <vt:variant>
        <vt:i4>0</vt:i4>
      </vt:variant>
      <vt:variant>
        <vt:i4>5</vt:i4>
      </vt:variant>
      <vt:variant>
        <vt:lpwstr/>
      </vt:variant>
      <vt:variant>
        <vt:lpwstr>_Toc84325897</vt:lpwstr>
      </vt:variant>
      <vt:variant>
        <vt:i4>2031671</vt:i4>
      </vt:variant>
      <vt:variant>
        <vt:i4>971</vt:i4>
      </vt:variant>
      <vt:variant>
        <vt:i4>0</vt:i4>
      </vt:variant>
      <vt:variant>
        <vt:i4>5</vt:i4>
      </vt:variant>
      <vt:variant>
        <vt:lpwstr/>
      </vt:variant>
      <vt:variant>
        <vt:lpwstr>_Toc84325896</vt:lpwstr>
      </vt:variant>
      <vt:variant>
        <vt:i4>1835063</vt:i4>
      </vt:variant>
      <vt:variant>
        <vt:i4>965</vt:i4>
      </vt:variant>
      <vt:variant>
        <vt:i4>0</vt:i4>
      </vt:variant>
      <vt:variant>
        <vt:i4>5</vt:i4>
      </vt:variant>
      <vt:variant>
        <vt:lpwstr/>
      </vt:variant>
      <vt:variant>
        <vt:lpwstr>_Toc84325895</vt:lpwstr>
      </vt:variant>
      <vt:variant>
        <vt:i4>1900599</vt:i4>
      </vt:variant>
      <vt:variant>
        <vt:i4>959</vt:i4>
      </vt:variant>
      <vt:variant>
        <vt:i4>0</vt:i4>
      </vt:variant>
      <vt:variant>
        <vt:i4>5</vt:i4>
      </vt:variant>
      <vt:variant>
        <vt:lpwstr/>
      </vt:variant>
      <vt:variant>
        <vt:lpwstr>_Toc84325894</vt:lpwstr>
      </vt:variant>
      <vt:variant>
        <vt:i4>1703991</vt:i4>
      </vt:variant>
      <vt:variant>
        <vt:i4>953</vt:i4>
      </vt:variant>
      <vt:variant>
        <vt:i4>0</vt:i4>
      </vt:variant>
      <vt:variant>
        <vt:i4>5</vt:i4>
      </vt:variant>
      <vt:variant>
        <vt:lpwstr/>
      </vt:variant>
      <vt:variant>
        <vt:lpwstr>_Toc84325893</vt:lpwstr>
      </vt:variant>
      <vt:variant>
        <vt:i4>1769527</vt:i4>
      </vt:variant>
      <vt:variant>
        <vt:i4>947</vt:i4>
      </vt:variant>
      <vt:variant>
        <vt:i4>0</vt:i4>
      </vt:variant>
      <vt:variant>
        <vt:i4>5</vt:i4>
      </vt:variant>
      <vt:variant>
        <vt:lpwstr/>
      </vt:variant>
      <vt:variant>
        <vt:lpwstr>_Toc84325892</vt:lpwstr>
      </vt:variant>
      <vt:variant>
        <vt:i4>1572919</vt:i4>
      </vt:variant>
      <vt:variant>
        <vt:i4>941</vt:i4>
      </vt:variant>
      <vt:variant>
        <vt:i4>0</vt:i4>
      </vt:variant>
      <vt:variant>
        <vt:i4>5</vt:i4>
      </vt:variant>
      <vt:variant>
        <vt:lpwstr/>
      </vt:variant>
      <vt:variant>
        <vt:lpwstr>_Toc84325891</vt:lpwstr>
      </vt:variant>
      <vt:variant>
        <vt:i4>1638455</vt:i4>
      </vt:variant>
      <vt:variant>
        <vt:i4>935</vt:i4>
      </vt:variant>
      <vt:variant>
        <vt:i4>0</vt:i4>
      </vt:variant>
      <vt:variant>
        <vt:i4>5</vt:i4>
      </vt:variant>
      <vt:variant>
        <vt:lpwstr/>
      </vt:variant>
      <vt:variant>
        <vt:lpwstr>_Toc84325890</vt:lpwstr>
      </vt:variant>
      <vt:variant>
        <vt:i4>1048630</vt:i4>
      </vt:variant>
      <vt:variant>
        <vt:i4>929</vt:i4>
      </vt:variant>
      <vt:variant>
        <vt:i4>0</vt:i4>
      </vt:variant>
      <vt:variant>
        <vt:i4>5</vt:i4>
      </vt:variant>
      <vt:variant>
        <vt:lpwstr/>
      </vt:variant>
      <vt:variant>
        <vt:lpwstr>_Toc84325889</vt:lpwstr>
      </vt:variant>
      <vt:variant>
        <vt:i4>1114166</vt:i4>
      </vt:variant>
      <vt:variant>
        <vt:i4>923</vt:i4>
      </vt:variant>
      <vt:variant>
        <vt:i4>0</vt:i4>
      </vt:variant>
      <vt:variant>
        <vt:i4>5</vt:i4>
      </vt:variant>
      <vt:variant>
        <vt:lpwstr/>
      </vt:variant>
      <vt:variant>
        <vt:lpwstr>_Toc84325888</vt:lpwstr>
      </vt:variant>
      <vt:variant>
        <vt:i4>1966134</vt:i4>
      </vt:variant>
      <vt:variant>
        <vt:i4>917</vt:i4>
      </vt:variant>
      <vt:variant>
        <vt:i4>0</vt:i4>
      </vt:variant>
      <vt:variant>
        <vt:i4>5</vt:i4>
      </vt:variant>
      <vt:variant>
        <vt:lpwstr/>
      </vt:variant>
      <vt:variant>
        <vt:lpwstr>_Toc84325887</vt:lpwstr>
      </vt:variant>
      <vt:variant>
        <vt:i4>2031670</vt:i4>
      </vt:variant>
      <vt:variant>
        <vt:i4>911</vt:i4>
      </vt:variant>
      <vt:variant>
        <vt:i4>0</vt:i4>
      </vt:variant>
      <vt:variant>
        <vt:i4>5</vt:i4>
      </vt:variant>
      <vt:variant>
        <vt:lpwstr/>
      </vt:variant>
      <vt:variant>
        <vt:lpwstr>_Toc84325886</vt:lpwstr>
      </vt:variant>
      <vt:variant>
        <vt:i4>1835062</vt:i4>
      </vt:variant>
      <vt:variant>
        <vt:i4>905</vt:i4>
      </vt:variant>
      <vt:variant>
        <vt:i4>0</vt:i4>
      </vt:variant>
      <vt:variant>
        <vt:i4>5</vt:i4>
      </vt:variant>
      <vt:variant>
        <vt:lpwstr/>
      </vt:variant>
      <vt:variant>
        <vt:lpwstr>_Toc84325885</vt:lpwstr>
      </vt:variant>
      <vt:variant>
        <vt:i4>1900598</vt:i4>
      </vt:variant>
      <vt:variant>
        <vt:i4>899</vt:i4>
      </vt:variant>
      <vt:variant>
        <vt:i4>0</vt:i4>
      </vt:variant>
      <vt:variant>
        <vt:i4>5</vt:i4>
      </vt:variant>
      <vt:variant>
        <vt:lpwstr/>
      </vt:variant>
      <vt:variant>
        <vt:lpwstr>_Toc84325884</vt:lpwstr>
      </vt:variant>
      <vt:variant>
        <vt:i4>1703990</vt:i4>
      </vt:variant>
      <vt:variant>
        <vt:i4>893</vt:i4>
      </vt:variant>
      <vt:variant>
        <vt:i4>0</vt:i4>
      </vt:variant>
      <vt:variant>
        <vt:i4>5</vt:i4>
      </vt:variant>
      <vt:variant>
        <vt:lpwstr/>
      </vt:variant>
      <vt:variant>
        <vt:lpwstr>_Toc84325883</vt:lpwstr>
      </vt:variant>
      <vt:variant>
        <vt:i4>1769526</vt:i4>
      </vt:variant>
      <vt:variant>
        <vt:i4>887</vt:i4>
      </vt:variant>
      <vt:variant>
        <vt:i4>0</vt:i4>
      </vt:variant>
      <vt:variant>
        <vt:i4>5</vt:i4>
      </vt:variant>
      <vt:variant>
        <vt:lpwstr/>
      </vt:variant>
      <vt:variant>
        <vt:lpwstr>_Toc84325882</vt:lpwstr>
      </vt:variant>
      <vt:variant>
        <vt:i4>1572918</vt:i4>
      </vt:variant>
      <vt:variant>
        <vt:i4>881</vt:i4>
      </vt:variant>
      <vt:variant>
        <vt:i4>0</vt:i4>
      </vt:variant>
      <vt:variant>
        <vt:i4>5</vt:i4>
      </vt:variant>
      <vt:variant>
        <vt:lpwstr/>
      </vt:variant>
      <vt:variant>
        <vt:lpwstr>_Toc84325881</vt:lpwstr>
      </vt:variant>
      <vt:variant>
        <vt:i4>1638454</vt:i4>
      </vt:variant>
      <vt:variant>
        <vt:i4>875</vt:i4>
      </vt:variant>
      <vt:variant>
        <vt:i4>0</vt:i4>
      </vt:variant>
      <vt:variant>
        <vt:i4>5</vt:i4>
      </vt:variant>
      <vt:variant>
        <vt:lpwstr/>
      </vt:variant>
      <vt:variant>
        <vt:lpwstr>_Toc84325880</vt:lpwstr>
      </vt:variant>
      <vt:variant>
        <vt:i4>1048633</vt:i4>
      </vt:variant>
      <vt:variant>
        <vt:i4>869</vt:i4>
      </vt:variant>
      <vt:variant>
        <vt:i4>0</vt:i4>
      </vt:variant>
      <vt:variant>
        <vt:i4>5</vt:i4>
      </vt:variant>
      <vt:variant>
        <vt:lpwstr/>
      </vt:variant>
      <vt:variant>
        <vt:lpwstr>_Toc84325879</vt:lpwstr>
      </vt:variant>
      <vt:variant>
        <vt:i4>1114169</vt:i4>
      </vt:variant>
      <vt:variant>
        <vt:i4>863</vt:i4>
      </vt:variant>
      <vt:variant>
        <vt:i4>0</vt:i4>
      </vt:variant>
      <vt:variant>
        <vt:i4>5</vt:i4>
      </vt:variant>
      <vt:variant>
        <vt:lpwstr/>
      </vt:variant>
      <vt:variant>
        <vt:lpwstr>_Toc84325878</vt:lpwstr>
      </vt:variant>
      <vt:variant>
        <vt:i4>1966137</vt:i4>
      </vt:variant>
      <vt:variant>
        <vt:i4>857</vt:i4>
      </vt:variant>
      <vt:variant>
        <vt:i4>0</vt:i4>
      </vt:variant>
      <vt:variant>
        <vt:i4>5</vt:i4>
      </vt:variant>
      <vt:variant>
        <vt:lpwstr/>
      </vt:variant>
      <vt:variant>
        <vt:lpwstr>_Toc84325877</vt:lpwstr>
      </vt:variant>
      <vt:variant>
        <vt:i4>2031673</vt:i4>
      </vt:variant>
      <vt:variant>
        <vt:i4>851</vt:i4>
      </vt:variant>
      <vt:variant>
        <vt:i4>0</vt:i4>
      </vt:variant>
      <vt:variant>
        <vt:i4>5</vt:i4>
      </vt:variant>
      <vt:variant>
        <vt:lpwstr/>
      </vt:variant>
      <vt:variant>
        <vt:lpwstr>_Toc84325876</vt:lpwstr>
      </vt:variant>
      <vt:variant>
        <vt:i4>1835065</vt:i4>
      </vt:variant>
      <vt:variant>
        <vt:i4>845</vt:i4>
      </vt:variant>
      <vt:variant>
        <vt:i4>0</vt:i4>
      </vt:variant>
      <vt:variant>
        <vt:i4>5</vt:i4>
      </vt:variant>
      <vt:variant>
        <vt:lpwstr/>
      </vt:variant>
      <vt:variant>
        <vt:lpwstr>_Toc84325875</vt:lpwstr>
      </vt:variant>
      <vt:variant>
        <vt:i4>1900601</vt:i4>
      </vt:variant>
      <vt:variant>
        <vt:i4>839</vt:i4>
      </vt:variant>
      <vt:variant>
        <vt:i4>0</vt:i4>
      </vt:variant>
      <vt:variant>
        <vt:i4>5</vt:i4>
      </vt:variant>
      <vt:variant>
        <vt:lpwstr/>
      </vt:variant>
      <vt:variant>
        <vt:lpwstr>_Toc84325874</vt:lpwstr>
      </vt:variant>
      <vt:variant>
        <vt:i4>1703993</vt:i4>
      </vt:variant>
      <vt:variant>
        <vt:i4>833</vt:i4>
      </vt:variant>
      <vt:variant>
        <vt:i4>0</vt:i4>
      </vt:variant>
      <vt:variant>
        <vt:i4>5</vt:i4>
      </vt:variant>
      <vt:variant>
        <vt:lpwstr/>
      </vt:variant>
      <vt:variant>
        <vt:lpwstr>_Toc84325873</vt:lpwstr>
      </vt:variant>
      <vt:variant>
        <vt:i4>1769529</vt:i4>
      </vt:variant>
      <vt:variant>
        <vt:i4>827</vt:i4>
      </vt:variant>
      <vt:variant>
        <vt:i4>0</vt:i4>
      </vt:variant>
      <vt:variant>
        <vt:i4>5</vt:i4>
      </vt:variant>
      <vt:variant>
        <vt:lpwstr/>
      </vt:variant>
      <vt:variant>
        <vt:lpwstr>_Toc84325872</vt:lpwstr>
      </vt:variant>
      <vt:variant>
        <vt:i4>1572921</vt:i4>
      </vt:variant>
      <vt:variant>
        <vt:i4>821</vt:i4>
      </vt:variant>
      <vt:variant>
        <vt:i4>0</vt:i4>
      </vt:variant>
      <vt:variant>
        <vt:i4>5</vt:i4>
      </vt:variant>
      <vt:variant>
        <vt:lpwstr/>
      </vt:variant>
      <vt:variant>
        <vt:lpwstr>_Toc84325871</vt:lpwstr>
      </vt:variant>
      <vt:variant>
        <vt:i4>1638457</vt:i4>
      </vt:variant>
      <vt:variant>
        <vt:i4>815</vt:i4>
      </vt:variant>
      <vt:variant>
        <vt:i4>0</vt:i4>
      </vt:variant>
      <vt:variant>
        <vt:i4>5</vt:i4>
      </vt:variant>
      <vt:variant>
        <vt:lpwstr/>
      </vt:variant>
      <vt:variant>
        <vt:lpwstr>_Toc84325870</vt:lpwstr>
      </vt:variant>
      <vt:variant>
        <vt:i4>1048632</vt:i4>
      </vt:variant>
      <vt:variant>
        <vt:i4>809</vt:i4>
      </vt:variant>
      <vt:variant>
        <vt:i4>0</vt:i4>
      </vt:variant>
      <vt:variant>
        <vt:i4>5</vt:i4>
      </vt:variant>
      <vt:variant>
        <vt:lpwstr/>
      </vt:variant>
      <vt:variant>
        <vt:lpwstr>_Toc84325869</vt:lpwstr>
      </vt:variant>
      <vt:variant>
        <vt:i4>1114168</vt:i4>
      </vt:variant>
      <vt:variant>
        <vt:i4>803</vt:i4>
      </vt:variant>
      <vt:variant>
        <vt:i4>0</vt:i4>
      </vt:variant>
      <vt:variant>
        <vt:i4>5</vt:i4>
      </vt:variant>
      <vt:variant>
        <vt:lpwstr/>
      </vt:variant>
      <vt:variant>
        <vt:lpwstr>_Toc84325868</vt:lpwstr>
      </vt:variant>
      <vt:variant>
        <vt:i4>1966136</vt:i4>
      </vt:variant>
      <vt:variant>
        <vt:i4>797</vt:i4>
      </vt:variant>
      <vt:variant>
        <vt:i4>0</vt:i4>
      </vt:variant>
      <vt:variant>
        <vt:i4>5</vt:i4>
      </vt:variant>
      <vt:variant>
        <vt:lpwstr/>
      </vt:variant>
      <vt:variant>
        <vt:lpwstr>_Toc84325867</vt:lpwstr>
      </vt:variant>
      <vt:variant>
        <vt:i4>2031672</vt:i4>
      </vt:variant>
      <vt:variant>
        <vt:i4>791</vt:i4>
      </vt:variant>
      <vt:variant>
        <vt:i4>0</vt:i4>
      </vt:variant>
      <vt:variant>
        <vt:i4>5</vt:i4>
      </vt:variant>
      <vt:variant>
        <vt:lpwstr/>
      </vt:variant>
      <vt:variant>
        <vt:lpwstr>_Toc84325866</vt:lpwstr>
      </vt:variant>
      <vt:variant>
        <vt:i4>1835064</vt:i4>
      </vt:variant>
      <vt:variant>
        <vt:i4>785</vt:i4>
      </vt:variant>
      <vt:variant>
        <vt:i4>0</vt:i4>
      </vt:variant>
      <vt:variant>
        <vt:i4>5</vt:i4>
      </vt:variant>
      <vt:variant>
        <vt:lpwstr/>
      </vt:variant>
      <vt:variant>
        <vt:lpwstr>_Toc84325865</vt:lpwstr>
      </vt:variant>
      <vt:variant>
        <vt:i4>1900600</vt:i4>
      </vt:variant>
      <vt:variant>
        <vt:i4>779</vt:i4>
      </vt:variant>
      <vt:variant>
        <vt:i4>0</vt:i4>
      </vt:variant>
      <vt:variant>
        <vt:i4>5</vt:i4>
      </vt:variant>
      <vt:variant>
        <vt:lpwstr/>
      </vt:variant>
      <vt:variant>
        <vt:lpwstr>_Toc84325864</vt:lpwstr>
      </vt:variant>
      <vt:variant>
        <vt:i4>1703992</vt:i4>
      </vt:variant>
      <vt:variant>
        <vt:i4>773</vt:i4>
      </vt:variant>
      <vt:variant>
        <vt:i4>0</vt:i4>
      </vt:variant>
      <vt:variant>
        <vt:i4>5</vt:i4>
      </vt:variant>
      <vt:variant>
        <vt:lpwstr/>
      </vt:variant>
      <vt:variant>
        <vt:lpwstr>_Toc84325863</vt:lpwstr>
      </vt:variant>
      <vt:variant>
        <vt:i4>1769528</vt:i4>
      </vt:variant>
      <vt:variant>
        <vt:i4>767</vt:i4>
      </vt:variant>
      <vt:variant>
        <vt:i4>0</vt:i4>
      </vt:variant>
      <vt:variant>
        <vt:i4>5</vt:i4>
      </vt:variant>
      <vt:variant>
        <vt:lpwstr/>
      </vt:variant>
      <vt:variant>
        <vt:lpwstr>_Toc84325862</vt:lpwstr>
      </vt:variant>
      <vt:variant>
        <vt:i4>1572920</vt:i4>
      </vt:variant>
      <vt:variant>
        <vt:i4>761</vt:i4>
      </vt:variant>
      <vt:variant>
        <vt:i4>0</vt:i4>
      </vt:variant>
      <vt:variant>
        <vt:i4>5</vt:i4>
      </vt:variant>
      <vt:variant>
        <vt:lpwstr/>
      </vt:variant>
      <vt:variant>
        <vt:lpwstr>_Toc84325861</vt:lpwstr>
      </vt:variant>
      <vt:variant>
        <vt:i4>1638456</vt:i4>
      </vt:variant>
      <vt:variant>
        <vt:i4>755</vt:i4>
      </vt:variant>
      <vt:variant>
        <vt:i4>0</vt:i4>
      </vt:variant>
      <vt:variant>
        <vt:i4>5</vt:i4>
      </vt:variant>
      <vt:variant>
        <vt:lpwstr/>
      </vt:variant>
      <vt:variant>
        <vt:lpwstr>_Toc84325860</vt:lpwstr>
      </vt:variant>
      <vt:variant>
        <vt:i4>1048635</vt:i4>
      </vt:variant>
      <vt:variant>
        <vt:i4>749</vt:i4>
      </vt:variant>
      <vt:variant>
        <vt:i4>0</vt:i4>
      </vt:variant>
      <vt:variant>
        <vt:i4>5</vt:i4>
      </vt:variant>
      <vt:variant>
        <vt:lpwstr/>
      </vt:variant>
      <vt:variant>
        <vt:lpwstr>_Toc84325859</vt:lpwstr>
      </vt:variant>
      <vt:variant>
        <vt:i4>1114171</vt:i4>
      </vt:variant>
      <vt:variant>
        <vt:i4>743</vt:i4>
      </vt:variant>
      <vt:variant>
        <vt:i4>0</vt:i4>
      </vt:variant>
      <vt:variant>
        <vt:i4>5</vt:i4>
      </vt:variant>
      <vt:variant>
        <vt:lpwstr/>
      </vt:variant>
      <vt:variant>
        <vt:lpwstr>_Toc84325858</vt:lpwstr>
      </vt:variant>
      <vt:variant>
        <vt:i4>1966139</vt:i4>
      </vt:variant>
      <vt:variant>
        <vt:i4>737</vt:i4>
      </vt:variant>
      <vt:variant>
        <vt:i4>0</vt:i4>
      </vt:variant>
      <vt:variant>
        <vt:i4>5</vt:i4>
      </vt:variant>
      <vt:variant>
        <vt:lpwstr/>
      </vt:variant>
      <vt:variant>
        <vt:lpwstr>_Toc84325857</vt:lpwstr>
      </vt:variant>
      <vt:variant>
        <vt:i4>2031675</vt:i4>
      </vt:variant>
      <vt:variant>
        <vt:i4>731</vt:i4>
      </vt:variant>
      <vt:variant>
        <vt:i4>0</vt:i4>
      </vt:variant>
      <vt:variant>
        <vt:i4>5</vt:i4>
      </vt:variant>
      <vt:variant>
        <vt:lpwstr/>
      </vt:variant>
      <vt:variant>
        <vt:lpwstr>_Toc84325856</vt:lpwstr>
      </vt:variant>
      <vt:variant>
        <vt:i4>1835067</vt:i4>
      </vt:variant>
      <vt:variant>
        <vt:i4>725</vt:i4>
      </vt:variant>
      <vt:variant>
        <vt:i4>0</vt:i4>
      </vt:variant>
      <vt:variant>
        <vt:i4>5</vt:i4>
      </vt:variant>
      <vt:variant>
        <vt:lpwstr/>
      </vt:variant>
      <vt:variant>
        <vt:lpwstr>_Toc84325855</vt:lpwstr>
      </vt:variant>
      <vt:variant>
        <vt:i4>1900603</vt:i4>
      </vt:variant>
      <vt:variant>
        <vt:i4>719</vt:i4>
      </vt:variant>
      <vt:variant>
        <vt:i4>0</vt:i4>
      </vt:variant>
      <vt:variant>
        <vt:i4>5</vt:i4>
      </vt:variant>
      <vt:variant>
        <vt:lpwstr/>
      </vt:variant>
      <vt:variant>
        <vt:lpwstr>_Toc84325854</vt:lpwstr>
      </vt:variant>
      <vt:variant>
        <vt:i4>1703995</vt:i4>
      </vt:variant>
      <vt:variant>
        <vt:i4>713</vt:i4>
      </vt:variant>
      <vt:variant>
        <vt:i4>0</vt:i4>
      </vt:variant>
      <vt:variant>
        <vt:i4>5</vt:i4>
      </vt:variant>
      <vt:variant>
        <vt:lpwstr/>
      </vt:variant>
      <vt:variant>
        <vt:lpwstr>_Toc84325853</vt:lpwstr>
      </vt:variant>
      <vt:variant>
        <vt:i4>1769531</vt:i4>
      </vt:variant>
      <vt:variant>
        <vt:i4>707</vt:i4>
      </vt:variant>
      <vt:variant>
        <vt:i4>0</vt:i4>
      </vt:variant>
      <vt:variant>
        <vt:i4>5</vt:i4>
      </vt:variant>
      <vt:variant>
        <vt:lpwstr/>
      </vt:variant>
      <vt:variant>
        <vt:lpwstr>_Toc84325852</vt:lpwstr>
      </vt:variant>
      <vt:variant>
        <vt:i4>1572923</vt:i4>
      </vt:variant>
      <vt:variant>
        <vt:i4>701</vt:i4>
      </vt:variant>
      <vt:variant>
        <vt:i4>0</vt:i4>
      </vt:variant>
      <vt:variant>
        <vt:i4>5</vt:i4>
      </vt:variant>
      <vt:variant>
        <vt:lpwstr/>
      </vt:variant>
      <vt:variant>
        <vt:lpwstr>_Toc84325851</vt:lpwstr>
      </vt:variant>
      <vt:variant>
        <vt:i4>1638459</vt:i4>
      </vt:variant>
      <vt:variant>
        <vt:i4>695</vt:i4>
      </vt:variant>
      <vt:variant>
        <vt:i4>0</vt:i4>
      </vt:variant>
      <vt:variant>
        <vt:i4>5</vt:i4>
      </vt:variant>
      <vt:variant>
        <vt:lpwstr/>
      </vt:variant>
      <vt:variant>
        <vt:lpwstr>_Toc84325850</vt:lpwstr>
      </vt:variant>
      <vt:variant>
        <vt:i4>1048634</vt:i4>
      </vt:variant>
      <vt:variant>
        <vt:i4>689</vt:i4>
      </vt:variant>
      <vt:variant>
        <vt:i4>0</vt:i4>
      </vt:variant>
      <vt:variant>
        <vt:i4>5</vt:i4>
      </vt:variant>
      <vt:variant>
        <vt:lpwstr/>
      </vt:variant>
      <vt:variant>
        <vt:lpwstr>_Toc84325849</vt:lpwstr>
      </vt:variant>
      <vt:variant>
        <vt:i4>1114170</vt:i4>
      </vt:variant>
      <vt:variant>
        <vt:i4>683</vt:i4>
      </vt:variant>
      <vt:variant>
        <vt:i4>0</vt:i4>
      </vt:variant>
      <vt:variant>
        <vt:i4>5</vt:i4>
      </vt:variant>
      <vt:variant>
        <vt:lpwstr/>
      </vt:variant>
      <vt:variant>
        <vt:lpwstr>_Toc84325848</vt:lpwstr>
      </vt:variant>
      <vt:variant>
        <vt:i4>1966138</vt:i4>
      </vt:variant>
      <vt:variant>
        <vt:i4>677</vt:i4>
      </vt:variant>
      <vt:variant>
        <vt:i4>0</vt:i4>
      </vt:variant>
      <vt:variant>
        <vt:i4>5</vt:i4>
      </vt:variant>
      <vt:variant>
        <vt:lpwstr/>
      </vt:variant>
      <vt:variant>
        <vt:lpwstr>_Toc84325847</vt:lpwstr>
      </vt:variant>
      <vt:variant>
        <vt:i4>2031674</vt:i4>
      </vt:variant>
      <vt:variant>
        <vt:i4>671</vt:i4>
      </vt:variant>
      <vt:variant>
        <vt:i4>0</vt:i4>
      </vt:variant>
      <vt:variant>
        <vt:i4>5</vt:i4>
      </vt:variant>
      <vt:variant>
        <vt:lpwstr/>
      </vt:variant>
      <vt:variant>
        <vt:lpwstr>_Toc84325846</vt:lpwstr>
      </vt:variant>
      <vt:variant>
        <vt:i4>1835066</vt:i4>
      </vt:variant>
      <vt:variant>
        <vt:i4>665</vt:i4>
      </vt:variant>
      <vt:variant>
        <vt:i4>0</vt:i4>
      </vt:variant>
      <vt:variant>
        <vt:i4>5</vt:i4>
      </vt:variant>
      <vt:variant>
        <vt:lpwstr/>
      </vt:variant>
      <vt:variant>
        <vt:lpwstr>_Toc84325845</vt:lpwstr>
      </vt:variant>
      <vt:variant>
        <vt:i4>1900602</vt:i4>
      </vt:variant>
      <vt:variant>
        <vt:i4>659</vt:i4>
      </vt:variant>
      <vt:variant>
        <vt:i4>0</vt:i4>
      </vt:variant>
      <vt:variant>
        <vt:i4>5</vt:i4>
      </vt:variant>
      <vt:variant>
        <vt:lpwstr/>
      </vt:variant>
      <vt:variant>
        <vt:lpwstr>_Toc84325844</vt:lpwstr>
      </vt:variant>
      <vt:variant>
        <vt:i4>1703994</vt:i4>
      </vt:variant>
      <vt:variant>
        <vt:i4>653</vt:i4>
      </vt:variant>
      <vt:variant>
        <vt:i4>0</vt:i4>
      </vt:variant>
      <vt:variant>
        <vt:i4>5</vt:i4>
      </vt:variant>
      <vt:variant>
        <vt:lpwstr/>
      </vt:variant>
      <vt:variant>
        <vt:lpwstr>_Toc84325843</vt:lpwstr>
      </vt:variant>
      <vt:variant>
        <vt:i4>1769530</vt:i4>
      </vt:variant>
      <vt:variant>
        <vt:i4>647</vt:i4>
      </vt:variant>
      <vt:variant>
        <vt:i4>0</vt:i4>
      </vt:variant>
      <vt:variant>
        <vt:i4>5</vt:i4>
      </vt:variant>
      <vt:variant>
        <vt:lpwstr/>
      </vt:variant>
      <vt:variant>
        <vt:lpwstr>_Toc84325842</vt:lpwstr>
      </vt:variant>
      <vt:variant>
        <vt:i4>1572922</vt:i4>
      </vt:variant>
      <vt:variant>
        <vt:i4>641</vt:i4>
      </vt:variant>
      <vt:variant>
        <vt:i4>0</vt:i4>
      </vt:variant>
      <vt:variant>
        <vt:i4>5</vt:i4>
      </vt:variant>
      <vt:variant>
        <vt:lpwstr/>
      </vt:variant>
      <vt:variant>
        <vt:lpwstr>_Toc84325841</vt:lpwstr>
      </vt:variant>
      <vt:variant>
        <vt:i4>1638458</vt:i4>
      </vt:variant>
      <vt:variant>
        <vt:i4>635</vt:i4>
      </vt:variant>
      <vt:variant>
        <vt:i4>0</vt:i4>
      </vt:variant>
      <vt:variant>
        <vt:i4>5</vt:i4>
      </vt:variant>
      <vt:variant>
        <vt:lpwstr/>
      </vt:variant>
      <vt:variant>
        <vt:lpwstr>_Toc84325840</vt:lpwstr>
      </vt:variant>
      <vt:variant>
        <vt:i4>1048637</vt:i4>
      </vt:variant>
      <vt:variant>
        <vt:i4>629</vt:i4>
      </vt:variant>
      <vt:variant>
        <vt:i4>0</vt:i4>
      </vt:variant>
      <vt:variant>
        <vt:i4>5</vt:i4>
      </vt:variant>
      <vt:variant>
        <vt:lpwstr/>
      </vt:variant>
      <vt:variant>
        <vt:lpwstr>_Toc84325839</vt:lpwstr>
      </vt:variant>
      <vt:variant>
        <vt:i4>1114173</vt:i4>
      </vt:variant>
      <vt:variant>
        <vt:i4>623</vt:i4>
      </vt:variant>
      <vt:variant>
        <vt:i4>0</vt:i4>
      </vt:variant>
      <vt:variant>
        <vt:i4>5</vt:i4>
      </vt:variant>
      <vt:variant>
        <vt:lpwstr/>
      </vt:variant>
      <vt:variant>
        <vt:lpwstr>_Toc84325838</vt:lpwstr>
      </vt:variant>
      <vt:variant>
        <vt:i4>1966141</vt:i4>
      </vt:variant>
      <vt:variant>
        <vt:i4>617</vt:i4>
      </vt:variant>
      <vt:variant>
        <vt:i4>0</vt:i4>
      </vt:variant>
      <vt:variant>
        <vt:i4>5</vt:i4>
      </vt:variant>
      <vt:variant>
        <vt:lpwstr/>
      </vt:variant>
      <vt:variant>
        <vt:lpwstr>_Toc84325837</vt:lpwstr>
      </vt:variant>
      <vt:variant>
        <vt:i4>2031677</vt:i4>
      </vt:variant>
      <vt:variant>
        <vt:i4>611</vt:i4>
      </vt:variant>
      <vt:variant>
        <vt:i4>0</vt:i4>
      </vt:variant>
      <vt:variant>
        <vt:i4>5</vt:i4>
      </vt:variant>
      <vt:variant>
        <vt:lpwstr/>
      </vt:variant>
      <vt:variant>
        <vt:lpwstr>_Toc84325836</vt:lpwstr>
      </vt:variant>
      <vt:variant>
        <vt:i4>1835069</vt:i4>
      </vt:variant>
      <vt:variant>
        <vt:i4>605</vt:i4>
      </vt:variant>
      <vt:variant>
        <vt:i4>0</vt:i4>
      </vt:variant>
      <vt:variant>
        <vt:i4>5</vt:i4>
      </vt:variant>
      <vt:variant>
        <vt:lpwstr/>
      </vt:variant>
      <vt:variant>
        <vt:lpwstr>_Toc84325835</vt:lpwstr>
      </vt:variant>
      <vt:variant>
        <vt:i4>1900605</vt:i4>
      </vt:variant>
      <vt:variant>
        <vt:i4>599</vt:i4>
      </vt:variant>
      <vt:variant>
        <vt:i4>0</vt:i4>
      </vt:variant>
      <vt:variant>
        <vt:i4>5</vt:i4>
      </vt:variant>
      <vt:variant>
        <vt:lpwstr/>
      </vt:variant>
      <vt:variant>
        <vt:lpwstr>_Toc84325834</vt:lpwstr>
      </vt:variant>
      <vt:variant>
        <vt:i4>1703997</vt:i4>
      </vt:variant>
      <vt:variant>
        <vt:i4>593</vt:i4>
      </vt:variant>
      <vt:variant>
        <vt:i4>0</vt:i4>
      </vt:variant>
      <vt:variant>
        <vt:i4>5</vt:i4>
      </vt:variant>
      <vt:variant>
        <vt:lpwstr/>
      </vt:variant>
      <vt:variant>
        <vt:lpwstr>_Toc84325833</vt:lpwstr>
      </vt:variant>
      <vt:variant>
        <vt:i4>1769533</vt:i4>
      </vt:variant>
      <vt:variant>
        <vt:i4>587</vt:i4>
      </vt:variant>
      <vt:variant>
        <vt:i4>0</vt:i4>
      </vt:variant>
      <vt:variant>
        <vt:i4>5</vt:i4>
      </vt:variant>
      <vt:variant>
        <vt:lpwstr/>
      </vt:variant>
      <vt:variant>
        <vt:lpwstr>_Toc84325832</vt:lpwstr>
      </vt:variant>
      <vt:variant>
        <vt:i4>1572925</vt:i4>
      </vt:variant>
      <vt:variant>
        <vt:i4>581</vt:i4>
      </vt:variant>
      <vt:variant>
        <vt:i4>0</vt:i4>
      </vt:variant>
      <vt:variant>
        <vt:i4>5</vt:i4>
      </vt:variant>
      <vt:variant>
        <vt:lpwstr/>
      </vt:variant>
      <vt:variant>
        <vt:lpwstr>_Toc84325831</vt:lpwstr>
      </vt:variant>
      <vt:variant>
        <vt:i4>1638461</vt:i4>
      </vt:variant>
      <vt:variant>
        <vt:i4>575</vt:i4>
      </vt:variant>
      <vt:variant>
        <vt:i4>0</vt:i4>
      </vt:variant>
      <vt:variant>
        <vt:i4>5</vt:i4>
      </vt:variant>
      <vt:variant>
        <vt:lpwstr/>
      </vt:variant>
      <vt:variant>
        <vt:lpwstr>_Toc84325830</vt:lpwstr>
      </vt:variant>
      <vt:variant>
        <vt:i4>1048636</vt:i4>
      </vt:variant>
      <vt:variant>
        <vt:i4>569</vt:i4>
      </vt:variant>
      <vt:variant>
        <vt:i4>0</vt:i4>
      </vt:variant>
      <vt:variant>
        <vt:i4>5</vt:i4>
      </vt:variant>
      <vt:variant>
        <vt:lpwstr/>
      </vt:variant>
      <vt:variant>
        <vt:lpwstr>_Toc84325829</vt:lpwstr>
      </vt:variant>
      <vt:variant>
        <vt:i4>1114172</vt:i4>
      </vt:variant>
      <vt:variant>
        <vt:i4>563</vt:i4>
      </vt:variant>
      <vt:variant>
        <vt:i4>0</vt:i4>
      </vt:variant>
      <vt:variant>
        <vt:i4>5</vt:i4>
      </vt:variant>
      <vt:variant>
        <vt:lpwstr/>
      </vt:variant>
      <vt:variant>
        <vt:lpwstr>_Toc84325828</vt:lpwstr>
      </vt:variant>
      <vt:variant>
        <vt:i4>1966140</vt:i4>
      </vt:variant>
      <vt:variant>
        <vt:i4>557</vt:i4>
      </vt:variant>
      <vt:variant>
        <vt:i4>0</vt:i4>
      </vt:variant>
      <vt:variant>
        <vt:i4>5</vt:i4>
      </vt:variant>
      <vt:variant>
        <vt:lpwstr/>
      </vt:variant>
      <vt:variant>
        <vt:lpwstr>_Toc84325827</vt:lpwstr>
      </vt:variant>
      <vt:variant>
        <vt:i4>2031676</vt:i4>
      </vt:variant>
      <vt:variant>
        <vt:i4>551</vt:i4>
      </vt:variant>
      <vt:variant>
        <vt:i4>0</vt:i4>
      </vt:variant>
      <vt:variant>
        <vt:i4>5</vt:i4>
      </vt:variant>
      <vt:variant>
        <vt:lpwstr/>
      </vt:variant>
      <vt:variant>
        <vt:lpwstr>_Toc84325826</vt:lpwstr>
      </vt:variant>
      <vt:variant>
        <vt:i4>1835068</vt:i4>
      </vt:variant>
      <vt:variant>
        <vt:i4>545</vt:i4>
      </vt:variant>
      <vt:variant>
        <vt:i4>0</vt:i4>
      </vt:variant>
      <vt:variant>
        <vt:i4>5</vt:i4>
      </vt:variant>
      <vt:variant>
        <vt:lpwstr/>
      </vt:variant>
      <vt:variant>
        <vt:lpwstr>_Toc84325825</vt:lpwstr>
      </vt:variant>
      <vt:variant>
        <vt:i4>1900604</vt:i4>
      </vt:variant>
      <vt:variant>
        <vt:i4>539</vt:i4>
      </vt:variant>
      <vt:variant>
        <vt:i4>0</vt:i4>
      </vt:variant>
      <vt:variant>
        <vt:i4>5</vt:i4>
      </vt:variant>
      <vt:variant>
        <vt:lpwstr/>
      </vt:variant>
      <vt:variant>
        <vt:lpwstr>_Toc84325824</vt:lpwstr>
      </vt:variant>
      <vt:variant>
        <vt:i4>1703996</vt:i4>
      </vt:variant>
      <vt:variant>
        <vt:i4>533</vt:i4>
      </vt:variant>
      <vt:variant>
        <vt:i4>0</vt:i4>
      </vt:variant>
      <vt:variant>
        <vt:i4>5</vt:i4>
      </vt:variant>
      <vt:variant>
        <vt:lpwstr/>
      </vt:variant>
      <vt:variant>
        <vt:lpwstr>_Toc84325823</vt:lpwstr>
      </vt:variant>
      <vt:variant>
        <vt:i4>1769532</vt:i4>
      </vt:variant>
      <vt:variant>
        <vt:i4>527</vt:i4>
      </vt:variant>
      <vt:variant>
        <vt:i4>0</vt:i4>
      </vt:variant>
      <vt:variant>
        <vt:i4>5</vt:i4>
      </vt:variant>
      <vt:variant>
        <vt:lpwstr/>
      </vt:variant>
      <vt:variant>
        <vt:lpwstr>_Toc84325822</vt:lpwstr>
      </vt:variant>
      <vt:variant>
        <vt:i4>1572924</vt:i4>
      </vt:variant>
      <vt:variant>
        <vt:i4>521</vt:i4>
      </vt:variant>
      <vt:variant>
        <vt:i4>0</vt:i4>
      </vt:variant>
      <vt:variant>
        <vt:i4>5</vt:i4>
      </vt:variant>
      <vt:variant>
        <vt:lpwstr/>
      </vt:variant>
      <vt:variant>
        <vt:lpwstr>_Toc84325821</vt:lpwstr>
      </vt:variant>
      <vt:variant>
        <vt:i4>1638460</vt:i4>
      </vt:variant>
      <vt:variant>
        <vt:i4>515</vt:i4>
      </vt:variant>
      <vt:variant>
        <vt:i4>0</vt:i4>
      </vt:variant>
      <vt:variant>
        <vt:i4>5</vt:i4>
      </vt:variant>
      <vt:variant>
        <vt:lpwstr/>
      </vt:variant>
      <vt:variant>
        <vt:lpwstr>_Toc84325820</vt:lpwstr>
      </vt:variant>
      <vt:variant>
        <vt:i4>1048639</vt:i4>
      </vt:variant>
      <vt:variant>
        <vt:i4>509</vt:i4>
      </vt:variant>
      <vt:variant>
        <vt:i4>0</vt:i4>
      </vt:variant>
      <vt:variant>
        <vt:i4>5</vt:i4>
      </vt:variant>
      <vt:variant>
        <vt:lpwstr/>
      </vt:variant>
      <vt:variant>
        <vt:lpwstr>_Toc84325819</vt:lpwstr>
      </vt:variant>
      <vt:variant>
        <vt:i4>1114175</vt:i4>
      </vt:variant>
      <vt:variant>
        <vt:i4>503</vt:i4>
      </vt:variant>
      <vt:variant>
        <vt:i4>0</vt:i4>
      </vt:variant>
      <vt:variant>
        <vt:i4>5</vt:i4>
      </vt:variant>
      <vt:variant>
        <vt:lpwstr/>
      </vt:variant>
      <vt:variant>
        <vt:lpwstr>_Toc84325818</vt:lpwstr>
      </vt:variant>
      <vt:variant>
        <vt:i4>1966143</vt:i4>
      </vt:variant>
      <vt:variant>
        <vt:i4>497</vt:i4>
      </vt:variant>
      <vt:variant>
        <vt:i4>0</vt:i4>
      </vt:variant>
      <vt:variant>
        <vt:i4>5</vt:i4>
      </vt:variant>
      <vt:variant>
        <vt:lpwstr/>
      </vt:variant>
      <vt:variant>
        <vt:lpwstr>_Toc84325817</vt:lpwstr>
      </vt:variant>
      <vt:variant>
        <vt:i4>2031679</vt:i4>
      </vt:variant>
      <vt:variant>
        <vt:i4>491</vt:i4>
      </vt:variant>
      <vt:variant>
        <vt:i4>0</vt:i4>
      </vt:variant>
      <vt:variant>
        <vt:i4>5</vt:i4>
      </vt:variant>
      <vt:variant>
        <vt:lpwstr/>
      </vt:variant>
      <vt:variant>
        <vt:lpwstr>_Toc84325816</vt:lpwstr>
      </vt:variant>
      <vt:variant>
        <vt:i4>1835071</vt:i4>
      </vt:variant>
      <vt:variant>
        <vt:i4>485</vt:i4>
      </vt:variant>
      <vt:variant>
        <vt:i4>0</vt:i4>
      </vt:variant>
      <vt:variant>
        <vt:i4>5</vt:i4>
      </vt:variant>
      <vt:variant>
        <vt:lpwstr/>
      </vt:variant>
      <vt:variant>
        <vt:lpwstr>_Toc84325815</vt:lpwstr>
      </vt:variant>
      <vt:variant>
        <vt:i4>1900607</vt:i4>
      </vt:variant>
      <vt:variant>
        <vt:i4>479</vt:i4>
      </vt:variant>
      <vt:variant>
        <vt:i4>0</vt:i4>
      </vt:variant>
      <vt:variant>
        <vt:i4>5</vt:i4>
      </vt:variant>
      <vt:variant>
        <vt:lpwstr/>
      </vt:variant>
      <vt:variant>
        <vt:lpwstr>_Toc84325814</vt:lpwstr>
      </vt:variant>
      <vt:variant>
        <vt:i4>1703999</vt:i4>
      </vt:variant>
      <vt:variant>
        <vt:i4>473</vt:i4>
      </vt:variant>
      <vt:variant>
        <vt:i4>0</vt:i4>
      </vt:variant>
      <vt:variant>
        <vt:i4>5</vt:i4>
      </vt:variant>
      <vt:variant>
        <vt:lpwstr/>
      </vt:variant>
      <vt:variant>
        <vt:lpwstr>_Toc84325813</vt:lpwstr>
      </vt:variant>
      <vt:variant>
        <vt:i4>1769535</vt:i4>
      </vt:variant>
      <vt:variant>
        <vt:i4>467</vt:i4>
      </vt:variant>
      <vt:variant>
        <vt:i4>0</vt:i4>
      </vt:variant>
      <vt:variant>
        <vt:i4>5</vt:i4>
      </vt:variant>
      <vt:variant>
        <vt:lpwstr/>
      </vt:variant>
      <vt:variant>
        <vt:lpwstr>_Toc84325812</vt:lpwstr>
      </vt:variant>
      <vt:variant>
        <vt:i4>1572927</vt:i4>
      </vt:variant>
      <vt:variant>
        <vt:i4>458</vt:i4>
      </vt:variant>
      <vt:variant>
        <vt:i4>0</vt:i4>
      </vt:variant>
      <vt:variant>
        <vt:i4>5</vt:i4>
      </vt:variant>
      <vt:variant>
        <vt:lpwstr/>
      </vt:variant>
      <vt:variant>
        <vt:lpwstr>_Toc84325811</vt:lpwstr>
      </vt:variant>
      <vt:variant>
        <vt:i4>1638463</vt:i4>
      </vt:variant>
      <vt:variant>
        <vt:i4>452</vt:i4>
      </vt:variant>
      <vt:variant>
        <vt:i4>0</vt:i4>
      </vt:variant>
      <vt:variant>
        <vt:i4>5</vt:i4>
      </vt:variant>
      <vt:variant>
        <vt:lpwstr/>
      </vt:variant>
      <vt:variant>
        <vt:lpwstr>_Toc84325810</vt:lpwstr>
      </vt:variant>
      <vt:variant>
        <vt:i4>1048638</vt:i4>
      </vt:variant>
      <vt:variant>
        <vt:i4>446</vt:i4>
      </vt:variant>
      <vt:variant>
        <vt:i4>0</vt:i4>
      </vt:variant>
      <vt:variant>
        <vt:i4>5</vt:i4>
      </vt:variant>
      <vt:variant>
        <vt:lpwstr/>
      </vt:variant>
      <vt:variant>
        <vt:lpwstr>_Toc84325809</vt:lpwstr>
      </vt:variant>
      <vt:variant>
        <vt:i4>1114174</vt:i4>
      </vt:variant>
      <vt:variant>
        <vt:i4>440</vt:i4>
      </vt:variant>
      <vt:variant>
        <vt:i4>0</vt:i4>
      </vt:variant>
      <vt:variant>
        <vt:i4>5</vt:i4>
      </vt:variant>
      <vt:variant>
        <vt:lpwstr/>
      </vt:variant>
      <vt:variant>
        <vt:lpwstr>_Toc84325808</vt:lpwstr>
      </vt:variant>
      <vt:variant>
        <vt:i4>1966142</vt:i4>
      </vt:variant>
      <vt:variant>
        <vt:i4>434</vt:i4>
      </vt:variant>
      <vt:variant>
        <vt:i4>0</vt:i4>
      </vt:variant>
      <vt:variant>
        <vt:i4>5</vt:i4>
      </vt:variant>
      <vt:variant>
        <vt:lpwstr/>
      </vt:variant>
      <vt:variant>
        <vt:lpwstr>_Toc84325807</vt:lpwstr>
      </vt:variant>
      <vt:variant>
        <vt:i4>2031678</vt:i4>
      </vt:variant>
      <vt:variant>
        <vt:i4>428</vt:i4>
      </vt:variant>
      <vt:variant>
        <vt:i4>0</vt:i4>
      </vt:variant>
      <vt:variant>
        <vt:i4>5</vt:i4>
      </vt:variant>
      <vt:variant>
        <vt:lpwstr/>
      </vt:variant>
      <vt:variant>
        <vt:lpwstr>_Toc84325806</vt:lpwstr>
      </vt:variant>
      <vt:variant>
        <vt:i4>1835070</vt:i4>
      </vt:variant>
      <vt:variant>
        <vt:i4>422</vt:i4>
      </vt:variant>
      <vt:variant>
        <vt:i4>0</vt:i4>
      </vt:variant>
      <vt:variant>
        <vt:i4>5</vt:i4>
      </vt:variant>
      <vt:variant>
        <vt:lpwstr/>
      </vt:variant>
      <vt:variant>
        <vt:lpwstr>_Toc84325805</vt:lpwstr>
      </vt:variant>
      <vt:variant>
        <vt:i4>1900606</vt:i4>
      </vt:variant>
      <vt:variant>
        <vt:i4>416</vt:i4>
      </vt:variant>
      <vt:variant>
        <vt:i4>0</vt:i4>
      </vt:variant>
      <vt:variant>
        <vt:i4>5</vt:i4>
      </vt:variant>
      <vt:variant>
        <vt:lpwstr/>
      </vt:variant>
      <vt:variant>
        <vt:lpwstr>_Toc84325804</vt:lpwstr>
      </vt:variant>
      <vt:variant>
        <vt:i4>1703998</vt:i4>
      </vt:variant>
      <vt:variant>
        <vt:i4>410</vt:i4>
      </vt:variant>
      <vt:variant>
        <vt:i4>0</vt:i4>
      </vt:variant>
      <vt:variant>
        <vt:i4>5</vt:i4>
      </vt:variant>
      <vt:variant>
        <vt:lpwstr/>
      </vt:variant>
      <vt:variant>
        <vt:lpwstr>_Toc84325803</vt:lpwstr>
      </vt:variant>
      <vt:variant>
        <vt:i4>1769534</vt:i4>
      </vt:variant>
      <vt:variant>
        <vt:i4>404</vt:i4>
      </vt:variant>
      <vt:variant>
        <vt:i4>0</vt:i4>
      </vt:variant>
      <vt:variant>
        <vt:i4>5</vt:i4>
      </vt:variant>
      <vt:variant>
        <vt:lpwstr/>
      </vt:variant>
      <vt:variant>
        <vt:lpwstr>_Toc84325802</vt:lpwstr>
      </vt:variant>
      <vt:variant>
        <vt:i4>1572926</vt:i4>
      </vt:variant>
      <vt:variant>
        <vt:i4>398</vt:i4>
      </vt:variant>
      <vt:variant>
        <vt:i4>0</vt:i4>
      </vt:variant>
      <vt:variant>
        <vt:i4>5</vt:i4>
      </vt:variant>
      <vt:variant>
        <vt:lpwstr/>
      </vt:variant>
      <vt:variant>
        <vt:lpwstr>_Toc84325801</vt:lpwstr>
      </vt:variant>
      <vt:variant>
        <vt:i4>1638462</vt:i4>
      </vt:variant>
      <vt:variant>
        <vt:i4>392</vt:i4>
      </vt:variant>
      <vt:variant>
        <vt:i4>0</vt:i4>
      </vt:variant>
      <vt:variant>
        <vt:i4>5</vt:i4>
      </vt:variant>
      <vt:variant>
        <vt:lpwstr/>
      </vt:variant>
      <vt:variant>
        <vt:lpwstr>_Toc84325800</vt:lpwstr>
      </vt:variant>
      <vt:variant>
        <vt:i4>2031671</vt:i4>
      </vt:variant>
      <vt:variant>
        <vt:i4>386</vt:i4>
      </vt:variant>
      <vt:variant>
        <vt:i4>0</vt:i4>
      </vt:variant>
      <vt:variant>
        <vt:i4>5</vt:i4>
      </vt:variant>
      <vt:variant>
        <vt:lpwstr/>
      </vt:variant>
      <vt:variant>
        <vt:lpwstr>_Toc84325799</vt:lpwstr>
      </vt:variant>
      <vt:variant>
        <vt:i4>1966135</vt:i4>
      </vt:variant>
      <vt:variant>
        <vt:i4>380</vt:i4>
      </vt:variant>
      <vt:variant>
        <vt:i4>0</vt:i4>
      </vt:variant>
      <vt:variant>
        <vt:i4>5</vt:i4>
      </vt:variant>
      <vt:variant>
        <vt:lpwstr/>
      </vt:variant>
      <vt:variant>
        <vt:lpwstr>_Toc84325798</vt:lpwstr>
      </vt:variant>
      <vt:variant>
        <vt:i4>1114167</vt:i4>
      </vt:variant>
      <vt:variant>
        <vt:i4>374</vt:i4>
      </vt:variant>
      <vt:variant>
        <vt:i4>0</vt:i4>
      </vt:variant>
      <vt:variant>
        <vt:i4>5</vt:i4>
      </vt:variant>
      <vt:variant>
        <vt:lpwstr/>
      </vt:variant>
      <vt:variant>
        <vt:lpwstr>_Toc84325797</vt:lpwstr>
      </vt:variant>
      <vt:variant>
        <vt:i4>1048631</vt:i4>
      </vt:variant>
      <vt:variant>
        <vt:i4>368</vt:i4>
      </vt:variant>
      <vt:variant>
        <vt:i4>0</vt:i4>
      </vt:variant>
      <vt:variant>
        <vt:i4>5</vt:i4>
      </vt:variant>
      <vt:variant>
        <vt:lpwstr/>
      </vt:variant>
      <vt:variant>
        <vt:lpwstr>_Toc84325796</vt:lpwstr>
      </vt:variant>
      <vt:variant>
        <vt:i4>1245239</vt:i4>
      </vt:variant>
      <vt:variant>
        <vt:i4>362</vt:i4>
      </vt:variant>
      <vt:variant>
        <vt:i4>0</vt:i4>
      </vt:variant>
      <vt:variant>
        <vt:i4>5</vt:i4>
      </vt:variant>
      <vt:variant>
        <vt:lpwstr/>
      </vt:variant>
      <vt:variant>
        <vt:lpwstr>_Toc84325795</vt:lpwstr>
      </vt:variant>
      <vt:variant>
        <vt:i4>1179703</vt:i4>
      </vt:variant>
      <vt:variant>
        <vt:i4>356</vt:i4>
      </vt:variant>
      <vt:variant>
        <vt:i4>0</vt:i4>
      </vt:variant>
      <vt:variant>
        <vt:i4>5</vt:i4>
      </vt:variant>
      <vt:variant>
        <vt:lpwstr/>
      </vt:variant>
      <vt:variant>
        <vt:lpwstr>_Toc84325794</vt:lpwstr>
      </vt:variant>
      <vt:variant>
        <vt:i4>1376311</vt:i4>
      </vt:variant>
      <vt:variant>
        <vt:i4>350</vt:i4>
      </vt:variant>
      <vt:variant>
        <vt:i4>0</vt:i4>
      </vt:variant>
      <vt:variant>
        <vt:i4>5</vt:i4>
      </vt:variant>
      <vt:variant>
        <vt:lpwstr/>
      </vt:variant>
      <vt:variant>
        <vt:lpwstr>_Toc84325793</vt:lpwstr>
      </vt:variant>
      <vt:variant>
        <vt:i4>1310775</vt:i4>
      </vt:variant>
      <vt:variant>
        <vt:i4>344</vt:i4>
      </vt:variant>
      <vt:variant>
        <vt:i4>0</vt:i4>
      </vt:variant>
      <vt:variant>
        <vt:i4>5</vt:i4>
      </vt:variant>
      <vt:variant>
        <vt:lpwstr/>
      </vt:variant>
      <vt:variant>
        <vt:lpwstr>_Toc84325792</vt:lpwstr>
      </vt:variant>
      <vt:variant>
        <vt:i4>1507383</vt:i4>
      </vt:variant>
      <vt:variant>
        <vt:i4>338</vt:i4>
      </vt:variant>
      <vt:variant>
        <vt:i4>0</vt:i4>
      </vt:variant>
      <vt:variant>
        <vt:i4>5</vt:i4>
      </vt:variant>
      <vt:variant>
        <vt:lpwstr/>
      </vt:variant>
      <vt:variant>
        <vt:lpwstr>_Toc84325791</vt:lpwstr>
      </vt:variant>
      <vt:variant>
        <vt:i4>1441847</vt:i4>
      </vt:variant>
      <vt:variant>
        <vt:i4>332</vt:i4>
      </vt:variant>
      <vt:variant>
        <vt:i4>0</vt:i4>
      </vt:variant>
      <vt:variant>
        <vt:i4>5</vt:i4>
      </vt:variant>
      <vt:variant>
        <vt:lpwstr/>
      </vt:variant>
      <vt:variant>
        <vt:lpwstr>_Toc84325790</vt:lpwstr>
      </vt:variant>
      <vt:variant>
        <vt:i4>2031670</vt:i4>
      </vt:variant>
      <vt:variant>
        <vt:i4>326</vt:i4>
      </vt:variant>
      <vt:variant>
        <vt:i4>0</vt:i4>
      </vt:variant>
      <vt:variant>
        <vt:i4>5</vt:i4>
      </vt:variant>
      <vt:variant>
        <vt:lpwstr/>
      </vt:variant>
      <vt:variant>
        <vt:lpwstr>_Toc84325789</vt:lpwstr>
      </vt:variant>
      <vt:variant>
        <vt:i4>1966134</vt:i4>
      </vt:variant>
      <vt:variant>
        <vt:i4>320</vt:i4>
      </vt:variant>
      <vt:variant>
        <vt:i4>0</vt:i4>
      </vt:variant>
      <vt:variant>
        <vt:i4>5</vt:i4>
      </vt:variant>
      <vt:variant>
        <vt:lpwstr/>
      </vt:variant>
      <vt:variant>
        <vt:lpwstr>_Toc84325788</vt:lpwstr>
      </vt:variant>
      <vt:variant>
        <vt:i4>1114166</vt:i4>
      </vt:variant>
      <vt:variant>
        <vt:i4>314</vt:i4>
      </vt:variant>
      <vt:variant>
        <vt:i4>0</vt:i4>
      </vt:variant>
      <vt:variant>
        <vt:i4>5</vt:i4>
      </vt:variant>
      <vt:variant>
        <vt:lpwstr/>
      </vt:variant>
      <vt:variant>
        <vt:lpwstr>_Toc84325787</vt:lpwstr>
      </vt:variant>
      <vt:variant>
        <vt:i4>1048630</vt:i4>
      </vt:variant>
      <vt:variant>
        <vt:i4>308</vt:i4>
      </vt:variant>
      <vt:variant>
        <vt:i4>0</vt:i4>
      </vt:variant>
      <vt:variant>
        <vt:i4>5</vt:i4>
      </vt:variant>
      <vt:variant>
        <vt:lpwstr/>
      </vt:variant>
      <vt:variant>
        <vt:lpwstr>_Toc84325786</vt:lpwstr>
      </vt:variant>
      <vt:variant>
        <vt:i4>1245238</vt:i4>
      </vt:variant>
      <vt:variant>
        <vt:i4>302</vt:i4>
      </vt:variant>
      <vt:variant>
        <vt:i4>0</vt:i4>
      </vt:variant>
      <vt:variant>
        <vt:i4>5</vt:i4>
      </vt:variant>
      <vt:variant>
        <vt:lpwstr/>
      </vt:variant>
      <vt:variant>
        <vt:lpwstr>_Toc84325785</vt:lpwstr>
      </vt:variant>
      <vt:variant>
        <vt:i4>1179702</vt:i4>
      </vt:variant>
      <vt:variant>
        <vt:i4>296</vt:i4>
      </vt:variant>
      <vt:variant>
        <vt:i4>0</vt:i4>
      </vt:variant>
      <vt:variant>
        <vt:i4>5</vt:i4>
      </vt:variant>
      <vt:variant>
        <vt:lpwstr/>
      </vt:variant>
      <vt:variant>
        <vt:lpwstr>_Toc84325784</vt:lpwstr>
      </vt:variant>
      <vt:variant>
        <vt:i4>1376310</vt:i4>
      </vt:variant>
      <vt:variant>
        <vt:i4>290</vt:i4>
      </vt:variant>
      <vt:variant>
        <vt:i4>0</vt:i4>
      </vt:variant>
      <vt:variant>
        <vt:i4>5</vt:i4>
      </vt:variant>
      <vt:variant>
        <vt:lpwstr/>
      </vt:variant>
      <vt:variant>
        <vt:lpwstr>_Toc84325783</vt:lpwstr>
      </vt:variant>
      <vt:variant>
        <vt:i4>1310774</vt:i4>
      </vt:variant>
      <vt:variant>
        <vt:i4>284</vt:i4>
      </vt:variant>
      <vt:variant>
        <vt:i4>0</vt:i4>
      </vt:variant>
      <vt:variant>
        <vt:i4>5</vt:i4>
      </vt:variant>
      <vt:variant>
        <vt:lpwstr/>
      </vt:variant>
      <vt:variant>
        <vt:lpwstr>_Toc84325782</vt:lpwstr>
      </vt:variant>
      <vt:variant>
        <vt:i4>1507382</vt:i4>
      </vt:variant>
      <vt:variant>
        <vt:i4>278</vt:i4>
      </vt:variant>
      <vt:variant>
        <vt:i4>0</vt:i4>
      </vt:variant>
      <vt:variant>
        <vt:i4>5</vt:i4>
      </vt:variant>
      <vt:variant>
        <vt:lpwstr/>
      </vt:variant>
      <vt:variant>
        <vt:lpwstr>_Toc84325781</vt:lpwstr>
      </vt:variant>
      <vt:variant>
        <vt:i4>1441846</vt:i4>
      </vt:variant>
      <vt:variant>
        <vt:i4>272</vt:i4>
      </vt:variant>
      <vt:variant>
        <vt:i4>0</vt:i4>
      </vt:variant>
      <vt:variant>
        <vt:i4>5</vt:i4>
      </vt:variant>
      <vt:variant>
        <vt:lpwstr/>
      </vt:variant>
      <vt:variant>
        <vt:lpwstr>_Toc84325780</vt:lpwstr>
      </vt:variant>
      <vt:variant>
        <vt:i4>2031673</vt:i4>
      </vt:variant>
      <vt:variant>
        <vt:i4>266</vt:i4>
      </vt:variant>
      <vt:variant>
        <vt:i4>0</vt:i4>
      </vt:variant>
      <vt:variant>
        <vt:i4>5</vt:i4>
      </vt:variant>
      <vt:variant>
        <vt:lpwstr/>
      </vt:variant>
      <vt:variant>
        <vt:lpwstr>_Toc84325779</vt:lpwstr>
      </vt:variant>
      <vt:variant>
        <vt:i4>1966137</vt:i4>
      </vt:variant>
      <vt:variant>
        <vt:i4>260</vt:i4>
      </vt:variant>
      <vt:variant>
        <vt:i4>0</vt:i4>
      </vt:variant>
      <vt:variant>
        <vt:i4>5</vt:i4>
      </vt:variant>
      <vt:variant>
        <vt:lpwstr/>
      </vt:variant>
      <vt:variant>
        <vt:lpwstr>_Toc84325778</vt:lpwstr>
      </vt:variant>
      <vt:variant>
        <vt:i4>1114169</vt:i4>
      </vt:variant>
      <vt:variant>
        <vt:i4>254</vt:i4>
      </vt:variant>
      <vt:variant>
        <vt:i4>0</vt:i4>
      </vt:variant>
      <vt:variant>
        <vt:i4>5</vt:i4>
      </vt:variant>
      <vt:variant>
        <vt:lpwstr/>
      </vt:variant>
      <vt:variant>
        <vt:lpwstr>_Toc84325777</vt:lpwstr>
      </vt:variant>
      <vt:variant>
        <vt:i4>1048633</vt:i4>
      </vt:variant>
      <vt:variant>
        <vt:i4>248</vt:i4>
      </vt:variant>
      <vt:variant>
        <vt:i4>0</vt:i4>
      </vt:variant>
      <vt:variant>
        <vt:i4>5</vt:i4>
      </vt:variant>
      <vt:variant>
        <vt:lpwstr/>
      </vt:variant>
      <vt:variant>
        <vt:lpwstr>_Toc84325776</vt:lpwstr>
      </vt:variant>
      <vt:variant>
        <vt:i4>1245241</vt:i4>
      </vt:variant>
      <vt:variant>
        <vt:i4>242</vt:i4>
      </vt:variant>
      <vt:variant>
        <vt:i4>0</vt:i4>
      </vt:variant>
      <vt:variant>
        <vt:i4>5</vt:i4>
      </vt:variant>
      <vt:variant>
        <vt:lpwstr/>
      </vt:variant>
      <vt:variant>
        <vt:lpwstr>_Toc84325775</vt:lpwstr>
      </vt:variant>
      <vt:variant>
        <vt:i4>1179705</vt:i4>
      </vt:variant>
      <vt:variant>
        <vt:i4>236</vt:i4>
      </vt:variant>
      <vt:variant>
        <vt:i4>0</vt:i4>
      </vt:variant>
      <vt:variant>
        <vt:i4>5</vt:i4>
      </vt:variant>
      <vt:variant>
        <vt:lpwstr/>
      </vt:variant>
      <vt:variant>
        <vt:lpwstr>_Toc84325774</vt:lpwstr>
      </vt:variant>
      <vt:variant>
        <vt:i4>1376313</vt:i4>
      </vt:variant>
      <vt:variant>
        <vt:i4>230</vt:i4>
      </vt:variant>
      <vt:variant>
        <vt:i4>0</vt:i4>
      </vt:variant>
      <vt:variant>
        <vt:i4>5</vt:i4>
      </vt:variant>
      <vt:variant>
        <vt:lpwstr/>
      </vt:variant>
      <vt:variant>
        <vt:lpwstr>_Toc84325773</vt:lpwstr>
      </vt:variant>
      <vt:variant>
        <vt:i4>1310777</vt:i4>
      </vt:variant>
      <vt:variant>
        <vt:i4>224</vt:i4>
      </vt:variant>
      <vt:variant>
        <vt:i4>0</vt:i4>
      </vt:variant>
      <vt:variant>
        <vt:i4>5</vt:i4>
      </vt:variant>
      <vt:variant>
        <vt:lpwstr/>
      </vt:variant>
      <vt:variant>
        <vt:lpwstr>_Toc84325772</vt:lpwstr>
      </vt:variant>
      <vt:variant>
        <vt:i4>1507385</vt:i4>
      </vt:variant>
      <vt:variant>
        <vt:i4>218</vt:i4>
      </vt:variant>
      <vt:variant>
        <vt:i4>0</vt:i4>
      </vt:variant>
      <vt:variant>
        <vt:i4>5</vt:i4>
      </vt:variant>
      <vt:variant>
        <vt:lpwstr/>
      </vt:variant>
      <vt:variant>
        <vt:lpwstr>_Toc84325771</vt:lpwstr>
      </vt:variant>
      <vt:variant>
        <vt:i4>1441849</vt:i4>
      </vt:variant>
      <vt:variant>
        <vt:i4>212</vt:i4>
      </vt:variant>
      <vt:variant>
        <vt:i4>0</vt:i4>
      </vt:variant>
      <vt:variant>
        <vt:i4>5</vt:i4>
      </vt:variant>
      <vt:variant>
        <vt:lpwstr/>
      </vt:variant>
      <vt:variant>
        <vt:lpwstr>_Toc84325770</vt:lpwstr>
      </vt:variant>
      <vt:variant>
        <vt:i4>2031672</vt:i4>
      </vt:variant>
      <vt:variant>
        <vt:i4>206</vt:i4>
      </vt:variant>
      <vt:variant>
        <vt:i4>0</vt:i4>
      </vt:variant>
      <vt:variant>
        <vt:i4>5</vt:i4>
      </vt:variant>
      <vt:variant>
        <vt:lpwstr/>
      </vt:variant>
      <vt:variant>
        <vt:lpwstr>_Toc84325769</vt:lpwstr>
      </vt:variant>
      <vt:variant>
        <vt:i4>1966136</vt:i4>
      </vt:variant>
      <vt:variant>
        <vt:i4>200</vt:i4>
      </vt:variant>
      <vt:variant>
        <vt:i4>0</vt:i4>
      </vt:variant>
      <vt:variant>
        <vt:i4>5</vt:i4>
      </vt:variant>
      <vt:variant>
        <vt:lpwstr/>
      </vt:variant>
      <vt:variant>
        <vt:lpwstr>_Toc84325768</vt:lpwstr>
      </vt:variant>
      <vt:variant>
        <vt:i4>1114168</vt:i4>
      </vt:variant>
      <vt:variant>
        <vt:i4>194</vt:i4>
      </vt:variant>
      <vt:variant>
        <vt:i4>0</vt:i4>
      </vt:variant>
      <vt:variant>
        <vt:i4>5</vt:i4>
      </vt:variant>
      <vt:variant>
        <vt:lpwstr/>
      </vt:variant>
      <vt:variant>
        <vt:lpwstr>_Toc84325767</vt:lpwstr>
      </vt:variant>
      <vt:variant>
        <vt:i4>1048632</vt:i4>
      </vt:variant>
      <vt:variant>
        <vt:i4>188</vt:i4>
      </vt:variant>
      <vt:variant>
        <vt:i4>0</vt:i4>
      </vt:variant>
      <vt:variant>
        <vt:i4>5</vt:i4>
      </vt:variant>
      <vt:variant>
        <vt:lpwstr/>
      </vt:variant>
      <vt:variant>
        <vt:lpwstr>_Toc84325766</vt:lpwstr>
      </vt:variant>
      <vt:variant>
        <vt:i4>1245240</vt:i4>
      </vt:variant>
      <vt:variant>
        <vt:i4>182</vt:i4>
      </vt:variant>
      <vt:variant>
        <vt:i4>0</vt:i4>
      </vt:variant>
      <vt:variant>
        <vt:i4>5</vt:i4>
      </vt:variant>
      <vt:variant>
        <vt:lpwstr/>
      </vt:variant>
      <vt:variant>
        <vt:lpwstr>_Toc84325765</vt:lpwstr>
      </vt:variant>
      <vt:variant>
        <vt:i4>1179704</vt:i4>
      </vt:variant>
      <vt:variant>
        <vt:i4>176</vt:i4>
      </vt:variant>
      <vt:variant>
        <vt:i4>0</vt:i4>
      </vt:variant>
      <vt:variant>
        <vt:i4>5</vt:i4>
      </vt:variant>
      <vt:variant>
        <vt:lpwstr/>
      </vt:variant>
      <vt:variant>
        <vt:lpwstr>_Toc84325764</vt:lpwstr>
      </vt:variant>
      <vt:variant>
        <vt:i4>1376312</vt:i4>
      </vt:variant>
      <vt:variant>
        <vt:i4>170</vt:i4>
      </vt:variant>
      <vt:variant>
        <vt:i4>0</vt:i4>
      </vt:variant>
      <vt:variant>
        <vt:i4>5</vt:i4>
      </vt:variant>
      <vt:variant>
        <vt:lpwstr/>
      </vt:variant>
      <vt:variant>
        <vt:lpwstr>_Toc84325763</vt:lpwstr>
      </vt:variant>
      <vt:variant>
        <vt:i4>1310776</vt:i4>
      </vt:variant>
      <vt:variant>
        <vt:i4>164</vt:i4>
      </vt:variant>
      <vt:variant>
        <vt:i4>0</vt:i4>
      </vt:variant>
      <vt:variant>
        <vt:i4>5</vt:i4>
      </vt:variant>
      <vt:variant>
        <vt:lpwstr/>
      </vt:variant>
      <vt:variant>
        <vt:lpwstr>_Toc84325762</vt:lpwstr>
      </vt:variant>
      <vt:variant>
        <vt:i4>1507384</vt:i4>
      </vt:variant>
      <vt:variant>
        <vt:i4>158</vt:i4>
      </vt:variant>
      <vt:variant>
        <vt:i4>0</vt:i4>
      </vt:variant>
      <vt:variant>
        <vt:i4>5</vt:i4>
      </vt:variant>
      <vt:variant>
        <vt:lpwstr/>
      </vt:variant>
      <vt:variant>
        <vt:lpwstr>_Toc84325761</vt:lpwstr>
      </vt:variant>
      <vt:variant>
        <vt:i4>1441848</vt:i4>
      </vt:variant>
      <vt:variant>
        <vt:i4>152</vt:i4>
      </vt:variant>
      <vt:variant>
        <vt:i4>0</vt:i4>
      </vt:variant>
      <vt:variant>
        <vt:i4>5</vt:i4>
      </vt:variant>
      <vt:variant>
        <vt:lpwstr/>
      </vt:variant>
      <vt:variant>
        <vt:lpwstr>_Toc84325760</vt:lpwstr>
      </vt:variant>
      <vt:variant>
        <vt:i4>2031675</vt:i4>
      </vt:variant>
      <vt:variant>
        <vt:i4>146</vt:i4>
      </vt:variant>
      <vt:variant>
        <vt:i4>0</vt:i4>
      </vt:variant>
      <vt:variant>
        <vt:i4>5</vt:i4>
      </vt:variant>
      <vt:variant>
        <vt:lpwstr/>
      </vt:variant>
      <vt:variant>
        <vt:lpwstr>_Toc84325759</vt:lpwstr>
      </vt:variant>
      <vt:variant>
        <vt:i4>1966139</vt:i4>
      </vt:variant>
      <vt:variant>
        <vt:i4>140</vt:i4>
      </vt:variant>
      <vt:variant>
        <vt:i4>0</vt:i4>
      </vt:variant>
      <vt:variant>
        <vt:i4>5</vt:i4>
      </vt:variant>
      <vt:variant>
        <vt:lpwstr/>
      </vt:variant>
      <vt:variant>
        <vt:lpwstr>_Toc84325758</vt:lpwstr>
      </vt:variant>
      <vt:variant>
        <vt:i4>1114171</vt:i4>
      </vt:variant>
      <vt:variant>
        <vt:i4>134</vt:i4>
      </vt:variant>
      <vt:variant>
        <vt:i4>0</vt:i4>
      </vt:variant>
      <vt:variant>
        <vt:i4>5</vt:i4>
      </vt:variant>
      <vt:variant>
        <vt:lpwstr/>
      </vt:variant>
      <vt:variant>
        <vt:lpwstr>_Toc84325757</vt:lpwstr>
      </vt:variant>
      <vt:variant>
        <vt:i4>1048635</vt:i4>
      </vt:variant>
      <vt:variant>
        <vt:i4>128</vt:i4>
      </vt:variant>
      <vt:variant>
        <vt:i4>0</vt:i4>
      </vt:variant>
      <vt:variant>
        <vt:i4>5</vt:i4>
      </vt:variant>
      <vt:variant>
        <vt:lpwstr/>
      </vt:variant>
      <vt:variant>
        <vt:lpwstr>_Toc84325756</vt:lpwstr>
      </vt:variant>
      <vt:variant>
        <vt:i4>1245243</vt:i4>
      </vt:variant>
      <vt:variant>
        <vt:i4>122</vt:i4>
      </vt:variant>
      <vt:variant>
        <vt:i4>0</vt:i4>
      </vt:variant>
      <vt:variant>
        <vt:i4>5</vt:i4>
      </vt:variant>
      <vt:variant>
        <vt:lpwstr/>
      </vt:variant>
      <vt:variant>
        <vt:lpwstr>_Toc84325755</vt:lpwstr>
      </vt:variant>
      <vt:variant>
        <vt:i4>1179707</vt:i4>
      </vt:variant>
      <vt:variant>
        <vt:i4>116</vt:i4>
      </vt:variant>
      <vt:variant>
        <vt:i4>0</vt:i4>
      </vt:variant>
      <vt:variant>
        <vt:i4>5</vt:i4>
      </vt:variant>
      <vt:variant>
        <vt:lpwstr/>
      </vt:variant>
      <vt:variant>
        <vt:lpwstr>_Toc84325754</vt:lpwstr>
      </vt:variant>
      <vt:variant>
        <vt:i4>1376315</vt:i4>
      </vt:variant>
      <vt:variant>
        <vt:i4>110</vt:i4>
      </vt:variant>
      <vt:variant>
        <vt:i4>0</vt:i4>
      </vt:variant>
      <vt:variant>
        <vt:i4>5</vt:i4>
      </vt:variant>
      <vt:variant>
        <vt:lpwstr/>
      </vt:variant>
      <vt:variant>
        <vt:lpwstr>_Toc84325753</vt:lpwstr>
      </vt:variant>
      <vt:variant>
        <vt:i4>1310779</vt:i4>
      </vt:variant>
      <vt:variant>
        <vt:i4>104</vt:i4>
      </vt:variant>
      <vt:variant>
        <vt:i4>0</vt:i4>
      </vt:variant>
      <vt:variant>
        <vt:i4>5</vt:i4>
      </vt:variant>
      <vt:variant>
        <vt:lpwstr/>
      </vt:variant>
      <vt:variant>
        <vt:lpwstr>_Toc84325752</vt:lpwstr>
      </vt:variant>
      <vt:variant>
        <vt:i4>1507387</vt:i4>
      </vt:variant>
      <vt:variant>
        <vt:i4>98</vt:i4>
      </vt:variant>
      <vt:variant>
        <vt:i4>0</vt:i4>
      </vt:variant>
      <vt:variant>
        <vt:i4>5</vt:i4>
      </vt:variant>
      <vt:variant>
        <vt:lpwstr/>
      </vt:variant>
      <vt:variant>
        <vt:lpwstr>_Toc84325751</vt:lpwstr>
      </vt:variant>
      <vt:variant>
        <vt:i4>1441851</vt:i4>
      </vt:variant>
      <vt:variant>
        <vt:i4>92</vt:i4>
      </vt:variant>
      <vt:variant>
        <vt:i4>0</vt:i4>
      </vt:variant>
      <vt:variant>
        <vt:i4>5</vt:i4>
      </vt:variant>
      <vt:variant>
        <vt:lpwstr/>
      </vt:variant>
      <vt:variant>
        <vt:lpwstr>_Toc84325750</vt:lpwstr>
      </vt:variant>
      <vt:variant>
        <vt:i4>2031674</vt:i4>
      </vt:variant>
      <vt:variant>
        <vt:i4>86</vt:i4>
      </vt:variant>
      <vt:variant>
        <vt:i4>0</vt:i4>
      </vt:variant>
      <vt:variant>
        <vt:i4>5</vt:i4>
      </vt:variant>
      <vt:variant>
        <vt:lpwstr/>
      </vt:variant>
      <vt:variant>
        <vt:lpwstr>_Toc84325749</vt:lpwstr>
      </vt:variant>
      <vt:variant>
        <vt:i4>1966138</vt:i4>
      </vt:variant>
      <vt:variant>
        <vt:i4>80</vt:i4>
      </vt:variant>
      <vt:variant>
        <vt:i4>0</vt:i4>
      </vt:variant>
      <vt:variant>
        <vt:i4>5</vt:i4>
      </vt:variant>
      <vt:variant>
        <vt:lpwstr/>
      </vt:variant>
      <vt:variant>
        <vt:lpwstr>_Toc84325748</vt:lpwstr>
      </vt:variant>
      <vt:variant>
        <vt:i4>1114170</vt:i4>
      </vt:variant>
      <vt:variant>
        <vt:i4>74</vt:i4>
      </vt:variant>
      <vt:variant>
        <vt:i4>0</vt:i4>
      </vt:variant>
      <vt:variant>
        <vt:i4>5</vt:i4>
      </vt:variant>
      <vt:variant>
        <vt:lpwstr/>
      </vt:variant>
      <vt:variant>
        <vt:lpwstr>_Toc84325747</vt:lpwstr>
      </vt:variant>
      <vt:variant>
        <vt:i4>1048634</vt:i4>
      </vt:variant>
      <vt:variant>
        <vt:i4>68</vt:i4>
      </vt:variant>
      <vt:variant>
        <vt:i4>0</vt:i4>
      </vt:variant>
      <vt:variant>
        <vt:i4>5</vt:i4>
      </vt:variant>
      <vt:variant>
        <vt:lpwstr/>
      </vt:variant>
      <vt:variant>
        <vt:lpwstr>_Toc84325746</vt:lpwstr>
      </vt:variant>
      <vt:variant>
        <vt:i4>1245242</vt:i4>
      </vt:variant>
      <vt:variant>
        <vt:i4>62</vt:i4>
      </vt:variant>
      <vt:variant>
        <vt:i4>0</vt:i4>
      </vt:variant>
      <vt:variant>
        <vt:i4>5</vt:i4>
      </vt:variant>
      <vt:variant>
        <vt:lpwstr/>
      </vt:variant>
      <vt:variant>
        <vt:lpwstr>_Toc84325745</vt:lpwstr>
      </vt:variant>
      <vt:variant>
        <vt:i4>1179706</vt:i4>
      </vt:variant>
      <vt:variant>
        <vt:i4>56</vt:i4>
      </vt:variant>
      <vt:variant>
        <vt:i4>0</vt:i4>
      </vt:variant>
      <vt:variant>
        <vt:i4>5</vt:i4>
      </vt:variant>
      <vt:variant>
        <vt:lpwstr/>
      </vt:variant>
      <vt:variant>
        <vt:lpwstr>_Toc84325744</vt:lpwstr>
      </vt:variant>
      <vt:variant>
        <vt:i4>1376314</vt:i4>
      </vt:variant>
      <vt:variant>
        <vt:i4>50</vt:i4>
      </vt:variant>
      <vt:variant>
        <vt:i4>0</vt:i4>
      </vt:variant>
      <vt:variant>
        <vt:i4>5</vt:i4>
      </vt:variant>
      <vt:variant>
        <vt:lpwstr/>
      </vt:variant>
      <vt:variant>
        <vt:lpwstr>_Toc84325743</vt:lpwstr>
      </vt:variant>
      <vt:variant>
        <vt:i4>1310778</vt:i4>
      </vt:variant>
      <vt:variant>
        <vt:i4>44</vt:i4>
      </vt:variant>
      <vt:variant>
        <vt:i4>0</vt:i4>
      </vt:variant>
      <vt:variant>
        <vt:i4>5</vt:i4>
      </vt:variant>
      <vt:variant>
        <vt:lpwstr/>
      </vt:variant>
      <vt:variant>
        <vt:lpwstr>_Toc84325742</vt:lpwstr>
      </vt:variant>
      <vt:variant>
        <vt:i4>1507386</vt:i4>
      </vt:variant>
      <vt:variant>
        <vt:i4>38</vt:i4>
      </vt:variant>
      <vt:variant>
        <vt:i4>0</vt:i4>
      </vt:variant>
      <vt:variant>
        <vt:i4>5</vt:i4>
      </vt:variant>
      <vt:variant>
        <vt:lpwstr/>
      </vt:variant>
      <vt:variant>
        <vt:lpwstr>_Toc84325741</vt:lpwstr>
      </vt:variant>
      <vt:variant>
        <vt:i4>1441850</vt:i4>
      </vt:variant>
      <vt:variant>
        <vt:i4>32</vt:i4>
      </vt:variant>
      <vt:variant>
        <vt:i4>0</vt:i4>
      </vt:variant>
      <vt:variant>
        <vt:i4>5</vt:i4>
      </vt:variant>
      <vt:variant>
        <vt:lpwstr/>
      </vt:variant>
      <vt:variant>
        <vt:lpwstr>_Toc84325740</vt:lpwstr>
      </vt:variant>
      <vt:variant>
        <vt:i4>2031677</vt:i4>
      </vt:variant>
      <vt:variant>
        <vt:i4>26</vt:i4>
      </vt:variant>
      <vt:variant>
        <vt:i4>0</vt:i4>
      </vt:variant>
      <vt:variant>
        <vt:i4>5</vt:i4>
      </vt:variant>
      <vt:variant>
        <vt:lpwstr/>
      </vt:variant>
      <vt:variant>
        <vt:lpwstr>_Toc84325739</vt:lpwstr>
      </vt:variant>
      <vt:variant>
        <vt:i4>1966141</vt:i4>
      </vt:variant>
      <vt:variant>
        <vt:i4>20</vt:i4>
      </vt:variant>
      <vt:variant>
        <vt:i4>0</vt:i4>
      </vt:variant>
      <vt:variant>
        <vt:i4>5</vt:i4>
      </vt:variant>
      <vt:variant>
        <vt:lpwstr/>
      </vt:variant>
      <vt:variant>
        <vt:lpwstr>_Toc84325738</vt:lpwstr>
      </vt:variant>
      <vt:variant>
        <vt:i4>1114173</vt:i4>
      </vt:variant>
      <vt:variant>
        <vt:i4>14</vt:i4>
      </vt:variant>
      <vt:variant>
        <vt:i4>0</vt:i4>
      </vt:variant>
      <vt:variant>
        <vt:i4>5</vt:i4>
      </vt:variant>
      <vt:variant>
        <vt:lpwstr/>
      </vt:variant>
      <vt:variant>
        <vt:lpwstr>_Toc84325737</vt:lpwstr>
      </vt:variant>
      <vt:variant>
        <vt:i4>1048637</vt:i4>
      </vt:variant>
      <vt:variant>
        <vt:i4>8</vt:i4>
      </vt:variant>
      <vt:variant>
        <vt:i4>0</vt:i4>
      </vt:variant>
      <vt:variant>
        <vt:i4>5</vt:i4>
      </vt:variant>
      <vt:variant>
        <vt:lpwstr/>
      </vt:variant>
      <vt:variant>
        <vt:lpwstr>_Toc84325736</vt:lpwstr>
      </vt:variant>
      <vt:variant>
        <vt:i4>1245245</vt:i4>
      </vt:variant>
      <vt:variant>
        <vt:i4>2</vt:i4>
      </vt:variant>
      <vt:variant>
        <vt:i4>0</vt:i4>
      </vt:variant>
      <vt:variant>
        <vt:i4>5</vt:i4>
      </vt:variant>
      <vt:variant>
        <vt:lpwstr/>
      </vt:variant>
      <vt:variant>
        <vt:lpwstr>_Toc84325735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Goulburn River Selected Area Scientific Report 2020-21</dc:title>
  <dc:subject>Plan prepared for the Commonwealth Environmental Water Office
Angus Webb, Xue Hou, Simon Treadwell, Parya Baghbanorandi, Ben Baker, Wim Bovill, Simon Casanelia, Nikita Christopher, Michael Grace, Joe Greet, Claudette Kellar, Wayne Koster, Daniel Lovell, Daniel McMahon, Kay Morris, Vin Pettigrove, Luke Russell, Neil Sutton, Geoff Vietz</dc:subject>
  <dc:creator>Angus Webb, Xue Hou, Simon Treadwell, Parya Baghbanorandi, Ben Baker, Wim Bovill, Simon Casanelia, Nikita Christopher, Michael Grace, Joe Greet, Claudette Kellar, Wayne Koster, Daniel Lovell, Daniel McMahon, Kay Morris, Vin Pettigrove, Luke Russell, Neil Sutton, Geoff Vietz</dc:creator>
  <cp:keywords/>
  <dc:description>Monitoring, Evaluation and Research Project</dc:description>
  <cp:lastModifiedBy>Bec Durack</cp:lastModifiedBy>
  <cp:revision>2</cp:revision>
  <cp:lastPrinted>2020-12-18T18:48:00Z</cp:lastPrinted>
  <dcterms:created xsi:type="dcterms:W3CDTF">2022-04-01T04:44:00Z</dcterms:created>
  <dcterms:modified xsi:type="dcterms:W3CDTF">2022-04-01T04:44:00Z</dcterms:modified>
  <cp:category>Commonwealth Environmental Water Office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RecordPoint_WorkflowType">
    <vt:lpwstr>ActiveSubmitStub</vt:lpwstr>
  </property>
  <property fmtid="{D5CDD505-2E9C-101B-9397-08002B2CF9AE}" pid="4" name="RecordPoint_ActiveItemSiteId">
    <vt:lpwstr>{a8f0bc9d-7c61-4d87-8154-4194e40ae5d3}</vt:lpwstr>
  </property>
  <property fmtid="{D5CDD505-2E9C-101B-9397-08002B2CF9AE}" pid="5" name="RecordPoint_ActiveItemListId">
    <vt:lpwstr>{3fc32201-913f-4d6a-85e8-5b8b2e362428}</vt:lpwstr>
  </property>
  <property fmtid="{D5CDD505-2E9C-101B-9397-08002B2CF9AE}" pid="6" name="RecordPoint_ActiveItemUniqueId">
    <vt:lpwstr>{f994dfc4-e40c-444d-a05d-ac285afb915e}</vt:lpwstr>
  </property>
  <property fmtid="{D5CDD505-2E9C-101B-9397-08002B2CF9AE}" pid="7" name="RecordPoint_ActiveItemWebId">
    <vt:lpwstr>{e9dbc1f6-467e-4375-b5ab-015cee2f651e}</vt:lpwstr>
  </property>
  <property fmtid="{D5CDD505-2E9C-101B-9397-08002B2CF9AE}" pid="8" name="RecordPoint_SubmissionCompleted">
    <vt:lpwstr>2020-11-10T22:15:45.2624483+11:00</vt:lpwstr>
  </property>
  <property fmtid="{D5CDD505-2E9C-101B-9397-08002B2CF9AE}" pid="9" name="RecordPoint_RecordNumberSubmitted">
    <vt:lpwstr>003528975</vt:lpwstr>
  </property>
  <property fmtid="{D5CDD505-2E9C-101B-9397-08002B2CF9AE}" pid="10" name="RecordPoint_SubmissionDate">
    <vt:lpwstr/>
  </property>
  <property fmtid="{D5CDD505-2E9C-101B-9397-08002B2CF9AE}" pid="11" name="RecordPoint_ActiveItemMoved">
    <vt:lpwstr/>
  </property>
  <property fmtid="{D5CDD505-2E9C-101B-9397-08002B2CF9AE}" pid="12" name="RecordPoint_RecordFormat">
    <vt:lpwstr/>
  </property>
</Properties>
</file>